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tbl>
      <w:tblPr>
        <w:tblW w:w="10482" w:type="dxa"/>
        <w:tblInd w:w="-283" w:type="dxa"/>
        <w:tblLayout w:type="fixed"/>
        <w:tblLook w:val="0000" w:firstRow="0" w:lastRow="0" w:firstColumn="0" w:lastColumn="0" w:noHBand="0" w:noVBand="0"/>
      </w:tblPr>
      <w:tblGrid>
        <w:gridCol w:w="975"/>
        <w:gridCol w:w="1434"/>
        <w:gridCol w:w="8073"/>
      </w:tblGrid>
      <w:tr w:rsidR="008A1499" w:rsidRPr="005F0A67" w14:paraId="7B155D87" w14:textId="77777777" w:rsidTr="008A1499">
        <w:trPr>
          <w:trHeight w:val="850"/>
        </w:trPr>
        <w:tc>
          <w:tcPr>
            <w:tcW w:w="975" w:type="dxa"/>
            <w:vAlign w:val="bottom"/>
          </w:tcPr>
          <w:p w14:paraId="5EF25B35" w14:textId="77777777" w:rsidR="008A1499" w:rsidRPr="005F0A67" w:rsidRDefault="008A1499" w:rsidP="005F0A67">
            <w:pPr>
              <w:pStyle w:val="AASmallLogo"/>
              <w:rPr>
                <w:rFonts w:asciiTheme="majorBidi" w:hAnsiTheme="majorBidi" w:cstheme="majorBidi"/>
              </w:rPr>
            </w:pPr>
            <w:r w:rsidRPr="005F0A67">
              <w:rPr>
                <w:rFonts w:asciiTheme="majorBidi" w:hAnsiTheme="majorBidi" w:cstheme="majorBidi"/>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5F0A67">
              <w:rPr>
                <w:rFonts w:asciiTheme="majorBidi" w:hAnsiTheme="majorBidi" w:cstheme="majorBidi"/>
              </w:rPr>
              <w:t xml:space="preserve"> </w:t>
            </w:r>
          </w:p>
          <w:p w14:paraId="12A1D719" w14:textId="77777777" w:rsidR="008A1499" w:rsidRPr="005F0A67" w:rsidRDefault="008A1499" w:rsidP="005F0A67">
            <w:pPr>
              <w:pStyle w:val="AASmallLogo"/>
              <w:rPr>
                <w:rFonts w:asciiTheme="majorBidi" w:hAnsiTheme="majorBidi" w:cstheme="majorBidi"/>
              </w:rPr>
            </w:pPr>
          </w:p>
        </w:tc>
        <w:tc>
          <w:tcPr>
            <w:tcW w:w="1434" w:type="dxa"/>
            <w:noWrap/>
            <w:vAlign w:val="bottom"/>
          </w:tcPr>
          <w:p w14:paraId="65C5A190" w14:textId="77777777" w:rsidR="008A1499" w:rsidRPr="005F0A67" w:rsidRDefault="008A1499" w:rsidP="005F0A67">
            <w:pPr>
              <w:pStyle w:val="AASmallLogo"/>
              <w:rPr>
                <w:rFonts w:asciiTheme="majorBidi" w:hAnsiTheme="majorBidi" w:cstheme="majorBidi"/>
              </w:rPr>
            </w:pPr>
            <w:r w:rsidRPr="005F0A67">
              <w:rPr>
                <w:rFonts w:asciiTheme="majorBidi" w:hAnsiTheme="majorBidi" w:cstheme="majorBidi"/>
                <w:noProof/>
              </w:rPr>
              <w:drawing>
                <wp:inline distT="0" distB="0" distL="0" distR="0" wp14:anchorId="48FEC52B" wp14:editId="70DEDE8E">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5F0A67">
              <w:rPr>
                <w:rFonts w:asciiTheme="majorBidi" w:hAnsiTheme="majorBidi" w:cstheme="majorBidi"/>
              </w:rPr>
              <w:t xml:space="preserve"> </w:t>
            </w:r>
          </w:p>
          <w:p w14:paraId="69D3F617" w14:textId="77777777" w:rsidR="008A1499" w:rsidRPr="005F0A67" w:rsidRDefault="008A1499" w:rsidP="005F0A67">
            <w:pPr>
              <w:pStyle w:val="AASmallLogo"/>
              <w:rPr>
                <w:rFonts w:asciiTheme="majorBidi" w:hAnsiTheme="majorBidi" w:cstheme="majorBidi"/>
              </w:rPr>
            </w:pPr>
          </w:p>
        </w:tc>
        <w:tc>
          <w:tcPr>
            <w:tcW w:w="8073" w:type="dxa"/>
            <w:vAlign w:val="bottom"/>
          </w:tcPr>
          <w:p w14:paraId="0394B5F6" w14:textId="05C42C3E" w:rsidR="008A1499" w:rsidRPr="005F0A67" w:rsidRDefault="008A1499" w:rsidP="005F0A67">
            <w:pPr>
              <w:pStyle w:val="ABSymbol"/>
              <w:rPr>
                <w:rFonts w:asciiTheme="majorBidi" w:hAnsiTheme="majorBidi" w:cstheme="majorBidi"/>
              </w:rPr>
            </w:pPr>
            <w:r w:rsidRPr="005F0A67">
              <w:rPr>
                <w:rFonts w:asciiTheme="majorBidi" w:hAnsiTheme="majorBidi" w:cstheme="majorBidi"/>
                <w:sz w:val="40"/>
              </w:rPr>
              <w:t>CBD</w:t>
            </w:r>
            <w:r w:rsidRPr="005F0A67">
              <w:rPr>
                <w:rFonts w:asciiTheme="majorBidi" w:hAnsiTheme="majorBidi" w:cstheme="majorBidi"/>
              </w:rPr>
              <w:t>/</w:t>
            </w:r>
            <w:r w:rsidR="00240EE6" w:rsidRPr="005F0A67">
              <w:rPr>
                <w:rFonts w:asciiTheme="majorBidi" w:hAnsiTheme="majorBidi" w:cstheme="majorBidi"/>
              </w:rPr>
              <w:t>COP</w:t>
            </w:r>
            <w:r w:rsidRPr="005F0A67">
              <w:rPr>
                <w:rFonts w:asciiTheme="majorBidi" w:hAnsiTheme="majorBidi" w:cstheme="majorBidi"/>
              </w:rPr>
              <w:t>/</w:t>
            </w:r>
            <w:r w:rsidR="00240EE6" w:rsidRPr="005F0A67">
              <w:rPr>
                <w:rFonts w:asciiTheme="majorBidi" w:hAnsiTheme="majorBidi" w:cstheme="majorBidi"/>
              </w:rPr>
              <w:t>17/</w:t>
            </w:r>
            <w:r w:rsidR="00DD2BE4" w:rsidRPr="005F0A67">
              <w:rPr>
                <w:rFonts w:asciiTheme="majorBidi" w:hAnsiTheme="majorBidi" w:cstheme="majorBidi"/>
              </w:rPr>
              <w:t>INF</w:t>
            </w:r>
            <w:r w:rsidR="006D18BD">
              <w:rPr>
                <w:rFonts w:asciiTheme="majorBidi" w:hAnsiTheme="majorBidi" w:cstheme="majorBidi"/>
              </w:rPr>
              <w:t>/18</w:t>
            </w:r>
          </w:p>
        </w:tc>
      </w:tr>
    </w:tbl>
    <w:p w14:paraId="7DB208F6" w14:textId="77777777" w:rsidR="008A1499" w:rsidRPr="005F0A67" w:rsidRDefault="008A1499" w:rsidP="005F0A67">
      <w:pPr>
        <w:pStyle w:val="AISpacer"/>
        <w:rPr>
          <w:rFonts w:asciiTheme="majorBidi" w:hAnsiTheme="majorBidi" w:cstheme="majorBidi"/>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5F0A67" w14:paraId="7BA4533D" w14:textId="77777777" w:rsidTr="008A1499">
        <w:trPr>
          <w:trHeight w:val="1814"/>
        </w:trPr>
        <w:tc>
          <w:tcPr>
            <w:tcW w:w="7370" w:type="dxa"/>
          </w:tcPr>
          <w:p w14:paraId="320ECE90" w14:textId="77777777" w:rsidR="008A1499" w:rsidRPr="005F0A67" w:rsidRDefault="008A1499" w:rsidP="005F0A67">
            <w:pPr>
              <w:pStyle w:val="ACLargeLogo"/>
              <w:rPr>
                <w:rFonts w:asciiTheme="majorBidi" w:hAnsiTheme="majorBidi" w:cstheme="majorBidi"/>
              </w:rPr>
            </w:pPr>
            <w:r w:rsidRPr="005F0A67">
              <w:rPr>
                <w:rFonts w:asciiTheme="majorBidi" w:hAnsiTheme="majorBidi" w:cstheme="majorBidi"/>
                <w:noProof/>
              </w:rPr>
              <w:drawing>
                <wp:inline distT="0" distB="0" distL="0" distR="0" wp14:anchorId="310CE8EB" wp14:editId="5750589C">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5F0A67">
              <w:rPr>
                <w:rFonts w:asciiTheme="majorBidi" w:hAnsiTheme="majorBidi" w:cstheme="majorBidi"/>
              </w:rPr>
              <w:t xml:space="preserve"> </w:t>
            </w:r>
          </w:p>
          <w:p w14:paraId="7D173443" w14:textId="77777777" w:rsidR="008A1499" w:rsidRPr="005F0A67" w:rsidRDefault="008A1499" w:rsidP="005F0A67">
            <w:pPr>
              <w:pStyle w:val="ACLargeLogo"/>
              <w:rPr>
                <w:rFonts w:asciiTheme="majorBidi" w:hAnsiTheme="majorBidi" w:cstheme="majorBidi"/>
              </w:rPr>
            </w:pPr>
          </w:p>
        </w:tc>
        <w:tc>
          <w:tcPr>
            <w:tcW w:w="3112" w:type="dxa"/>
          </w:tcPr>
          <w:p w14:paraId="7E3CF941" w14:textId="77777777" w:rsidR="008A1499" w:rsidRPr="005F0A67" w:rsidRDefault="008A1499" w:rsidP="005F0A67">
            <w:pPr>
              <w:pStyle w:val="AEDistrNormal"/>
              <w:rPr>
                <w:rFonts w:asciiTheme="majorBidi" w:hAnsiTheme="majorBidi" w:cstheme="majorBidi"/>
              </w:rPr>
            </w:pPr>
            <w:r w:rsidRPr="005F0A67">
              <w:rPr>
                <w:rFonts w:asciiTheme="majorBidi" w:hAnsiTheme="majorBidi" w:cstheme="majorBidi"/>
              </w:rPr>
              <w:t xml:space="preserve">Distr.: General </w:t>
            </w:r>
          </w:p>
          <w:p w14:paraId="043329D4" w14:textId="7919C54E" w:rsidR="008A1499" w:rsidRPr="005F0A67" w:rsidRDefault="006D18BD" w:rsidP="005F0A67">
            <w:pPr>
              <w:pStyle w:val="AEDistrNormal"/>
              <w:rPr>
                <w:rFonts w:asciiTheme="majorBidi" w:hAnsiTheme="majorBidi" w:cstheme="majorBidi"/>
              </w:rPr>
            </w:pPr>
            <w:r>
              <w:rPr>
                <w:rFonts w:asciiTheme="majorBidi" w:hAnsiTheme="majorBidi" w:cstheme="majorBidi"/>
              </w:rPr>
              <w:t>28 September 2026</w:t>
            </w:r>
          </w:p>
          <w:p w14:paraId="39D85D31" w14:textId="6CB335B2" w:rsidR="008A1499" w:rsidRPr="005F0A67" w:rsidRDefault="008A1499" w:rsidP="005F0A67">
            <w:pPr>
              <w:pStyle w:val="AEDistrNormal6pt"/>
              <w:rPr>
                <w:rFonts w:asciiTheme="majorBidi" w:hAnsiTheme="majorBidi" w:cstheme="majorBidi"/>
              </w:rPr>
            </w:pPr>
            <w:r w:rsidRPr="005F0A67">
              <w:rPr>
                <w:rFonts w:asciiTheme="majorBidi" w:hAnsiTheme="majorBidi" w:cstheme="majorBidi"/>
              </w:rPr>
              <w:t xml:space="preserve">English </w:t>
            </w:r>
            <w:r w:rsidR="006D18BD">
              <w:rPr>
                <w:rFonts w:asciiTheme="majorBidi" w:hAnsiTheme="majorBidi" w:cstheme="majorBidi"/>
              </w:rPr>
              <w:t>only</w:t>
            </w:r>
          </w:p>
          <w:p w14:paraId="3C7BFCF7" w14:textId="77777777" w:rsidR="008A1499" w:rsidRPr="005F0A67" w:rsidRDefault="008A1499" w:rsidP="005F0A67">
            <w:pPr>
              <w:pStyle w:val="AEDistrNormal6pt"/>
              <w:rPr>
                <w:rFonts w:asciiTheme="majorBidi" w:hAnsiTheme="majorBidi" w:cstheme="majorBidi"/>
              </w:rPr>
            </w:pPr>
          </w:p>
        </w:tc>
      </w:tr>
    </w:tbl>
    <w:p w14:paraId="6A1A3E3F" w14:textId="77777777" w:rsidR="008A1499" w:rsidRPr="005F0A67" w:rsidRDefault="008A1499" w:rsidP="005F0A67">
      <w:pPr>
        <w:pStyle w:val="AISpacer"/>
        <w:rPr>
          <w:rFonts w:asciiTheme="majorBidi" w:hAnsiTheme="majorBidi" w:cstheme="majorBidi"/>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5F0A67" w14:paraId="6F22D97D" w14:textId="77777777" w:rsidTr="008A1499">
        <w:trPr>
          <w:trHeight w:val="57"/>
        </w:trPr>
        <w:tc>
          <w:tcPr>
            <w:tcW w:w="6094" w:type="dxa"/>
          </w:tcPr>
          <w:p w14:paraId="0BD2F718" w14:textId="500B138E" w:rsidR="008A1499" w:rsidRPr="005F0A67" w:rsidRDefault="00240EE6" w:rsidP="005F0A67">
            <w:pPr>
              <w:pStyle w:val="AFCorN12Bold"/>
              <w:rPr>
                <w:rFonts w:asciiTheme="majorBidi" w:hAnsiTheme="majorBidi" w:cstheme="majorBidi"/>
              </w:rPr>
            </w:pPr>
            <w:r w:rsidRPr="005F0A67">
              <w:rPr>
                <w:rFonts w:asciiTheme="majorBidi" w:hAnsiTheme="majorBidi" w:cstheme="majorBidi"/>
              </w:rPr>
              <w:t xml:space="preserve">Conference of the Parties to the </w:t>
            </w:r>
            <w:r w:rsidR="006E7BE2" w:rsidRPr="005F0A67">
              <w:rPr>
                <w:rFonts w:asciiTheme="majorBidi" w:hAnsiTheme="majorBidi" w:cstheme="majorBidi"/>
              </w:rPr>
              <w:br/>
            </w:r>
            <w:r w:rsidRPr="005F0A67">
              <w:rPr>
                <w:rFonts w:asciiTheme="majorBidi" w:hAnsiTheme="majorBidi" w:cstheme="majorBidi"/>
              </w:rPr>
              <w:t>Convention on Biological Diversity</w:t>
            </w:r>
            <w:r w:rsidR="008A1499" w:rsidRPr="005F0A67">
              <w:rPr>
                <w:rFonts w:asciiTheme="majorBidi" w:hAnsiTheme="majorBidi" w:cstheme="majorBidi"/>
              </w:rPr>
              <w:t xml:space="preserve"> </w:t>
            </w:r>
          </w:p>
          <w:p w14:paraId="375DFF07" w14:textId="46FC536E" w:rsidR="008A1499" w:rsidRPr="005F0A67" w:rsidRDefault="00240EE6" w:rsidP="005F0A67">
            <w:pPr>
              <w:pStyle w:val="AFCorNBold"/>
              <w:rPr>
                <w:rFonts w:asciiTheme="majorBidi" w:hAnsiTheme="majorBidi" w:cstheme="majorBidi"/>
              </w:rPr>
            </w:pPr>
            <w:r w:rsidRPr="005F0A67">
              <w:rPr>
                <w:rFonts w:asciiTheme="majorBidi" w:hAnsiTheme="majorBidi" w:cstheme="majorBidi"/>
              </w:rPr>
              <w:t>Seventeen</w:t>
            </w:r>
            <w:r w:rsidR="008A1499" w:rsidRPr="005F0A67">
              <w:rPr>
                <w:rFonts w:asciiTheme="majorBidi" w:hAnsiTheme="majorBidi" w:cstheme="majorBidi"/>
              </w:rPr>
              <w:t xml:space="preserve">th meeting </w:t>
            </w:r>
          </w:p>
          <w:p w14:paraId="2C0D88EF" w14:textId="399E84D6" w:rsidR="008A1499" w:rsidRPr="005F0A67" w:rsidRDefault="00240EE6" w:rsidP="005F0A67">
            <w:pPr>
              <w:pStyle w:val="AFCorNNormal"/>
              <w:rPr>
                <w:rFonts w:asciiTheme="majorBidi" w:hAnsiTheme="majorBidi" w:cstheme="majorBidi"/>
              </w:rPr>
            </w:pPr>
            <w:r w:rsidRPr="005F0A67">
              <w:rPr>
                <w:rFonts w:asciiTheme="majorBidi" w:hAnsiTheme="majorBidi" w:cstheme="majorBidi"/>
              </w:rPr>
              <w:t>Yerevan</w:t>
            </w:r>
            <w:r w:rsidR="008A1499" w:rsidRPr="005F0A67">
              <w:rPr>
                <w:rFonts w:asciiTheme="majorBidi" w:hAnsiTheme="majorBidi" w:cstheme="majorBidi"/>
              </w:rPr>
              <w:t xml:space="preserve">, </w:t>
            </w:r>
            <w:r w:rsidRPr="005F0A67">
              <w:rPr>
                <w:rFonts w:asciiTheme="majorBidi" w:hAnsiTheme="majorBidi" w:cstheme="majorBidi"/>
                <w:snapToGrid w:val="0"/>
                <w:kern w:val="22"/>
              </w:rPr>
              <w:t>19</w:t>
            </w:r>
            <w:r w:rsidR="008A1499" w:rsidRPr="005F0A67">
              <w:rPr>
                <w:rFonts w:asciiTheme="majorBidi" w:hAnsiTheme="majorBidi" w:cstheme="majorBidi"/>
                <w:snapToGrid w:val="0"/>
                <w:kern w:val="22"/>
              </w:rPr>
              <w:t>–</w:t>
            </w:r>
            <w:r w:rsidRPr="005F0A67">
              <w:rPr>
                <w:rFonts w:asciiTheme="majorBidi" w:hAnsiTheme="majorBidi" w:cstheme="majorBidi"/>
                <w:snapToGrid w:val="0"/>
                <w:kern w:val="22"/>
              </w:rPr>
              <w:t>30</w:t>
            </w:r>
            <w:r w:rsidR="008A1499" w:rsidRPr="005F0A67">
              <w:rPr>
                <w:rFonts w:asciiTheme="majorBidi" w:hAnsiTheme="majorBidi" w:cstheme="majorBidi"/>
                <w:snapToGrid w:val="0"/>
                <w:kern w:val="22"/>
              </w:rPr>
              <w:t xml:space="preserve"> </w:t>
            </w:r>
            <w:r w:rsidRPr="005F0A67">
              <w:rPr>
                <w:rFonts w:asciiTheme="majorBidi" w:hAnsiTheme="majorBidi" w:cstheme="majorBidi"/>
                <w:snapToGrid w:val="0"/>
                <w:kern w:val="22"/>
              </w:rPr>
              <w:t>October 2026</w:t>
            </w:r>
          </w:p>
          <w:p w14:paraId="1E4B070D" w14:textId="44527C82" w:rsidR="008A1499" w:rsidRPr="005F0A67" w:rsidRDefault="008A1499" w:rsidP="005F0A67">
            <w:pPr>
              <w:pStyle w:val="AFCorNNormal"/>
              <w:rPr>
                <w:rFonts w:asciiTheme="majorBidi" w:hAnsiTheme="majorBidi" w:cstheme="majorBidi"/>
              </w:rPr>
            </w:pPr>
            <w:r w:rsidRPr="005F0A67">
              <w:rPr>
                <w:rFonts w:asciiTheme="majorBidi" w:hAnsiTheme="majorBidi" w:cstheme="majorBidi"/>
              </w:rPr>
              <w:t xml:space="preserve">Item </w:t>
            </w:r>
            <w:r w:rsidR="00DD2BE4" w:rsidRPr="005F0A67">
              <w:rPr>
                <w:rFonts w:asciiTheme="majorBidi" w:hAnsiTheme="majorBidi" w:cstheme="majorBidi"/>
              </w:rPr>
              <w:t>11</w:t>
            </w:r>
            <w:r w:rsidRPr="005F0A67">
              <w:rPr>
                <w:rFonts w:asciiTheme="majorBidi" w:hAnsiTheme="majorBidi" w:cstheme="majorBidi"/>
              </w:rPr>
              <w:t xml:space="preserve"> of the provisional agenda</w:t>
            </w:r>
            <w:r w:rsidRPr="005F0A67">
              <w:rPr>
                <w:rStyle w:val="FootnoteReference"/>
                <w:rFonts w:asciiTheme="majorBidi" w:hAnsiTheme="majorBidi" w:cstheme="majorBidi"/>
              </w:rPr>
              <w:footnoteReference w:customMarkFollows="1" w:id="1"/>
              <w:t>*</w:t>
            </w:r>
            <w:r w:rsidRPr="005F0A67">
              <w:rPr>
                <w:rFonts w:asciiTheme="majorBidi" w:hAnsiTheme="majorBidi" w:cstheme="majorBidi"/>
              </w:rPr>
              <w:t xml:space="preserve"> </w:t>
            </w:r>
          </w:p>
          <w:p w14:paraId="3F5A497A" w14:textId="3E992428" w:rsidR="008A1499" w:rsidRPr="005F0A67" w:rsidRDefault="00DD2BE4" w:rsidP="005F0A67">
            <w:pPr>
              <w:pStyle w:val="AFCorNBold"/>
              <w:rPr>
                <w:rFonts w:asciiTheme="majorBidi" w:hAnsiTheme="majorBidi" w:cstheme="majorBidi"/>
              </w:rPr>
            </w:pPr>
            <w:r w:rsidRPr="005F0A67">
              <w:rPr>
                <w:rFonts w:asciiTheme="majorBidi" w:hAnsiTheme="majorBidi" w:cstheme="majorBidi"/>
              </w:rPr>
              <w:t xml:space="preserve">Digital </w:t>
            </w:r>
            <w:r w:rsidR="006D18BD">
              <w:rPr>
                <w:rFonts w:asciiTheme="majorBidi" w:hAnsiTheme="majorBidi" w:cstheme="majorBidi"/>
              </w:rPr>
              <w:t>s</w:t>
            </w:r>
            <w:r w:rsidRPr="005F0A67">
              <w:rPr>
                <w:rFonts w:asciiTheme="majorBidi" w:hAnsiTheme="majorBidi" w:cstheme="majorBidi"/>
              </w:rPr>
              <w:t xml:space="preserve">equence </w:t>
            </w:r>
            <w:r w:rsidR="006D18BD">
              <w:rPr>
                <w:rFonts w:asciiTheme="majorBidi" w:hAnsiTheme="majorBidi" w:cstheme="majorBidi"/>
              </w:rPr>
              <w:t>i</w:t>
            </w:r>
            <w:r w:rsidRPr="005F0A67">
              <w:rPr>
                <w:rFonts w:asciiTheme="majorBidi" w:hAnsiTheme="majorBidi" w:cstheme="majorBidi"/>
              </w:rPr>
              <w:t xml:space="preserve">nformation on </w:t>
            </w:r>
            <w:r w:rsidR="006D18BD">
              <w:rPr>
                <w:rFonts w:asciiTheme="majorBidi" w:hAnsiTheme="majorBidi" w:cstheme="majorBidi"/>
              </w:rPr>
              <w:t>g</w:t>
            </w:r>
            <w:r w:rsidRPr="005F0A67">
              <w:rPr>
                <w:rFonts w:asciiTheme="majorBidi" w:hAnsiTheme="majorBidi" w:cstheme="majorBidi"/>
              </w:rPr>
              <w:t xml:space="preserve">enetic </w:t>
            </w:r>
            <w:r w:rsidR="006D18BD">
              <w:rPr>
                <w:rFonts w:asciiTheme="majorBidi" w:hAnsiTheme="majorBidi" w:cstheme="majorBidi"/>
              </w:rPr>
              <w:t>r</w:t>
            </w:r>
            <w:r w:rsidRPr="005F0A67">
              <w:rPr>
                <w:rFonts w:asciiTheme="majorBidi" w:hAnsiTheme="majorBidi" w:cstheme="majorBidi"/>
              </w:rPr>
              <w:t>esources</w:t>
            </w:r>
            <w:r w:rsidR="008A1499" w:rsidRPr="005F0A67">
              <w:rPr>
                <w:rFonts w:asciiTheme="majorBidi" w:hAnsiTheme="majorBidi" w:cstheme="majorBidi"/>
              </w:rPr>
              <w:t xml:space="preserve">  </w:t>
            </w:r>
          </w:p>
        </w:tc>
        <w:tc>
          <w:tcPr>
            <w:tcW w:w="4388" w:type="dxa"/>
          </w:tcPr>
          <w:p w14:paraId="05C1994D" w14:textId="77777777" w:rsidR="008A1499" w:rsidRPr="005F0A67" w:rsidRDefault="008A1499" w:rsidP="005F0A67">
            <w:pPr>
              <w:pStyle w:val="CBDNormal"/>
              <w:jc w:val="left"/>
              <w:rPr>
                <w:rFonts w:asciiTheme="majorBidi" w:hAnsiTheme="majorBidi" w:cstheme="majorBidi"/>
              </w:rPr>
            </w:pPr>
          </w:p>
        </w:tc>
      </w:tr>
    </w:tbl>
    <w:p w14:paraId="26FE8B4B" w14:textId="140CD61F" w:rsidR="00C9161D" w:rsidRPr="005F0A67" w:rsidRDefault="00FC3D7B" w:rsidP="005F0A67">
      <w:pPr>
        <w:pStyle w:val="CBDTitle"/>
        <w:rPr>
          <w:rFonts w:asciiTheme="majorBidi" w:hAnsiTheme="majorBidi" w:cstheme="majorBidi"/>
          <w:bCs/>
          <w:caps/>
          <w:lang w:val="en-CA"/>
        </w:rPr>
      </w:pPr>
      <w:sdt>
        <w:sdtPr>
          <w:rPr>
            <w:rFonts w:asciiTheme="majorBidi" w:hAnsiTheme="majorBidi" w:cstheme="majorBidi"/>
            <w:bCs/>
            <w:caps/>
            <w:lang w:val="en-CA"/>
          </w:rPr>
          <w:alias w:val="Title"/>
          <w:tag w:val=""/>
          <w:id w:val="772832786"/>
          <w:placeholder>
            <w:docPart w:val="C689300CA2444A60B12385EE98E4F90F"/>
          </w:placeholder>
          <w:dataBinding w:prefixMappings="xmlns:ns0='http://purl.org/dc/elements/1.1/' xmlns:ns1='http://schemas.openxmlformats.org/package/2006/metadata/core-properties' " w:xpath="/ns1:coreProperties[1]/ns0:title[1]" w:storeItemID="{6C3C8BC8-F283-45AE-878A-BAB7291924A1}"/>
          <w:text/>
        </w:sdtPr>
        <w:sdtEndPr/>
        <w:sdtContent>
          <w:r w:rsidR="001A2AF6">
            <w:rPr>
              <w:rFonts w:asciiTheme="majorBidi" w:hAnsiTheme="majorBidi" w:cstheme="majorBidi"/>
              <w:bCs/>
              <w:lang w:val="en-CA"/>
            </w:rPr>
            <w:t>S</w:t>
          </w:r>
          <w:r w:rsidR="00DD2BE4" w:rsidRPr="005F0A67">
            <w:rPr>
              <w:rFonts w:asciiTheme="majorBidi" w:hAnsiTheme="majorBidi" w:cstheme="majorBidi"/>
              <w:bCs/>
              <w:lang w:val="en-CA"/>
            </w:rPr>
            <w:t>tudy on contribution rates, including implications for revenue generation and economic competitiveness and on national and international standards for the identification of the small, medium and large entities</w:t>
          </w:r>
        </w:sdtContent>
      </w:sdt>
      <w:r w:rsidR="006D18BD">
        <w:rPr>
          <w:rStyle w:val="FootnoteReference"/>
          <w:rFonts w:asciiTheme="majorBidi" w:hAnsiTheme="majorBidi" w:cstheme="majorBidi"/>
          <w:bCs/>
          <w:caps/>
        </w:rPr>
        <w:footnoteReference w:customMarkFollows="1" w:id="2"/>
        <w:t>**</w:t>
      </w:r>
    </w:p>
    <w:p w14:paraId="0E3291E4" w14:textId="77777777" w:rsidR="00F6586C" w:rsidRPr="005F0A67" w:rsidRDefault="0030169D" w:rsidP="005F0A67">
      <w:pPr>
        <w:pStyle w:val="CBDSubTitle"/>
        <w:rPr>
          <w:rFonts w:asciiTheme="majorBidi" w:hAnsiTheme="majorBidi" w:cstheme="majorBidi"/>
        </w:rPr>
      </w:pPr>
      <w:r w:rsidRPr="005F0A67">
        <w:rPr>
          <w:rFonts w:asciiTheme="majorBidi" w:hAnsiTheme="majorBidi" w:cstheme="majorBidi"/>
        </w:rPr>
        <w:t xml:space="preserve">Note by the </w:t>
      </w:r>
      <w:r w:rsidR="007E0F8A" w:rsidRPr="005F0A67">
        <w:rPr>
          <w:rFonts w:asciiTheme="majorBidi" w:hAnsiTheme="majorBidi" w:cstheme="majorBidi"/>
        </w:rPr>
        <w:t>Secretariat</w:t>
      </w:r>
    </w:p>
    <w:p w14:paraId="6D50F444" w14:textId="12DB1751" w:rsidR="00DD2BE4" w:rsidRPr="005F0A67" w:rsidRDefault="00DD2BE4" w:rsidP="005F0A67">
      <w:pPr>
        <w:pStyle w:val="CBDNormalNumber"/>
        <w:rPr>
          <w:rFonts w:asciiTheme="majorBidi" w:hAnsiTheme="majorBidi" w:cstheme="majorBidi"/>
        </w:rPr>
      </w:pPr>
      <w:r w:rsidRPr="005F0A67">
        <w:rPr>
          <w:rFonts w:asciiTheme="majorBidi" w:hAnsiTheme="majorBidi" w:cstheme="majorBidi"/>
        </w:rPr>
        <w:t xml:space="preserve">In decision </w:t>
      </w:r>
      <w:hyperlink r:id="rId15" w:history="1">
        <w:r w:rsidRPr="005F0A67">
          <w:rPr>
            <w:rStyle w:val="Hyperlink"/>
            <w:rFonts w:asciiTheme="majorBidi" w:hAnsiTheme="majorBidi" w:cstheme="majorBidi"/>
            <w:color w:val="auto"/>
            <w:u w:val="none"/>
          </w:rPr>
          <w:t>16/2</w:t>
        </w:r>
      </w:hyperlink>
      <w:r w:rsidRPr="005F0A67">
        <w:rPr>
          <w:rFonts w:asciiTheme="majorBidi" w:hAnsiTheme="majorBidi" w:cstheme="majorBidi"/>
        </w:rPr>
        <w:t xml:space="preserve">, </w:t>
      </w:r>
      <w:r w:rsidR="001A2AF6">
        <w:rPr>
          <w:rFonts w:asciiTheme="majorBidi" w:hAnsiTheme="majorBidi" w:cstheme="majorBidi"/>
        </w:rPr>
        <w:t>the Conference</w:t>
      </w:r>
      <w:r w:rsidRPr="005F0A67">
        <w:rPr>
          <w:rFonts w:asciiTheme="majorBidi" w:hAnsiTheme="majorBidi" w:cstheme="majorBidi"/>
        </w:rPr>
        <w:t xml:space="preserve"> of the Parties to the Convention on Biological Diversity adopted the modalities for operationalizing the </w:t>
      </w:r>
      <w:r w:rsidR="008D1056" w:rsidRPr="005F0A67">
        <w:rPr>
          <w:rFonts w:asciiTheme="majorBidi" w:hAnsiTheme="majorBidi" w:cstheme="majorBidi"/>
        </w:rPr>
        <w:t xml:space="preserve">Multilateral Mechanism for the Fair and Equitable Sharing of Benefits from the Use of Digital Sequence Information on Genetics Information </w:t>
      </w:r>
      <w:r w:rsidRPr="005F0A67">
        <w:rPr>
          <w:rFonts w:asciiTheme="majorBidi" w:hAnsiTheme="majorBidi" w:cstheme="majorBidi"/>
        </w:rPr>
        <w:t xml:space="preserve">including a global fund, to be known as the Cali Fund, and set out its modalities in the annex to the same decision. </w:t>
      </w:r>
    </w:p>
    <w:p w14:paraId="4B2B0341" w14:textId="16702A4F" w:rsidR="008D1056" w:rsidRPr="005F0A67" w:rsidRDefault="001A2AF6" w:rsidP="005F0A67">
      <w:pPr>
        <w:pStyle w:val="CBDNormalNumber"/>
        <w:rPr>
          <w:rFonts w:asciiTheme="majorBidi" w:hAnsiTheme="majorBidi" w:cstheme="majorBidi"/>
        </w:rPr>
      </w:pPr>
      <w:r>
        <w:rPr>
          <w:rFonts w:asciiTheme="majorBidi" w:hAnsiTheme="majorBidi" w:cstheme="majorBidi"/>
        </w:rPr>
        <w:t>In p</w:t>
      </w:r>
      <w:r w:rsidR="00DD2BE4" w:rsidRPr="005F0A67">
        <w:rPr>
          <w:rFonts w:asciiTheme="majorBidi" w:hAnsiTheme="majorBidi" w:cstheme="majorBidi"/>
        </w:rPr>
        <w:t>aragraph 3 of this annex</w:t>
      </w:r>
      <w:r>
        <w:rPr>
          <w:rFonts w:asciiTheme="majorBidi" w:hAnsiTheme="majorBidi" w:cstheme="majorBidi"/>
        </w:rPr>
        <w:t>, the Conference of the Parties</w:t>
      </w:r>
      <w:r w:rsidR="00DD2BE4" w:rsidRPr="005F0A67">
        <w:rPr>
          <w:rFonts w:asciiTheme="majorBidi" w:hAnsiTheme="majorBidi" w:cstheme="majorBidi"/>
        </w:rPr>
        <w:t xml:space="preserve"> </w:t>
      </w:r>
      <w:r w:rsidR="008D1056" w:rsidRPr="005F0A67">
        <w:rPr>
          <w:rFonts w:asciiTheme="majorBidi" w:hAnsiTheme="majorBidi" w:cstheme="majorBidi"/>
        </w:rPr>
        <w:t>decide</w:t>
      </w:r>
      <w:r>
        <w:rPr>
          <w:rFonts w:asciiTheme="majorBidi" w:hAnsiTheme="majorBidi" w:cstheme="majorBidi"/>
        </w:rPr>
        <w:t>d</w:t>
      </w:r>
      <w:r w:rsidR="00DD2BE4" w:rsidRPr="005F0A67">
        <w:rPr>
          <w:rFonts w:asciiTheme="majorBidi" w:hAnsiTheme="majorBidi" w:cstheme="majorBidi"/>
        </w:rPr>
        <w:t xml:space="preserve"> </w:t>
      </w:r>
      <w:r w:rsidR="008D1056" w:rsidRPr="005F0A67">
        <w:rPr>
          <w:rFonts w:asciiTheme="majorBidi" w:hAnsiTheme="majorBidi" w:cstheme="majorBidi"/>
        </w:rPr>
        <w:t>that users of digital sequence information on genetic resources in sectors that directly or indirectly benefit from its use in their commercial activities should contribute a proportion of their profits or revenue to the global fund, defines that entities that, on their balance sheet dates, exceed at least two out of three of thresholds (namely, total assets: 20 million United States dollars, sales: 50 million dollars, and profit: 5 million dollars) averaged over the preceding three years should contribute to the global fund 1 per cent of their profits or 0.1 per cent of their revenue, as an indicative rate, and add that the indicative list of sectors to which such users may belong is contained in enclosure I of the decision.</w:t>
      </w:r>
    </w:p>
    <w:p w14:paraId="1D5D7846" w14:textId="4538E241" w:rsidR="007F718D" w:rsidRPr="005F0A67" w:rsidRDefault="008D1056" w:rsidP="005F0A67">
      <w:pPr>
        <w:pStyle w:val="CBDNormalNumber"/>
        <w:rPr>
          <w:rFonts w:asciiTheme="majorBidi" w:hAnsiTheme="majorBidi" w:cstheme="majorBidi"/>
        </w:rPr>
      </w:pPr>
      <w:r w:rsidRPr="005F0A67">
        <w:rPr>
          <w:rFonts w:asciiTheme="majorBidi" w:hAnsiTheme="majorBidi" w:cstheme="majorBidi"/>
        </w:rPr>
        <w:t xml:space="preserve">Additionally, in the same decision, </w:t>
      </w:r>
      <w:r w:rsidR="001A2AF6">
        <w:rPr>
          <w:rFonts w:asciiTheme="majorBidi" w:hAnsiTheme="majorBidi" w:cstheme="majorBidi"/>
        </w:rPr>
        <w:t>the Conference of the Parties</w:t>
      </w:r>
      <w:r w:rsidRPr="005F0A67">
        <w:rPr>
          <w:rFonts w:asciiTheme="majorBidi" w:hAnsiTheme="majorBidi" w:cstheme="majorBidi"/>
        </w:rPr>
        <w:t xml:space="preserve"> </w:t>
      </w:r>
      <w:r w:rsidR="00DD2BE4" w:rsidRPr="005F0A67">
        <w:rPr>
          <w:rFonts w:asciiTheme="majorBidi" w:hAnsiTheme="majorBidi" w:cstheme="majorBidi"/>
        </w:rPr>
        <w:t>requested the Executive Secretary to prepare a study on national and international standards for the identification of the small, medium and large entities referred to in paragraph 3 of the annex to that decision (paragraph 5(d)) and to commission a study on contribution rates, including implications for revenue generation and economic competitiveness (paragraph 5(e)).</w:t>
      </w:r>
    </w:p>
    <w:p w14:paraId="6E285B81" w14:textId="01966A55" w:rsidR="00DD2BE4" w:rsidRPr="00BE5659" w:rsidRDefault="00FE259D" w:rsidP="79729ECF">
      <w:pPr>
        <w:pStyle w:val="CBDNormalNumber"/>
        <w:rPr>
          <w:rFonts w:asciiTheme="majorBidi" w:hAnsiTheme="majorBidi" w:cstheme="majorBidi"/>
          <w:lang w:val="en-CA"/>
        </w:rPr>
      </w:pPr>
      <w:r>
        <w:t xml:space="preserve">As such, the Secretariat issued notification </w:t>
      </w:r>
      <w:hyperlink r:id="rId16">
        <w:r w:rsidRPr="79729ECF">
          <w:rPr>
            <w:rStyle w:val="Hyperlink"/>
          </w:rPr>
          <w:t>2024-116</w:t>
        </w:r>
      </w:hyperlink>
      <w:r>
        <w:t xml:space="preserve"> inviting Parties other Governments, indigenous peoples and local communities and relevant organizations to submit information on national, regional or international standards on thresholds determining small, medium and large entities by 18 April 2025. The Secretariat received submissions from </w:t>
      </w:r>
      <w:r w:rsidR="00EB2297">
        <w:t xml:space="preserve">seven </w:t>
      </w:r>
      <w:r>
        <w:t>Parties</w:t>
      </w:r>
      <w:r w:rsidR="00724CF4">
        <w:t xml:space="preserve"> </w:t>
      </w:r>
      <w:r>
        <w:t>and nine observers</w:t>
      </w:r>
      <w:r w:rsidR="00EB2297">
        <w:rPr>
          <w:rStyle w:val="FootnoteReference"/>
        </w:rPr>
        <w:footnoteReference w:id="3"/>
      </w:r>
      <w:r>
        <w:t xml:space="preserve">. </w:t>
      </w:r>
      <w:r w:rsidR="00BE5659">
        <w:t xml:space="preserve">The </w:t>
      </w:r>
      <w:r w:rsidR="00BE5659">
        <w:lastRenderedPageBreak/>
        <w:t>information submitted pursuit to this notification were integrated within this combined study, at section 5.3.</w:t>
      </w:r>
      <w:r w:rsidR="003071F8">
        <w:t xml:space="preserve"> </w:t>
      </w:r>
      <w:r w:rsidRPr="79729ECF">
        <w:rPr>
          <w:rFonts w:asciiTheme="majorBidi" w:hAnsiTheme="majorBidi" w:cstheme="majorBidi"/>
        </w:rPr>
        <w:t xml:space="preserve">Additionally, </w:t>
      </w:r>
      <w:r w:rsidR="008D1056" w:rsidRPr="79729ECF">
        <w:rPr>
          <w:rFonts w:asciiTheme="majorBidi" w:hAnsiTheme="majorBidi" w:cstheme="majorBidi"/>
        </w:rPr>
        <w:t xml:space="preserve">and considering </w:t>
      </w:r>
      <w:r w:rsidR="008D1056" w:rsidRPr="79729ECF">
        <w:rPr>
          <w:rFonts w:asciiTheme="majorBidi" w:hAnsiTheme="majorBidi" w:cstheme="majorBidi"/>
          <w:lang w:val="en-CA"/>
        </w:rPr>
        <w:t>the limited resources and the interlinkages between those two subjects, both studies were combined into one study, which was commissioned by the Executive Secretary</w:t>
      </w:r>
      <w:r w:rsidR="001A2AF6" w:rsidRPr="79729ECF">
        <w:rPr>
          <w:rFonts w:asciiTheme="majorBidi" w:hAnsiTheme="majorBidi" w:cstheme="majorBidi"/>
          <w:lang w:val="en-CA"/>
        </w:rPr>
        <w:t xml:space="preserve"> to an external consultant</w:t>
      </w:r>
      <w:r w:rsidR="003071F8">
        <w:rPr>
          <w:rFonts w:asciiTheme="majorBidi" w:hAnsiTheme="majorBidi" w:cstheme="majorBidi"/>
          <w:lang w:val="en-CA"/>
        </w:rPr>
        <w:t>.</w:t>
      </w:r>
      <w:r w:rsidR="001A2AF6" w:rsidRPr="79729ECF">
        <w:rPr>
          <w:rFonts w:asciiTheme="majorBidi" w:hAnsiTheme="majorBidi" w:cstheme="majorBidi"/>
          <w:lang w:val="en-CA"/>
        </w:rPr>
        <w:t xml:space="preserve"> The outcome of the combined studies are presented within this document and an executive summary of the combined studies can be found at </w:t>
      </w:r>
      <w:hyperlink r:id="rId17">
        <w:r w:rsidR="001A2AF6" w:rsidRPr="79729ECF">
          <w:rPr>
            <w:rStyle w:val="Hyperlink"/>
            <w:rFonts w:asciiTheme="majorBidi" w:hAnsiTheme="majorBidi" w:cstheme="majorBidi"/>
            <w:lang w:val="en-CA"/>
          </w:rPr>
          <w:t>CBD/COP/17/6/Add.3</w:t>
        </w:r>
      </w:hyperlink>
      <w:r w:rsidR="001A2AF6" w:rsidRPr="79729ECF">
        <w:rPr>
          <w:rFonts w:asciiTheme="majorBidi" w:hAnsiTheme="majorBidi" w:cstheme="majorBidi"/>
          <w:lang w:val="en-CA"/>
        </w:rPr>
        <w:t>.</w:t>
      </w:r>
    </w:p>
    <w:p w14:paraId="1D55A61B" w14:textId="0279FA87" w:rsidR="00EB2297" w:rsidRPr="005F0A67" w:rsidRDefault="00FE259D" w:rsidP="79729ECF">
      <w:pPr>
        <w:pStyle w:val="CBDNormalNumber"/>
        <w:rPr>
          <w:rFonts w:asciiTheme="majorBidi" w:hAnsiTheme="majorBidi" w:cstheme="majorBidi"/>
        </w:rPr>
      </w:pPr>
      <w:r w:rsidRPr="79729ECF">
        <w:rPr>
          <w:rFonts w:asciiTheme="majorBidi" w:hAnsiTheme="majorBidi" w:cstheme="majorBidi"/>
          <w:lang w:val="en-CA"/>
        </w:rPr>
        <w:t xml:space="preserve">Finally, a peer review process </w:t>
      </w:r>
      <w:r w:rsidR="001A2AF6" w:rsidRPr="79729ECF">
        <w:rPr>
          <w:rFonts w:asciiTheme="majorBidi" w:hAnsiTheme="majorBidi" w:cstheme="majorBidi"/>
          <w:lang w:val="en-CA"/>
        </w:rPr>
        <w:t xml:space="preserve">for an initial draft of the combined studies </w:t>
      </w:r>
      <w:r w:rsidRPr="79729ECF">
        <w:rPr>
          <w:rFonts w:asciiTheme="majorBidi" w:hAnsiTheme="majorBidi" w:cstheme="majorBidi"/>
          <w:lang w:val="en-CA"/>
        </w:rPr>
        <w:t xml:space="preserve">was launched on 12 June through notification </w:t>
      </w:r>
      <w:hyperlink r:id="rId18">
        <w:r w:rsidRPr="79729ECF">
          <w:rPr>
            <w:rStyle w:val="Hyperlink"/>
            <w:rFonts w:asciiTheme="majorBidi" w:hAnsiTheme="majorBidi" w:cstheme="majorBidi"/>
            <w:lang w:val="en-CA"/>
          </w:rPr>
          <w:t>2026-050</w:t>
        </w:r>
      </w:hyperlink>
      <w:r w:rsidRPr="79729ECF">
        <w:rPr>
          <w:rFonts w:asciiTheme="majorBidi" w:hAnsiTheme="majorBidi" w:cstheme="majorBidi"/>
          <w:lang w:val="en-CA"/>
        </w:rPr>
        <w:t xml:space="preserve">. </w:t>
      </w:r>
      <w:r w:rsidR="00D363A9" w:rsidRPr="79729ECF">
        <w:rPr>
          <w:rFonts w:asciiTheme="majorBidi" w:hAnsiTheme="majorBidi" w:cstheme="majorBidi"/>
          <w:lang w:val="en-CA"/>
        </w:rPr>
        <w:t>A total of 7</w:t>
      </w:r>
      <w:r w:rsidR="006B53BF" w:rsidRPr="79729ECF">
        <w:rPr>
          <w:rFonts w:asciiTheme="majorBidi" w:hAnsiTheme="majorBidi" w:cstheme="majorBidi"/>
          <w:lang w:val="en-CA"/>
        </w:rPr>
        <w:t>30</w:t>
      </w:r>
      <w:r w:rsidR="00D363A9" w:rsidRPr="79729ECF">
        <w:rPr>
          <w:rFonts w:asciiTheme="majorBidi" w:hAnsiTheme="majorBidi" w:cstheme="majorBidi"/>
          <w:lang w:val="en-CA"/>
        </w:rPr>
        <w:t xml:space="preserve"> comments were received, </w:t>
      </w:r>
      <w:r w:rsidR="006B53BF" w:rsidRPr="79729ECF">
        <w:rPr>
          <w:rFonts w:asciiTheme="majorBidi" w:hAnsiTheme="majorBidi" w:cstheme="majorBidi"/>
          <w:lang w:val="en-CA"/>
        </w:rPr>
        <w:t>308</w:t>
      </w:r>
      <w:r w:rsidR="00D363A9" w:rsidRPr="79729ECF">
        <w:rPr>
          <w:rFonts w:asciiTheme="majorBidi" w:hAnsiTheme="majorBidi" w:cstheme="majorBidi"/>
          <w:lang w:val="en-CA"/>
        </w:rPr>
        <w:t xml:space="preserve"> from 17 Parties and </w:t>
      </w:r>
      <w:r w:rsidR="006B53BF" w:rsidRPr="79729ECF">
        <w:rPr>
          <w:rFonts w:asciiTheme="majorBidi" w:hAnsiTheme="majorBidi" w:cstheme="majorBidi"/>
          <w:lang w:val="en-CA"/>
        </w:rPr>
        <w:t>422</w:t>
      </w:r>
      <w:r w:rsidR="00D363A9" w:rsidRPr="79729ECF">
        <w:rPr>
          <w:rFonts w:asciiTheme="majorBidi" w:hAnsiTheme="majorBidi" w:cstheme="majorBidi"/>
          <w:lang w:val="en-CA"/>
        </w:rPr>
        <w:t xml:space="preserve"> from 17 rightsholders and observers. </w:t>
      </w:r>
    </w:p>
    <w:p w14:paraId="5C2D0FDA" w14:textId="77777777" w:rsidR="00EB2297" w:rsidRPr="00EB2297" w:rsidRDefault="00EB2297" w:rsidP="00EB2297">
      <w:pPr>
        <w:pStyle w:val="CBDNormalNumber"/>
        <w:rPr>
          <w:rFonts w:asciiTheme="majorBidi" w:hAnsiTheme="majorBidi" w:cstheme="majorBidi"/>
        </w:rPr>
      </w:pPr>
      <w:r w:rsidRPr="00EB2297">
        <w:rPr>
          <w:rFonts w:asciiTheme="majorBidi" w:hAnsiTheme="majorBidi" w:cstheme="majorBidi"/>
        </w:rPr>
        <w:t>The 729 comments received during the peer-review process cluster around seven main themes. As explained below, comments which presented factual or drafting issues were reflected accordingly in the revised text. Several comments reflected genuine policy disagreements, in particular around the design of the Multilateral Mechanism, or made points that, while valuable, were identified as outside of the scope of the study. These are briefly noted below.</w:t>
      </w:r>
    </w:p>
    <w:p w14:paraId="47C5FA0F" w14:textId="2EFA6CB6" w:rsidR="00EB2297" w:rsidRPr="00EB2297" w:rsidRDefault="00EB2297" w:rsidP="00275AAD">
      <w:pPr>
        <w:pStyle w:val="CBDNormalNumber"/>
        <w:numPr>
          <w:ilvl w:val="1"/>
          <w:numId w:val="7"/>
        </w:numPr>
        <w:rPr>
          <w:rFonts w:asciiTheme="majorBidi" w:hAnsiTheme="majorBidi" w:cstheme="majorBidi"/>
        </w:rPr>
      </w:pPr>
      <w:r w:rsidRPr="00EB2297">
        <w:rPr>
          <w:rFonts w:asciiTheme="majorBidi" w:hAnsiTheme="majorBidi" w:cstheme="majorBidi"/>
        </w:rPr>
        <w:t>Clarity of key definitions: many comments related to use of terms: what counts as DSI, who is a "DSI provider," and how a corporate "entity" or "subsidiary" should be treated when it spans several countries. Definitions in the glossary were tightened in response, e.g. DSI and DSI provider. The decision to keep the study’s scope limited to publicly available DSI was not changed, since this</w:t>
      </w:r>
      <w:r w:rsidR="00B550A1">
        <w:rPr>
          <w:rFonts w:asciiTheme="majorBidi" w:hAnsiTheme="majorBidi" w:cstheme="majorBidi"/>
        </w:rPr>
        <w:t xml:space="preserve"> </w:t>
      </w:r>
      <w:r w:rsidRPr="00EB2297">
        <w:rPr>
          <w:rFonts w:asciiTheme="majorBidi" w:hAnsiTheme="majorBidi" w:cstheme="majorBidi"/>
        </w:rPr>
        <w:t xml:space="preserve">scope already reflects DSI covered by the Multilateral Mechanism, as found in paragraph 1 of the annex of decision 16/2. </w:t>
      </w:r>
    </w:p>
    <w:p w14:paraId="1116DF74" w14:textId="18479C98" w:rsidR="00EB2297" w:rsidRPr="00EB2297" w:rsidRDefault="00EB2297" w:rsidP="00275AAD">
      <w:pPr>
        <w:pStyle w:val="CBDNormalNumber"/>
        <w:numPr>
          <w:ilvl w:val="1"/>
          <w:numId w:val="7"/>
        </w:numPr>
        <w:rPr>
          <w:rFonts w:asciiTheme="majorBidi" w:hAnsiTheme="majorBidi" w:cstheme="majorBidi"/>
        </w:rPr>
      </w:pPr>
      <w:r w:rsidRPr="00EB2297">
        <w:rPr>
          <w:rFonts w:asciiTheme="majorBidi" w:hAnsiTheme="majorBidi" w:cstheme="majorBidi"/>
        </w:rPr>
        <w:t>How the Fund compares to other schemes: many comments from both Parties and observers reflected on the comparison of the Cali Fund and other instruments, such as the International Treaty on Plant Genetic Resources for Food and Agriculture or the World Health Organization’s pandemic frameworks (PIP Framework and the pandemic treaty) and indicated that some comparisons in the first draft were misleading. This led to significant redrafting, in particular of the sub-section on the International Treaty of Plant Generic Resources for Food and Agriculture.</w:t>
      </w:r>
    </w:p>
    <w:p w14:paraId="35871BFD" w14:textId="6EF59E8A" w:rsidR="00EB2297" w:rsidRPr="00EB2297" w:rsidRDefault="00EB2297" w:rsidP="00275AAD">
      <w:pPr>
        <w:pStyle w:val="CBDNormalNumber"/>
        <w:numPr>
          <w:ilvl w:val="1"/>
          <w:numId w:val="7"/>
        </w:numPr>
        <w:rPr>
          <w:rFonts w:asciiTheme="majorBidi" w:hAnsiTheme="majorBidi" w:cstheme="majorBidi"/>
        </w:rPr>
      </w:pPr>
      <w:r w:rsidRPr="00EB2297">
        <w:rPr>
          <w:rFonts w:asciiTheme="majorBidi" w:hAnsiTheme="majorBidi" w:cstheme="majorBidi"/>
        </w:rPr>
        <w:t>Whether the competitiveness assessment holds up: several comments queried the evidence behind the "limited competitiveness impact" conclusion, including reliance on a small 13-company consultation, on EU carbon-market literature, and on drawing conclusions for one sector from evidence about a different one. Feedback came mostly from observers, notably from the cosmetics sector, arguing that its numbers rest on the smallest, patchiest dataset and that their position as the sector with the highest effective contribution rate is really just a byproduct of the payment formula. Caveats to this effect were added.</w:t>
      </w:r>
    </w:p>
    <w:p w14:paraId="1B499141" w14:textId="5F04E4EB" w:rsidR="00EB2297" w:rsidRPr="00EB2297" w:rsidRDefault="00EB2297" w:rsidP="00275AAD">
      <w:pPr>
        <w:pStyle w:val="CBDNormalNumber"/>
        <w:numPr>
          <w:ilvl w:val="1"/>
          <w:numId w:val="7"/>
        </w:numPr>
        <w:rPr>
          <w:rFonts w:asciiTheme="majorBidi" w:hAnsiTheme="majorBidi" w:cstheme="majorBidi"/>
        </w:rPr>
      </w:pPr>
      <w:r w:rsidRPr="00EB2297">
        <w:rPr>
          <w:rFonts w:asciiTheme="majorBidi" w:hAnsiTheme="majorBidi" w:cstheme="majorBidi"/>
        </w:rPr>
        <w:t>Whether the Fund is voluntary or binding: a number of comments, mostly from Parties, raised concerns regarding drafting seeming to imply that the Multilateral Mechanism is legally binding. Relevant paragraphs were redrafted to rectify this.</w:t>
      </w:r>
    </w:p>
    <w:p w14:paraId="70562401" w14:textId="53C2BCF8" w:rsidR="00EB2297" w:rsidRPr="00EB2297" w:rsidRDefault="00EB2297" w:rsidP="00275AAD">
      <w:pPr>
        <w:pStyle w:val="CBDNormalNumber"/>
        <w:numPr>
          <w:ilvl w:val="1"/>
          <w:numId w:val="7"/>
        </w:numPr>
        <w:rPr>
          <w:rFonts w:asciiTheme="majorBidi" w:hAnsiTheme="majorBidi" w:cstheme="majorBidi"/>
        </w:rPr>
      </w:pPr>
      <w:r w:rsidRPr="00EB2297">
        <w:rPr>
          <w:rFonts w:asciiTheme="majorBidi" w:hAnsiTheme="majorBidi" w:cstheme="majorBidi"/>
        </w:rPr>
        <w:t>Risk of contributions overlapping with other obligations: a recurring concern, mainly from observers but also from some Parties, related to the risk of double payments: once under national ABS law, and again under the Cali Fund. Unless this risk was addressed, several comments questioned whether the "compliance certificate" would actually motivate contributions. This reflects a genuine open-design question and has been reflected as such in the discussion on the overarching role of certificates on participation rates to the fund.</w:t>
      </w:r>
    </w:p>
    <w:p w14:paraId="33B03FD0" w14:textId="6565F86C" w:rsidR="00EB2297" w:rsidRPr="00EB2297" w:rsidRDefault="00EB2297" w:rsidP="00275AAD">
      <w:pPr>
        <w:pStyle w:val="CBDNormalNumber"/>
        <w:numPr>
          <w:ilvl w:val="1"/>
          <w:numId w:val="7"/>
        </w:numPr>
        <w:rPr>
          <w:rFonts w:asciiTheme="majorBidi" w:hAnsiTheme="majorBidi" w:cstheme="majorBidi"/>
        </w:rPr>
      </w:pPr>
      <w:r w:rsidRPr="00EB2297">
        <w:rPr>
          <w:rFonts w:asciiTheme="majorBidi" w:hAnsiTheme="majorBidi" w:cstheme="majorBidi"/>
        </w:rPr>
        <w:t>How contributions are triggered and passed along: several comments, in particular from observers, raised concerns that under the multilateral mechanism, there is a risk that a single use of DSI could be charged more than once as it moves through a supply chain (say, from a raw ingredient supplier to a consumer brand) due to the terminology ‘direct’ and ‘indirect’ within decision 16/2. These comments are recorded here as a concern with the current design of the multilateral mechanism.</w:t>
      </w:r>
    </w:p>
    <w:p w14:paraId="0F5F563B" w14:textId="009BF2BE" w:rsidR="0005091C" w:rsidRDefault="00EB2297" w:rsidP="00EB2297">
      <w:pPr>
        <w:pStyle w:val="CBDNormalNumber"/>
        <w:numPr>
          <w:ilvl w:val="1"/>
          <w:numId w:val="7"/>
        </w:numPr>
        <w:rPr>
          <w:rFonts w:asciiTheme="majorBidi" w:hAnsiTheme="majorBidi" w:cstheme="majorBidi"/>
        </w:rPr>
      </w:pPr>
      <w:r w:rsidRPr="00EB2297">
        <w:rPr>
          <w:rFonts w:asciiTheme="majorBidi" w:hAnsiTheme="majorBidi" w:cstheme="majorBidi"/>
        </w:rPr>
        <w:t xml:space="preserve">Requests to go beyond the study's mandate: several comments, from both Parties and observers, requested that the study to expand its mandate and include information on the allocation formula, how disbursement should work, or broader conservation objectives. While these comments were </w:t>
      </w:r>
      <w:r w:rsidRPr="00EB2297">
        <w:rPr>
          <w:rFonts w:asciiTheme="majorBidi" w:hAnsiTheme="majorBidi" w:cstheme="majorBidi"/>
        </w:rPr>
        <w:lastRenderedPageBreak/>
        <w:t>recorded as valid, they were identified as outside the scope of the present study as identified in paragraphs 6 of Decision 16/2.</w:t>
      </w:r>
    </w:p>
    <w:p w14:paraId="2E8FFD2D" w14:textId="36BC2BCA" w:rsidR="00EB2297" w:rsidRPr="00EB2297" w:rsidRDefault="00EB2297" w:rsidP="00275AAD">
      <w:pPr>
        <w:pStyle w:val="CBDNormalNumber"/>
      </w:pPr>
      <w:r>
        <w:t>The annex to th</w:t>
      </w:r>
      <w:r w:rsidR="00DA433C">
        <w:t xml:space="preserve">is document present the final study as an information after the outcomes of the peer-review were reflected as described in paragraph 6. </w:t>
      </w:r>
    </w:p>
    <w:p w14:paraId="4295474B" w14:textId="77777777" w:rsidR="00D363A9" w:rsidRPr="005F0A67" w:rsidRDefault="00D363A9" w:rsidP="005F0A67">
      <w:pPr>
        <w:pStyle w:val="Para1"/>
        <w:numPr>
          <w:ilvl w:val="0"/>
          <w:numId w:val="0"/>
        </w:numPr>
        <w:ind w:left="567"/>
        <w:jc w:val="center"/>
        <w:rPr>
          <w:rFonts w:asciiTheme="majorBidi" w:hAnsiTheme="majorBidi" w:cstheme="majorBidi"/>
        </w:rPr>
      </w:pPr>
    </w:p>
    <w:p w14:paraId="3D832EC5" w14:textId="32852380" w:rsidR="005F0A67" w:rsidRPr="00B54840" w:rsidRDefault="00D363A9" w:rsidP="00B54840">
      <w:pPr>
        <w:pStyle w:val="Calinormal"/>
        <w:rPr>
          <w:rFonts w:asciiTheme="majorBidi" w:hAnsiTheme="majorBidi" w:cstheme="majorBidi"/>
        </w:rPr>
      </w:pPr>
      <w:r w:rsidRPr="005F0A67">
        <w:rPr>
          <w:rFonts w:asciiTheme="majorBidi" w:hAnsiTheme="majorBidi" w:cstheme="majorBidi"/>
        </w:rPr>
        <w:br w:type="page"/>
      </w:r>
    </w:p>
    <w:p w14:paraId="544989F9" w14:textId="77777777" w:rsidR="005F0A67" w:rsidRDefault="005F0A67" w:rsidP="00B54840">
      <w:pPr>
        <w:pStyle w:val="CBDAnnex"/>
        <w:rPr>
          <w:lang w:val="en-CA" w:eastAsia="en-GB"/>
        </w:rPr>
      </w:pPr>
      <w:r>
        <w:rPr>
          <w:lang w:val="en-CA" w:eastAsia="en-GB"/>
        </w:rPr>
        <w:lastRenderedPageBreak/>
        <w:t xml:space="preserve">Annex </w:t>
      </w:r>
    </w:p>
    <w:p w14:paraId="3842C2F7" w14:textId="0B00C3EA" w:rsidR="005F0A67" w:rsidRPr="005F0A67" w:rsidRDefault="005F0A67" w:rsidP="00B54840">
      <w:pPr>
        <w:pStyle w:val="CBDAnnex"/>
        <w:rPr>
          <w:rFonts w:asciiTheme="majorBidi" w:eastAsia="Times New Roman" w:hAnsiTheme="majorBidi" w:cstheme="majorBidi"/>
          <w:sz w:val="24"/>
          <w:szCs w:val="24"/>
          <w:lang w:val="en-CA" w:eastAsia="en-GB"/>
        </w:rPr>
      </w:pPr>
      <w:r w:rsidRPr="005F0A67">
        <w:rPr>
          <w:lang w:val="en-CA" w:eastAsia="en-GB"/>
        </w:rPr>
        <w:t>Study on contribution rates, including implications for revenue generation and economic competitiveness and on national and international standards for the identification of the small, medium and large entities</w:t>
      </w:r>
    </w:p>
    <w:p w14:paraId="2C08EC3B" w14:textId="77777777" w:rsidR="005A6E13" w:rsidRPr="00124B39" w:rsidRDefault="005A6E13" w:rsidP="005A6E13">
      <w:pPr>
        <w:pStyle w:val="CBDTitle"/>
        <w:jc w:val="both"/>
        <w:rPr>
          <w:b w:val="0"/>
          <w:bCs/>
          <w:sz w:val="24"/>
          <w:szCs w:val="20"/>
          <w:lang w:val="en-CA" w:eastAsia="en-GB"/>
        </w:rPr>
      </w:pPr>
      <w:r w:rsidRPr="005A6E13">
        <w:rPr>
          <w:b w:val="0"/>
          <w:bCs/>
          <w:sz w:val="24"/>
          <w:szCs w:val="20"/>
          <w:lang w:val="en-CA" w:eastAsia="en-GB" w:bidi="ar-SY"/>
        </w:rPr>
        <w:t>Author: Ms Agata Makowska</w:t>
      </w:r>
    </w:p>
    <w:p w14:paraId="743E5804" w14:textId="61117556" w:rsidR="005F0A67" w:rsidRPr="00B54840" w:rsidRDefault="00B54840" w:rsidP="00B54840">
      <w:pPr>
        <w:pStyle w:val="Strong1"/>
        <w:rPr>
          <w:rFonts w:asciiTheme="majorBidi" w:hAnsiTheme="majorBidi" w:cstheme="majorBidi"/>
          <w:sz w:val="28"/>
          <w:szCs w:val="28"/>
          <w:lang w:val="en-CA"/>
        </w:rPr>
      </w:pPr>
      <w:r w:rsidRPr="00B54840">
        <w:rPr>
          <w:rFonts w:asciiTheme="majorBidi" w:hAnsiTheme="majorBidi" w:cstheme="majorBidi"/>
          <w:sz w:val="28"/>
          <w:szCs w:val="28"/>
          <w:lang w:val="en-CA"/>
        </w:rPr>
        <w:t>Table of Contents</w:t>
      </w:r>
    </w:p>
    <w:p w14:paraId="16C38CF0" w14:textId="77777777" w:rsidR="005F0A67" w:rsidRPr="005F0A67" w:rsidRDefault="005F0A67" w:rsidP="005F0A67">
      <w:pPr>
        <w:tabs>
          <w:tab w:val="clear" w:pos="567"/>
          <w:tab w:val="clear" w:pos="1134"/>
          <w:tab w:val="clear" w:pos="1701"/>
          <w:tab w:val="clear" w:pos="2268"/>
          <w:tab w:val="right" w:leader="dot" w:pos="9710"/>
        </w:tabs>
        <w:spacing w:before="120" w:after="120"/>
        <w:jc w:val="left"/>
        <w:rPr>
          <w:rFonts w:asciiTheme="majorBidi" w:eastAsia="Yu Mincho" w:hAnsiTheme="majorBidi" w:cstheme="majorBidi"/>
          <w:noProof/>
          <w:kern w:val="2"/>
          <w:sz w:val="24"/>
          <w:szCs w:val="24"/>
          <w:lang w:val="en-CA" w:eastAsia="zh-CN"/>
          <w14:ligatures w14:val="standardContextual"/>
        </w:rPr>
      </w:pPr>
      <w:r w:rsidRPr="005F0A67">
        <w:rPr>
          <w:rFonts w:asciiTheme="majorBidi" w:eastAsia="Times New Roman" w:hAnsiTheme="majorBidi" w:cstheme="majorBidi"/>
          <w:b/>
          <w:bCs/>
          <w:caps/>
          <w:sz w:val="20"/>
          <w:szCs w:val="20"/>
          <w:lang w:val="en-CA" w:eastAsia="en-GB"/>
        </w:rPr>
        <w:fldChar w:fldCharType="begin"/>
      </w:r>
      <w:r w:rsidRPr="005F0A67">
        <w:rPr>
          <w:rFonts w:asciiTheme="majorBidi" w:eastAsia="Times New Roman" w:hAnsiTheme="majorBidi" w:cstheme="majorBidi"/>
          <w:b/>
          <w:bCs/>
          <w:caps/>
          <w:sz w:val="20"/>
          <w:szCs w:val="20"/>
          <w:lang w:val="en-CA" w:eastAsia="en-GB"/>
        </w:rPr>
        <w:instrText xml:space="preserve"> TOC \o "1-1" \h \z \u </w:instrText>
      </w:r>
      <w:r w:rsidRPr="005F0A67">
        <w:rPr>
          <w:rFonts w:asciiTheme="majorBidi" w:eastAsia="Times New Roman" w:hAnsiTheme="majorBidi" w:cstheme="majorBidi"/>
          <w:b/>
          <w:bCs/>
          <w:caps/>
          <w:sz w:val="20"/>
          <w:szCs w:val="20"/>
          <w:lang w:val="en-CA" w:eastAsia="en-GB"/>
        </w:rPr>
        <w:fldChar w:fldCharType="separate"/>
      </w:r>
      <w:hyperlink w:anchor="_Toc234579780" w:history="1">
        <w:r w:rsidRPr="005F0A67">
          <w:rPr>
            <w:rFonts w:asciiTheme="majorBidi" w:eastAsia="Times New Roman" w:hAnsiTheme="majorBidi" w:cstheme="majorBidi"/>
            <w:b/>
            <w:bCs/>
            <w:caps/>
            <w:noProof/>
            <w:color w:val="0563C1"/>
            <w:sz w:val="20"/>
            <w:szCs w:val="20"/>
            <w:u w:val="single"/>
            <w:lang w:val="en-CA" w:eastAsia="en-GB"/>
          </w:rPr>
          <w:t>Acronyms</w:t>
        </w:r>
        <w:r w:rsidRPr="005F0A67">
          <w:rPr>
            <w:rFonts w:asciiTheme="majorBidi" w:eastAsia="Times New Roman" w:hAnsiTheme="majorBidi" w:cstheme="majorBidi"/>
            <w:b/>
            <w:bCs/>
            <w:caps/>
            <w:noProof/>
            <w:webHidden/>
            <w:sz w:val="20"/>
            <w:szCs w:val="20"/>
            <w:lang w:val="en-CA" w:eastAsia="en-GB"/>
          </w:rPr>
          <w:tab/>
        </w:r>
        <w:r w:rsidRPr="005F0A67">
          <w:rPr>
            <w:rFonts w:asciiTheme="majorBidi" w:eastAsia="Times New Roman" w:hAnsiTheme="majorBidi" w:cstheme="majorBidi"/>
            <w:b/>
            <w:bCs/>
            <w:caps/>
            <w:noProof/>
            <w:webHidden/>
            <w:sz w:val="20"/>
            <w:szCs w:val="20"/>
            <w:lang w:val="en-CA" w:eastAsia="en-GB"/>
          </w:rPr>
          <w:fldChar w:fldCharType="begin"/>
        </w:r>
        <w:r w:rsidRPr="005F0A67">
          <w:rPr>
            <w:rFonts w:asciiTheme="majorBidi" w:eastAsia="Times New Roman" w:hAnsiTheme="majorBidi" w:cstheme="majorBidi"/>
            <w:b/>
            <w:bCs/>
            <w:caps/>
            <w:noProof/>
            <w:webHidden/>
            <w:sz w:val="20"/>
            <w:szCs w:val="20"/>
            <w:lang w:val="en-CA" w:eastAsia="en-GB"/>
          </w:rPr>
          <w:instrText xml:space="preserve"> PAGEREF _Toc234579780 \h </w:instrText>
        </w:r>
        <w:r w:rsidRPr="005F0A67">
          <w:rPr>
            <w:rFonts w:asciiTheme="majorBidi" w:eastAsia="Times New Roman" w:hAnsiTheme="majorBidi" w:cstheme="majorBidi"/>
            <w:b/>
            <w:bCs/>
            <w:caps/>
            <w:noProof/>
            <w:webHidden/>
            <w:sz w:val="20"/>
            <w:szCs w:val="20"/>
            <w:lang w:val="en-CA" w:eastAsia="en-GB"/>
          </w:rPr>
        </w:r>
        <w:r w:rsidRPr="005F0A67">
          <w:rPr>
            <w:rFonts w:asciiTheme="majorBidi" w:eastAsia="Times New Roman" w:hAnsiTheme="majorBidi" w:cstheme="majorBidi"/>
            <w:b/>
            <w:bCs/>
            <w:caps/>
            <w:noProof/>
            <w:webHidden/>
            <w:sz w:val="20"/>
            <w:szCs w:val="20"/>
            <w:lang w:val="en-CA" w:eastAsia="en-GB"/>
          </w:rPr>
          <w:fldChar w:fldCharType="separate"/>
        </w:r>
        <w:r w:rsidRPr="005F0A67">
          <w:rPr>
            <w:rFonts w:asciiTheme="majorBidi" w:eastAsia="Times New Roman" w:hAnsiTheme="majorBidi" w:cstheme="majorBidi"/>
            <w:b/>
            <w:bCs/>
            <w:caps/>
            <w:noProof/>
            <w:webHidden/>
            <w:sz w:val="20"/>
            <w:szCs w:val="20"/>
            <w:lang w:val="en-CA" w:eastAsia="en-GB"/>
          </w:rPr>
          <w:t>3</w:t>
        </w:r>
        <w:r w:rsidRPr="005F0A67">
          <w:rPr>
            <w:rFonts w:asciiTheme="majorBidi" w:eastAsia="Times New Roman" w:hAnsiTheme="majorBidi" w:cstheme="majorBidi"/>
            <w:b/>
            <w:bCs/>
            <w:caps/>
            <w:noProof/>
            <w:webHidden/>
            <w:sz w:val="20"/>
            <w:szCs w:val="20"/>
            <w:lang w:val="en-CA" w:eastAsia="en-GB"/>
          </w:rPr>
          <w:fldChar w:fldCharType="end"/>
        </w:r>
      </w:hyperlink>
    </w:p>
    <w:p w14:paraId="670293D9" w14:textId="77777777" w:rsidR="005F0A67" w:rsidRPr="005F0A67" w:rsidRDefault="005F0A67" w:rsidP="005F0A67">
      <w:pPr>
        <w:tabs>
          <w:tab w:val="clear" w:pos="567"/>
          <w:tab w:val="clear" w:pos="1134"/>
          <w:tab w:val="clear" w:pos="1701"/>
          <w:tab w:val="clear" w:pos="2268"/>
          <w:tab w:val="right" w:leader="dot" w:pos="9710"/>
        </w:tabs>
        <w:spacing w:before="120" w:after="120"/>
        <w:jc w:val="left"/>
        <w:rPr>
          <w:rFonts w:asciiTheme="majorBidi" w:eastAsia="Yu Mincho" w:hAnsiTheme="majorBidi" w:cstheme="majorBidi"/>
          <w:noProof/>
          <w:kern w:val="2"/>
          <w:sz w:val="24"/>
          <w:szCs w:val="24"/>
          <w:lang w:val="en-CA" w:eastAsia="zh-CN"/>
          <w14:ligatures w14:val="standardContextual"/>
        </w:rPr>
      </w:pPr>
      <w:hyperlink w:anchor="_Toc234579781" w:history="1">
        <w:r w:rsidRPr="005F0A67">
          <w:rPr>
            <w:rFonts w:asciiTheme="majorBidi" w:eastAsia="Times New Roman" w:hAnsiTheme="majorBidi" w:cstheme="majorBidi"/>
            <w:b/>
            <w:bCs/>
            <w:caps/>
            <w:noProof/>
            <w:color w:val="0563C1"/>
            <w:sz w:val="20"/>
            <w:szCs w:val="20"/>
            <w:u w:val="single"/>
            <w:lang w:val="en-CA" w:eastAsia="en-GB"/>
          </w:rPr>
          <w:t>Glossary</w:t>
        </w:r>
        <w:r w:rsidRPr="005F0A67">
          <w:rPr>
            <w:rFonts w:asciiTheme="majorBidi" w:eastAsia="Times New Roman" w:hAnsiTheme="majorBidi" w:cstheme="majorBidi"/>
            <w:b/>
            <w:bCs/>
            <w:caps/>
            <w:noProof/>
            <w:webHidden/>
            <w:sz w:val="20"/>
            <w:szCs w:val="20"/>
            <w:lang w:val="en-CA" w:eastAsia="en-GB"/>
          </w:rPr>
          <w:tab/>
        </w:r>
        <w:r w:rsidRPr="005F0A67">
          <w:rPr>
            <w:rFonts w:asciiTheme="majorBidi" w:eastAsia="Times New Roman" w:hAnsiTheme="majorBidi" w:cstheme="majorBidi"/>
            <w:b/>
            <w:bCs/>
            <w:caps/>
            <w:noProof/>
            <w:webHidden/>
            <w:sz w:val="20"/>
            <w:szCs w:val="20"/>
            <w:lang w:val="en-CA" w:eastAsia="en-GB"/>
          </w:rPr>
          <w:fldChar w:fldCharType="begin"/>
        </w:r>
        <w:r w:rsidRPr="005F0A67">
          <w:rPr>
            <w:rFonts w:asciiTheme="majorBidi" w:eastAsia="Times New Roman" w:hAnsiTheme="majorBidi" w:cstheme="majorBidi"/>
            <w:b/>
            <w:bCs/>
            <w:caps/>
            <w:noProof/>
            <w:webHidden/>
            <w:sz w:val="20"/>
            <w:szCs w:val="20"/>
            <w:lang w:val="en-CA" w:eastAsia="en-GB"/>
          </w:rPr>
          <w:instrText xml:space="preserve"> PAGEREF _Toc234579781 \h </w:instrText>
        </w:r>
        <w:r w:rsidRPr="005F0A67">
          <w:rPr>
            <w:rFonts w:asciiTheme="majorBidi" w:eastAsia="Times New Roman" w:hAnsiTheme="majorBidi" w:cstheme="majorBidi"/>
            <w:b/>
            <w:bCs/>
            <w:caps/>
            <w:noProof/>
            <w:webHidden/>
            <w:sz w:val="20"/>
            <w:szCs w:val="20"/>
            <w:lang w:val="en-CA" w:eastAsia="en-GB"/>
          </w:rPr>
        </w:r>
        <w:r w:rsidRPr="005F0A67">
          <w:rPr>
            <w:rFonts w:asciiTheme="majorBidi" w:eastAsia="Times New Roman" w:hAnsiTheme="majorBidi" w:cstheme="majorBidi"/>
            <w:b/>
            <w:bCs/>
            <w:caps/>
            <w:noProof/>
            <w:webHidden/>
            <w:sz w:val="20"/>
            <w:szCs w:val="20"/>
            <w:lang w:val="en-CA" w:eastAsia="en-GB"/>
          </w:rPr>
          <w:fldChar w:fldCharType="separate"/>
        </w:r>
        <w:r w:rsidRPr="005F0A67">
          <w:rPr>
            <w:rFonts w:asciiTheme="majorBidi" w:eastAsia="Times New Roman" w:hAnsiTheme="majorBidi" w:cstheme="majorBidi"/>
            <w:b/>
            <w:bCs/>
            <w:caps/>
            <w:noProof/>
            <w:webHidden/>
            <w:sz w:val="20"/>
            <w:szCs w:val="20"/>
            <w:lang w:val="en-CA" w:eastAsia="en-GB"/>
          </w:rPr>
          <w:t>4</w:t>
        </w:r>
        <w:r w:rsidRPr="005F0A67">
          <w:rPr>
            <w:rFonts w:asciiTheme="majorBidi" w:eastAsia="Times New Roman" w:hAnsiTheme="majorBidi" w:cstheme="majorBidi"/>
            <w:b/>
            <w:bCs/>
            <w:caps/>
            <w:noProof/>
            <w:webHidden/>
            <w:sz w:val="20"/>
            <w:szCs w:val="20"/>
            <w:lang w:val="en-CA" w:eastAsia="en-GB"/>
          </w:rPr>
          <w:fldChar w:fldCharType="end"/>
        </w:r>
      </w:hyperlink>
    </w:p>
    <w:p w14:paraId="68EEE2AB" w14:textId="77777777" w:rsidR="005F0A67" w:rsidRPr="005F0A67" w:rsidRDefault="005F0A67" w:rsidP="005F0A67">
      <w:pPr>
        <w:tabs>
          <w:tab w:val="clear" w:pos="567"/>
          <w:tab w:val="clear" w:pos="1134"/>
          <w:tab w:val="clear" w:pos="1701"/>
          <w:tab w:val="clear" w:pos="2268"/>
          <w:tab w:val="left" w:pos="480"/>
          <w:tab w:val="right" w:leader="dot" w:pos="9710"/>
        </w:tabs>
        <w:spacing w:before="120" w:after="120"/>
        <w:jc w:val="left"/>
        <w:rPr>
          <w:rFonts w:asciiTheme="majorBidi" w:eastAsia="Yu Mincho" w:hAnsiTheme="majorBidi" w:cstheme="majorBidi"/>
          <w:noProof/>
          <w:kern w:val="2"/>
          <w:sz w:val="24"/>
          <w:szCs w:val="24"/>
          <w:lang w:val="en-CA" w:eastAsia="zh-CN"/>
          <w14:ligatures w14:val="standardContextual"/>
        </w:rPr>
      </w:pPr>
      <w:hyperlink w:anchor="_Toc234579782" w:history="1">
        <w:r w:rsidRPr="005F0A67">
          <w:rPr>
            <w:rFonts w:asciiTheme="majorBidi" w:eastAsia="Times New Roman" w:hAnsiTheme="majorBidi" w:cstheme="majorBidi"/>
            <w:b/>
            <w:bCs/>
            <w:caps/>
            <w:noProof/>
            <w:color w:val="0563C1"/>
            <w:sz w:val="20"/>
            <w:szCs w:val="20"/>
            <w:u w:val="single"/>
            <w:lang w:val="en-CA" w:eastAsia="en-GB"/>
          </w:rPr>
          <w:t>1</w:t>
        </w:r>
        <w:r w:rsidRPr="005F0A67">
          <w:rPr>
            <w:rFonts w:asciiTheme="majorBidi" w:eastAsia="Yu Mincho" w:hAnsiTheme="majorBidi" w:cstheme="majorBidi"/>
            <w:noProof/>
            <w:kern w:val="2"/>
            <w:sz w:val="24"/>
            <w:szCs w:val="24"/>
            <w:lang w:val="en-CA" w:eastAsia="zh-CN"/>
            <w14:ligatures w14:val="standardContextual"/>
          </w:rPr>
          <w:tab/>
        </w:r>
        <w:r w:rsidRPr="005F0A67">
          <w:rPr>
            <w:rFonts w:asciiTheme="majorBidi" w:eastAsia="Times New Roman" w:hAnsiTheme="majorBidi" w:cstheme="majorBidi"/>
            <w:b/>
            <w:bCs/>
            <w:caps/>
            <w:noProof/>
            <w:color w:val="0563C1"/>
            <w:sz w:val="20"/>
            <w:szCs w:val="20"/>
            <w:u w:val="single"/>
            <w:lang w:val="en-CA" w:eastAsia="en-GB"/>
          </w:rPr>
          <w:t>Introduction</w:t>
        </w:r>
        <w:r w:rsidRPr="005F0A67">
          <w:rPr>
            <w:rFonts w:asciiTheme="majorBidi" w:eastAsia="Times New Roman" w:hAnsiTheme="majorBidi" w:cstheme="majorBidi"/>
            <w:b/>
            <w:bCs/>
            <w:caps/>
            <w:noProof/>
            <w:webHidden/>
            <w:sz w:val="20"/>
            <w:szCs w:val="20"/>
            <w:lang w:val="en-CA" w:eastAsia="en-GB"/>
          </w:rPr>
          <w:tab/>
        </w:r>
        <w:r w:rsidRPr="005F0A67">
          <w:rPr>
            <w:rFonts w:asciiTheme="majorBidi" w:eastAsia="Times New Roman" w:hAnsiTheme="majorBidi" w:cstheme="majorBidi"/>
            <w:b/>
            <w:bCs/>
            <w:caps/>
            <w:noProof/>
            <w:webHidden/>
            <w:sz w:val="20"/>
            <w:szCs w:val="20"/>
            <w:lang w:val="en-CA" w:eastAsia="en-GB"/>
          </w:rPr>
          <w:fldChar w:fldCharType="begin"/>
        </w:r>
        <w:r w:rsidRPr="005F0A67">
          <w:rPr>
            <w:rFonts w:asciiTheme="majorBidi" w:eastAsia="Times New Roman" w:hAnsiTheme="majorBidi" w:cstheme="majorBidi"/>
            <w:b/>
            <w:bCs/>
            <w:caps/>
            <w:noProof/>
            <w:webHidden/>
            <w:sz w:val="20"/>
            <w:szCs w:val="20"/>
            <w:lang w:val="en-CA" w:eastAsia="en-GB"/>
          </w:rPr>
          <w:instrText xml:space="preserve"> PAGEREF _Toc234579782 \h </w:instrText>
        </w:r>
        <w:r w:rsidRPr="005F0A67">
          <w:rPr>
            <w:rFonts w:asciiTheme="majorBidi" w:eastAsia="Times New Roman" w:hAnsiTheme="majorBidi" w:cstheme="majorBidi"/>
            <w:b/>
            <w:bCs/>
            <w:caps/>
            <w:noProof/>
            <w:webHidden/>
            <w:sz w:val="20"/>
            <w:szCs w:val="20"/>
            <w:lang w:val="en-CA" w:eastAsia="en-GB"/>
          </w:rPr>
        </w:r>
        <w:r w:rsidRPr="005F0A67">
          <w:rPr>
            <w:rFonts w:asciiTheme="majorBidi" w:eastAsia="Times New Roman" w:hAnsiTheme="majorBidi" w:cstheme="majorBidi"/>
            <w:b/>
            <w:bCs/>
            <w:caps/>
            <w:noProof/>
            <w:webHidden/>
            <w:sz w:val="20"/>
            <w:szCs w:val="20"/>
            <w:lang w:val="en-CA" w:eastAsia="en-GB"/>
          </w:rPr>
          <w:fldChar w:fldCharType="separate"/>
        </w:r>
        <w:r w:rsidRPr="005F0A67">
          <w:rPr>
            <w:rFonts w:asciiTheme="majorBidi" w:eastAsia="Times New Roman" w:hAnsiTheme="majorBidi" w:cstheme="majorBidi"/>
            <w:b/>
            <w:bCs/>
            <w:caps/>
            <w:noProof/>
            <w:webHidden/>
            <w:sz w:val="20"/>
            <w:szCs w:val="20"/>
            <w:lang w:val="en-CA" w:eastAsia="en-GB"/>
          </w:rPr>
          <w:t>6</w:t>
        </w:r>
        <w:r w:rsidRPr="005F0A67">
          <w:rPr>
            <w:rFonts w:asciiTheme="majorBidi" w:eastAsia="Times New Roman" w:hAnsiTheme="majorBidi" w:cstheme="majorBidi"/>
            <w:b/>
            <w:bCs/>
            <w:caps/>
            <w:noProof/>
            <w:webHidden/>
            <w:sz w:val="20"/>
            <w:szCs w:val="20"/>
            <w:lang w:val="en-CA" w:eastAsia="en-GB"/>
          </w:rPr>
          <w:fldChar w:fldCharType="end"/>
        </w:r>
      </w:hyperlink>
    </w:p>
    <w:p w14:paraId="2F7A971C" w14:textId="77777777" w:rsidR="005F0A67" w:rsidRPr="005F0A67" w:rsidRDefault="005F0A67" w:rsidP="005F0A67">
      <w:pPr>
        <w:tabs>
          <w:tab w:val="clear" w:pos="567"/>
          <w:tab w:val="clear" w:pos="1134"/>
          <w:tab w:val="clear" w:pos="1701"/>
          <w:tab w:val="clear" w:pos="2268"/>
          <w:tab w:val="left" w:pos="480"/>
          <w:tab w:val="right" w:leader="dot" w:pos="9710"/>
        </w:tabs>
        <w:spacing w:before="120" w:after="120"/>
        <w:jc w:val="left"/>
        <w:rPr>
          <w:rFonts w:asciiTheme="majorBidi" w:eastAsia="Yu Mincho" w:hAnsiTheme="majorBidi" w:cstheme="majorBidi"/>
          <w:noProof/>
          <w:kern w:val="2"/>
          <w:sz w:val="24"/>
          <w:szCs w:val="24"/>
          <w:lang w:val="en-CA" w:eastAsia="zh-CN"/>
          <w14:ligatures w14:val="standardContextual"/>
        </w:rPr>
      </w:pPr>
      <w:hyperlink w:anchor="_Toc234579783" w:history="1">
        <w:r w:rsidRPr="005F0A67">
          <w:rPr>
            <w:rFonts w:asciiTheme="majorBidi" w:eastAsia="Times New Roman" w:hAnsiTheme="majorBidi" w:cstheme="majorBidi"/>
            <w:b/>
            <w:bCs/>
            <w:caps/>
            <w:noProof/>
            <w:color w:val="0563C1"/>
            <w:sz w:val="20"/>
            <w:szCs w:val="20"/>
            <w:u w:val="single"/>
            <w:lang w:val="en-CA" w:eastAsia="en-GB"/>
          </w:rPr>
          <w:t>2</w:t>
        </w:r>
        <w:r w:rsidRPr="005F0A67">
          <w:rPr>
            <w:rFonts w:asciiTheme="majorBidi" w:eastAsia="Yu Mincho" w:hAnsiTheme="majorBidi" w:cstheme="majorBidi"/>
            <w:noProof/>
            <w:kern w:val="2"/>
            <w:sz w:val="24"/>
            <w:szCs w:val="24"/>
            <w:lang w:val="en-CA" w:eastAsia="zh-CN"/>
            <w14:ligatures w14:val="standardContextual"/>
          </w:rPr>
          <w:tab/>
        </w:r>
        <w:r w:rsidRPr="005F0A67">
          <w:rPr>
            <w:rFonts w:asciiTheme="majorBidi" w:eastAsia="Times New Roman" w:hAnsiTheme="majorBidi" w:cstheme="majorBidi"/>
            <w:b/>
            <w:bCs/>
            <w:caps/>
            <w:noProof/>
            <w:color w:val="0563C1"/>
            <w:sz w:val="20"/>
            <w:szCs w:val="20"/>
            <w:u w:val="single"/>
            <w:lang w:val="en-CA" w:eastAsia="en-GB"/>
          </w:rPr>
          <w:t>Background: institutional and legal context</w:t>
        </w:r>
        <w:r w:rsidRPr="005F0A67">
          <w:rPr>
            <w:rFonts w:asciiTheme="majorBidi" w:eastAsia="Times New Roman" w:hAnsiTheme="majorBidi" w:cstheme="majorBidi"/>
            <w:b/>
            <w:bCs/>
            <w:caps/>
            <w:noProof/>
            <w:webHidden/>
            <w:sz w:val="20"/>
            <w:szCs w:val="20"/>
            <w:lang w:val="en-CA" w:eastAsia="en-GB"/>
          </w:rPr>
          <w:tab/>
        </w:r>
        <w:r w:rsidRPr="005F0A67">
          <w:rPr>
            <w:rFonts w:asciiTheme="majorBidi" w:eastAsia="Times New Roman" w:hAnsiTheme="majorBidi" w:cstheme="majorBidi"/>
            <w:b/>
            <w:bCs/>
            <w:caps/>
            <w:noProof/>
            <w:webHidden/>
            <w:sz w:val="20"/>
            <w:szCs w:val="20"/>
            <w:lang w:val="en-CA" w:eastAsia="en-GB"/>
          </w:rPr>
          <w:fldChar w:fldCharType="begin"/>
        </w:r>
        <w:r w:rsidRPr="005F0A67">
          <w:rPr>
            <w:rFonts w:asciiTheme="majorBidi" w:eastAsia="Times New Roman" w:hAnsiTheme="majorBidi" w:cstheme="majorBidi"/>
            <w:b/>
            <w:bCs/>
            <w:caps/>
            <w:noProof/>
            <w:webHidden/>
            <w:sz w:val="20"/>
            <w:szCs w:val="20"/>
            <w:lang w:val="en-CA" w:eastAsia="en-GB"/>
          </w:rPr>
          <w:instrText xml:space="preserve"> PAGEREF _Toc234579783 \h </w:instrText>
        </w:r>
        <w:r w:rsidRPr="005F0A67">
          <w:rPr>
            <w:rFonts w:asciiTheme="majorBidi" w:eastAsia="Times New Roman" w:hAnsiTheme="majorBidi" w:cstheme="majorBidi"/>
            <w:b/>
            <w:bCs/>
            <w:caps/>
            <w:noProof/>
            <w:webHidden/>
            <w:sz w:val="20"/>
            <w:szCs w:val="20"/>
            <w:lang w:val="en-CA" w:eastAsia="en-GB"/>
          </w:rPr>
        </w:r>
        <w:r w:rsidRPr="005F0A67">
          <w:rPr>
            <w:rFonts w:asciiTheme="majorBidi" w:eastAsia="Times New Roman" w:hAnsiTheme="majorBidi" w:cstheme="majorBidi"/>
            <w:b/>
            <w:bCs/>
            <w:caps/>
            <w:noProof/>
            <w:webHidden/>
            <w:sz w:val="20"/>
            <w:szCs w:val="20"/>
            <w:lang w:val="en-CA" w:eastAsia="en-GB"/>
          </w:rPr>
          <w:fldChar w:fldCharType="separate"/>
        </w:r>
        <w:r w:rsidRPr="005F0A67">
          <w:rPr>
            <w:rFonts w:asciiTheme="majorBidi" w:eastAsia="Times New Roman" w:hAnsiTheme="majorBidi" w:cstheme="majorBidi"/>
            <w:b/>
            <w:bCs/>
            <w:caps/>
            <w:noProof/>
            <w:webHidden/>
            <w:sz w:val="20"/>
            <w:szCs w:val="20"/>
            <w:lang w:val="en-CA" w:eastAsia="en-GB"/>
          </w:rPr>
          <w:t>8</w:t>
        </w:r>
        <w:r w:rsidRPr="005F0A67">
          <w:rPr>
            <w:rFonts w:asciiTheme="majorBidi" w:eastAsia="Times New Roman" w:hAnsiTheme="majorBidi" w:cstheme="majorBidi"/>
            <w:b/>
            <w:bCs/>
            <w:caps/>
            <w:noProof/>
            <w:webHidden/>
            <w:sz w:val="20"/>
            <w:szCs w:val="20"/>
            <w:lang w:val="en-CA" w:eastAsia="en-GB"/>
          </w:rPr>
          <w:fldChar w:fldCharType="end"/>
        </w:r>
      </w:hyperlink>
    </w:p>
    <w:p w14:paraId="0D03D09C" w14:textId="77777777" w:rsidR="005F0A67" w:rsidRPr="005F0A67" w:rsidRDefault="005F0A67" w:rsidP="005F0A67">
      <w:pPr>
        <w:tabs>
          <w:tab w:val="clear" w:pos="567"/>
          <w:tab w:val="clear" w:pos="1134"/>
          <w:tab w:val="clear" w:pos="1701"/>
          <w:tab w:val="clear" w:pos="2268"/>
          <w:tab w:val="left" w:pos="480"/>
          <w:tab w:val="right" w:leader="dot" w:pos="9710"/>
        </w:tabs>
        <w:spacing w:before="120" w:after="120"/>
        <w:jc w:val="left"/>
        <w:rPr>
          <w:rFonts w:asciiTheme="majorBidi" w:eastAsia="Yu Mincho" w:hAnsiTheme="majorBidi" w:cstheme="majorBidi"/>
          <w:noProof/>
          <w:kern w:val="2"/>
          <w:sz w:val="24"/>
          <w:szCs w:val="24"/>
          <w:lang w:val="en-CA" w:eastAsia="zh-CN"/>
          <w14:ligatures w14:val="standardContextual"/>
        </w:rPr>
      </w:pPr>
      <w:hyperlink w:anchor="_Toc234579784" w:history="1">
        <w:r w:rsidRPr="005F0A67">
          <w:rPr>
            <w:rFonts w:asciiTheme="majorBidi" w:eastAsia="Times New Roman" w:hAnsiTheme="majorBidi" w:cstheme="majorBidi"/>
            <w:b/>
            <w:bCs/>
            <w:caps/>
            <w:noProof/>
            <w:color w:val="0563C1"/>
            <w:sz w:val="20"/>
            <w:szCs w:val="20"/>
            <w:u w:val="single"/>
            <w:lang w:val="en-CA" w:eastAsia="en-GB"/>
          </w:rPr>
          <w:t>3</w:t>
        </w:r>
        <w:r w:rsidRPr="005F0A67">
          <w:rPr>
            <w:rFonts w:asciiTheme="majorBidi" w:eastAsia="Yu Mincho" w:hAnsiTheme="majorBidi" w:cstheme="majorBidi"/>
            <w:noProof/>
            <w:kern w:val="2"/>
            <w:sz w:val="24"/>
            <w:szCs w:val="24"/>
            <w:lang w:val="en-CA" w:eastAsia="zh-CN"/>
            <w14:ligatures w14:val="standardContextual"/>
          </w:rPr>
          <w:tab/>
        </w:r>
        <w:r w:rsidRPr="005F0A67">
          <w:rPr>
            <w:rFonts w:asciiTheme="majorBidi" w:eastAsia="Times New Roman" w:hAnsiTheme="majorBidi" w:cstheme="majorBidi"/>
            <w:b/>
            <w:bCs/>
            <w:caps/>
            <w:noProof/>
            <w:color w:val="0563C1"/>
            <w:sz w:val="20"/>
            <w:szCs w:val="20"/>
            <w:u w:val="single"/>
            <w:lang w:val="en-CA" w:eastAsia="en-GB"/>
          </w:rPr>
          <w:t>Contribution rate models in analogous monetary benefit-sharing mechanisms</w:t>
        </w:r>
        <w:r w:rsidRPr="005F0A67">
          <w:rPr>
            <w:rFonts w:asciiTheme="majorBidi" w:eastAsia="Times New Roman" w:hAnsiTheme="majorBidi" w:cstheme="majorBidi"/>
            <w:b/>
            <w:bCs/>
            <w:caps/>
            <w:noProof/>
            <w:webHidden/>
            <w:sz w:val="20"/>
            <w:szCs w:val="20"/>
            <w:lang w:val="en-CA" w:eastAsia="en-GB"/>
          </w:rPr>
          <w:tab/>
        </w:r>
        <w:r w:rsidRPr="005F0A67">
          <w:rPr>
            <w:rFonts w:asciiTheme="majorBidi" w:eastAsia="Times New Roman" w:hAnsiTheme="majorBidi" w:cstheme="majorBidi"/>
            <w:b/>
            <w:bCs/>
            <w:caps/>
            <w:noProof/>
            <w:webHidden/>
            <w:sz w:val="20"/>
            <w:szCs w:val="20"/>
            <w:lang w:val="en-CA" w:eastAsia="en-GB"/>
          </w:rPr>
          <w:fldChar w:fldCharType="begin"/>
        </w:r>
        <w:r w:rsidRPr="005F0A67">
          <w:rPr>
            <w:rFonts w:asciiTheme="majorBidi" w:eastAsia="Times New Roman" w:hAnsiTheme="majorBidi" w:cstheme="majorBidi"/>
            <w:b/>
            <w:bCs/>
            <w:caps/>
            <w:noProof/>
            <w:webHidden/>
            <w:sz w:val="20"/>
            <w:szCs w:val="20"/>
            <w:lang w:val="en-CA" w:eastAsia="en-GB"/>
          </w:rPr>
          <w:instrText xml:space="preserve"> PAGEREF _Toc234579784 \h </w:instrText>
        </w:r>
        <w:r w:rsidRPr="005F0A67">
          <w:rPr>
            <w:rFonts w:asciiTheme="majorBidi" w:eastAsia="Times New Roman" w:hAnsiTheme="majorBidi" w:cstheme="majorBidi"/>
            <w:b/>
            <w:bCs/>
            <w:caps/>
            <w:noProof/>
            <w:webHidden/>
            <w:sz w:val="20"/>
            <w:szCs w:val="20"/>
            <w:lang w:val="en-CA" w:eastAsia="en-GB"/>
          </w:rPr>
        </w:r>
        <w:r w:rsidRPr="005F0A67">
          <w:rPr>
            <w:rFonts w:asciiTheme="majorBidi" w:eastAsia="Times New Roman" w:hAnsiTheme="majorBidi" w:cstheme="majorBidi"/>
            <w:b/>
            <w:bCs/>
            <w:caps/>
            <w:noProof/>
            <w:webHidden/>
            <w:sz w:val="20"/>
            <w:szCs w:val="20"/>
            <w:lang w:val="en-CA" w:eastAsia="en-GB"/>
          </w:rPr>
          <w:fldChar w:fldCharType="separate"/>
        </w:r>
        <w:r w:rsidRPr="005F0A67">
          <w:rPr>
            <w:rFonts w:asciiTheme="majorBidi" w:eastAsia="Times New Roman" w:hAnsiTheme="majorBidi" w:cstheme="majorBidi"/>
            <w:b/>
            <w:bCs/>
            <w:caps/>
            <w:noProof/>
            <w:webHidden/>
            <w:sz w:val="20"/>
            <w:szCs w:val="20"/>
            <w:lang w:val="en-CA" w:eastAsia="en-GB"/>
          </w:rPr>
          <w:t>14</w:t>
        </w:r>
        <w:r w:rsidRPr="005F0A67">
          <w:rPr>
            <w:rFonts w:asciiTheme="majorBidi" w:eastAsia="Times New Roman" w:hAnsiTheme="majorBidi" w:cstheme="majorBidi"/>
            <w:b/>
            <w:bCs/>
            <w:caps/>
            <w:noProof/>
            <w:webHidden/>
            <w:sz w:val="20"/>
            <w:szCs w:val="20"/>
            <w:lang w:val="en-CA" w:eastAsia="en-GB"/>
          </w:rPr>
          <w:fldChar w:fldCharType="end"/>
        </w:r>
      </w:hyperlink>
    </w:p>
    <w:p w14:paraId="6666B66E" w14:textId="77777777" w:rsidR="005F0A67" w:rsidRPr="005F0A67" w:rsidRDefault="005F0A67" w:rsidP="005F0A67">
      <w:pPr>
        <w:tabs>
          <w:tab w:val="clear" w:pos="567"/>
          <w:tab w:val="clear" w:pos="1134"/>
          <w:tab w:val="clear" w:pos="1701"/>
          <w:tab w:val="clear" w:pos="2268"/>
          <w:tab w:val="left" w:pos="480"/>
          <w:tab w:val="right" w:leader="dot" w:pos="9710"/>
        </w:tabs>
        <w:spacing w:before="120" w:after="120"/>
        <w:jc w:val="left"/>
        <w:rPr>
          <w:rFonts w:asciiTheme="majorBidi" w:eastAsia="Yu Mincho" w:hAnsiTheme="majorBidi" w:cstheme="majorBidi"/>
          <w:noProof/>
          <w:kern w:val="2"/>
          <w:sz w:val="24"/>
          <w:szCs w:val="24"/>
          <w:lang w:val="en-CA" w:eastAsia="zh-CN"/>
          <w14:ligatures w14:val="standardContextual"/>
        </w:rPr>
      </w:pPr>
      <w:hyperlink w:anchor="_Toc234579785" w:history="1">
        <w:r w:rsidRPr="005F0A67">
          <w:rPr>
            <w:rFonts w:asciiTheme="majorBidi" w:eastAsia="Times New Roman" w:hAnsiTheme="majorBidi" w:cstheme="majorBidi"/>
            <w:b/>
            <w:bCs/>
            <w:caps/>
            <w:noProof/>
            <w:color w:val="0563C1"/>
            <w:sz w:val="20"/>
            <w:szCs w:val="20"/>
            <w:u w:val="single"/>
            <w:lang w:val="en-CA" w:eastAsia="en-GB"/>
          </w:rPr>
          <w:t>4</w:t>
        </w:r>
        <w:r w:rsidRPr="005F0A67">
          <w:rPr>
            <w:rFonts w:asciiTheme="majorBidi" w:eastAsia="Yu Mincho" w:hAnsiTheme="majorBidi" w:cstheme="majorBidi"/>
            <w:noProof/>
            <w:kern w:val="2"/>
            <w:sz w:val="24"/>
            <w:szCs w:val="24"/>
            <w:lang w:val="en-CA" w:eastAsia="zh-CN"/>
            <w14:ligatures w14:val="standardContextual"/>
          </w:rPr>
          <w:tab/>
        </w:r>
        <w:r w:rsidRPr="005F0A67">
          <w:rPr>
            <w:rFonts w:asciiTheme="majorBidi" w:eastAsia="Times New Roman" w:hAnsiTheme="majorBidi" w:cstheme="majorBidi"/>
            <w:b/>
            <w:bCs/>
            <w:caps/>
            <w:noProof/>
            <w:color w:val="0563C1"/>
            <w:sz w:val="20"/>
            <w:szCs w:val="20"/>
            <w:u w:val="single"/>
            <w:lang w:val="en-CA" w:eastAsia="en-GB"/>
          </w:rPr>
          <w:t>Analytical framework: implications of the DSI MLM design for economic assessment</w:t>
        </w:r>
        <w:r w:rsidRPr="005F0A67">
          <w:rPr>
            <w:rFonts w:asciiTheme="majorBidi" w:eastAsia="Times New Roman" w:hAnsiTheme="majorBidi" w:cstheme="majorBidi"/>
            <w:b/>
            <w:bCs/>
            <w:caps/>
            <w:noProof/>
            <w:webHidden/>
            <w:sz w:val="20"/>
            <w:szCs w:val="20"/>
            <w:lang w:val="en-CA" w:eastAsia="en-GB"/>
          </w:rPr>
          <w:tab/>
        </w:r>
        <w:r w:rsidRPr="005F0A67">
          <w:rPr>
            <w:rFonts w:asciiTheme="majorBidi" w:eastAsia="Times New Roman" w:hAnsiTheme="majorBidi" w:cstheme="majorBidi"/>
            <w:b/>
            <w:bCs/>
            <w:caps/>
            <w:noProof/>
            <w:webHidden/>
            <w:sz w:val="20"/>
            <w:szCs w:val="20"/>
            <w:lang w:val="en-CA" w:eastAsia="en-GB"/>
          </w:rPr>
          <w:fldChar w:fldCharType="begin"/>
        </w:r>
        <w:r w:rsidRPr="005F0A67">
          <w:rPr>
            <w:rFonts w:asciiTheme="majorBidi" w:eastAsia="Times New Roman" w:hAnsiTheme="majorBidi" w:cstheme="majorBidi"/>
            <w:b/>
            <w:bCs/>
            <w:caps/>
            <w:noProof/>
            <w:webHidden/>
            <w:sz w:val="20"/>
            <w:szCs w:val="20"/>
            <w:lang w:val="en-CA" w:eastAsia="en-GB"/>
          </w:rPr>
          <w:instrText xml:space="preserve"> PAGEREF _Toc234579785 \h </w:instrText>
        </w:r>
        <w:r w:rsidRPr="005F0A67">
          <w:rPr>
            <w:rFonts w:asciiTheme="majorBidi" w:eastAsia="Times New Roman" w:hAnsiTheme="majorBidi" w:cstheme="majorBidi"/>
            <w:b/>
            <w:bCs/>
            <w:caps/>
            <w:noProof/>
            <w:webHidden/>
            <w:sz w:val="20"/>
            <w:szCs w:val="20"/>
            <w:lang w:val="en-CA" w:eastAsia="en-GB"/>
          </w:rPr>
        </w:r>
        <w:r w:rsidRPr="005F0A67">
          <w:rPr>
            <w:rFonts w:asciiTheme="majorBidi" w:eastAsia="Times New Roman" w:hAnsiTheme="majorBidi" w:cstheme="majorBidi"/>
            <w:b/>
            <w:bCs/>
            <w:caps/>
            <w:noProof/>
            <w:webHidden/>
            <w:sz w:val="20"/>
            <w:szCs w:val="20"/>
            <w:lang w:val="en-CA" w:eastAsia="en-GB"/>
          </w:rPr>
          <w:fldChar w:fldCharType="separate"/>
        </w:r>
        <w:r w:rsidRPr="005F0A67">
          <w:rPr>
            <w:rFonts w:asciiTheme="majorBidi" w:eastAsia="Times New Roman" w:hAnsiTheme="majorBidi" w:cstheme="majorBidi"/>
            <w:b/>
            <w:bCs/>
            <w:caps/>
            <w:noProof/>
            <w:webHidden/>
            <w:sz w:val="20"/>
            <w:szCs w:val="20"/>
            <w:lang w:val="en-CA" w:eastAsia="en-GB"/>
          </w:rPr>
          <w:t>17</w:t>
        </w:r>
        <w:r w:rsidRPr="005F0A67">
          <w:rPr>
            <w:rFonts w:asciiTheme="majorBidi" w:eastAsia="Times New Roman" w:hAnsiTheme="majorBidi" w:cstheme="majorBidi"/>
            <w:b/>
            <w:bCs/>
            <w:caps/>
            <w:noProof/>
            <w:webHidden/>
            <w:sz w:val="20"/>
            <w:szCs w:val="20"/>
            <w:lang w:val="en-CA" w:eastAsia="en-GB"/>
          </w:rPr>
          <w:fldChar w:fldCharType="end"/>
        </w:r>
      </w:hyperlink>
    </w:p>
    <w:p w14:paraId="0D7177ED" w14:textId="77777777" w:rsidR="005F0A67" w:rsidRPr="005F0A67" w:rsidRDefault="005F0A67" w:rsidP="005F0A67">
      <w:pPr>
        <w:tabs>
          <w:tab w:val="clear" w:pos="567"/>
          <w:tab w:val="clear" w:pos="1134"/>
          <w:tab w:val="clear" w:pos="1701"/>
          <w:tab w:val="clear" w:pos="2268"/>
          <w:tab w:val="left" w:pos="480"/>
          <w:tab w:val="right" w:leader="dot" w:pos="9710"/>
        </w:tabs>
        <w:spacing w:before="120" w:after="120"/>
        <w:jc w:val="left"/>
        <w:rPr>
          <w:rFonts w:asciiTheme="majorBidi" w:eastAsia="Yu Mincho" w:hAnsiTheme="majorBidi" w:cstheme="majorBidi"/>
          <w:noProof/>
          <w:kern w:val="2"/>
          <w:sz w:val="24"/>
          <w:szCs w:val="24"/>
          <w:lang w:val="en-CA" w:eastAsia="zh-CN"/>
          <w14:ligatures w14:val="standardContextual"/>
        </w:rPr>
      </w:pPr>
      <w:hyperlink w:anchor="_Toc234579786" w:history="1">
        <w:r w:rsidRPr="005F0A67">
          <w:rPr>
            <w:rFonts w:asciiTheme="majorBidi" w:eastAsia="Times New Roman" w:hAnsiTheme="majorBidi" w:cstheme="majorBidi"/>
            <w:b/>
            <w:bCs/>
            <w:caps/>
            <w:noProof/>
            <w:color w:val="0563C1"/>
            <w:sz w:val="20"/>
            <w:szCs w:val="20"/>
            <w:u w:val="single"/>
            <w:lang w:val="en-CA" w:eastAsia="en-GB"/>
          </w:rPr>
          <w:t>5</w:t>
        </w:r>
        <w:r w:rsidRPr="005F0A67">
          <w:rPr>
            <w:rFonts w:asciiTheme="majorBidi" w:eastAsia="Yu Mincho" w:hAnsiTheme="majorBidi" w:cstheme="majorBidi"/>
            <w:noProof/>
            <w:kern w:val="2"/>
            <w:sz w:val="24"/>
            <w:szCs w:val="24"/>
            <w:lang w:val="en-CA" w:eastAsia="zh-CN"/>
            <w14:ligatures w14:val="standardContextual"/>
          </w:rPr>
          <w:tab/>
        </w:r>
        <w:r w:rsidRPr="005F0A67">
          <w:rPr>
            <w:rFonts w:asciiTheme="majorBidi" w:eastAsia="Times New Roman" w:hAnsiTheme="majorBidi" w:cstheme="majorBidi"/>
            <w:b/>
            <w:bCs/>
            <w:caps/>
            <w:noProof/>
            <w:color w:val="0563C1"/>
            <w:sz w:val="20"/>
            <w:szCs w:val="20"/>
            <w:u w:val="single"/>
            <w:lang w:val="en-CA" w:eastAsia="en-GB"/>
          </w:rPr>
          <w:t>Part I: Eligibility thresholds</w:t>
        </w:r>
        <w:r w:rsidRPr="005F0A67">
          <w:rPr>
            <w:rFonts w:asciiTheme="majorBidi" w:eastAsia="Times New Roman" w:hAnsiTheme="majorBidi" w:cstheme="majorBidi"/>
            <w:b/>
            <w:bCs/>
            <w:caps/>
            <w:noProof/>
            <w:webHidden/>
            <w:sz w:val="20"/>
            <w:szCs w:val="20"/>
            <w:lang w:val="en-CA" w:eastAsia="en-GB"/>
          </w:rPr>
          <w:tab/>
        </w:r>
        <w:r w:rsidRPr="005F0A67">
          <w:rPr>
            <w:rFonts w:asciiTheme="majorBidi" w:eastAsia="Times New Roman" w:hAnsiTheme="majorBidi" w:cstheme="majorBidi"/>
            <w:b/>
            <w:bCs/>
            <w:caps/>
            <w:noProof/>
            <w:webHidden/>
            <w:sz w:val="20"/>
            <w:szCs w:val="20"/>
            <w:lang w:val="en-CA" w:eastAsia="en-GB"/>
          </w:rPr>
          <w:fldChar w:fldCharType="begin"/>
        </w:r>
        <w:r w:rsidRPr="005F0A67">
          <w:rPr>
            <w:rFonts w:asciiTheme="majorBidi" w:eastAsia="Times New Roman" w:hAnsiTheme="majorBidi" w:cstheme="majorBidi"/>
            <w:b/>
            <w:bCs/>
            <w:caps/>
            <w:noProof/>
            <w:webHidden/>
            <w:sz w:val="20"/>
            <w:szCs w:val="20"/>
            <w:lang w:val="en-CA" w:eastAsia="en-GB"/>
          </w:rPr>
          <w:instrText xml:space="preserve"> PAGEREF _Toc234579786 \h </w:instrText>
        </w:r>
        <w:r w:rsidRPr="005F0A67">
          <w:rPr>
            <w:rFonts w:asciiTheme="majorBidi" w:eastAsia="Times New Roman" w:hAnsiTheme="majorBidi" w:cstheme="majorBidi"/>
            <w:b/>
            <w:bCs/>
            <w:caps/>
            <w:noProof/>
            <w:webHidden/>
            <w:sz w:val="20"/>
            <w:szCs w:val="20"/>
            <w:lang w:val="en-CA" w:eastAsia="en-GB"/>
          </w:rPr>
        </w:r>
        <w:r w:rsidRPr="005F0A67">
          <w:rPr>
            <w:rFonts w:asciiTheme="majorBidi" w:eastAsia="Times New Roman" w:hAnsiTheme="majorBidi" w:cstheme="majorBidi"/>
            <w:b/>
            <w:bCs/>
            <w:caps/>
            <w:noProof/>
            <w:webHidden/>
            <w:sz w:val="20"/>
            <w:szCs w:val="20"/>
            <w:lang w:val="en-CA" w:eastAsia="en-GB"/>
          </w:rPr>
          <w:fldChar w:fldCharType="separate"/>
        </w:r>
        <w:r w:rsidRPr="005F0A67">
          <w:rPr>
            <w:rFonts w:asciiTheme="majorBidi" w:eastAsia="Times New Roman" w:hAnsiTheme="majorBidi" w:cstheme="majorBidi"/>
            <w:b/>
            <w:bCs/>
            <w:caps/>
            <w:noProof/>
            <w:webHidden/>
            <w:sz w:val="20"/>
            <w:szCs w:val="20"/>
            <w:lang w:val="en-CA" w:eastAsia="en-GB"/>
          </w:rPr>
          <w:t>32</w:t>
        </w:r>
        <w:r w:rsidRPr="005F0A67">
          <w:rPr>
            <w:rFonts w:asciiTheme="majorBidi" w:eastAsia="Times New Roman" w:hAnsiTheme="majorBidi" w:cstheme="majorBidi"/>
            <w:b/>
            <w:bCs/>
            <w:caps/>
            <w:noProof/>
            <w:webHidden/>
            <w:sz w:val="20"/>
            <w:szCs w:val="20"/>
            <w:lang w:val="en-CA" w:eastAsia="en-GB"/>
          </w:rPr>
          <w:fldChar w:fldCharType="end"/>
        </w:r>
      </w:hyperlink>
    </w:p>
    <w:p w14:paraId="55126A08" w14:textId="77777777" w:rsidR="005F0A67" w:rsidRPr="005F0A67" w:rsidRDefault="005F0A67" w:rsidP="005F0A67">
      <w:pPr>
        <w:tabs>
          <w:tab w:val="clear" w:pos="567"/>
          <w:tab w:val="clear" w:pos="1134"/>
          <w:tab w:val="clear" w:pos="1701"/>
          <w:tab w:val="clear" w:pos="2268"/>
          <w:tab w:val="left" w:pos="480"/>
          <w:tab w:val="right" w:leader="dot" w:pos="9710"/>
        </w:tabs>
        <w:spacing w:before="120" w:after="120"/>
        <w:jc w:val="left"/>
        <w:rPr>
          <w:rFonts w:asciiTheme="majorBidi" w:eastAsia="Yu Mincho" w:hAnsiTheme="majorBidi" w:cstheme="majorBidi"/>
          <w:noProof/>
          <w:kern w:val="2"/>
          <w:sz w:val="24"/>
          <w:szCs w:val="24"/>
          <w:lang w:val="en-CA" w:eastAsia="zh-CN"/>
          <w14:ligatures w14:val="standardContextual"/>
        </w:rPr>
      </w:pPr>
      <w:hyperlink w:anchor="_Toc234579787" w:history="1">
        <w:r w:rsidRPr="005F0A67">
          <w:rPr>
            <w:rFonts w:asciiTheme="majorBidi" w:eastAsia="Times New Roman" w:hAnsiTheme="majorBidi" w:cstheme="majorBidi"/>
            <w:b/>
            <w:bCs/>
            <w:caps/>
            <w:noProof/>
            <w:color w:val="0563C1"/>
            <w:sz w:val="20"/>
            <w:szCs w:val="20"/>
            <w:u w:val="single"/>
            <w:lang w:val="en-CA" w:eastAsia="en-GB"/>
          </w:rPr>
          <w:t>6</w:t>
        </w:r>
        <w:r w:rsidRPr="005F0A67">
          <w:rPr>
            <w:rFonts w:asciiTheme="majorBidi" w:eastAsia="Yu Mincho" w:hAnsiTheme="majorBidi" w:cstheme="majorBidi"/>
            <w:noProof/>
            <w:kern w:val="2"/>
            <w:sz w:val="24"/>
            <w:szCs w:val="24"/>
            <w:lang w:val="en-CA" w:eastAsia="zh-CN"/>
            <w14:ligatures w14:val="standardContextual"/>
          </w:rPr>
          <w:tab/>
        </w:r>
        <w:r w:rsidRPr="005F0A67">
          <w:rPr>
            <w:rFonts w:asciiTheme="majorBidi" w:eastAsia="Times New Roman" w:hAnsiTheme="majorBidi" w:cstheme="majorBidi"/>
            <w:b/>
            <w:bCs/>
            <w:caps/>
            <w:noProof/>
            <w:color w:val="0563C1"/>
            <w:sz w:val="20"/>
            <w:szCs w:val="20"/>
            <w:u w:val="single"/>
            <w:lang w:val="en-CA" w:eastAsia="en-GB"/>
          </w:rPr>
          <w:t>Part II: Revenue potential and contribution structure</w:t>
        </w:r>
        <w:r w:rsidRPr="005F0A67">
          <w:rPr>
            <w:rFonts w:asciiTheme="majorBidi" w:eastAsia="Times New Roman" w:hAnsiTheme="majorBidi" w:cstheme="majorBidi"/>
            <w:b/>
            <w:bCs/>
            <w:caps/>
            <w:noProof/>
            <w:webHidden/>
            <w:sz w:val="20"/>
            <w:szCs w:val="20"/>
            <w:lang w:val="en-CA" w:eastAsia="en-GB"/>
          </w:rPr>
          <w:tab/>
        </w:r>
        <w:r w:rsidRPr="005F0A67">
          <w:rPr>
            <w:rFonts w:asciiTheme="majorBidi" w:eastAsia="Times New Roman" w:hAnsiTheme="majorBidi" w:cstheme="majorBidi"/>
            <w:b/>
            <w:bCs/>
            <w:caps/>
            <w:noProof/>
            <w:webHidden/>
            <w:sz w:val="20"/>
            <w:szCs w:val="20"/>
            <w:lang w:val="en-CA" w:eastAsia="en-GB"/>
          </w:rPr>
          <w:fldChar w:fldCharType="begin"/>
        </w:r>
        <w:r w:rsidRPr="005F0A67">
          <w:rPr>
            <w:rFonts w:asciiTheme="majorBidi" w:eastAsia="Times New Roman" w:hAnsiTheme="majorBidi" w:cstheme="majorBidi"/>
            <w:b/>
            <w:bCs/>
            <w:caps/>
            <w:noProof/>
            <w:webHidden/>
            <w:sz w:val="20"/>
            <w:szCs w:val="20"/>
            <w:lang w:val="en-CA" w:eastAsia="en-GB"/>
          </w:rPr>
          <w:instrText xml:space="preserve"> PAGEREF _Toc234579787 \h </w:instrText>
        </w:r>
        <w:r w:rsidRPr="005F0A67">
          <w:rPr>
            <w:rFonts w:asciiTheme="majorBidi" w:eastAsia="Times New Roman" w:hAnsiTheme="majorBidi" w:cstheme="majorBidi"/>
            <w:b/>
            <w:bCs/>
            <w:caps/>
            <w:noProof/>
            <w:webHidden/>
            <w:sz w:val="20"/>
            <w:szCs w:val="20"/>
            <w:lang w:val="en-CA" w:eastAsia="en-GB"/>
          </w:rPr>
        </w:r>
        <w:r w:rsidRPr="005F0A67">
          <w:rPr>
            <w:rFonts w:asciiTheme="majorBidi" w:eastAsia="Times New Roman" w:hAnsiTheme="majorBidi" w:cstheme="majorBidi"/>
            <w:b/>
            <w:bCs/>
            <w:caps/>
            <w:noProof/>
            <w:webHidden/>
            <w:sz w:val="20"/>
            <w:szCs w:val="20"/>
            <w:lang w:val="en-CA" w:eastAsia="en-GB"/>
          </w:rPr>
          <w:fldChar w:fldCharType="separate"/>
        </w:r>
        <w:r w:rsidRPr="005F0A67">
          <w:rPr>
            <w:rFonts w:asciiTheme="majorBidi" w:eastAsia="Times New Roman" w:hAnsiTheme="majorBidi" w:cstheme="majorBidi"/>
            <w:b/>
            <w:bCs/>
            <w:caps/>
            <w:noProof/>
            <w:webHidden/>
            <w:sz w:val="20"/>
            <w:szCs w:val="20"/>
            <w:lang w:val="en-CA" w:eastAsia="en-GB"/>
          </w:rPr>
          <w:t>42</w:t>
        </w:r>
        <w:r w:rsidRPr="005F0A67">
          <w:rPr>
            <w:rFonts w:asciiTheme="majorBidi" w:eastAsia="Times New Roman" w:hAnsiTheme="majorBidi" w:cstheme="majorBidi"/>
            <w:b/>
            <w:bCs/>
            <w:caps/>
            <w:noProof/>
            <w:webHidden/>
            <w:sz w:val="20"/>
            <w:szCs w:val="20"/>
            <w:lang w:val="en-CA" w:eastAsia="en-GB"/>
          </w:rPr>
          <w:fldChar w:fldCharType="end"/>
        </w:r>
      </w:hyperlink>
    </w:p>
    <w:p w14:paraId="3E7A91D1" w14:textId="77777777" w:rsidR="005F0A67" w:rsidRPr="005F0A67" w:rsidRDefault="005F0A67" w:rsidP="005F0A67">
      <w:pPr>
        <w:tabs>
          <w:tab w:val="clear" w:pos="567"/>
          <w:tab w:val="clear" w:pos="1134"/>
          <w:tab w:val="clear" w:pos="1701"/>
          <w:tab w:val="clear" w:pos="2268"/>
          <w:tab w:val="left" w:pos="480"/>
          <w:tab w:val="right" w:leader="dot" w:pos="9710"/>
        </w:tabs>
        <w:spacing w:before="120" w:after="120"/>
        <w:jc w:val="left"/>
        <w:rPr>
          <w:rFonts w:asciiTheme="majorBidi" w:eastAsia="Yu Mincho" w:hAnsiTheme="majorBidi" w:cstheme="majorBidi"/>
          <w:noProof/>
          <w:kern w:val="2"/>
          <w:sz w:val="24"/>
          <w:szCs w:val="24"/>
          <w:lang w:val="en-CA" w:eastAsia="zh-CN"/>
          <w14:ligatures w14:val="standardContextual"/>
        </w:rPr>
      </w:pPr>
      <w:hyperlink w:anchor="_Toc234579788" w:history="1">
        <w:r w:rsidRPr="005F0A67">
          <w:rPr>
            <w:rFonts w:asciiTheme="majorBidi" w:eastAsia="Times New Roman" w:hAnsiTheme="majorBidi" w:cstheme="majorBidi"/>
            <w:b/>
            <w:bCs/>
            <w:caps/>
            <w:noProof/>
            <w:color w:val="0563C1"/>
            <w:sz w:val="20"/>
            <w:szCs w:val="20"/>
            <w:u w:val="single"/>
            <w:lang w:val="en-CA" w:eastAsia="en-GB"/>
          </w:rPr>
          <w:t>7</w:t>
        </w:r>
        <w:r w:rsidRPr="005F0A67">
          <w:rPr>
            <w:rFonts w:asciiTheme="majorBidi" w:eastAsia="Yu Mincho" w:hAnsiTheme="majorBidi" w:cstheme="majorBidi"/>
            <w:noProof/>
            <w:kern w:val="2"/>
            <w:sz w:val="24"/>
            <w:szCs w:val="24"/>
            <w:lang w:val="en-CA" w:eastAsia="zh-CN"/>
            <w14:ligatures w14:val="standardContextual"/>
          </w:rPr>
          <w:tab/>
        </w:r>
        <w:r w:rsidRPr="005F0A67">
          <w:rPr>
            <w:rFonts w:asciiTheme="majorBidi" w:eastAsia="Times New Roman" w:hAnsiTheme="majorBidi" w:cstheme="majorBidi"/>
            <w:b/>
            <w:bCs/>
            <w:caps/>
            <w:noProof/>
            <w:color w:val="0563C1"/>
            <w:sz w:val="20"/>
            <w:szCs w:val="20"/>
            <w:u w:val="single"/>
            <w:lang w:val="en-CA" w:eastAsia="en-GB"/>
          </w:rPr>
          <w:t>Part III: Competitiveness implications of Cali Fund contributions</w:t>
        </w:r>
        <w:r w:rsidRPr="005F0A67">
          <w:rPr>
            <w:rFonts w:asciiTheme="majorBidi" w:eastAsia="Times New Roman" w:hAnsiTheme="majorBidi" w:cstheme="majorBidi"/>
            <w:b/>
            <w:bCs/>
            <w:caps/>
            <w:noProof/>
            <w:webHidden/>
            <w:sz w:val="20"/>
            <w:szCs w:val="20"/>
            <w:lang w:val="en-CA" w:eastAsia="en-GB"/>
          </w:rPr>
          <w:tab/>
        </w:r>
        <w:r w:rsidRPr="005F0A67">
          <w:rPr>
            <w:rFonts w:asciiTheme="majorBidi" w:eastAsia="Times New Roman" w:hAnsiTheme="majorBidi" w:cstheme="majorBidi"/>
            <w:b/>
            <w:bCs/>
            <w:caps/>
            <w:noProof/>
            <w:webHidden/>
            <w:sz w:val="20"/>
            <w:szCs w:val="20"/>
            <w:lang w:val="en-CA" w:eastAsia="en-GB"/>
          </w:rPr>
          <w:fldChar w:fldCharType="begin"/>
        </w:r>
        <w:r w:rsidRPr="005F0A67">
          <w:rPr>
            <w:rFonts w:asciiTheme="majorBidi" w:eastAsia="Times New Roman" w:hAnsiTheme="majorBidi" w:cstheme="majorBidi"/>
            <w:b/>
            <w:bCs/>
            <w:caps/>
            <w:noProof/>
            <w:webHidden/>
            <w:sz w:val="20"/>
            <w:szCs w:val="20"/>
            <w:lang w:val="en-CA" w:eastAsia="en-GB"/>
          </w:rPr>
          <w:instrText xml:space="preserve"> PAGEREF _Toc234579788 \h </w:instrText>
        </w:r>
        <w:r w:rsidRPr="005F0A67">
          <w:rPr>
            <w:rFonts w:asciiTheme="majorBidi" w:eastAsia="Times New Roman" w:hAnsiTheme="majorBidi" w:cstheme="majorBidi"/>
            <w:b/>
            <w:bCs/>
            <w:caps/>
            <w:noProof/>
            <w:webHidden/>
            <w:sz w:val="20"/>
            <w:szCs w:val="20"/>
            <w:lang w:val="en-CA" w:eastAsia="en-GB"/>
          </w:rPr>
        </w:r>
        <w:r w:rsidRPr="005F0A67">
          <w:rPr>
            <w:rFonts w:asciiTheme="majorBidi" w:eastAsia="Times New Roman" w:hAnsiTheme="majorBidi" w:cstheme="majorBidi"/>
            <w:b/>
            <w:bCs/>
            <w:caps/>
            <w:noProof/>
            <w:webHidden/>
            <w:sz w:val="20"/>
            <w:szCs w:val="20"/>
            <w:lang w:val="en-CA" w:eastAsia="en-GB"/>
          </w:rPr>
          <w:fldChar w:fldCharType="separate"/>
        </w:r>
        <w:r w:rsidRPr="005F0A67">
          <w:rPr>
            <w:rFonts w:asciiTheme="majorBidi" w:eastAsia="Times New Roman" w:hAnsiTheme="majorBidi" w:cstheme="majorBidi"/>
            <w:b/>
            <w:bCs/>
            <w:caps/>
            <w:noProof/>
            <w:webHidden/>
            <w:sz w:val="20"/>
            <w:szCs w:val="20"/>
            <w:lang w:val="en-CA" w:eastAsia="en-GB"/>
          </w:rPr>
          <w:t>64</w:t>
        </w:r>
        <w:r w:rsidRPr="005F0A67">
          <w:rPr>
            <w:rFonts w:asciiTheme="majorBidi" w:eastAsia="Times New Roman" w:hAnsiTheme="majorBidi" w:cstheme="majorBidi"/>
            <w:b/>
            <w:bCs/>
            <w:caps/>
            <w:noProof/>
            <w:webHidden/>
            <w:sz w:val="20"/>
            <w:szCs w:val="20"/>
            <w:lang w:val="en-CA" w:eastAsia="en-GB"/>
          </w:rPr>
          <w:fldChar w:fldCharType="end"/>
        </w:r>
      </w:hyperlink>
    </w:p>
    <w:p w14:paraId="7F38E1C1" w14:textId="77777777" w:rsidR="005F0A67" w:rsidRPr="005F0A67" w:rsidRDefault="005F0A67" w:rsidP="005F0A67">
      <w:pPr>
        <w:tabs>
          <w:tab w:val="clear" w:pos="567"/>
          <w:tab w:val="clear" w:pos="1134"/>
          <w:tab w:val="clear" w:pos="1701"/>
          <w:tab w:val="clear" w:pos="2268"/>
          <w:tab w:val="right" w:leader="dot" w:pos="9710"/>
        </w:tabs>
        <w:spacing w:before="120" w:after="120"/>
        <w:jc w:val="left"/>
        <w:rPr>
          <w:rFonts w:asciiTheme="majorBidi" w:eastAsia="Yu Mincho" w:hAnsiTheme="majorBidi" w:cstheme="majorBidi"/>
          <w:noProof/>
          <w:kern w:val="2"/>
          <w:sz w:val="24"/>
          <w:szCs w:val="24"/>
          <w:lang w:val="en-CA" w:eastAsia="zh-CN"/>
          <w14:ligatures w14:val="standardContextual"/>
        </w:rPr>
      </w:pPr>
      <w:hyperlink w:anchor="_Toc234579789" w:history="1">
        <w:r w:rsidRPr="005F0A67">
          <w:rPr>
            <w:rFonts w:asciiTheme="majorBidi" w:eastAsia="Times New Roman" w:hAnsiTheme="majorBidi" w:cstheme="majorBidi"/>
            <w:b/>
            <w:bCs/>
            <w:caps/>
            <w:noProof/>
            <w:color w:val="0563C1"/>
            <w:sz w:val="20"/>
            <w:szCs w:val="20"/>
            <w:u w:val="single"/>
            <w:lang w:val="en-CA" w:eastAsia="en-GB"/>
          </w:rPr>
          <w:t>Conclusion</w:t>
        </w:r>
        <w:r w:rsidRPr="005F0A67">
          <w:rPr>
            <w:rFonts w:asciiTheme="majorBidi" w:eastAsia="Times New Roman" w:hAnsiTheme="majorBidi" w:cstheme="majorBidi"/>
            <w:b/>
            <w:bCs/>
            <w:caps/>
            <w:noProof/>
            <w:webHidden/>
            <w:sz w:val="20"/>
            <w:szCs w:val="20"/>
            <w:lang w:val="en-CA" w:eastAsia="en-GB"/>
          </w:rPr>
          <w:tab/>
        </w:r>
        <w:r w:rsidRPr="005F0A67">
          <w:rPr>
            <w:rFonts w:asciiTheme="majorBidi" w:eastAsia="Times New Roman" w:hAnsiTheme="majorBidi" w:cstheme="majorBidi"/>
            <w:b/>
            <w:bCs/>
            <w:caps/>
            <w:noProof/>
            <w:webHidden/>
            <w:sz w:val="20"/>
            <w:szCs w:val="20"/>
            <w:lang w:val="en-CA" w:eastAsia="en-GB"/>
          </w:rPr>
          <w:fldChar w:fldCharType="begin"/>
        </w:r>
        <w:r w:rsidRPr="005F0A67">
          <w:rPr>
            <w:rFonts w:asciiTheme="majorBidi" w:eastAsia="Times New Roman" w:hAnsiTheme="majorBidi" w:cstheme="majorBidi"/>
            <w:b/>
            <w:bCs/>
            <w:caps/>
            <w:noProof/>
            <w:webHidden/>
            <w:sz w:val="20"/>
            <w:szCs w:val="20"/>
            <w:lang w:val="en-CA" w:eastAsia="en-GB"/>
          </w:rPr>
          <w:instrText xml:space="preserve"> PAGEREF _Toc234579789 \h </w:instrText>
        </w:r>
        <w:r w:rsidRPr="005F0A67">
          <w:rPr>
            <w:rFonts w:asciiTheme="majorBidi" w:eastAsia="Times New Roman" w:hAnsiTheme="majorBidi" w:cstheme="majorBidi"/>
            <w:b/>
            <w:bCs/>
            <w:caps/>
            <w:noProof/>
            <w:webHidden/>
            <w:sz w:val="20"/>
            <w:szCs w:val="20"/>
            <w:lang w:val="en-CA" w:eastAsia="en-GB"/>
          </w:rPr>
        </w:r>
        <w:r w:rsidRPr="005F0A67">
          <w:rPr>
            <w:rFonts w:asciiTheme="majorBidi" w:eastAsia="Times New Roman" w:hAnsiTheme="majorBidi" w:cstheme="majorBidi"/>
            <w:b/>
            <w:bCs/>
            <w:caps/>
            <w:noProof/>
            <w:webHidden/>
            <w:sz w:val="20"/>
            <w:szCs w:val="20"/>
            <w:lang w:val="en-CA" w:eastAsia="en-GB"/>
          </w:rPr>
          <w:fldChar w:fldCharType="separate"/>
        </w:r>
        <w:r w:rsidRPr="005F0A67">
          <w:rPr>
            <w:rFonts w:asciiTheme="majorBidi" w:eastAsia="Times New Roman" w:hAnsiTheme="majorBidi" w:cstheme="majorBidi"/>
            <w:b/>
            <w:bCs/>
            <w:caps/>
            <w:noProof/>
            <w:webHidden/>
            <w:sz w:val="20"/>
            <w:szCs w:val="20"/>
            <w:lang w:val="en-CA" w:eastAsia="en-GB"/>
          </w:rPr>
          <w:t>161</w:t>
        </w:r>
        <w:r w:rsidRPr="005F0A67">
          <w:rPr>
            <w:rFonts w:asciiTheme="majorBidi" w:eastAsia="Times New Roman" w:hAnsiTheme="majorBidi" w:cstheme="majorBidi"/>
            <w:b/>
            <w:bCs/>
            <w:caps/>
            <w:noProof/>
            <w:webHidden/>
            <w:sz w:val="20"/>
            <w:szCs w:val="20"/>
            <w:lang w:val="en-CA" w:eastAsia="en-GB"/>
          </w:rPr>
          <w:fldChar w:fldCharType="end"/>
        </w:r>
      </w:hyperlink>
    </w:p>
    <w:p w14:paraId="4439995B" w14:textId="77777777" w:rsidR="005F0A67" w:rsidRPr="005F0A67" w:rsidRDefault="005F0A67" w:rsidP="005F0A67">
      <w:pPr>
        <w:tabs>
          <w:tab w:val="clear" w:pos="567"/>
          <w:tab w:val="clear" w:pos="1134"/>
          <w:tab w:val="clear" w:pos="1701"/>
          <w:tab w:val="clear" w:pos="2268"/>
          <w:tab w:val="right" w:leader="dot" w:pos="9710"/>
        </w:tabs>
        <w:spacing w:before="120" w:after="120"/>
        <w:jc w:val="left"/>
        <w:rPr>
          <w:rFonts w:asciiTheme="majorBidi" w:eastAsia="Yu Mincho" w:hAnsiTheme="majorBidi" w:cstheme="majorBidi"/>
          <w:noProof/>
          <w:kern w:val="2"/>
          <w:sz w:val="24"/>
          <w:szCs w:val="24"/>
          <w:lang w:val="en-CA" w:eastAsia="zh-CN"/>
          <w14:ligatures w14:val="standardContextual"/>
        </w:rPr>
      </w:pPr>
      <w:hyperlink w:anchor="_Toc234579790" w:history="1">
        <w:r w:rsidRPr="005F0A67">
          <w:rPr>
            <w:rFonts w:asciiTheme="majorBidi" w:eastAsia="Times New Roman" w:hAnsiTheme="majorBidi" w:cstheme="majorBidi"/>
            <w:b/>
            <w:bCs/>
            <w:caps/>
            <w:noProof/>
            <w:color w:val="0563C1"/>
            <w:sz w:val="20"/>
            <w:szCs w:val="20"/>
            <w:u w:val="single"/>
            <w:lang w:val="en-CA" w:eastAsia="en-GB"/>
          </w:rPr>
          <w:t>References</w:t>
        </w:r>
        <w:r w:rsidRPr="005F0A67">
          <w:rPr>
            <w:rFonts w:asciiTheme="majorBidi" w:eastAsia="Times New Roman" w:hAnsiTheme="majorBidi" w:cstheme="majorBidi"/>
            <w:b/>
            <w:bCs/>
            <w:caps/>
            <w:noProof/>
            <w:webHidden/>
            <w:sz w:val="20"/>
            <w:szCs w:val="20"/>
            <w:lang w:val="en-CA" w:eastAsia="en-GB"/>
          </w:rPr>
          <w:tab/>
        </w:r>
        <w:r w:rsidRPr="005F0A67">
          <w:rPr>
            <w:rFonts w:asciiTheme="majorBidi" w:eastAsia="Times New Roman" w:hAnsiTheme="majorBidi" w:cstheme="majorBidi"/>
            <w:b/>
            <w:bCs/>
            <w:caps/>
            <w:noProof/>
            <w:webHidden/>
            <w:sz w:val="20"/>
            <w:szCs w:val="20"/>
            <w:lang w:val="en-CA" w:eastAsia="en-GB"/>
          </w:rPr>
          <w:fldChar w:fldCharType="begin"/>
        </w:r>
        <w:r w:rsidRPr="005F0A67">
          <w:rPr>
            <w:rFonts w:asciiTheme="majorBidi" w:eastAsia="Times New Roman" w:hAnsiTheme="majorBidi" w:cstheme="majorBidi"/>
            <w:b/>
            <w:bCs/>
            <w:caps/>
            <w:noProof/>
            <w:webHidden/>
            <w:sz w:val="20"/>
            <w:szCs w:val="20"/>
            <w:lang w:val="en-CA" w:eastAsia="en-GB"/>
          </w:rPr>
          <w:instrText xml:space="preserve"> PAGEREF _Toc234579790 \h </w:instrText>
        </w:r>
        <w:r w:rsidRPr="005F0A67">
          <w:rPr>
            <w:rFonts w:asciiTheme="majorBidi" w:eastAsia="Times New Roman" w:hAnsiTheme="majorBidi" w:cstheme="majorBidi"/>
            <w:b/>
            <w:bCs/>
            <w:caps/>
            <w:noProof/>
            <w:webHidden/>
            <w:sz w:val="20"/>
            <w:szCs w:val="20"/>
            <w:lang w:val="en-CA" w:eastAsia="en-GB"/>
          </w:rPr>
        </w:r>
        <w:r w:rsidRPr="005F0A67">
          <w:rPr>
            <w:rFonts w:asciiTheme="majorBidi" w:eastAsia="Times New Roman" w:hAnsiTheme="majorBidi" w:cstheme="majorBidi"/>
            <w:b/>
            <w:bCs/>
            <w:caps/>
            <w:noProof/>
            <w:webHidden/>
            <w:sz w:val="20"/>
            <w:szCs w:val="20"/>
            <w:lang w:val="en-CA" w:eastAsia="en-GB"/>
          </w:rPr>
          <w:fldChar w:fldCharType="separate"/>
        </w:r>
        <w:r w:rsidRPr="005F0A67">
          <w:rPr>
            <w:rFonts w:asciiTheme="majorBidi" w:eastAsia="Times New Roman" w:hAnsiTheme="majorBidi" w:cstheme="majorBidi"/>
            <w:b/>
            <w:bCs/>
            <w:caps/>
            <w:noProof/>
            <w:webHidden/>
            <w:sz w:val="20"/>
            <w:szCs w:val="20"/>
            <w:lang w:val="en-CA" w:eastAsia="en-GB"/>
          </w:rPr>
          <w:t>163</w:t>
        </w:r>
        <w:r w:rsidRPr="005F0A67">
          <w:rPr>
            <w:rFonts w:asciiTheme="majorBidi" w:eastAsia="Times New Roman" w:hAnsiTheme="majorBidi" w:cstheme="majorBidi"/>
            <w:b/>
            <w:bCs/>
            <w:caps/>
            <w:noProof/>
            <w:webHidden/>
            <w:sz w:val="20"/>
            <w:szCs w:val="20"/>
            <w:lang w:val="en-CA" w:eastAsia="en-GB"/>
          </w:rPr>
          <w:fldChar w:fldCharType="end"/>
        </w:r>
      </w:hyperlink>
    </w:p>
    <w:p w14:paraId="70BD15CB" w14:textId="77777777" w:rsidR="005F0A67" w:rsidRPr="005F0A67" w:rsidRDefault="005F0A67" w:rsidP="005F0A67">
      <w:pPr>
        <w:tabs>
          <w:tab w:val="clear" w:pos="567"/>
          <w:tab w:val="clear" w:pos="1134"/>
          <w:tab w:val="clear" w:pos="1701"/>
          <w:tab w:val="clear" w:pos="2268"/>
          <w:tab w:val="right" w:leader="dot" w:pos="9710"/>
        </w:tabs>
        <w:spacing w:before="120" w:after="120"/>
        <w:jc w:val="left"/>
        <w:rPr>
          <w:rFonts w:asciiTheme="majorBidi" w:eastAsia="Yu Mincho" w:hAnsiTheme="majorBidi" w:cstheme="majorBidi"/>
          <w:noProof/>
          <w:kern w:val="2"/>
          <w:sz w:val="24"/>
          <w:szCs w:val="24"/>
          <w:lang w:val="en-CA" w:eastAsia="zh-CN"/>
          <w14:ligatures w14:val="standardContextual"/>
        </w:rPr>
      </w:pPr>
      <w:hyperlink w:anchor="_Toc234579791" w:history="1">
        <w:r w:rsidRPr="005F0A67">
          <w:rPr>
            <w:rFonts w:asciiTheme="majorBidi" w:eastAsia="Times New Roman" w:hAnsiTheme="majorBidi" w:cstheme="majorBidi"/>
            <w:b/>
            <w:bCs/>
            <w:caps/>
            <w:noProof/>
            <w:color w:val="0563C1"/>
            <w:sz w:val="20"/>
            <w:szCs w:val="20"/>
            <w:u w:val="single"/>
            <w:lang w:val="en-CA" w:eastAsia="en-GB"/>
          </w:rPr>
          <w:t>Annex A: Methodological Notes</w:t>
        </w:r>
        <w:r w:rsidRPr="005F0A67">
          <w:rPr>
            <w:rFonts w:asciiTheme="majorBidi" w:eastAsia="Times New Roman" w:hAnsiTheme="majorBidi" w:cstheme="majorBidi"/>
            <w:b/>
            <w:bCs/>
            <w:caps/>
            <w:noProof/>
            <w:webHidden/>
            <w:sz w:val="20"/>
            <w:szCs w:val="20"/>
            <w:lang w:val="en-CA" w:eastAsia="en-GB"/>
          </w:rPr>
          <w:tab/>
        </w:r>
        <w:r w:rsidRPr="005F0A67">
          <w:rPr>
            <w:rFonts w:asciiTheme="majorBidi" w:eastAsia="Times New Roman" w:hAnsiTheme="majorBidi" w:cstheme="majorBidi"/>
            <w:b/>
            <w:bCs/>
            <w:caps/>
            <w:noProof/>
            <w:webHidden/>
            <w:sz w:val="20"/>
            <w:szCs w:val="20"/>
            <w:lang w:val="en-CA" w:eastAsia="en-GB"/>
          </w:rPr>
          <w:fldChar w:fldCharType="begin"/>
        </w:r>
        <w:r w:rsidRPr="005F0A67">
          <w:rPr>
            <w:rFonts w:asciiTheme="majorBidi" w:eastAsia="Times New Roman" w:hAnsiTheme="majorBidi" w:cstheme="majorBidi"/>
            <w:b/>
            <w:bCs/>
            <w:caps/>
            <w:noProof/>
            <w:webHidden/>
            <w:sz w:val="20"/>
            <w:szCs w:val="20"/>
            <w:lang w:val="en-CA" w:eastAsia="en-GB"/>
          </w:rPr>
          <w:instrText xml:space="preserve"> PAGEREF _Toc234579791 \h </w:instrText>
        </w:r>
        <w:r w:rsidRPr="005F0A67">
          <w:rPr>
            <w:rFonts w:asciiTheme="majorBidi" w:eastAsia="Times New Roman" w:hAnsiTheme="majorBidi" w:cstheme="majorBidi"/>
            <w:b/>
            <w:bCs/>
            <w:caps/>
            <w:noProof/>
            <w:webHidden/>
            <w:sz w:val="20"/>
            <w:szCs w:val="20"/>
            <w:lang w:val="en-CA" w:eastAsia="en-GB"/>
          </w:rPr>
        </w:r>
        <w:r w:rsidRPr="005F0A67">
          <w:rPr>
            <w:rFonts w:asciiTheme="majorBidi" w:eastAsia="Times New Roman" w:hAnsiTheme="majorBidi" w:cstheme="majorBidi"/>
            <w:b/>
            <w:bCs/>
            <w:caps/>
            <w:noProof/>
            <w:webHidden/>
            <w:sz w:val="20"/>
            <w:szCs w:val="20"/>
            <w:lang w:val="en-CA" w:eastAsia="en-GB"/>
          </w:rPr>
          <w:fldChar w:fldCharType="separate"/>
        </w:r>
        <w:r w:rsidRPr="005F0A67">
          <w:rPr>
            <w:rFonts w:asciiTheme="majorBidi" w:eastAsia="Times New Roman" w:hAnsiTheme="majorBidi" w:cstheme="majorBidi"/>
            <w:b/>
            <w:bCs/>
            <w:caps/>
            <w:noProof/>
            <w:webHidden/>
            <w:sz w:val="20"/>
            <w:szCs w:val="20"/>
            <w:lang w:val="en-CA" w:eastAsia="en-GB"/>
          </w:rPr>
          <w:t>184</w:t>
        </w:r>
        <w:r w:rsidRPr="005F0A67">
          <w:rPr>
            <w:rFonts w:asciiTheme="majorBidi" w:eastAsia="Times New Roman" w:hAnsiTheme="majorBidi" w:cstheme="majorBidi"/>
            <w:b/>
            <w:bCs/>
            <w:caps/>
            <w:noProof/>
            <w:webHidden/>
            <w:sz w:val="20"/>
            <w:szCs w:val="20"/>
            <w:lang w:val="en-CA" w:eastAsia="en-GB"/>
          </w:rPr>
          <w:fldChar w:fldCharType="end"/>
        </w:r>
      </w:hyperlink>
    </w:p>
    <w:p w14:paraId="20F9EF81" w14:textId="77777777" w:rsidR="005F0A67" w:rsidRPr="005F0A67" w:rsidRDefault="005F0A67" w:rsidP="005F0A67">
      <w:pPr>
        <w:tabs>
          <w:tab w:val="clear" w:pos="567"/>
          <w:tab w:val="clear" w:pos="1134"/>
          <w:tab w:val="clear" w:pos="1701"/>
          <w:tab w:val="clear" w:pos="2268"/>
          <w:tab w:val="right" w:leader="dot" w:pos="9710"/>
        </w:tabs>
        <w:spacing w:before="120" w:after="120"/>
        <w:jc w:val="left"/>
        <w:rPr>
          <w:rFonts w:asciiTheme="majorBidi" w:eastAsia="Yu Mincho" w:hAnsiTheme="majorBidi" w:cstheme="majorBidi"/>
          <w:noProof/>
          <w:kern w:val="2"/>
          <w:sz w:val="24"/>
          <w:szCs w:val="24"/>
          <w:lang w:val="en-CA" w:eastAsia="zh-CN"/>
          <w14:ligatures w14:val="standardContextual"/>
        </w:rPr>
      </w:pPr>
      <w:hyperlink w:anchor="_Toc234579792" w:history="1">
        <w:r w:rsidRPr="005F0A67">
          <w:rPr>
            <w:rFonts w:asciiTheme="majorBidi" w:eastAsia="Times New Roman" w:hAnsiTheme="majorBidi" w:cstheme="majorBidi"/>
            <w:b/>
            <w:bCs/>
            <w:caps/>
            <w:noProof/>
            <w:color w:val="0563C1"/>
            <w:sz w:val="20"/>
            <w:szCs w:val="20"/>
            <w:u w:val="single"/>
            <w:lang w:val="en-CA" w:eastAsia="en-GB"/>
          </w:rPr>
          <w:t>Annex B: Industry Consultation Questionnaire</w:t>
        </w:r>
        <w:r w:rsidRPr="005F0A67">
          <w:rPr>
            <w:rFonts w:asciiTheme="majorBidi" w:eastAsia="Times New Roman" w:hAnsiTheme="majorBidi" w:cstheme="majorBidi"/>
            <w:b/>
            <w:bCs/>
            <w:caps/>
            <w:noProof/>
            <w:webHidden/>
            <w:sz w:val="20"/>
            <w:szCs w:val="20"/>
            <w:lang w:val="en-CA" w:eastAsia="en-GB"/>
          </w:rPr>
          <w:tab/>
        </w:r>
        <w:r w:rsidRPr="005F0A67">
          <w:rPr>
            <w:rFonts w:asciiTheme="majorBidi" w:eastAsia="Times New Roman" w:hAnsiTheme="majorBidi" w:cstheme="majorBidi"/>
            <w:b/>
            <w:bCs/>
            <w:caps/>
            <w:noProof/>
            <w:webHidden/>
            <w:sz w:val="20"/>
            <w:szCs w:val="20"/>
            <w:lang w:val="en-CA" w:eastAsia="en-GB"/>
          </w:rPr>
          <w:fldChar w:fldCharType="begin"/>
        </w:r>
        <w:r w:rsidRPr="005F0A67">
          <w:rPr>
            <w:rFonts w:asciiTheme="majorBidi" w:eastAsia="Times New Roman" w:hAnsiTheme="majorBidi" w:cstheme="majorBidi"/>
            <w:b/>
            <w:bCs/>
            <w:caps/>
            <w:noProof/>
            <w:webHidden/>
            <w:sz w:val="20"/>
            <w:szCs w:val="20"/>
            <w:lang w:val="en-CA" w:eastAsia="en-GB"/>
          </w:rPr>
          <w:instrText xml:space="preserve"> PAGEREF _Toc234579792 \h </w:instrText>
        </w:r>
        <w:r w:rsidRPr="005F0A67">
          <w:rPr>
            <w:rFonts w:asciiTheme="majorBidi" w:eastAsia="Times New Roman" w:hAnsiTheme="majorBidi" w:cstheme="majorBidi"/>
            <w:b/>
            <w:bCs/>
            <w:caps/>
            <w:noProof/>
            <w:webHidden/>
            <w:sz w:val="20"/>
            <w:szCs w:val="20"/>
            <w:lang w:val="en-CA" w:eastAsia="en-GB"/>
          </w:rPr>
        </w:r>
        <w:r w:rsidRPr="005F0A67">
          <w:rPr>
            <w:rFonts w:asciiTheme="majorBidi" w:eastAsia="Times New Roman" w:hAnsiTheme="majorBidi" w:cstheme="majorBidi"/>
            <w:b/>
            <w:bCs/>
            <w:caps/>
            <w:noProof/>
            <w:webHidden/>
            <w:sz w:val="20"/>
            <w:szCs w:val="20"/>
            <w:lang w:val="en-CA" w:eastAsia="en-GB"/>
          </w:rPr>
          <w:fldChar w:fldCharType="separate"/>
        </w:r>
        <w:r w:rsidRPr="005F0A67">
          <w:rPr>
            <w:rFonts w:asciiTheme="majorBidi" w:eastAsia="Times New Roman" w:hAnsiTheme="majorBidi" w:cstheme="majorBidi"/>
            <w:b/>
            <w:bCs/>
            <w:caps/>
            <w:noProof/>
            <w:webHidden/>
            <w:sz w:val="20"/>
            <w:szCs w:val="20"/>
            <w:lang w:val="en-CA" w:eastAsia="en-GB"/>
          </w:rPr>
          <w:t>188</w:t>
        </w:r>
        <w:r w:rsidRPr="005F0A67">
          <w:rPr>
            <w:rFonts w:asciiTheme="majorBidi" w:eastAsia="Times New Roman" w:hAnsiTheme="majorBidi" w:cstheme="majorBidi"/>
            <w:b/>
            <w:bCs/>
            <w:caps/>
            <w:noProof/>
            <w:webHidden/>
            <w:sz w:val="20"/>
            <w:szCs w:val="20"/>
            <w:lang w:val="en-CA" w:eastAsia="en-GB"/>
          </w:rPr>
          <w:fldChar w:fldCharType="end"/>
        </w:r>
      </w:hyperlink>
    </w:p>
    <w:p w14:paraId="5B579425" w14:textId="18D9C5C7" w:rsidR="005F0A67" w:rsidRPr="005F0A67" w:rsidRDefault="005F0A67" w:rsidP="005A6E13">
      <w:pPr>
        <w:tabs>
          <w:tab w:val="clear" w:pos="567"/>
          <w:tab w:val="clear" w:pos="1134"/>
          <w:tab w:val="clear" w:pos="1701"/>
          <w:tab w:val="clear" w:pos="2268"/>
        </w:tabs>
        <w:jc w:val="left"/>
        <w:rPr>
          <w:rFonts w:asciiTheme="majorBidi" w:eastAsia="Arial" w:hAnsiTheme="majorBidi" w:cstheme="majorBidi"/>
          <w:color w:val="1A1A1A"/>
          <w:sz w:val="28"/>
          <w:szCs w:val="28"/>
          <w:lang w:val="en-CA" w:eastAsia="en-GB"/>
        </w:rPr>
      </w:pPr>
      <w:r w:rsidRPr="005F0A67">
        <w:rPr>
          <w:rFonts w:asciiTheme="majorBidi" w:eastAsia="Times New Roman" w:hAnsiTheme="majorBidi" w:cstheme="majorBidi"/>
          <w:sz w:val="24"/>
          <w:szCs w:val="24"/>
          <w:lang w:val="en-CA" w:eastAsia="en-GB"/>
        </w:rPr>
        <w:fldChar w:fldCharType="end"/>
      </w:r>
    </w:p>
    <w:p w14:paraId="49DB3BDD" w14:textId="77777777" w:rsidR="005F0A67" w:rsidRPr="005F0A67" w:rsidRDefault="005F0A67" w:rsidP="005F0A67">
      <w:pPr>
        <w:pBdr>
          <w:bottom w:val="single" w:sz="2" w:space="6" w:color="D9D9D9"/>
        </w:pBdr>
        <w:tabs>
          <w:tab w:val="clear" w:pos="567"/>
          <w:tab w:val="clear" w:pos="1134"/>
          <w:tab w:val="clear" w:pos="1701"/>
          <w:tab w:val="clear" w:pos="2268"/>
        </w:tabs>
        <w:spacing w:before="400" w:after="60"/>
        <w:jc w:val="left"/>
        <w:outlineLvl w:val="0"/>
        <w:rPr>
          <w:rFonts w:asciiTheme="majorBidi" w:eastAsia="Arial" w:hAnsiTheme="majorBidi" w:cstheme="majorBidi"/>
          <w:b/>
          <w:bCs/>
          <w:color w:val="1A1A1A"/>
          <w:sz w:val="28"/>
          <w:szCs w:val="28"/>
          <w:lang w:val="en-CA" w:eastAsia="en-GB"/>
        </w:rPr>
      </w:pPr>
      <w:bookmarkStart w:id="0" w:name="_Toc234579521"/>
      <w:bookmarkStart w:id="1" w:name="_Toc234579780"/>
      <w:r w:rsidRPr="005F0A67">
        <w:rPr>
          <w:rFonts w:asciiTheme="majorBidi" w:eastAsia="Arial" w:hAnsiTheme="majorBidi" w:cstheme="majorBidi"/>
          <w:b/>
          <w:bCs/>
          <w:color w:val="1A1A1A"/>
          <w:sz w:val="28"/>
          <w:szCs w:val="28"/>
          <w:lang w:val="en-CA" w:eastAsia="en-GB"/>
        </w:rPr>
        <w:t>Acronyms</w:t>
      </w:r>
      <w:bookmarkEnd w:id="0"/>
      <w:bookmarkEnd w:id="1"/>
    </w:p>
    <w:p w14:paraId="7A9460C1" w14:textId="77777777" w:rsidR="005F0A67" w:rsidRPr="005F0A67" w:rsidRDefault="005F0A67" w:rsidP="005F0A67">
      <w:pPr>
        <w:tabs>
          <w:tab w:val="clear" w:pos="567"/>
          <w:tab w:val="clear" w:pos="1134"/>
          <w:tab w:val="clear" w:pos="1701"/>
          <w:tab w:val="clear" w:pos="2268"/>
        </w:tabs>
        <w:spacing w:after="120"/>
        <w:rPr>
          <w:rFonts w:asciiTheme="majorBidi" w:eastAsia="Times New Roman" w:hAnsiTheme="majorBidi" w:cstheme="majorBidi"/>
          <w:sz w:val="21"/>
          <w:szCs w:val="21"/>
          <w:lang w:val="en-CA" w:eastAsia="en-GB"/>
        </w:rPr>
      </w:pPr>
      <w:r w:rsidRPr="005F0A67">
        <w:rPr>
          <w:rFonts w:asciiTheme="majorBidi" w:eastAsia="Times New Roman" w:hAnsiTheme="majorBidi" w:cstheme="majorBidi"/>
          <w:sz w:val="21"/>
          <w:szCs w:val="21"/>
          <w:lang w:val="en-CA" w:eastAsia="en-GB"/>
        </w:rPr>
        <w:t xml:space="preserve">This study uses acronyms listed below: </w:t>
      </w:r>
    </w:p>
    <w:p w14:paraId="2950B34B" w14:textId="77777777" w:rsidR="005F0A67" w:rsidRPr="005F0A67" w:rsidRDefault="005F0A67" w:rsidP="005F0A67">
      <w:pPr>
        <w:tabs>
          <w:tab w:val="clear" w:pos="567"/>
          <w:tab w:val="clear" w:pos="1134"/>
          <w:tab w:val="clear" w:pos="1701"/>
          <w:tab w:val="clear" w:pos="2268"/>
        </w:tabs>
        <w:spacing w:after="120"/>
        <w:rPr>
          <w:rFonts w:asciiTheme="majorBidi" w:eastAsia="Times New Roman" w:hAnsiTheme="majorBidi" w:cstheme="majorBidi"/>
          <w:sz w:val="21"/>
          <w:szCs w:val="21"/>
          <w:lang w:val="en-CA" w:eastAsia="en-GB"/>
        </w:rPr>
      </w:pPr>
      <w:r w:rsidRPr="005F0A67">
        <w:rPr>
          <w:rFonts w:asciiTheme="majorBidi" w:eastAsia="Times New Roman" w:hAnsiTheme="majorBidi" w:cstheme="majorBidi"/>
          <w:b/>
          <w:bCs/>
          <w:sz w:val="21"/>
          <w:szCs w:val="21"/>
          <w:lang w:val="en-CA" w:eastAsia="en-GB"/>
        </w:rPr>
        <w:t>ABS:</w:t>
      </w:r>
      <w:r w:rsidRPr="005F0A67">
        <w:rPr>
          <w:rFonts w:asciiTheme="majorBidi" w:eastAsia="Times New Roman" w:hAnsiTheme="majorBidi" w:cstheme="majorBidi"/>
          <w:sz w:val="21"/>
          <w:szCs w:val="21"/>
          <w:lang w:val="en-CA" w:eastAsia="en-GB"/>
        </w:rPr>
        <w:t xml:space="preserve"> Access and Benefit Sharing</w:t>
      </w:r>
    </w:p>
    <w:p w14:paraId="17FAFC5F" w14:textId="77777777" w:rsidR="005F0A67" w:rsidRPr="005F0A67" w:rsidRDefault="005F0A67" w:rsidP="005F0A67">
      <w:pPr>
        <w:tabs>
          <w:tab w:val="clear" w:pos="567"/>
          <w:tab w:val="clear" w:pos="1134"/>
          <w:tab w:val="clear" w:pos="1701"/>
          <w:tab w:val="clear" w:pos="2268"/>
        </w:tabs>
        <w:spacing w:after="120"/>
        <w:rPr>
          <w:rFonts w:asciiTheme="majorBidi" w:eastAsia="Times New Roman" w:hAnsiTheme="majorBidi" w:cstheme="majorBidi"/>
          <w:sz w:val="21"/>
          <w:szCs w:val="21"/>
          <w:lang w:val="en-CA" w:eastAsia="en-GB"/>
        </w:rPr>
      </w:pPr>
      <w:r w:rsidRPr="005F0A67">
        <w:rPr>
          <w:rFonts w:asciiTheme="majorBidi" w:eastAsia="Times New Roman" w:hAnsiTheme="majorBidi" w:cstheme="majorBidi"/>
          <w:b/>
          <w:bCs/>
          <w:sz w:val="21"/>
          <w:szCs w:val="21"/>
          <w:lang w:val="en-CA" w:eastAsia="en-GB"/>
        </w:rPr>
        <w:t>AHTEG:</w:t>
      </w:r>
      <w:r w:rsidRPr="005F0A67">
        <w:rPr>
          <w:rFonts w:asciiTheme="majorBidi" w:eastAsia="Times New Roman" w:hAnsiTheme="majorBidi" w:cstheme="majorBidi"/>
          <w:sz w:val="21"/>
          <w:szCs w:val="21"/>
          <w:lang w:val="en-CA" w:eastAsia="en-GB"/>
        </w:rPr>
        <w:t xml:space="preserve"> ad hoc technical expert group</w:t>
      </w:r>
    </w:p>
    <w:p w14:paraId="12B07DDD" w14:textId="77777777" w:rsidR="005F0A67" w:rsidRPr="005F0A67" w:rsidRDefault="005F0A67" w:rsidP="005F0A67">
      <w:pPr>
        <w:tabs>
          <w:tab w:val="clear" w:pos="567"/>
          <w:tab w:val="clear" w:pos="1134"/>
          <w:tab w:val="clear" w:pos="1701"/>
          <w:tab w:val="clear" w:pos="2268"/>
        </w:tabs>
        <w:spacing w:after="120"/>
        <w:rPr>
          <w:rFonts w:asciiTheme="majorBidi" w:eastAsia="Times New Roman" w:hAnsiTheme="majorBidi" w:cstheme="majorBidi"/>
          <w:b/>
          <w:bCs/>
          <w:sz w:val="21"/>
          <w:szCs w:val="21"/>
          <w:lang w:val="en-CA" w:eastAsia="en-GB"/>
        </w:rPr>
      </w:pPr>
      <w:r w:rsidRPr="005F0A67">
        <w:rPr>
          <w:rFonts w:asciiTheme="majorBidi" w:eastAsia="Times New Roman" w:hAnsiTheme="majorBidi" w:cstheme="majorBidi"/>
          <w:b/>
          <w:bCs/>
          <w:sz w:val="21"/>
          <w:szCs w:val="21"/>
          <w:lang w:val="en-CA" w:eastAsia="en-GB"/>
        </w:rPr>
        <w:t xml:space="preserve">BBNJ: </w:t>
      </w:r>
      <w:r w:rsidRPr="005F0A67">
        <w:rPr>
          <w:rFonts w:asciiTheme="majorBidi" w:eastAsia="Times New Roman" w:hAnsiTheme="majorBidi" w:cstheme="majorBidi"/>
          <w:sz w:val="21"/>
          <w:szCs w:val="21"/>
          <w:lang w:val="en-CA" w:eastAsia="en-GB"/>
        </w:rPr>
        <w:t xml:space="preserve">Agreement under the United Nations Convention on the Law of the Sea on the Conservation and Sustainable Use of Marine Biological Diversity of Areas beyond National Jurisdiction </w:t>
      </w:r>
    </w:p>
    <w:p w14:paraId="17D9475A" w14:textId="77777777" w:rsidR="005F0A67" w:rsidRPr="005F0A67" w:rsidRDefault="005F0A67" w:rsidP="005F0A67">
      <w:pPr>
        <w:tabs>
          <w:tab w:val="clear" w:pos="567"/>
          <w:tab w:val="clear" w:pos="1134"/>
          <w:tab w:val="clear" w:pos="1701"/>
          <w:tab w:val="clear" w:pos="2268"/>
        </w:tabs>
        <w:spacing w:after="120"/>
        <w:rPr>
          <w:rFonts w:asciiTheme="majorBidi" w:eastAsia="Times New Roman" w:hAnsiTheme="majorBidi" w:cstheme="majorBidi"/>
          <w:b/>
          <w:bCs/>
          <w:sz w:val="21"/>
          <w:szCs w:val="21"/>
          <w:lang w:val="en-CA" w:eastAsia="en-GB"/>
        </w:rPr>
      </w:pPr>
      <w:r w:rsidRPr="005F0A67">
        <w:rPr>
          <w:rFonts w:asciiTheme="majorBidi" w:eastAsia="Times New Roman" w:hAnsiTheme="majorBidi" w:cstheme="majorBidi"/>
          <w:b/>
          <w:bCs/>
          <w:sz w:val="21"/>
          <w:szCs w:val="21"/>
          <w:lang w:val="en-CA" w:eastAsia="en-GB"/>
        </w:rPr>
        <w:t xml:space="preserve">BSF: </w:t>
      </w:r>
      <w:r w:rsidRPr="005F0A67">
        <w:rPr>
          <w:rFonts w:asciiTheme="majorBidi" w:eastAsia="Times New Roman" w:hAnsiTheme="majorBidi" w:cstheme="majorBidi"/>
          <w:sz w:val="21"/>
          <w:szCs w:val="21"/>
          <w:lang w:val="en-CA" w:eastAsia="en-GB"/>
        </w:rPr>
        <w:t>Benefit-sharing Fund</w:t>
      </w:r>
    </w:p>
    <w:p w14:paraId="059306CA" w14:textId="77777777" w:rsidR="005F0A67" w:rsidRPr="005F0A67" w:rsidRDefault="005F0A67" w:rsidP="005F0A67">
      <w:pPr>
        <w:tabs>
          <w:tab w:val="clear" w:pos="567"/>
          <w:tab w:val="clear" w:pos="1134"/>
          <w:tab w:val="clear" w:pos="1701"/>
          <w:tab w:val="clear" w:pos="2268"/>
        </w:tabs>
        <w:spacing w:after="120"/>
        <w:rPr>
          <w:rFonts w:asciiTheme="majorBidi" w:eastAsia="Times New Roman" w:hAnsiTheme="majorBidi" w:cstheme="majorBidi"/>
          <w:sz w:val="21"/>
          <w:szCs w:val="21"/>
          <w:lang w:val="en-CA" w:eastAsia="en-GB"/>
        </w:rPr>
      </w:pPr>
      <w:r w:rsidRPr="005F0A67">
        <w:rPr>
          <w:rFonts w:asciiTheme="majorBidi" w:eastAsia="Times New Roman" w:hAnsiTheme="majorBidi" w:cstheme="majorBidi"/>
          <w:b/>
          <w:bCs/>
          <w:sz w:val="21"/>
          <w:szCs w:val="21"/>
          <w:lang w:val="en-CA" w:eastAsia="en-GB"/>
        </w:rPr>
        <w:t>CBD:</w:t>
      </w:r>
      <w:r w:rsidRPr="005F0A67">
        <w:rPr>
          <w:rFonts w:asciiTheme="majorBidi" w:eastAsia="Times New Roman" w:hAnsiTheme="majorBidi" w:cstheme="majorBidi"/>
          <w:sz w:val="21"/>
          <w:szCs w:val="21"/>
          <w:lang w:val="en-CA" w:eastAsia="en-GB"/>
        </w:rPr>
        <w:t xml:space="preserve"> Convention on Biological Diversity </w:t>
      </w:r>
    </w:p>
    <w:p w14:paraId="7478249C" w14:textId="77777777" w:rsidR="005F0A67" w:rsidRPr="005F0A67" w:rsidRDefault="005F0A67" w:rsidP="005F0A67">
      <w:pPr>
        <w:tabs>
          <w:tab w:val="clear" w:pos="567"/>
          <w:tab w:val="clear" w:pos="1134"/>
          <w:tab w:val="clear" w:pos="1701"/>
          <w:tab w:val="clear" w:pos="2268"/>
        </w:tabs>
        <w:spacing w:after="120"/>
        <w:rPr>
          <w:rFonts w:asciiTheme="majorBidi" w:eastAsia="Times New Roman" w:hAnsiTheme="majorBidi" w:cstheme="majorBidi"/>
          <w:sz w:val="21"/>
          <w:szCs w:val="21"/>
          <w:lang w:val="en-CA" w:eastAsia="en-GB"/>
        </w:rPr>
      </w:pPr>
      <w:r w:rsidRPr="005F0A67">
        <w:rPr>
          <w:rFonts w:asciiTheme="majorBidi" w:eastAsia="Times New Roman" w:hAnsiTheme="majorBidi" w:cstheme="majorBidi"/>
          <w:b/>
          <w:bCs/>
          <w:sz w:val="21"/>
          <w:szCs w:val="21"/>
          <w:lang w:val="en-CA" w:eastAsia="en-GB"/>
        </w:rPr>
        <w:t>COP:</w:t>
      </w:r>
      <w:r w:rsidRPr="005F0A67">
        <w:rPr>
          <w:rFonts w:asciiTheme="majorBidi" w:eastAsia="Times New Roman" w:hAnsiTheme="majorBidi" w:cstheme="majorBidi"/>
          <w:sz w:val="21"/>
          <w:szCs w:val="21"/>
          <w:lang w:val="en-CA" w:eastAsia="en-GB"/>
        </w:rPr>
        <w:t xml:space="preserve"> Conference of the Parties </w:t>
      </w:r>
    </w:p>
    <w:p w14:paraId="40215B79" w14:textId="77777777" w:rsidR="005F0A67" w:rsidRPr="005F0A67" w:rsidRDefault="005F0A67" w:rsidP="005F0A67">
      <w:pPr>
        <w:tabs>
          <w:tab w:val="clear" w:pos="567"/>
          <w:tab w:val="clear" w:pos="1134"/>
          <w:tab w:val="clear" w:pos="1701"/>
          <w:tab w:val="clear" w:pos="2268"/>
        </w:tabs>
        <w:spacing w:after="120"/>
        <w:rPr>
          <w:rFonts w:asciiTheme="majorBidi" w:eastAsia="Times New Roman" w:hAnsiTheme="majorBidi" w:cstheme="majorBidi"/>
          <w:sz w:val="21"/>
          <w:szCs w:val="21"/>
          <w:lang w:val="en-CA" w:eastAsia="en-GB"/>
        </w:rPr>
      </w:pPr>
      <w:r w:rsidRPr="005F0A67">
        <w:rPr>
          <w:rFonts w:asciiTheme="majorBidi" w:eastAsia="Times New Roman" w:hAnsiTheme="majorBidi" w:cstheme="majorBidi"/>
          <w:b/>
          <w:bCs/>
          <w:sz w:val="21"/>
          <w:szCs w:val="21"/>
          <w:lang w:val="en-CA" w:eastAsia="en-GB"/>
        </w:rPr>
        <w:t>DSI:</w:t>
      </w:r>
      <w:r w:rsidRPr="005F0A67">
        <w:rPr>
          <w:rFonts w:asciiTheme="majorBidi" w:eastAsia="Times New Roman" w:hAnsiTheme="majorBidi" w:cstheme="majorBidi"/>
          <w:sz w:val="21"/>
          <w:szCs w:val="21"/>
          <w:lang w:val="en-CA" w:eastAsia="en-GB"/>
        </w:rPr>
        <w:t xml:space="preserve"> Digital sequence information on genetic resources </w:t>
      </w:r>
    </w:p>
    <w:p w14:paraId="5ABF12E3" w14:textId="77777777" w:rsidR="005F0A67" w:rsidRPr="005F0A67" w:rsidRDefault="005F0A67" w:rsidP="005F0A67">
      <w:pPr>
        <w:tabs>
          <w:tab w:val="clear" w:pos="567"/>
          <w:tab w:val="clear" w:pos="1134"/>
          <w:tab w:val="clear" w:pos="1701"/>
          <w:tab w:val="clear" w:pos="2268"/>
        </w:tabs>
        <w:spacing w:after="120"/>
        <w:rPr>
          <w:rFonts w:asciiTheme="majorBidi" w:eastAsia="Times New Roman" w:hAnsiTheme="majorBidi" w:cstheme="majorBidi"/>
          <w:sz w:val="21"/>
          <w:szCs w:val="21"/>
          <w:lang w:val="en-CA" w:eastAsia="en-GB"/>
        </w:rPr>
      </w:pPr>
      <w:r w:rsidRPr="005F0A67">
        <w:rPr>
          <w:rFonts w:asciiTheme="majorBidi" w:eastAsia="Times New Roman" w:hAnsiTheme="majorBidi" w:cstheme="majorBidi"/>
          <w:b/>
          <w:bCs/>
          <w:sz w:val="21"/>
          <w:szCs w:val="21"/>
          <w:lang w:val="en-CA" w:eastAsia="en-GB"/>
        </w:rPr>
        <w:t xml:space="preserve">ETS: </w:t>
      </w:r>
      <w:r w:rsidRPr="005F0A67">
        <w:rPr>
          <w:rFonts w:asciiTheme="majorBidi" w:eastAsia="Times New Roman" w:hAnsiTheme="majorBidi" w:cstheme="majorBidi"/>
          <w:sz w:val="21"/>
          <w:szCs w:val="21"/>
          <w:lang w:val="en-CA" w:eastAsia="en-GB"/>
        </w:rPr>
        <w:t>European Union Emissions Trading System</w:t>
      </w:r>
    </w:p>
    <w:p w14:paraId="6F4477D0" w14:textId="77777777" w:rsidR="005F0A67" w:rsidRPr="005F0A67" w:rsidRDefault="005F0A67" w:rsidP="005F0A67">
      <w:pPr>
        <w:tabs>
          <w:tab w:val="clear" w:pos="567"/>
          <w:tab w:val="clear" w:pos="1134"/>
          <w:tab w:val="clear" w:pos="1701"/>
          <w:tab w:val="clear" w:pos="2268"/>
        </w:tabs>
        <w:spacing w:after="120"/>
        <w:rPr>
          <w:rFonts w:asciiTheme="majorBidi" w:eastAsia="Times New Roman" w:hAnsiTheme="majorBidi" w:cstheme="majorBidi"/>
          <w:sz w:val="21"/>
          <w:szCs w:val="21"/>
          <w:lang w:val="en-CA" w:eastAsia="en-GB"/>
        </w:rPr>
      </w:pPr>
      <w:r w:rsidRPr="005F0A67">
        <w:rPr>
          <w:rFonts w:asciiTheme="majorBidi" w:eastAsia="Times New Roman" w:hAnsiTheme="majorBidi" w:cstheme="majorBidi"/>
          <w:b/>
          <w:bCs/>
          <w:sz w:val="21"/>
          <w:szCs w:val="21"/>
          <w:lang w:val="en-CA" w:eastAsia="en-GB"/>
        </w:rPr>
        <w:t xml:space="preserve">GISRS: </w:t>
      </w:r>
      <w:r w:rsidRPr="005F0A67">
        <w:rPr>
          <w:rFonts w:asciiTheme="majorBidi" w:eastAsia="Times New Roman" w:hAnsiTheme="majorBidi" w:cstheme="majorBidi"/>
          <w:sz w:val="21"/>
          <w:szCs w:val="21"/>
          <w:lang w:val="en-CA" w:eastAsia="en-GB"/>
        </w:rPr>
        <w:t>Global Influenza Surveillance and Response System</w:t>
      </w:r>
    </w:p>
    <w:p w14:paraId="30B54F3D" w14:textId="77777777" w:rsidR="005F0A67" w:rsidRPr="005F0A67" w:rsidRDefault="005F0A67" w:rsidP="005F0A67">
      <w:pPr>
        <w:tabs>
          <w:tab w:val="clear" w:pos="567"/>
          <w:tab w:val="clear" w:pos="1134"/>
          <w:tab w:val="clear" w:pos="1701"/>
          <w:tab w:val="clear" w:pos="2268"/>
        </w:tabs>
        <w:spacing w:after="120"/>
        <w:rPr>
          <w:rFonts w:asciiTheme="majorBidi" w:eastAsia="Times New Roman" w:hAnsiTheme="majorBidi" w:cstheme="majorBidi"/>
          <w:sz w:val="21"/>
          <w:szCs w:val="21"/>
          <w:lang w:val="en-CA" w:eastAsia="en-GB"/>
        </w:rPr>
      </w:pPr>
      <w:r w:rsidRPr="005F0A67">
        <w:rPr>
          <w:rFonts w:asciiTheme="majorBidi" w:eastAsia="Times New Roman" w:hAnsiTheme="majorBidi" w:cstheme="majorBidi"/>
          <w:b/>
          <w:bCs/>
          <w:sz w:val="21"/>
          <w:szCs w:val="21"/>
          <w:lang w:val="en-CA" w:eastAsia="en-GB"/>
        </w:rPr>
        <w:t>GBIF:</w:t>
      </w:r>
      <w:r w:rsidRPr="005F0A67">
        <w:rPr>
          <w:rFonts w:asciiTheme="majorBidi" w:eastAsia="Times New Roman" w:hAnsiTheme="majorBidi" w:cstheme="majorBidi"/>
          <w:sz w:val="21"/>
          <w:szCs w:val="21"/>
          <w:lang w:val="en-CA" w:eastAsia="en-GB"/>
        </w:rPr>
        <w:t xml:space="preserve"> Global Biodiversity Information Facility </w:t>
      </w:r>
    </w:p>
    <w:p w14:paraId="36ADA78F" w14:textId="77777777" w:rsidR="005F0A67" w:rsidRPr="005F0A67" w:rsidRDefault="005F0A67" w:rsidP="005F0A67">
      <w:pPr>
        <w:tabs>
          <w:tab w:val="clear" w:pos="567"/>
          <w:tab w:val="clear" w:pos="1134"/>
          <w:tab w:val="clear" w:pos="1701"/>
          <w:tab w:val="clear" w:pos="2268"/>
        </w:tabs>
        <w:spacing w:after="120"/>
        <w:rPr>
          <w:rFonts w:asciiTheme="majorBidi" w:eastAsia="Times New Roman" w:hAnsiTheme="majorBidi" w:cstheme="majorBidi"/>
          <w:sz w:val="21"/>
          <w:szCs w:val="21"/>
          <w:lang w:val="en-CA" w:eastAsia="en-GB"/>
        </w:rPr>
      </w:pPr>
      <w:r w:rsidRPr="005F0A67">
        <w:rPr>
          <w:rFonts w:asciiTheme="majorBidi" w:eastAsia="Times New Roman" w:hAnsiTheme="majorBidi" w:cstheme="majorBidi"/>
          <w:b/>
          <w:bCs/>
          <w:sz w:val="21"/>
          <w:szCs w:val="21"/>
          <w:lang w:val="en-CA" w:eastAsia="en-GB"/>
        </w:rPr>
        <w:t xml:space="preserve">IFC: </w:t>
      </w:r>
      <w:r w:rsidRPr="005F0A67">
        <w:rPr>
          <w:rFonts w:asciiTheme="majorBidi" w:eastAsia="Times New Roman" w:hAnsiTheme="majorBidi" w:cstheme="majorBidi"/>
          <w:sz w:val="21"/>
          <w:szCs w:val="21"/>
          <w:lang w:val="en-CA" w:eastAsia="en-GB"/>
        </w:rPr>
        <w:t>International Finance Corporation</w:t>
      </w:r>
    </w:p>
    <w:p w14:paraId="3F01EEF8" w14:textId="77777777" w:rsidR="005F0A67" w:rsidRPr="005F0A67" w:rsidRDefault="005F0A67" w:rsidP="005F0A67">
      <w:pPr>
        <w:tabs>
          <w:tab w:val="clear" w:pos="567"/>
          <w:tab w:val="clear" w:pos="1134"/>
          <w:tab w:val="clear" w:pos="1701"/>
          <w:tab w:val="clear" w:pos="2268"/>
        </w:tabs>
        <w:spacing w:after="120"/>
        <w:rPr>
          <w:rFonts w:asciiTheme="majorBidi" w:eastAsia="Times New Roman" w:hAnsiTheme="majorBidi" w:cstheme="majorBidi"/>
          <w:sz w:val="21"/>
          <w:szCs w:val="21"/>
          <w:lang w:val="en-CA" w:eastAsia="en-GB"/>
        </w:rPr>
      </w:pPr>
      <w:r w:rsidRPr="005F0A67">
        <w:rPr>
          <w:rFonts w:asciiTheme="majorBidi" w:eastAsia="Times New Roman" w:hAnsiTheme="majorBidi" w:cstheme="majorBidi"/>
          <w:b/>
          <w:bCs/>
          <w:sz w:val="21"/>
          <w:szCs w:val="21"/>
          <w:lang w:val="en-CA" w:eastAsia="en-GB"/>
        </w:rPr>
        <w:lastRenderedPageBreak/>
        <w:t>INSDC:</w:t>
      </w:r>
      <w:r w:rsidRPr="005F0A67">
        <w:rPr>
          <w:rFonts w:asciiTheme="majorBidi" w:eastAsia="Times New Roman" w:hAnsiTheme="majorBidi" w:cstheme="majorBidi"/>
          <w:sz w:val="21"/>
          <w:szCs w:val="21"/>
          <w:lang w:val="en-CA" w:eastAsia="en-GB"/>
        </w:rPr>
        <w:t xml:space="preserve"> International Nucleotide Sequence Database Collaboration </w:t>
      </w:r>
    </w:p>
    <w:p w14:paraId="483967A6" w14:textId="77777777" w:rsidR="005F0A67" w:rsidRPr="005F0A67" w:rsidRDefault="005F0A67" w:rsidP="005F0A67">
      <w:pPr>
        <w:tabs>
          <w:tab w:val="clear" w:pos="567"/>
          <w:tab w:val="clear" w:pos="1134"/>
          <w:tab w:val="clear" w:pos="1701"/>
          <w:tab w:val="clear" w:pos="2268"/>
        </w:tabs>
        <w:spacing w:after="120"/>
        <w:rPr>
          <w:rFonts w:asciiTheme="majorBidi" w:eastAsia="Times New Roman" w:hAnsiTheme="majorBidi" w:cstheme="majorBidi"/>
          <w:sz w:val="21"/>
          <w:szCs w:val="21"/>
          <w:lang w:val="en-CA" w:eastAsia="en-GB"/>
        </w:rPr>
      </w:pPr>
      <w:r w:rsidRPr="005F0A67">
        <w:rPr>
          <w:rFonts w:asciiTheme="majorBidi" w:eastAsia="Times New Roman" w:hAnsiTheme="majorBidi" w:cstheme="majorBidi"/>
          <w:b/>
          <w:bCs/>
          <w:sz w:val="21"/>
          <w:szCs w:val="21"/>
          <w:lang w:val="en-CA" w:eastAsia="en-GB"/>
        </w:rPr>
        <w:t>IP:</w:t>
      </w:r>
      <w:r w:rsidRPr="005F0A67">
        <w:rPr>
          <w:rFonts w:asciiTheme="majorBidi" w:eastAsia="Times New Roman" w:hAnsiTheme="majorBidi" w:cstheme="majorBidi"/>
          <w:sz w:val="21"/>
          <w:szCs w:val="21"/>
          <w:lang w:val="en-CA" w:eastAsia="en-GB"/>
        </w:rPr>
        <w:t xml:space="preserve"> Intellectual property</w:t>
      </w:r>
    </w:p>
    <w:p w14:paraId="5D4A370D" w14:textId="77777777" w:rsidR="005F0A67" w:rsidRPr="005F0A67" w:rsidRDefault="005F0A67" w:rsidP="005F0A67">
      <w:pPr>
        <w:tabs>
          <w:tab w:val="clear" w:pos="567"/>
          <w:tab w:val="clear" w:pos="1134"/>
          <w:tab w:val="clear" w:pos="1701"/>
          <w:tab w:val="clear" w:pos="2268"/>
        </w:tabs>
        <w:spacing w:after="120"/>
        <w:rPr>
          <w:rFonts w:asciiTheme="majorBidi" w:eastAsia="Times New Roman" w:hAnsiTheme="majorBidi" w:cstheme="majorBidi"/>
          <w:b/>
          <w:bCs/>
          <w:sz w:val="21"/>
          <w:szCs w:val="21"/>
          <w:lang w:val="en-CA" w:eastAsia="en-GB"/>
        </w:rPr>
      </w:pPr>
      <w:r w:rsidRPr="005F0A67">
        <w:rPr>
          <w:rFonts w:asciiTheme="majorBidi" w:eastAsia="Times New Roman" w:hAnsiTheme="majorBidi" w:cstheme="majorBidi"/>
          <w:b/>
          <w:bCs/>
          <w:sz w:val="21"/>
          <w:szCs w:val="21"/>
          <w:lang w:val="en-CA" w:eastAsia="en-GB"/>
        </w:rPr>
        <w:t xml:space="preserve">ISA: </w:t>
      </w:r>
      <w:r w:rsidRPr="005F0A67">
        <w:rPr>
          <w:rFonts w:asciiTheme="majorBidi" w:eastAsia="Times New Roman" w:hAnsiTheme="majorBidi" w:cstheme="majorBidi"/>
          <w:sz w:val="21"/>
          <w:szCs w:val="21"/>
          <w:lang w:val="en-CA" w:eastAsia="en-GB"/>
        </w:rPr>
        <w:t>International Seabed Authority</w:t>
      </w:r>
    </w:p>
    <w:p w14:paraId="032ECF35" w14:textId="77777777" w:rsidR="005F0A67" w:rsidRPr="005F0A67" w:rsidRDefault="005F0A67" w:rsidP="005F0A67">
      <w:pPr>
        <w:tabs>
          <w:tab w:val="clear" w:pos="567"/>
          <w:tab w:val="clear" w:pos="1134"/>
          <w:tab w:val="clear" w:pos="1701"/>
          <w:tab w:val="clear" w:pos="2268"/>
        </w:tabs>
        <w:spacing w:after="120"/>
        <w:rPr>
          <w:rFonts w:asciiTheme="majorBidi" w:eastAsia="Times New Roman" w:hAnsiTheme="majorBidi" w:cstheme="majorBidi"/>
          <w:sz w:val="21"/>
          <w:szCs w:val="21"/>
          <w:lang w:val="en-CA" w:eastAsia="en-GB"/>
        </w:rPr>
      </w:pPr>
      <w:r w:rsidRPr="005F0A67">
        <w:rPr>
          <w:rFonts w:asciiTheme="majorBidi" w:eastAsia="Times New Roman" w:hAnsiTheme="majorBidi" w:cstheme="majorBidi"/>
          <w:b/>
          <w:bCs/>
          <w:sz w:val="21"/>
          <w:szCs w:val="21"/>
          <w:lang w:val="en-CA" w:eastAsia="en-GB"/>
        </w:rPr>
        <w:t>ITPGRFA:</w:t>
      </w:r>
      <w:r w:rsidRPr="005F0A67">
        <w:rPr>
          <w:rFonts w:asciiTheme="majorBidi" w:eastAsia="Times New Roman" w:hAnsiTheme="majorBidi" w:cstheme="majorBidi"/>
          <w:sz w:val="21"/>
          <w:szCs w:val="21"/>
          <w:lang w:val="en-CA" w:eastAsia="en-GB"/>
        </w:rPr>
        <w:t xml:space="preserve"> International Treaty on Plant Genetic Resources for Food and Agriculture</w:t>
      </w:r>
    </w:p>
    <w:p w14:paraId="35CFE3CB" w14:textId="77777777" w:rsidR="005F0A67" w:rsidRPr="005F0A67" w:rsidRDefault="005F0A67" w:rsidP="005F0A67">
      <w:pPr>
        <w:tabs>
          <w:tab w:val="clear" w:pos="567"/>
          <w:tab w:val="clear" w:pos="1134"/>
          <w:tab w:val="clear" w:pos="1701"/>
          <w:tab w:val="clear" w:pos="2268"/>
        </w:tabs>
        <w:spacing w:after="120"/>
        <w:rPr>
          <w:rFonts w:asciiTheme="majorBidi" w:eastAsia="Times New Roman" w:hAnsiTheme="majorBidi" w:cstheme="majorBidi"/>
          <w:sz w:val="21"/>
          <w:szCs w:val="21"/>
          <w:lang w:val="en-CA" w:eastAsia="en-GB"/>
        </w:rPr>
      </w:pPr>
      <w:r w:rsidRPr="005F0A67">
        <w:rPr>
          <w:rFonts w:asciiTheme="majorBidi" w:eastAsia="Times New Roman" w:hAnsiTheme="majorBidi" w:cstheme="majorBidi"/>
          <w:b/>
          <w:bCs/>
          <w:sz w:val="21"/>
          <w:szCs w:val="21"/>
          <w:lang w:val="en-CA" w:eastAsia="en-GB"/>
        </w:rPr>
        <w:t>KMGBF:</w:t>
      </w:r>
      <w:r w:rsidRPr="005F0A67">
        <w:rPr>
          <w:rFonts w:asciiTheme="majorBidi" w:eastAsia="Times New Roman" w:hAnsiTheme="majorBidi" w:cstheme="majorBidi"/>
          <w:sz w:val="21"/>
          <w:szCs w:val="21"/>
          <w:lang w:val="en-CA" w:eastAsia="en-GB"/>
        </w:rPr>
        <w:t xml:space="preserve"> Kunming-Montreal Global Biodiversity Framework </w:t>
      </w:r>
    </w:p>
    <w:p w14:paraId="0362BDCA" w14:textId="77777777" w:rsidR="005F0A67" w:rsidRPr="005F0A67" w:rsidRDefault="005F0A67" w:rsidP="005F0A67">
      <w:pPr>
        <w:tabs>
          <w:tab w:val="clear" w:pos="567"/>
          <w:tab w:val="clear" w:pos="1134"/>
          <w:tab w:val="clear" w:pos="1701"/>
          <w:tab w:val="clear" w:pos="2268"/>
        </w:tabs>
        <w:spacing w:after="120"/>
        <w:rPr>
          <w:rFonts w:asciiTheme="majorBidi" w:eastAsia="Times New Roman" w:hAnsiTheme="majorBidi" w:cstheme="majorBidi"/>
          <w:sz w:val="21"/>
          <w:szCs w:val="21"/>
          <w:lang w:val="en-CA" w:eastAsia="en-GB"/>
        </w:rPr>
      </w:pPr>
      <w:r w:rsidRPr="005F0A67">
        <w:rPr>
          <w:rFonts w:asciiTheme="majorBidi" w:eastAsia="Times New Roman" w:hAnsiTheme="majorBidi" w:cstheme="majorBidi"/>
          <w:b/>
          <w:bCs/>
          <w:sz w:val="21"/>
          <w:szCs w:val="21"/>
          <w:lang w:val="en-CA" w:eastAsia="en-GB"/>
        </w:rPr>
        <w:t>MAT:</w:t>
      </w:r>
      <w:r w:rsidRPr="005F0A67">
        <w:rPr>
          <w:rFonts w:asciiTheme="majorBidi" w:eastAsia="Times New Roman" w:hAnsiTheme="majorBidi" w:cstheme="majorBidi"/>
          <w:sz w:val="21"/>
          <w:szCs w:val="21"/>
          <w:lang w:val="en-CA" w:eastAsia="en-GB"/>
        </w:rPr>
        <w:t xml:space="preserve"> Mutually Agreed Terms</w:t>
      </w:r>
    </w:p>
    <w:p w14:paraId="7E17AD18" w14:textId="77777777" w:rsidR="005F0A67" w:rsidRPr="005F0A67" w:rsidRDefault="005F0A67" w:rsidP="005F0A67">
      <w:pPr>
        <w:tabs>
          <w:tab w:val="clear" w:pos="567"/>
          <w:tab w:val="clear" w:pos="1134"/>
          <w:tab w:val="clear" w:pos="1701"/>
          <w:tab w:val="clear" w:pos="2268"/>
        </w:tabs>
        <w:spacing w:after="120"/>
        <w:rPr>
          <w:rFonts w:asciiTheme="majorBidi" w:eastAsia="Times New Roman" w:hAnsiTheme="majorBidi" w:cstheme="majorBidi"/>
          <w:sz w:val="21"/>
          <w:szCs w:val="21"/>
          <w:lang w:val="en-CA" w:eastAsia="en-GB"/>
        </w:rPr>
      </w:pPr>
      <w:r w:rsidRPr="005F0A67">
        <w:rPr>
          <w:rFonts w:asciiTheme="majorBidi" w:eastAsia="Times New Roman" w:hAnsiTheme="majorBidi" w:cstheme="majorBidi"/>
          <w:b/>
          <w:bCs/>
          <w:sz w:val="21"/>
          <w:szCs w:val="21"/>
          <w:lang w:val="en-CA" w:eastAsia="en-GB"/>
        </w:rPr>
        <w:t xml:space="preserve">MLM: </w:t>
      </w:r>
      <w:r w:rsidRPr="005F0A67">
        <w:rPr>
          <w:rFonts w:asciiTheme="majorBidi" w:eastAsia="Times New Roman" w:hAnsiTheme="majorBidi" w:cstheme="majorBidi"/>
          <w:sz w:val="21"/>
          <w:szCs w:val="21"/>
          <w:lang w:val="en-CA" w:eastAsia="en-GB"/>
        </w:rPr>
        <w:t xml:space="preserve">Multilateral mechanism </w:t>
      </w:r>
    </w:p>
    <w:p w14:paraId="6D587331" w14:textId="77777777" w:rsidR="005F0A67" w:rsidRPr="005F0A67" w:rsidRDefault="005F0A67" w:rsidP="005F0A67">
      <w:pPr>
        <w:tabs>
          <w:tab w:val="clear" w:pos="567"/>
          <w:tab w:val="clear" w:pos="1134"/>
          <w:tab w:val="clear" w:pos="1701"/>
          <w:tab w:val="clear" w:pos="2268"/>
        </w:tabs>
        <w:spacing w:after="120"/>
        <w:rPr>
          <w:rFonts w:asciiTheme="majorBidi" w:eastAsia="Times New Roman" w:hAnsiTheme="majorBidi" w:cstheme="majorBidi"/>
          <w:sz w:val="21"/>
          <w:szCs w:val="21"/>
          <w:lang w:val="en-CA" w:eastAsia="en-GB"/>
        </w:rPr>
      </w:pPr>
      <w:r w:rsidRPr="005F0A67">
        <w:rPr>
          <w:rFonts w:asciiTheme="majorBidi" w:eastAsia="Times New Roman" w:hAnsiTheme="majorBidi" w:cstheme="majorBidi"/>
          <w:b/>
          <w:bCs/>
          <w:sz w:val="21"/>
          <w:szCs w:val="21"/>
          <w:lang w:val="en-CA" w:eastAsia="en-GB"/>
        </w:rPr>
        <w:t xml:space="preserve">MLS: </w:t>
      </w:r>
      <w:r w:rsidRPr="005F0A67">
        <w:rPr>
          <w:rFonts w:asciiTheme="majorBidi" w:eastAsia="Times New Roman" w:hAnsiTheme="majorBidi" w:cstheme="majorBidi"/>
          <w:sz w:val="21"/>
          <w:szCs w:val="21"/>
          <w:lang w:val="en-CA" w:eastAsia="en-GB"/>
        </w:rPr>
        <w:t>Multilateral System</w:t>
      </w:r>
    </w:p>
    <w:p w14:paraId="75481A34" w14:textId="77777777" w:rsidR="005F0A67" w:rsidRPr="005F0A67" w:rsidRDefault="005F0A67" w:rsidP="005F0A67">
      <w:pPr>
        <w:tabs>
          <w:tab w:val="clear" w:pos="567"/>
          <w:tab w:val="clear" w:pos="1134"/>
          <w:tab w:val="clear" w:pos="1701"/>
          <w:tab w:val="clear" w:pos="2268"/>
        </w:tabs>
        <w:spacing w:after="120"/>
        <w:rPr>
          <w:rFonts w:asciiTheme="majorBidi" w:eastAsia="Times New Roman" w:hAnsiTheme="majorBidi" w:cstheme="majorBidi"/>
          <w:b/>
          <w:bCs/>
          <w:sz w:val="21"/>
          <w:szCs w:val="21"/>
          <w:lang w:val="en-CA" w:eastAsia="en-GB"/>
        </w:rPr>
      </w:pPr>
      <w:r w:rsidRPr="005F0A67">
        <w:rPr>
          <w:rFonts w:asciiTheme="majorBidi" w:eastAsia="Times New Roman" w:hAnsiTheme="majorBidi" w:cstheme="majorBidi"/>
          <w:b/>
          <w:bCs/>
          <w:sz w:val="21"/>
          <w:szCs w:val="21"/>
          <w:lang w:val="en-CA" w:eastAsia="en-GB"/>
        </w:rPr>
        <w:t xml:space="preserve">MPTFO: </w:t>
      </w:r>
      <w:r w:rsidRPr="005F0A67">
        <w:rPr>
          <w:rFonts w:asciiTheme="majorBidi" w:eastAsia="Times New Roman" w:hAnsiTheme="majorBidi" w:cstheme="majorBidi"/>
          <w:sz w:val="21"/>
          <w:szCs w:val="21"/>
          <w:lang w:val="en-CA" w:eastAsia="en-GB"/>
        </w:rPr>
        <w:t>Multi-Partner Trust Fund Office</w:t>
      </w:r>
    </w:p>
    <w:p w14:paraId="6A224362" w14:textId="77777777" w:rsidR="005F0A67" w:rsidRPr="005F0A67" w:rsidRDefault="005F0A67" w:rsidP="005F0A67">
      <w:pPr>
        <w:tabs>
          <w:tab w:val="clear" w:pos="567"/>
          <w:tab w:val="clear" w:pos="1134"/>
          <w:tab w:val="clear" w:pos="1701"/>
          <w:tab w:val="clear" w:pos="2268"/>
        </w:tabs>
        <w:spacing w:after="120"/>
        <w:rPr>
          <w:rFonts w:asciiTheme="majorBidi" w:eastAsia="Times New Roman" w:hAnsiTheme="majorBidi" w:cstheme="majorBidi"/>
          <w:sz w:val="21"/>
          <w:szCs w:val="21"/>
          <w:lang w:val="en-CA" w:eastAsia="en-GB"/>
        </w:rPr>
      </w:pPr>
      <w:r w:rsidRPr="005F0A67">
        <w:rPr>
          <w:rFonts w:asciiTheme="majorBidi" w:eastAsia="Times New Roman" w:hAnsiTheme="majorBidi" w:cstheme="majorBidi"/>
          <w:b/>
          <w:bCs/>
          <w:sz w:val="21"/>
          <w:szCs w:val="21"/>
          <w:lang w:val="en-CA" w:eastAsia="en-GB"/>
        </w:rPr>
        <w:t xml:space="preserve">NPV: </w:t>
      </w:r>
      <w:r w:rsidRPr="005F0A67">
        <w:rPr>
          <w:rFonts w:asciiTheme="majorBidi" w:eastAsia="Times New Roman" w:hAnsiTheme="majorBidi" w:cstheme="majorBidi"/>
          <w:sz w:val="21"/>
          <w:szCs w:val="21"/>
          <w:lang w:val="en-CA" w:eastAsia="en-GB"/>
        </w:rPr>
        <w:t>Net Present Value</w:t>
      </w:r>
    </w:p>
    <w:p w14:paraId="3F80089A" w14:textId="77777777" w:rsidR="005F0A67" w:rsidRPr="005F0A67" w:rsidRDefault="005F0A67" w:rsidP="005F0A67">
      <w:pPr>
        <w:tabs>
          <w:tab w:val="clear" w:pos="567"/>
          <w:tab w:val="clear" w:pos="1134"/>
          <w:tab w:val="clear" w:pos="1701"/>
          <w:tab w:val="clear" w:pos="2268"/>
        </w:tabs>
        <w:spacing w:after="120"/>
        <w:rPr>
          <w:rFonts w:asciiTheme="majorBidi" w:eastAsia="Times New Roman" w:hAnsiTheme="majorBidi" w:cstheme="majorBidi"/>
          <w:sz w:val="21"/>
          <w:szCs w:val="21"/>
          <w:lang w:val="en-CA" w:eastAsia="en-GB"/>
        </w:rPr>
      </w:pPr>
      <w:r w:rsidRPr="005F0A67">
        <w:rPr>
          <w:rFonts w:asciiTheme="majorBidi" w:eastAsia="Times New Roman" w:hAnsiTheme="majorBidi" w:cstheme="majorBidi"/>
          <w:b/>
          <w:bCs/>
          <w:sz w:val="21"/>
          <w:szCs w:val="21"/>
          <w:lang w:val="en-CA" w:eastAsia="en-GB"/>
        </w:rPr>
        <w:t xml:space="preserve">PABS: </w:t>
      </w:r>
      <w:r w:rsidRPr="005F0A67">
        <w:rPr>
          <w:rFonts w:asciiTheme="majorBidi" w:eastAsia="Times New Roman" w:hAnsiTheme="majorBidi" w:cstheme="majorBidi"/>
          <w:sz w:val="21"/>
          <w:szCs w:val="21"/>
          <w:lang w:val="en-CA" w:eastAsia="en-GB"/>
        </w:rPr>
        <w:t>Pathogen Access and Benefit-Sharing</w:t>
      </w:r>
    </w:p>
    <w:p w14:paraId="2DD6DB68" w14:textId="77777777" w:rsidR="005F0A67" w:rsidRPr="005F0A67" w:rsidRDefault="005F0A67" w:rsidP="005F0A67">
      <w:pPr>
        <w:tabs>
          <w:tab w:val="clear" w:pos="567"/>
          <w:tab w:val="clear" w:pos="1134"/>
          <w:tab w:val="clear" w:pos="1701"/>
          <w:tab w:val="clear" w:pos="2268"/>
        </w:tabs>
        <w:spacing w:after="120"/>
        <w:rPr>
          <w:rFonts w:asciiTheme="majorBidi" w:eastAsia="Times New Roman" w:hAnsiTheme="majorBidi" w:cstheme="majorBidi"/>
          <w:sz w:val="21"/>
          <w:szCs w:val="21"/>
          <w:lang w:val="en-CA" w:eastAsia="en-GB"/>
        </w:rPr>
      </w:pPr>
      <w:r w:rsidRPr="005F0A67">
        <w:rPr>
          <w:rFonts w:asciiTheme="majorBidi" w:eastAsia="Times New Roman" w:hAnsiTheme="majorBidi" w:cstheme="majorBidi"/>
          <w:b/>
          <w:bCs/>
          <w:sz w:val="21"/>
          <w:szCs w:val="21"/>
          <w:lang w:val="en-CA" w:eastAsia="en-GB"/>
        </w:rPr>
        <w:t>PC:</w:t>
      </w:r>
      <w:r w:rsidRPr="005F0A67">
        <w:rPr>
          <w:rFonts w:asciiTheme="majorBidi" w:eastAsia="Times New Roman" w:hAnsiTheme="majorBidi" w:cstheme="majorBidi"/>
          <w:sz w:val="21"/>
          <w:szCs w:val="21"/>
          <w:lang w:val="en-CA" w:eastAsia="en-GB"/>
        </w:rPr>
        <w:t xml:space="preserve"> Partnership Contribution</w:t>
      </w:r>
    </w:p>
    <w:p w14:paraId="26ABE7FE" w14:textId="77777777" w:rsidR="005F0A67" w:rsidRPr="005F0A67" w:rsidRDefault="005F0A67" w:rsidP="005F0A67">
      <w:pPr>
        <w:tabs>
          <w:tab w:val="clear" w:pos="567"/>
          <w:tab w:val="clear" w:pos="1134"/>
          <w:tab w:val="clear" w:pos="1701"/>
          <w:tab w:val="clear" w:pos="2268"/>
        </w:tabs>
        <w:spacing w:after="120"/>
        <w:rPr>
          <w:rFonts w:asciiTheme="majorBidi" w:eastAsia="Times New Roman" w:hAnsiTheme="majorBidi" w:cstheme="majorBidi"/>
          <w:sz w:val="21"/>
          <w:szCs w:val="21"/>
          <w:lang w:val="en-CA" w:eastAsia="en-GB"/>
        </w:rPr>
      </w:pPr>
      <w:r w:rsidRPr="005F0A67">
        <w:rPr>
          <w:rFonts w:asciiTheme="majorBidi" w:eastAsia="Times New Roman" w:hAnsiTheme="majorBidi" w:cstheme="majorBidi"/>
          <w:b/>
          <w:bCs/>
          <w:sz w:val="21"/>
          <w:szCs w:val="21"/>
          <w:lang w:val="en-CA" w:eastAsia="en-GB"/>
        </w:rPr>
        <w:t>PIC:</w:t>
      </w:r>
      <w:r w:rsidRPr="005F0A67">
        <w:rPr>
          <w:rFonts w:asciiTheme="majorBidi" w:eastAsia="Times New Roman" w:hAnsiTheme="majorBidi" w:cstheme="majorBidi"/>
          <w:sz w:val="21"/>
          <w:szCs w:val="21"/>
          <w:lang w:val="en-CA" w:eastAsia="en-GB"/>
        </w:rPr>
        <w:t xml:space="preserve"> Prior Informed Consent</w:t>
      </w:r>
    </w:p>
    <w:p w14:paraId="2BEFD27E" w14:textId="77777777" w:rsidR="005F0A67" w:rsidRPr="005F0A67" w:rsidRDefault="005F0A67" w:rsidP="005F0A67">
      <w:pPr>
        <w:tabs>
          <w:tab w:val="clear" w:pos="567"/>
          <w:tab w:val="clear" w:pos="1134"/>
          <w:tab w:val="clear" w:pos="1701"/>
          <w:tab w:val="clear" w:pos="2268"/>
        </w:tabs>
        <w:spacing w:after="120"/>
        <w:rPr>
          <w:rFonts w:asciiTheme="majorBidi" w:eastAsia="Times New Roman" w:hAnsiTheme="majorBidi" w:cstheme="majorBidi"/>
          <w:sz w:val="21"/>
          <w:szCs w:val="21"/>
          <w:lang w:val="en-CA" w:eastAsia="en-GB"/>
        </w:rPr>
      </w:pPr>
      <w:r w:rsidRPr="005F0A67">
        <w:rPr>
          <w:rFonts w:asciiTheme="majorBidi" w:eastAsia="Times New Roman" w:hAnsiTheme="majorBidi" w:cstheme="majorBidi"/>
          <w:b/>
          <w:bCs/>
          <w:sz w:val="21"/>
          <w:szCs w:val="21"/>
          <w:lang w:val="en-CA" w:eastAsia="en-GB"/>
        </w:rPr>
        <w:t>PIP Framework:</w:t>
      </w:r>
      <w:r w:rsidRPr="005F0A67">
        <w:rPr>
          <w:rFonts w:asciiTheme="majorBidi" w:eastAsia="Times New Roman" w:hAnsiTheme="majorBidi" w:cstheme="majorBidi"/>
          <w:sz w:val="21"/>
          <w:szCs w:val="21"/>
          <w:lang w:val="en-CA" w:eastAsia="en-GB"/>
        </w:rPr>
        <w:t xml:space="preserve"> Pandemic Influenza Preparedness Framework</w:t>
      </w:r>
    </w:p>
    <w:p w14:paraId="2A6AEFBC" w14:textId="77777777" w:rsidR="005F0A67" w:rsidRPr="005F0A67" w:rsidRDefault="005F0A67" w:rsidP="005F0A67">
      <w:pPr>
        <w:tabs>
          <w:tab w:val="clear" w:pos="567"/>
          <w:tab w:val="clear" w:pos="1134"/>
          <w:tab w:val="clear" w:pos="1701"/>
          <w:tab w:val="clear" w:pos="2268"/>
        </w:tabs>
        <w:spacing w:after="120"/>
        <w:rPr>
          <w:rFonts w:asciiTheme="majorBidi" w:eastAsia="Times New Roman" w:hAnsiTheme="majorBidi" w:cstheme="majorBidi"/>
          <w:sz w:val="21"/>
          <w:szCs w:val="21"/>
          <w:lang w:val="en-CA" w:eastAsia="en-GB"/>
        </w:rPr>
      </w:pPr>
      <w:r w:rsidRPr="005F0A67">
        <w:rPr>
          <w:rFonts w:asciiTheme="majorBidi" w:eastAsia="Times New Roman" w:hAnsiTheme="majorBidi" w:cstheme="majorBidi"/>
          <w:b/>
          <w:bCs/>
          <w:sz w:val="21"/>
          <w:szCs w:val="21"/>
          <w:lang w:val="en-CA" w:eastAsia="en-GB"/>
        </w:rPr>
        <w:t xml:space="preserve">SBA: </w:t>
      </w:r>
      <w:r w:rsidRPr="005F0A67">
        <w:rPr>
          <w:rFonts w:asciiTheme="majorBidi" w:eastAsia="Times New Roman" w:hAnsiTheme="majorBidi" w:cstheme="majorBidi"/>
          <w:sz w:val="21"/>
          <w:szCs w:val="21"/>
          <w:lang w:val="en-CA" w:eastAsia="en-GB"/>
        </w:rPr>
        <w:t>Small Business Administration</w:t>
      </w:r>
    </w:p>
    <w:p w14:paraId="637BCF78" w14:textId="77777777" w:rsidR="005F0A67" w:rsidRPr="005F0A67" w:rsidRDefault="005F0A67" w:rsidP="005F0A67">
      <w:pPr>
        <w:tabs>
          <w:tab w:val="clear" w:pos="567"/>
          <w:tab w:val="clear" w:pos="1134"/>
          <w:tab w:val="clear" w:pos="1701"/>
          <w:tab w:val="clear" w:pos="2268"/>
        </w:tabs>
        <w:spacing w:after="120"/>
        <w:rPr>
          <w:rFonts w:asciiTheme="majorBidi" w:eastAsia="Times New Roman" w:hAnsiTheme="majorBidi" w:cstheme="majorBidi"/>
          <w:sz w:val="21"/>
          <w:szCs w:val="21"/>
          <w:lang w:val="en-CA" w:eastAsia="en-GB"/>
        </w:rPr>
      </w:pPr>
      <w:r w:rsidRPr="005F0A67">
        <w:rPr>
          <w:rFonts w:asciiTheme="majorBidi" w:eastAsia="Times New Roman" w:hAnsiTheme="majorBidi" w:cstheme="majorBidi"/>
          <w:b/>
          <w:bCs/>
          <w:sz w:val="21"/>
          <w:szCs w:val="21"/>
          <w:lang w:val="en-CA" w:eastAsia="en-GB"/>
        </w:rPr>
        <w:t>SME</w:t>
      </w:r>
      <w:r w:rsidRPr="005F0A67">
        <w:rPr>
          <w:rFonts w:asciiTheme="majorBidi" w:eastAsia="Times New Roman" w:hAnsiTheme="majorBidi" w:cstheme="majorBidi"/>
          <w:sz w:val="21"/>
          <w:szCs w:val="21"/>
          <w:lang w:val="en-CA" w:eastAsia="en-GB"/>
        </w:rPr>
        <w:t>: Small and Medium-sized Enterprise</w:t>
      </w:r>
    </w:p>
    <w:p w14:paraId="1FD31612" w14:textId="77777777" w:rsidR="005F0A67" w:rsidRPr="005F0A67" w:rsidRDefault="005F0A67" w:rsidP="005F0A67">
      <w:pPr>
        <w:tabs>
          <w:tab w:val="clear" w:pos="567"/>
          <w:tab w:val="clear" w:pos="1134"/>
          <w:tab w:val="clear" w:pos="1701"/>
          <w:tab w:val="clear" w:pos="2268"/>
        </w:tabs>
        <w:spacing w:after="120"/>
        <w:rPr>
          <w:rFonts w:asciiTheme="majorBidi" w:eastAsia="Times New Roman" w:hAnsiTheme="majorBidi" w:cstheme="majorBidi"/>
          <w:b/>
          <w:bCs/>
          <w:sz w:val="21"/>
          <w:szCs w:val="21"/>
          <w:lang w:val="en-CA" w:eastAsia="en-GB"/>
        </w:rPr>
      </w:pPr>
      <w:r w:rsidRPr="005F0A67">
        <w:rPr>
          <w:rFonts w:asciiTheme="majorBidi" w:eastAsia="Times New Roman" w:hAnsiTheme="majorBidi" w:cstheme="majorBidi"/>
          <w:b/>
          <w:bCs/>
          <w:sz w:val="21"/>
          <w:szCs w:val="21"/>
          <w:lang w:val="en-CA" w:eastAsia="en-GB"/>
        </w:rPr>
        <w:t xml:space="preserve">SMTA: </w:t>
      </w:r>
      <w:r w:rsidRPr="005F0A67">
        <w:rPr>
          <w:rFonts w:asciiTheme="majorBidi" w:eastAsia="Times New Roman" w:hAnsiTheme="majorBidi" w:cstheme="majorBidi"/>
          <w:sz w:val="21"/>
          <w:szCs w:val="21"/>
          <w:lang w:val="en-CA" w:eastAsia="en-GB"/>
        </w:rPr>
        <w:t>Standard Material Transfer Agreement</w:t>
      </w:r>
    </w:p>
    <w:p w14:paraId="00028477" w14:textId="77777777" w:rsidR="005F0A67" w:rsidRPr="005F0A67" w:rsidRDefault="005F0A67" w:rsidP="005F0A67">
      <w:pPr>
        <w:tabs>
          <w:tab w:val="clear" w:pos="567"/>
          <w:tab w:val="clear" w:pos="1134"/>
          <w:tab w:val="clear" w:pos="1701"/>
          <w:tab w:val="clear" w:pos="2268"/>
        </w:tabs>
        <w:spacing w:after="120"/>
        <w:rPr>
          <w:rFonts w:asciiTheme="majorBidi" w:eastAsia="Times New Roman" w:hAnsiTheme="majorBidi" w:cstheme="majorBidi"/>
          <w:sz w:val="21"/>
          <w:szCs w:val="21"/>
          <w:lang w:val="en-CA" w:eastAsia="en-GB"/>
        </w:rPr>
      </w:pPr>
      <w:r w:rsidRPr="005F0A67">
        <w:rPr>
          <w:rFonts w:asciiTheme="majorBidi" w:eastAsia="Times New Roman" w:hAnsiTheme="majorBidi" w:cstheme="majorBidi"/>
          <w:b/>
          <w:bCs/>
          <w:sz w:val="21"/>
          <w:szCs w:val="21"/>
          <w:lang w:val="en-CA" w:eastAsia="en-GB"/>
        </w:rPr>
        <w:t xml:space="preserve">UN </w:t>
      </w:r>
      <w:r w:rsidRPr="005F0A67">
        <w:rPr>
          <w:rFonts w:asciiTheme="majorBidi" w:eastAsia="Times New Roman" w:hAnsiTheme="majorBidi" w:cstheme="majorBidi"/>
          <w:sz w:val="21"/>
          <w:szCs w:val="21"/>
          <w:lang w:val="en-CA" w:eastAsia="en-GB"/>
        </w:rPr>
        <w:t>United Nations</w:t>
      </w:r>
    </w:p>
    <w:p w14:paraId="7BA06720" w14:textId="77777777" w:rsidR="005F0A67" w:rsidRPr="005F0A67" w:rsidRDefault="005F0A67" w:rsidP="005F0A67">
      <w:pPr>
        <w:tabs>
          <w:tab w:val="clear" w:pos="567"/>
          <w:tab w:val="clear" w:pos="1134"/>
          <w:tab w:val="clear" w:pos="1701"/>
          <w:tab w:val="clear" w:pos="2268"/>
        </w:tabs>
        <w:spacing w:after="120"/>
        <w:rPr>
          <w:rFonts w:asciiTheme="majorBidi" w:eastAsia="Times New Roman" w:hAnsiTheme="majorBidi" w:cstheme="majorBidi"/>
          <w:sz w:val="21"/>
          <w:szCs w:val="21"/>
          <w:lang w:val="en-CA" w:eastAsia="en-GB"/>
        </w:rPr>
      </w:pPr>
      <w:r w:rsidRPr="005F0A67">
        <w:rPr>
          <w:rFonts w:asciiTheme="majorBidi" w:eastAsia="Times New Roman" w:hAnsiTheme="majorBidi" w:cstheme="majorBidi"/>
          <w:b/>
          <w:bCs/>
          <w:sz w:val="21"/>
          <w:szCs w:val="21"/>
          <w:lang w:val="en-CA" w:eastAsia="en-GB"/>
        </w:rPr>
        <w:t>UNCLOS</w:t>
      </w:r>
      <w:r w:rsidRPr="005F0A67">
        <w:rPr>
          <w:rFonts w:asciiTheme="majorBidi" w:eastAsia="Times New Roman" w:hAnsiTheme="majorBidi" w:cstheme="majorBidi"/>
          <w:sz w:val="21"/>
          <w:szCs w:val="21"/>
          <w:lang w:val="en-CA" w:eastAsia="en-GB"/>
        </w:rPr>
        <w:t xml:space="preserve">: United Nations Convention on the Law of the Sea </w:t>
      </w:r>
    </w:p>
    <w:p w14:paraId="53A122AC" w14:textId="77777777" w:rsidR="005F0A67" w:rsidRPr="005F0A67" w:rsidRDefault="005F0A67" w:rsidP="005F0A67">
      <w:pPr>
        <w:tabs>
          <w:tab w:val="clear" w:pos="567"/>
          <w:tab w:val="clear" w:pos="1134"/>
          <w:tab w:val="clear" w:pos="1701"/>
          <w:tab w:val="clear" w:pos="2268"/>
        </w:tabs>
        <w:spacing w:after="120"/>
        <w:rPr>
          <w:rFonts w:asciiTheme="majorBidi" w:eastAsia="Times New Roman" w:hAnsiTheme="majorBidi" w:cstheme="majorBidi"/>
          <w:b/>
          <w:bCs/>
          <w:sz w:val="21"/>
          <w:szCs w:val="21"/>
          <w:lang w:val="en-CA" w:eastAsia="en-GB"/>
        </w:rPr>
      </w:pPr>
      <w:r w:rsidRPr="005F0A67">
        <w:rPr>
          <w:rFonts w:asciiTheme="majorBidi" w:eastAsia="Times New Roman" w:hAnsiTheme="majorBidi" w:cstheme="majorBidi"/>
          <w:b/>
          <w:bCs/>
          <w:sz w:val="21"/>
          <w:szCs w:val="21"/>
          <w:lang w:val="en-CA" w:eastAsia="en-GB"/>
        </w:rPr>
        <w:t xml:space="preserve">WEOG: </w:t>
      </w:r>
      <w:r w:rsidRPr="005F0A67">
        <w:rPr>
          <w:rFonts w:asciiTheme="majorBidi" w:eastAsia="Times New Roman" w:hAnsiTheme="majorBidi" w:cstheme="majorBidi"/>
          <w:sz w:val="21"/>
          <w:szCs w:val="21"/>
          <w:lang w:val="en-CA" w:eastAsia="en-GB"/>
        </w:rPr>
        <w:t>Western European and Other Group</w:t>
      </w:r>
    </w:p>
    <w:p w14:paraId="67BC0569" w14:textId="77777777" w:rsidR="005F0A67" w:rsidRPr="005F0A67" w:rsidRDefault="005F0A67" w:rsidP="005F0A67">
      <w:pPr>
        <w:tabs>
          <w:tab w:val="clear" w:pos="567"/>
          <w:tab w:val="clear" w:pos="1134"/>
          <w:tab w:val="clear" w:pos="1701"/>
          <w:tab w:val="clear" w:pos="2268"/>
        </w:tabs>
        <w:spacing w:after="120"/>
        <w:rPr>
          <w:rFonts w:asciiTheme="majorBidi" w:eastAsia="Times New Roman" w:hAnsiTheme="majorBidi" w:cstheme="majorBidi"/>
          <w:sz w:val="21"/>
          <w:szCs w:val="21"/>
          <w:lang w:val="en-CA" w:eastAsia="en-GB"/>
        </w:rPr>
      </w:pPr>
      <w:r w:rsidRPr="005F0A67">
        <w:rPr>
          <w:rFonts w:asciiTheme="majorBidi" w:eastAsia="Times New Roman" w:hAnsiTheme="majorBidi" w:cstheme="majorBidi"/>
          <w:b/>
          <w:bCs/>
          <w:sz w:val="21"/>
          <w:szCs w:val="21"/>
          <w:lang w:val="en-CA" w:eastAsia="en-GB"/>
        </w:rPr>
        <w:t>WHO:</w:t>
      </w:r>
      <w:r w:rsidRPr="005F0A67">
        <w:rPr>
          <w:rFonts w:asciiTheme="majorBidi" w:eastAsia="Times New Roman" w:hAnsiTheme="majorBidi" w:cstheme="majorBidi"/>
          <w:sz w:val="21"/>
          <w:szCs w:val="21"/>
          <w:lang w:val="en-CA" w:eastAsia="en-GB"/>
        </w:rPr>
        <w:t xml:space="preserve"> World Health Organization</w:t>
      </w:r>
    </w:p>
    <w:p w14:paraId="332880AF" w14:textId="77777777" w:rsidR="005F0A67" w:rsidRPr="005F0A67" w:rsidRDefault="005F0A67" w:rsidP="005F0A67">
      <w:pPr>
        <w:tabs>
          <w:tab w:val="clear" w:pos="567"/>
          <w:tab w:val="clear" w:pos="1134"/>
          <w:tab w:val="clear" w:pos="1701"/>
          <w:tab w:val="clear" w:pos="2268"/>
        </w:tabs>
        <w:spacing w:after="120"/>
        <w:rPr>
          <w:rFonts w:asciiTheme="majorBidi" w:eastAsia="Times New Roman" w:hAnsiTheme="majorBidi" w:cstheme="majorBidi"/>
          <w:sz w:val="21"/>
          <w:szCs w:val="21"/>
          <w:lang w:val="en-CA" w:eastAsia="en-GB"/>
        </w:rPr>
      </w:pPr>
      <w:r w:rsidRPr="005F0A67">
        <w:rPr>
          <w:rFonts w:asciiTheme="majorBidi" w:eastAsia="Times New Roman" w:hAnsiTheme="majorBidi" w:cstheme="majorBidi"/>
          <w:b/>
          <w:bCs/>
          <w:sz w:val="21"/>
          <w:szCs w:val="21"/>
          <w:lang w:val="en-CA" w:eastAsia="en-GB"/>
        </w:rPr>
        <w:t>WIPO:</w:t>
      </w:r>
      <w:r w:rsidRPr="005F0A67">
        <w:rPr>
          <w:rFonts w:asciiTheme="majorBidi" w:eastAsia="Times New Roman" w:hAnsiTheme="majorBidi" w:cstheme="majorBidi"/>
          <w:sz w:val="21"/>
          <w:szCs w:val="21"/>
          <w:lang w:val="en-CA" w:eastAsia="en-GB"/>
        </w:rPr>
        <w:t xml:space="preserve"> World Intellectual Property Organization</w:t>
      </w:r>
      <w:r w:rsidRPr="005F0A67">
        <w:rPr>
          <w:rFonts w:asciiTheme="majorBidi" w:eastAsia="Times New Roman" w:hAnsiTheme="majorBidi" w:cstheme="majorBidi"/>
          <w:sz w:val="21"/>
          <w:szCs w:val="21"/>
          <w:lang w:val="en-CA" w:eastAsia="en-GB"/>
        </w:rPr>
        <w:br w:type="page"/>
      </w:r>
    </w:p>
    <w:p w14:paraId="33DD96DC" w14:textId="77777777" w:rsidR="005F0A67" w:rsidRPr="005F0A67" w:rsidRDefault="005F0A67" w:rsidP="005F0A67">
      <w:pPr>
        <w:pBdr>
          <w:bottom w:val="single" w:sz="2" w:space="6" w:color="D9D9D9"/>
        </w:pBdr>
        <w:tabs>
          <w:tab w:val="clear" w:pos="567"/>
          <w:tab w:val="clear" w:pos="1134"/>
          <w:tab w:val="clear" w:pos="1701"/>
          <w:tab w:val="clear" w:pos="2268"/>
        </w:tabs>
        <w:spacing w:before="400" w:after="60"/>
        <w:jc w:val="left"/>
        <w:outlineLvl w:val="0"/>
        <w:rPr>
          <w:rFonts w:asciiTheme="majorBidi" w:eastAsia="Arial" w:hAnsiTheme="majorBidi" w:cstheme="majorBidi"/>
          <w:b/>
          <w:bCs/>
          <w:color w:val="1A1A1A"/>
          <w:sz w:val="28"/>
          <w:szCs w:val="28"/>
          <w:lang w:val="en-CA" w:eastAsia="en-GB"/>
        </w:rPr>
      </w:pPr>
      <w:bookmarkStart w:id="2" w:name="_Toc234579522"/>
      <w:bookmarkStart w:id="3" w:name="_Toc234579781"/>
      <w:r w:rsidRPr="005F0A67">
        <w:rPr>
          <w:rFonts w:asciiTheme="majorBidi" w:eastAsia="Arial" w:hAnsiTheme="majorBidi" w:cstheme="majorBidi"/>
          <w:b/>
          <w:bCs/>
          <w:color w:val="1A1A1A"/>
          <w:sz w:val="28"/>
          <w:szCs w:val="28"/>
          <w:lang w:val="en-CA" w:eastAsia="en-GB"/>
        </w:rPr>
        <w:lastRenderedPageBreak/>
        <w:t>Glossary</w:t>
      </w:r>
      <w:bookmarkEnd w:id="2"/>
      <w:bookmarkEnd w:id="3"/>
    </w:p>
    <w:p w14:paraId="56F1553B"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This glossary outlines the definitions and the assumed scope of the key terms used throughout the study. </w:t>
      </w:r>
    </w:p>
    <w:p w14:paraId="035F9413" w14:textId="77777777" w:rsidR="005F0A67" w:rsidRPr="005F0A67" w:rsidRDefault="005F0A67" w:rsidP="005F0A67">
      <w:pPr>
        <w:tabs>
          <w:tab w:val="clear" w:pos="567"/>
          <w:tab w:val="clear" w:pos="1134"/>
          <w:tab w:val="clear" w:pos="1701"/>
          <w:tab w:val="clear" w:pos="2268"/>
        </w:tabs>
        <w:spacing w:after="120" w:line="293" w:lineRule="auto"/>
        <w:rPr>
          <w:rFonts w:asciiTheme="majorBidi" w:eastAsia="Times New Roman" w:hAnsiTheme="majorBidi" w:cstheme="majorBidi"/>
          <w:sz w:val="21"/>
          <w:szCs w:val="21"/>
          <w:lang w:val="en-CA" w:eastAsia="en-GB"/>
        </w:rPr>
      </w:pPr>
      <w:r w:rsidRPr="005F0A67">
        <w:rPr>
          <w:rFonts w:asciiTheme="majorBidi" w:eastAsia="Times New Roman" w:hAnsiTheme="majorBidi" w:cstheme="majorBidi"/>
          <w:b/>
          <w:bCs/>
          <w:sz w:val="21"/>
          <w:szCs w:val="21"/>
          <w:lang w:val="en-CA" w:eastAsia="en-GB"/>
        </w:rPr>
        <w:t>Benefit-sharing Fund (BSF):</w:t>
      </w:r>
      <w:r w:rsidRPr="005F0A67">
        <w:rPr>
          <w:rFonts w:asciiTheme="majorBidi" w:eastAsia="Times New Roman" w:hAnsiTheme="majorBidi" w:cstheme="majorBidi"/>
          <w:sz w:val="21"/>
          <w:szCs w:val="21"/>
          <w:lang w:val="en-CA" w:eastAsia="en-GB"/>
        </w:rPr>
        <w:t xml:space="preserve"> the financial mechanism established under the International Treaty on Plant Genetic Resources for Food and Agriculture (ITPGRFA) is designed to receive and distribute monetary benefits generated from the commercial use of plant genetic resources originating from material accessed through the Treaty's Multilateral System. This mechanism is funded primarily by voluntary government contributions and, to a lesser extent, by user-based payments under the Standard Material Transfer Agreement (SMTA)</w:t>
      </w:r>
      <w:r w:rsidRPr="005F0A67">
        <w:rPr>
          <w:rFonts w:asciiTheme="majorBidi" w:eastAsia="Times New Roman" w:hAnsiTheme="majorBidi" w:cstheme="majorBidi"/>
          <w:sz w:val="21"/>
          <w:szCs w:val="21"/>
          <w:vertAlign w:val="superscript"/>
          <w:lang w:val="en-CA" w:eastAsia="en-GB"/>
        </w:rPr>
        <w:footnoteReference w:id="4"/>
      </w:r>
      <w:r w:rsidRPr="005F0A67">
        <w:rPr>
          <w:rFonts w:asciiTheme="majorBidi" w:eastAsia="Times New Roman" w:hAnsiTheme="majorBidi" w:cstheme="majorBidi"/>
          <w:sz w:val="21"/>
          <w:szCs w:val="21"/>
          <w:lang w:val="en-CA" w:eastAsia="en-GB"/>
        </w:rPr>
        <w:t xml:space="preserve">, as well as </w:t>
      </w:r>
      <w:r w:rsidRPr="005F0A67">
        <w:rPr>
          <w:rFonts w:asciiTheme="majorBidi" w:eastAsia="Calibri" w:hAnsiTheme="majorBidi" w:cstheme="majorBidi"/>
          <w:color w:val="000000"/>
          <w:sz w:val="24"/>
          <w:szCs w:val="24"/>
          <w:lang w:val="en-CA" w:eastAsia="en-GB"/>
        </w:rPr>
        <w:t xml:space="preserve">voluntary contributions by the private sector and NGOs, international funds, and innovative initiatives. </w:t>
      </w:r>
      <w:r w:rsidRPr="005F0A67">
        <w:rPr>
          <w:rFonts w:asciiTheme="majorBidi" w:eastAsia="Times New Roman" w:hAnsiTheme="majorBidi" w:cstheme="majorBidi"/>
          <w:sz w:val="21"/>
          <w:szCs w:val="21"/>
          <w:lang w:val="en-CA" w:eastAsia="en-GB"/>
        </w:rPr>
        <w:t>In this study, it is referenced as the closest operational precedent to the Cali Fund among existing international benefit-sharing mechanisms.</w:t>
      </w:r>
    </w:p>
    <w:p w14:paraId="04C05600" w14:textId="77777777" w:rsidR="005F0A67" w:rsidRPr="005F0A67" w:rsidRDefault="005F0A67" w:rsidP="005F0A67">
      <w:pPr>
        <w:tabs>
          <w:tab w:val="clear" w:pos="567"/>
          <w:tab w:val="clear" w:pos="1134"/>
          <w:tab w:val="clear" w:pos="1701"/>
          <w:tab w:val="clear" w:pos="2268"/>
        </w:tabs>
        <w:spacing w:after="120" w:line="293" w:lineRule="auto"/>
        <w:rPr>
          <w:rFonts w:asciiTheme="majorBidi" w:eastAsia="Times New Roman" w:hAnsiTheme="majorBidi" w:cstheme="majorBidi"/>
          <w:sz w:val="21"/>
          <w:szCs w:val="21"/>
          <w:lang w:val="en-CA" w:eastAsia="en-GB"/>
        </w:rPr>
      </w:pPr>
      <w:r w:rsidRPr="005F0A67">
        <w:rPr>
          <w:rFonts w:asciiTheme="majorBidi" w:eastAsia="Times New Roman" w:hAnsiTheme="majorBidi" w:cstheme="majorBidi"/>
          <w:b/>
          <w:bCs/>
          <w:sz w:val="21"/>
          <w:szCs w:val="21"/>
          <w:lang w:val="en-CA" w:eastAsia="en-GB"/>
        </w:rPr>
        <w:t>Digital Sequence Information on Genetic Resources (DSI):</w:t>
      </w:r>
      <w:r w:rsidRPr="005F0A67">
        <w:rPr>
          <w:rFonts w:asciiTheme="majorBidi" w:eastAsia="Times New Roman" w:hAnsiTheme="majorBidi" w:cstheme="majorBidi"/>
          <w:sz w:val="21"/>
          <w:szCs w:val="21"/>
          <w:lang w:val="en-CA" w:eastAsia="en-GB"/>
        </w:rPr>
        <w:t xml:space="preserve"> In Decision 14/20, the Conference of the Parties to the Convention on Biological Diversity noted that ‘the term “digital sequence information” may not be the most appropriate term and that it is used as a placeholder until an alternative term is agreed. Decision 15/9 then agrees on the continuing use of the term “digital sequence information” for further discussions. For the purposes of this study and in the absence of an internationally agreed meaning, DSI will be considered from non-human sources only, encompassing plants, fungi, animals, and microorganisms. </w:t>
      </w:r>
    </w:p>
    <w:p w14:paraId="61B00135" w14:textId="77777777" w:rsidR="005F0A67" w:rsidRPr="005F0A67" w:rsidRDefault="005F0A67" w:rsidP="005F0A67">
      <w:pPr>
        <w:tabs>
          <w:tab w:val="clear" w:pos="567"/>
          <w:tab w:val="clear" w:pos="1134"/>
          <w:tab w:val="clear" w:pos="1701"/>
          <w:tab w:val="clear" w:pos="2268"/>
        </w:tabs>
        <w:spacing w:after="120" w:line="293" w:lineRule="auto"/>
        <w:rPr>
          <w:rFonts w:asciiTheme="majorBidi" w:eastAsia="Times New Roman" w:hAnsiTheme="majorBidi" w:cstheme="majorBidi"/>
          <w:sz w:val="21"/>
          <w:szCs w:val="21"/>
          <w:lang w:val="en-CA" w:eastAsia="en-GB"/>
        </w:rPr>
      </w:pPr>
      <w:r w:rsidRPr="005F0A67">
        <w:rPr>
          <w:rFonts w:asciiTheme="majorBidi" w:eastAsia="Times New Roman" w:hAnsiTheme="majorBidi" w:cstheme="majorBidi"/>
          <w:b/>
          <w:bCs/>
          <w:sz w:val="21"/>
          <w:szCs w:val="21"/>
          <w:lang w:val="en-CA" w:eastAsia="en-GB"/>
        </w:rPr>
        <w:t xml:space="preserve">DSI intensity: </w:t>
      </w:r>
      <w:r w:rsidRPr="005F0A67">
        <w:rPr>
          <w:rFonts w:asciiTheme="majorBidi" w:eastAsia="Times New Roman" w:hAnsiTheme="majorBidi" w:cstheme="majorBidi"/>
          <w:sz w:val="21"/>
          <w:szCs w:val="21"/>
          <w:lang w:val="en-CA" w:eastAsia="en-GB"/>
        </w:rPr>
        <w:t>the degree to which an entity’s commercial activities depend on publicly available DSI, relative to its total commercial activity. It varies considerably across and within Indicative Enclosure I sectors, with some entities using DSI directly and centrally in product and service development, and others relying on it only for a small subset of business activities. DSI intensity is distinct from being in scope of the multilateral mechanism (see “</w:t>
      </w:r>
      <w:r w:rsidRPr="005F0A67">
        <w:rPr>
          <w:rFonts w:asciiTheme="majorBidi" w:eastAsia="Times New Roman" w:hAnsiTheme="majorBidi" w:cstheme="majorBidi"/>
          <w:i/>
          <w:iCs/>
          <w:sz w:val="21"/>
          <w:szCs w:val="21"/>
          <w:lang w:val="en-CA" w:eastAsia="en-GB"/>
        </w:rPr>
        <w:t>eligible population’</w:t>
      </w:r>
      <w:r w:rsidRPr="005F0A67">
        <w:rPr>
          <w:rFonts w:asciiTheme="majorBidi" w:eastAsia="Times New Roman" w:hAnsiTheme="majorBidi" w:cstheme="majorBidi"/>
          <w:sz w:val="21"/>
          <w:szCs w:val="21"/>
          <w:lang w:val="en-CA" w:eastAsia="en-GB"/>
        </w:rPr>
        <w:t xml:space="preserve">” below), which is determined by sector and financial thresholds rather than by the degree of DSI use. </w:t>
      </w:r>
    </w:p>
    <w:p w14:paraId="382B4BD6" w14:textId="77777777" w:rsidR="005F0A67" w:rsidRPr="005F0A67" w:rsidRDefault="005F0A67" w:rsidP="005F0A67">
      <w:pPr>
        <w:tabs>
          <w:tab w:val="clear" w:pos="567"/>
          <w:tab w:val="clear" w:pos="1134"/>
          <w:tab w:val="clear" w:pos="1701"/>
          <w:tab w:val="clear" w:pos="2268"/>
        </w:tabs>
        <w:spacing w:after="120" w:line="293" w:lineRule="auto"/>
        <w:rPr>
          <w:rFonts w:asciiTheme="majorBidi" w:eastAsia="Times New Roman" w:hAnsiTheme="majorBidi" w:cstheme="majorBidi"/>
          <w:sz w:val="21"/>
          <w:szCs w:val="21"/>
          <w:lang w:val="en-CA" w:eastAsia="en-GB"/>
        </w:rPr>
      </w:pPr>
      <w:r w:rsidRPr="005F0A67">
        <w:rPr>
          <w:rFonts w:asciiTheme="majorBidi" w:eastAsia="Times New Roman" w:hAnsiTheme="majorBidi" w:cstheme="majorBidi"/>
          <w:b/>
          <w:bCs/>
          <w:sz w:val="21"/>
          <w:szCs w:val="21"/>
          <w:lang w:val="en-CA" w:eastAsia="en-GB"/>
        </w:rPr>
        <w:t>DSI providers:</w:t>
      </w:r>
      <w:r w:rsidRPr="005F0A67">
        <w:rPr>
          <w:rFonts w:asciiTheme="majorBidi" w:eastAsia="Times New Roman" w:hAnsiTheme="majorBidi" w:cstheme="majorBidi"/>
          <w:sz w:val="21"/>
          <w:szCs w:val="21"/>
          <w:lang w:val="en-CA" w:eastAsia="en-GB"/>
        </w:rPr>
        <w:t xml:space="preserve"> Parties or indigenous peoples and local communities whose biological resources and associated genetic material are the origin of digital sequence information, irrespective of which entity subsequently sequences or deposits that information in publicly accessible databases, in compliance with national and international legislation.</w:t>
      </w:r>
    </w:p>
    <w:p w14:paraId="700914B3" w14:textId="77777777" w:rsidR="005F0A67" w:rsidRPr="005F0A67" w:rsidRDefault="005F0A67" w:rsidP="005F0A67">
      <w:pPr>
        <w:tabs>
          <w:tab w:val="clear" w:pos="567"/>
          <w:tab w:val="clear" w:pos="1134"/>
          <w:tab w:val="clear" w:pos="1701"/>
          <w:tab w:val="clear" w:pos="2268"/>
        </w:tabs>
        <w:spacing w:after="120" w:line="293" w:lineRule="auto"/>
        <w:rPr>
          <w:rFonts w:asciiTheme="majorBidi" w:eastAsia="Times New Roman" w:hAnsiTheme="majorBidi" w:cstheme="majorBidi"/>
          <w:sz w:val="21"/>
          <w:szCs w:val="21"/>
          <w:lang w:val="en-CA" w:eastAsia="en-GB"/>
        </w:rPr>
      </w:pPr>
      <w:r w:rsidRPr="005F0A67">
        <w:rPr>
          <w:rFonts w:asciiTheme="majorBidi" w:eastAsia="Times New Roman" w:hAnsiTheme="majorBidi" w:cstheme="majorBidi"/>
          <w:b/>
          <w:bCs/>
          <w:sz w:val="21"/>
          <w:szCs w:val="21"/>
          <w:lang w:val="en-CA" w:eastAsia="en-GB"/>
        </w:rPr>
        <w:t xml:space="preserve">DSI users: </w:t>
      </w:r>
      <w:r w:rsidRPr="005F0A67">
        <w:rPr>
          <w:rFonts w:asciiTheme="majorBidi" w:eastAsia="Times New Roman" w:hAnsiTheme="majorBidi" w:cstheme="majorBidi"/>
          <w:sz w:val="21"/>
          <w:szCs w:val="21"/>
          <w:lang w:val="en-CA" w:eastAsia="en-GB"/>
        </w:rPr>
        <w:t xml:space="preserve">commercial and non-commercial entities that access and use digital sequence information on genetic resources in the scope of the Multilateral Mechanism on the Fair and Equitable Sharing of Benefits of the CBD in their research, development, or commercial activities. </w:t>
      </w:r>
    </w:p>
    <w:p w14:paraId="276C0D91" w14:textId="77777777" w:rsidR="005F0A67" w:rsidRPr="005F0A67" w:rsidRDefault="005F0A67" w:rsidP="005F0A67">
      <w:pPr>
        <w:tabs>
          <w:tab w:val="clear" w:pos="567"/>
          <w:tab w:val="clear" w:pos="1134"/>
          <w:tab w:val="clear" w:pos="1701"/>
          <w:tab w:val="clear" w:pos="2268"/>
        </w:tabs>
        <w:spacing w:after="120" w:line="293" w:lineRule="auto"/>
        <w:rPr>
          <w:rFonts w:asciiTheme="majorBidi" w:eastAsia="Times New Roman" w:hAnsiTheme="majorBidi" w:cstheme="majorBidi"/>
          <w:sz w:val="21"/>
          <w:szCs w:val="21"/>
          <w:lang w:val="en-CA" w:eastAsia="en-GB"/>
        </w:rPr>
      </w:pPr>
      <w:r w:rsidRPr="005F0A67">
        <w:rPr>
          <w:rFonts w:asciiTheme="majorBidi" w:eastAsia="Times New Roman" w:hAnsiTheme="majorBidi" w:cstheme="majorBidi"/>
          <w:b/>
          <w:bCs/>
          <w:sz w:val="21"/>
          <w:szCs w:val="21"/>
          <w:lang w:val="en-CA" w:eastAsia="en-GB"/>
        </w:rPr>
        <w:t xml:space="preserve">Eligible population: </w:t>
      </w:r>
      <w:r w:rsidRPr="005F0A67">
        <w:rPr>
          <w:rFonts w:asciiTheme="majorBidi" w:eastAsia="Times New Roman" w:hAnsiTheme="majorBidi" w:cstheme="majorBidi"/>
          <w:lang w:val="en-CA" w:eastAsia="en-GB"/>
        </w:rPr>
        <w:t>The set of firms operating in Indicative Enclosure I sectors of the CBD Decision 16/2</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{"citationID":"a20ragpmp61","properties":{"unsorted":false,"formattedCitation":"(CBD, 2024a)","plainCitation":"(CBD, 2024a)","noteIndex":0},"citationItems":[{"id":611,"uris":["http://zotero.org/users/14977742/items/33BGLU4L"],"itemData":{"id":611,"type":"article-journal","citation-key":"cbdDecision1622024","container-title":"Sixteenth meeting of the Conference of the Parties to the Convention on Biological Diversity (COP 16)","title":"Decision 16/2: Digital sequence information on genetic resources","URL":"https://www.cbd.int/doc/decisions/cop-16/cop-16-dec-02-en.pdf","author":[{"literal":"CBD"}],"issued":{"date-parts":[["2024"]]}}}],"schema":"https://github.com/citation-style-language/schema/raw/master/csl-citation.json"}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Georgia" w:hAnsiTheme="majorBidi" w:cstheme="majorBidi"/>
          <w:lang w:eastAsia="en-GB"/>
        </w:rPr>
        <w:t>(CBD, 2024a)</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incorporated or principally operating in CBD Party jurisdictions, that meet at least two of the three financial thresholds (total assets of USD 20 million, annual revenue of USD 50 million, and annual profit of USD 5 million), averaged over the three most recent reporting years. These thresholds are indicative and adopted as interim parameters; Decision 16/2, Annex paragraph 4, provides that the Conference of the Parties will establish final thresholds and contribution rates at COP17, informed in part by this and other commissioned studies. Eligibility defines the scope of firms from which contributions to the Cali Fund are expected but does not imply participation.</w:t>
      </w:r>
    </w:p>
    <w:p w14:paraId="775134EF" w14:textId="77777777" w:rsidR="005F0A67" w:rsidRPr="005F0A67" w:rsidRDefault="005F0A67" w:rsidP="005F0A67">
      <w:pPr>
        <w:tabs>
          <w:tab w:val="clear" w:pos="567"/>
          <w:tab w:val="clear" w:pos="1134"/>
          <w:tab w:val="clear" w:pos="1701"/>
          <w:tab w:val="clear" w:pos="2268"/>
        </w:tabs>
        <w:spacing w:after="120" w:line="293" w:lineRule="auto"/>
        <w:rPr>
          <w:rFonts w:asciiTheme="majorBidi" w:eastAsia="Times New Roman" w:hAnsiTheme="majorBidi" w:cstheme="majorBidi"/>
          <w:sz w:val="21"/>
          <w:szCs w:val="21"/>
          <w:lang w:val="en-CA" w:eastAsia="en-GB"/>
        </w:rPr>
      </w:pPr>
      <w:r w:rsidRPr="005F0A67">
        <w:rPr>
          <w:rFonts w:asciiTheme="majorBidi" w:eastAsia="Times New Roman" w:hAnsiTheme="majorBidi" w:cstheme="majorBidi"/>
          <w:b/>
          <w:bCs/>
          <w:sz w:val="21"/>
          <w:szCs w:val="21"/>
          <w:lang w:val="en-CA" w:eastAsia="en-GB"/>
        </w:rPr>
        <w:lastRenderedPageBreak/>
        <w:t xml:space="preserve">Entity: </w:t>
      </w:r>
      <w:r w:rsidRPr="005F0A67">
        <w:rPr>
          <w:rFonts w:asciiTheme="majorBidi" w:eastAsia="Times New Roman" w:hAnsiTheme="majorBidi" w:cstheme="majorBidi"/>
          <w:sz w:val="21"/>
          <w:szCs w:val="21"/>
          <w:lang w:val="en-CA" w:eastAsia="en-GB"/>
        </w:rPr>
        <w:t xml:space="preserve">for the purpose of this study, unless specified otherwise, an </w:t>
      </w:r>
      <w:r w:rsidRPr="005F0A67">
        <w:rPr>
          <w:rFonts w:asciiTheme="majorBidi" w:eastAsia="Times New Roman" w:hAnsiTheme="majorBidi" w:cstheme="majorBidi"/>
          <w:i/>
          <w:iCs/>
          <w:sz w:val="21"/>
          <w:szCs w:val="21"/>
          <w:lang w:val="en-CA" w:eastAsia="en-GB"/>
        </w:rPr>
        <w:t xml:space="preserve">entity </w:t>
      </w:r>
      <w:r w:rsidRPr="005F0A67">
        <w:rPr>
          <w:rFonts w:asciiTheme="majorBidi" w:eastAsia="Times New Roman" w:hAnsiTheme="majorBidi" w:cstheme="majorBidi"/>
          <w:sz w:val="21"/>
          <w:szCs w:val="21"/>
          <w:lang w:val="en-CA" w:eastAsia="en-GB"/>
        </w:rPr>
        <w:t xml:space="preserve">refers to an individual legal entity, typically an operating for-profit company undertaking commercial activities. The treatment of entities in this study is further specified in Section 4.1 </w:t>
      </w:r>
      <w:r w:rsidRPr="005F0A67">
        <w:rPr>
          <w:rFonts w:asciiTheme="majorBidi" w:eastAsia="Times New Roman" w:hAnsiTheme="majorBidi" w:cstheme="majorBidi"/>
          <w:sz w:val="21"/>
          <w:szCs w:val="21"/>
          <w:lang w:val="en-CA" w:eastAsia="en-GB"/>
        </w:rPr>
        <w:fldChar w:fldCharType="begin"/>
      </w:r>
      <w:r w:rsidRPr="005F0A67">
        <w:rPr>
          <w:rFonts w:asciiTheme="majorBidi" w:eastAsia="Times New Roman" w:hAnsiTheme="majorBidi" w:cstheme="majorBidi"/>
          <w:sz w:val="21"/>
          <w:szCs w:val="21"/>
          <w:lang w:val="en-CA" w:eastAsia="en-GB"/>
        </w:rPr>
        <w:instrText xml:space="preserve"> REF _Ref229931968 \p \h  \* MERGEFORMAT </w:instrText>
      </w:r>
      <w:r w:rsidRPr="005F0A67">
        <w:rPr>
          <w:rFonts w:asciiTheme="majorBidi" w:eastAsia="Times New Roman" w:hAnsiTheme="majorBidi" w:cstheme="majorBidi"/>
          <w:sz w:val="21"/>
          <w:szCs w:val="21"/>
          <w:lang w:val="en-CA" w:eastAsia="en-GB"/>
        </w:rPr>
      </w:r>
      <w:r w:rsidRPr="005F0A67">
        <w:rPr>
          <w:rFonts w:asciiTheme="majorBidi" w:eastAsia="Times New Roman" w:hAnsiTheme="majorBidi" w:cstheme="majorBidi"/>
          <w:sz w:val="21"/>
          <w:szCs w:val="21"/>
          <w:lang w:val="en-CA" w:eastAsia="en-GB"/>
        </w:rPr>
        <w:fldChar w:fldCharType="separate"/>
      </w:r>
      <w:r w:rsidRPr="005F0A67">
        <w:rPr>
          <w:rFonts w:asciiTheme="majorBidi" w:eastAsia="Times New Roman" w:hAnsiTheme="majorBidi" w:cstheme="majorBidi"/>
          <w:sz w:val="21"/>
          <w:szCs w:val="21"/>
          <w:lang w:val="en-CA" w:eastAsia="en-GB"/>
        </w:rPr>
        <w:t>below</w:t>
      </w:r>
      <w:r w:rsidRPr="005F0A67">
        <w:rPr>
          <w:rFonts w:asciiTheme="majorBidi" w:eastAsia="Times New Roman" w:hAnsiTheme="majorBidi" w:cstheme="majorBidi"/>
          <w:sz w:val="21"/>
          <w:szCs w:val="21"/>
          <w:lang w:val="en-CA" w:eastAsia="en-GB"/>
        </w:rPr>
        <w:fldChar w:fldCharType="end"/>
      </w:r>
      <w:r w:rsidRPr="005F0A67">
        <w:rPr>
          <w:rFonts w:asciiTheme="majorBidi" w:eastAsia="Times New Roman" w:hAnsiTheme="majorBidi" w:cstheme="majorBidi"/>
          <w:sz w:val="21"/>
          <w:szCs w:val="21"/>
          <w:lang w:val="en-CA" w:eastAsia="en-GB"/>
        </w:rPr>
        <w:t xml:space="preserve">. </w:t>
      </w:r>
    </w:p>
    <w:p w14:paraId="0168BD0C" w14:textId="77777777" w:rsidR="005F0A67" w:rsidRPr="005F0A67" w:rsidRDefault="005F0A67" w:rsidP="005F0A67">
      <w:pPr>
        <w:tabs>
          <w:tab w:val="clear" w:pos="567"/>
          <w:tab w:val="clear" w:pos="1134"/>
          <w:tab w:val="clear" w:pos="1701"/>
          <w:tab w:val="clear" w:pos="2268"/>
        </w:tabs>
        <w:spacing w:after="120" w:line="293" w:lineRule="auto"/>
        <w:rPr>
          <w:rFonts w:asciiTheme="majorBidi" w:eastAsia="Times New Roman" w:hAnsiTheme="majorBidi" w:cstheme="majorBidi"/>
          <w:sz w:val="21"/>
          <w:szCs w:val="21"/>
          <w:lang w:val="en-CA" w:eastAsia="en-GB"/>
        </w:rPr>
      </w:pPr>
      <w:r w:rsidRPr="005F0A67">
        <w:rPr>
          <w:rFonts w:asciiTheme="majorBidi" w:eastAsia="Times New Roman" w:hAnsiTheme="majorBidi" w:cstheme="majorBidi"/>
          <w:b/>
          <w:bCs/>
          <w:sz w:val="21"/>
          <w:szCs w:val="21"/>
          <w:lang w:val="en-CA" w:eastAsia="en-GB"/>
        </w:rPr>
        <w:t xml:space="preserve">Genetic resources: </w:t>
      </w:r>
      <w:r w:rsidRPr="005F0A67">
        <w:rPr>
          <w:rFonts w:asciiTheme="majorBidi" w:eastAsia="Times New Roman" w:hAnsiTheme="majorBidi" w:cstheme="majorBidi"/>
          <w:sz w:val="21"/>
          <w:szCs w:val="21"/>
          <w:lang w:val="en-CA" w:eastAsia="en-GB"/>
        </w:rPr>
        <w:t>means genetic material of actual or potential value.</w:t>
      </w:r>
      <w:r w:rsidRPr="005F0A67" w:rsidDel="00847C01">
        <w:rPr>
          <w:rFonts w:asciiTheme="majorBidi" w:eastAsia="Times New Roman" w:hAnsiTheme="majorBidi" w:cstheme="majorBidi"/>
          <w:sz w:val="21"/>
          <w:szCs w:val="21"/>
          <w:lang w:val="en-CA" w:eastAsia="en-GB"/>
        </w:rPr>
        <w:t xml:space="preserve"> </w:t>
      </w:r>
      <w:r w:rsidRPr="005F0A67">
        <w:rPr>
          <w:rFonts w:asciiTheme="majorBidi" w:eastAsia="Times New Roman" w:hAnsiTheme="majorBidi" w:cstheme="majorBidi"/>
          <w:sz w:val="21"/>
          <w:szCs w:val="21"/>
          <w:lang w:val="en-CA" w:eastAsia="en-GB"/>
        </w:rPr>
        <w:t>These uses can range from basic research that seeks a better understanding of the world’s natural resources to development for commercial products</w:t>
      </w:r>
      <w:r w:rsidRPr="005F0A67">
        <w:rPr>
          <w:rFonts w:asciiTheme="majorBidi" w:eastAsia="Times New Roman" w:hAnsiTheme="majorBidi" w:cstheme="majorBidi"/>
          <w:sz w:val="21"/>
          <w:szCs w:val="21"/>
          <w:vertAlign w:val="superscript"/>
          <w:lang w:val="en-CA" w:eastAsia="en-GB"/>
        </w:rPr>
        <w:footnoteReference w:id="5"/>
      </w:r>
      <w:r w:rsidRPr="005F0A67">
        <w:rPr>
          <w:rFonts w:asciiTheme="majorBidi" w:eastAsia="Times New Roman" w:hAnsiTheme="majorBidi" w:cstheme="majorBidi"/>
          <w:sz w:val="21"/>
          <w:szCs w:val="21"/>
          <w:lang w:val="en-CA" w:eastAsia="en-GB"/>
        </w:rPr>
        <w:t>.</w:t>
      </w:r>
    </w:p>
    <w:p w14:paraId="2A293187" w14:textId="77777777" w:rsidR="005F0A67" w:rsidRPr="005F0A67" w:rsidRDefault="005F0A67" w:rsidP="005F0A67">
      <w:pPr>
        <w:tabs>
          <w:tab w:val="clear" w:pos="567"/>
          <w:tab w:val="clear" w:pos="1134"/>
          <w:tab w:val="clear" w:pos="1701"/>
          <w:tab w:val="clear" w:pos="2268"/>
        </w:tabs>
        <w:spacing w:after="120" w:line="293" w:lineRule="auto"/>
        <w:rPr>
          <w:rFonts w:asciiTheme="majorBidi" w:eastAsia="Times New Roman" w:hAnsiTheme="majorBidi" w:cstheme="majorBidi"/>
          <w:sz w:val="21"/>
          <w:szCs w:val="21"/>
          <w:lang w:val="en-CA" w:eastAsia="en-GB"/>
        </w:rPr>
      </w:pPr>
      <w:r w:rsidRPr="005F0A67">
        <w:rPr>
          <w:rFonts w:asciiTheme="majorBidi" w:eastAsia="Times New Roman" w:hAnsiTheme="majorBidi" w:cstheme="majorBidi"/>
          <w:b/>
          <w:bCs/>
          <w:sz w:val="21"/>
          <w:szCs w:val="21"/>
          <w:lang w:val="en-CA" w:eastAsia="en-GB"/>
        </w:rPr>
        <w:t xml:space="preserve">Indifference margin: </w:t>
      </w:r>
      <w:r w:rsidRPr="005F0A67">
        <w:rPr>
          <w:rFonts w:asciiTheme="majorBidi" w:eastAsia="Times New Roman" w:hAnsiTheme="majorBidi" w:cstheme="majorBidi"/>
          <w:sz w:val="21"/>
          <w:szCs w:val="21"/>
          <w:lang w:val="en-CA" w:eastAsia="en-GB"/>
        </w:rPr>
        <w:t xml:space="preserve">the profit margin at which a firm's contribution is identical under both the revenue-based and profit-based indicative rates in Decision 16/2, </w:t>
      </w:r>
      <w:r w:rsidRPr="005F0A67">
        <w:rPr>
          <w:rFonts w:asciiTheme="majorBidi" w:eastAsia="Times New Roman" w:hAnsiTheme="majorBidi" w:cstheme="majorBidi"/>
          <w:lang w:val="en-CA" w:eastAsia="en-GB"/>
        </w:rPr>
        <w:t>under the assumption, adopted in this study, that firms contribute on whichever base produces the lower amount.</w:t>
      </w:r>
      <w:r w:rsidRPr="005F0A67">
        <w:rPr>
          <w:rFonts w:asciiTheme="majorBidi" w:eastAsia="Times New Roman" w:hAnsiTheme="majorBidi" w:cstheme="majorBidi"/>
          <w:sz w:val="21"/>
          <w:szCs w:val="21"/>
          <w:lang w:val="en-CA" w:eastAsia="en-GB"/>
        </w:rPr>
        <w:t xml:space="preserve"> </w:t>
      </w:r>
      <w:r w:rsidRPr="005F0A67">
        <w:rPr>
          <w:rFonts w:asciiTheme="majorBidi" w:eastAsia="Times New Roman" w:hAnsiTheme="majorBidi" w:cstheme="majorBidi"/>
          <w:lang w:val="en-CA" w:eastAsia="en-GB"/>
        </w:rPr>
        <w:t xml:space="preserve">Decision 16/2 does not define 'revenue' as a payment base, nor its relationship to the 'sales' criterion used for eligibility; this study treats the two as equivalent and applies them at the individual legal-entity level. </w:t>
      </w:r>
      <w:r w:rsidRPr="005F0A67">
        <w:rPr>
          <w:rFonts w:asciiTheme="majorBidi" w:eastAsia="Times New Roman" w:hAnsiTheme="majorBidi" w:cstheme="majorBidi"/>
          <w:sz w:val="21"/>
          <w:szCs w:val="21"/>
          <w:lang w:val="en-CA" w:eastAsia="en-GB"/>
        </w:rPr>
        <w:t>At the current indicative rates of 0.1% of revenue and 1% of profit, the indifference margin is 10%. Firms with profit margins above this threshold might choose to pay on revenue; firms below it might choose to on profit.</w:t>
      </w:r>
    </w:p>
    <w:p w14:paraId="095DDC6B" w14:textId="77777777" w:rsidR="005F0A67" w:rsidRPr="005F0A67" w:rsidRDefault="005F0A67" w:rsidP="005F0A67">
      <w:pPr>
        <w:tabs>
          <w:tab w:val="clear" w:pos="567"/>
          <w:tab w:val="clear" w:pos="1134"/>
          <w:tab w:val="clear" w:pos="1701"/>
          <w:tab w:val="clear" w:pos="2268"/>
        </w:tabs>
        <w:spacing w:after="120" w:line="293" w:lineRule="auto"/>
        <w:rPr>
          <w:rFonts w:asciiTheme="majorBidi" w:eastAsia="Times New Roman" w:hAnsiTheme="majorBidi" w:cstheme="majorBidi"/>
          <w:sz w:val="21"/>
          <w:szCs w:val="21"/>
          <w:lang w:val="en-CA" w:eastAsia="en-GB"/>
        </w:rPr>
      </w:pPr>
      <w:r w:rsidRPr="005F0A67">
        <w:rPr>
          <w:rFonts w:asciiTheme="majorBidi" w:eastAsia="Times New Roman" w:hAnsiTheme="majorBidi" w:cstheme="majorBidi"/>
          <w:b/>
          <w:bCs/>
          <w:sz w:val="21"/>
          <w:szCs w:val="21"/>
          <w:lang w:val="en-CA" w:eastAsia="en-GB"/>
        </w:rPr>
        <w:t xml:space="preserve">Multilateral Mechanism for the Fair and Equitable Sharing of Benefits from the Use of DSI (DSI MLM) </w:t>
      </w:r>
      <w:r w:rsidRPr="005F0A67">
        <w:rPr>
          <w:rFonts w:asciiTheme="majorBidi" w:eastAsia="Times New Roman" w:hAnsiTheme="majorBidi" w:cstheme="majorBidi"/>
          <w:sz w:val="21"/>
          <w:szCs w:val="21"/>
          <w:lang w:val="en-CA" w:eastAsia="en-GB"/>
        </w:rPr>
        <w:t>was established at COP15 through Decision 15/9</w:t>
      </w:r>
      <w:r w:rsidRPr="005F0A67">
        <w:rPr>
          <w:rFonts w:asciiTheme="majorBidi" w:eastAsia="Times New Roman" w:hAnsiTheme="majorBidi" w:cstheme="majorBidi"/>
          <w:sz w:val="21"/>
          <w:szCs w:val="21"/>
          <w:vertAlign w:val="superscript"/>
          <w:lang w:val="en-CA" w:eastAsia="en-GB"/>
        </w:rPr>
        <w:footnoteReference w:id="6"/>
      </w:r>
      <w:r w:rsidRPr="005F0A67">
        <w:rPr>
          <w:rFonts w:asciiTheme="majorBidi" w:eastAsia="Times New Roman" w:hAnsiTheme="majorBidi" w:cstheme="majorBidi"/>
          <w:sz w:val="21"/>
          <w:szCs w:val="21"/>
          <w:lang w:val="en-CA" w:eastAsia="en-GB"/>
        </w:rPr>
        <w:t>, and later operationalised at COP16 through Decision 16/2</w:t>
      </w:r>
      <w:r w:rsidRPr="005F0A67">
        <w:rPr>
          <w:rFonts w:asciiTheme="majorBidi" w:eastAsia="Times New Roman" w:hAnsiTheme="majorBidi" w:cstheme="majorBidi"/>
          <w:sz w:val="21"/>
          <w:szCs w:val="21"/>
          <w:vertAlign w:val="superscript"/>
          <w:lang w:val="en-CA" w:eastAsia="en-GB"/>
        </w:rPr>
        <w:footnoteReference w:id="7"/>
      </w:r>
      <w:r w:rsidRPr="005F0A67">
        <w:rPr>
          <w:rFonts w:asciiTheme="majorBidi" w:eastAsia="Times New Roman" w:hAnsiTheme="majorBidi" w:cstheme="majorBidi"/>
          <w:sz w:val="21"/>
          <w:szCs w:val="21"/>
          <w:lang w:val="en-CA" w:eastAsia="en-GB"/>
        </w:rPr>
        <w:t>, this mechanism serves as the framework for the fair distribution of both monetary and non-monetary benefits generated from the use of DSI. The system for sharing monetary benefits is implemented through the Cali Fund.</w:t>
      </w:r>
    </w:p>
    <w:p w14:paraId="70DDA1B7" w14:textId="77777777" w:rsidR="005F0A67" w:rsidRPr="005F0A67" w:rsidRDefault="005F0A67" w:rsidP="005F0A67">
      <w:pPr>
        <w:tabs>
          <w:tab w:val="clear" w:pos="567"/>
          <w:tab w:val="clear" w:pos="1134"/>
          <w:tab w:val="clear" w:pos="1701"/>
          <w:tab w:val="clear" w:pos="2268"/>
        </w:tabs>
        <w:spacing w:after="120" w:line="293" w:lineRule="auto"/>
        <w:rPr>
          <w:rFonts w:asciiTheme="majorBidi" w:eastAsia="Times New Roman" w:hAnsiTheme="majorBidi" w:cstheme="majorBidi"/>
          <w:b/>
          <w:bCs/>
          <w:sz w:val="21"/>
          <w:szCs w:val="21"/>
          <w:lang w:val="en-CA" w:eastAsia="en-GB"/>
        </w:rPr>
      </w:pPr>
      <w:r w:rsidRPr="005F0A67">
        <w:rPr>
          <w:rFonts w:asciiTheme="majorBidi" w:eastAsia="Times New Roman" w:hAnsiTheme="majorBidi" w:cstheme="majorBidi"/>
          <w:b/>
          <w:bCs/>
          <w:sz w:val="21"/>
          <w:szCs w:val="21"/>
          <w:lang w:val="en-CA" w:eastAsia="en-GB"/>
        </w:rPr>
        <w:t xml:space="preserve">Net Present Value: </w:t>
      </w:r>
      <w:r w:rsidRPr="005F0A67">
        <w:rPr>
          <w:rFonts w:asciiTheme="majorBidi" w:eastAsia="Times New Roman" w:hAnsiTheme="majorBidi" w:cstheme="majorBidi"/>
          <w:sz w:val="21"/>
          <w:szCs w:val="21"/>
          <w:lang w:val="en-CA" w:eastAsia="en-GB"/>
        </w:rPr>
        <w:t>refers to the sum of a series of future cash flows discounted to their present value using a specified discount rate. In this study, NPV aggregates projected annual Cali Fund contributions over time into a single comparable figure, reflecting the principle that revenues received earlier have greater value than identical revenues received in the future.</w:t>
      </w:r>
    </w:p>
    <w:p w14:paraId="0191CB74" w14:textId="77777777" w:rsidR="005F0A67" w:rsidRPr="005F0A67" w:rsidRDefault="005F0A67" w:rsidP="005F0A67">
      <w:pPr>
        <w:tabs>
          <w:tab w:val="clear" w:pos="567"/>
          <w:tab w:val="clear" w:pos="1134"/>
          <w:tab w:val="clear" w:pos="1701"/>
          <w:tab w:val="clear" w:pos="2268"/>
        </w:tabs>
        <w:spacing w:after="120" w:line="293" w:lineRule="auto"/>
        <w:rPr>
          <w:rFonts w:asciiTheme="majorBidi" w:eastAsia="Times New Roman" w:hAnsiTheme="majorBidi" w:cstheme="majorBidi"/>
          <w:b/>
          <w:bCs/>
          <w:sz w:val="21"/>
          <w:szCs w:val="21"/>
          <w:lang w:val="en-CA" w:eastAsia="en-GB"/>
        </w:rPr>
      </w:pPr>
      <w:r w:rsidRPr="005F0A67">
        <w:rPr>
          <w:rFonts w:asciiTheme="majorBidi" w:eastAsia="Times New Roman" w:hAnsiTheme="majorBidi" w:cstheme="majorBidi"/>
          <w:b/>
          <w:bCs/>
          <w:sz w:val="21"/>
          <w:szCs w:val="21"/>
          <w:lang w:val="en-CA" w:eastAsia="en-GB"/>
        </w:rPr>
        <w:t xml:space="preserve">Profit-base payer: </w:t>
      </w:r>
      <w:r w:rsidRPr="005F0A67">
        <w:rPr>
          <w:rFonts w:asciiTheme="majorBidi" w:eastAsia="Times New Roman" w:hAnsiTheme="majorBidi" w:cstheme="majorBidi"/>
          <w:sz w:val="21"/>
          <w:szCs w:val="21"/>
          <w:lang w:val="en-CA" w:eastAsia="en-GB"/>
        </w:rPr>
        <w:t xml:space="preserve">a firm expected to contribute under the Cali Fund and whose profit margin falls between zero and the 10% indifference margin and therefore might choose to contribute 1% of profit under the minimum-of-two rule. </w:t>
      </w:r>
    </w:p>
    <w:p w14:paraId="5136D477" w14:textId="77777777" w:rsidR="005F0A67" w:rsidRPr="005F0A67" w:rsidRDefault="005F0A67" w:rsidP="005F0A67">
      <w:pPr>
        <w:tabs>
          <w:tab w:val="clear" w:pos="567"/>
          <w:tab w:val="clear" w:pos="1134"/>
          <w:tab w:val="clear" w:pos="1701"/>
          <w:tab w:val="clear" w:pos="2268"/>
        </w:tabs>
        <w:spacing w:after="120" w:line="293" w:lineRule="auto"/>
        <w:rPr>
          <w:rFonts w:asciiTheme="majorBidi" w:eastAsia="Times New Roman" w:hAnsiTheme="majorBidi" w:cstheme="majorBidi"/>
          <w:b/>
          <w:bCs/>
          <w:sz w:val="21"/>
          <w:szCs w:val="21"/>
          <w:lang w:val="en-CA" w:eastAsia="en-GB"/>
        </w:rPr>
      </w:pPr>
      <w:r w:rsidRPr="005F0A67">
        <w:rPr>
          <w:rFonts w:asciiTheme="majorBidi" w:eastAsia="Times New Roman" w:hAnsiTheme="majorBidi" w:cstheme="majorBidi"/>
          <w:b/>
          <w:bCs/>
          <w:sz w:val="21"/>
          <w:szCs w:val="21"/>
          <w:lang w:val="en-CA" w:eastAsia="en-GB"/>
        </w:rPr>
        <w:t xml:space="preserve">Revenue-base payer: </w:t>
      </w:r>
      <w:r w:rsidRPr="005F0A67">
        <w:rPr>
          <w:rFonts w:asciiTheme="majorBidi" w:eastAsia="Times New Roman" w:hAnsiTheme="majorBidi" w:cstheme="majorBidi"/>
          <w:sz w:val="21"/>
          <w:szCs w:val="21"/>
          <w:lang w:val="en-CA" w:eastAsia="en-GB"/>
        </w:rPr>
        <w:t>a firm expected to contribute under the Cali Fund and whose profit margin exceeds the 10% indifference margin and therefore might choose to contribute 0.1% of revenue under the minimum-of-two rule.</w:t>
      </w:r>
    </w:p>
    <w:p w14:paraId="3F81C355" w14:textId="77777777" w:rsidR="005F0A67" w:rsidRPr="005F0A67" w:rsidRDefault="005F0A67" w:rsidP="005F0A67">
      <w:pPr>
        <w:tabs>
          <w:tab w:val="clear" w:pos="567"/>
          <w:tab w:val="clear" w:pos="1134"/>
          <w:tab w:val="clear" w:pos="1701"/>
          <w:tab w:val="clear" w:pos="2268"/>
        </w:tabs>
        <w:spacing w:after="120" w:line="293" w:lineRule="auto"/>
        <w:rPr>
          <w:rFonts w:asciiTheme="majorBidi" w:eastAsia="Times New Roman" w:hAnsiTheme="majorBidi" w:cstheme="majorBidi"/>
          <w:sz w:val="21"/>
          <w:szCs w:val="21"/>
          <w:lang w:val="en-CA" w:eastAsia="en-GB"/>
        </w:rPr>
      </w:pPr>
      <w:r w:rsidRPr="005F0A67">
        <w:rPr>
          <w:rFonts w:asciiTheme="majorBidi" w:eastAsia="Times New Roman" w:hAnsiTheme="majorBidi" w:cstheme="majorBidi"/>
          <w:b/>
          <w:bCs/>
          <w:sz w:val="21"/>
          <w:szCs w:val="21"/>
          <w:lang w:val="en-CA" w:eastAsia="en-GB"/>
        </w:rPr>
        <w:t>UN Multi-Partner Trust Fund Office (MPTFO)</w:t>
      </w:r>
      <w:r w:rsidRPr="005F0A67">
        <w:rPr>
          <w:rFonts w:asciiTheme="majorBidi" w:eastAsia="Times New Roman" w:hAnsiTheme="majorBidi" w:cstheme="majorBidi"/>
          <w:sz w:val="21"/>
          <w:szCs w:val="21"/>
          <w:lang w:val="en-CA" w:eastAsia="en-GB"/>
        </w:rPr>
        <w:t>, hosted by UNDP, acts as the UN system’s central administrative agent and technical hub for pooled funding mechanisms. It delivers independent fund design, financial management, as well as fiduciary oversight of multi-stakeholder trust funds. These funds are designed to drive humanitarian, development, and environmental results</w:t>
      </w:r>
      <w:r w:rsidRPr="005F0A67">
        <w:rPr>
          <w:rFonts w:asciiTheme="majorBidi" w:eastAsia="Times New Roman" w:hAnsiTheme="majorBidi" w:cstheme="majorBidi"/>
          <w:sz w:val="21"/>
          <w:szCs w:val="21"/>
          <w:vertAlign w:val="superscript"/>
          <w:lang w:val="en-CA" w:eastAsia="en-GB"/>
        </w:rPr>
        <w:footnoteReference w:id="8"/>
      </w:r>
      <w:r w:rsidRPr="005F0A67">
        <w:rPr>
          <w:rFonts w:asciiTheme="majorBidi" w:eastAsia="Times New Roman" w:hAnsiTheme="majorBidi" w:cstheme="majorBidi"/>
          <w:sz w:val="21"/>
          <w:szCs w:val="21"/>
          <w:lang w:val="en-CA" w:eastAsia="en-GB"/>
        </w:rPr>
        <w:t>.</w:t>
      </w:r>
    </w:p>
    <w:p w14:paraId="702F5A9C" w14:textId="77777777" w:rsidR="005F0A67" w:rsidRPr="005F0A67" w:rsidRDefault="005F0A67" w:rsidP="005F0A67">
      <w:pPr>
        <w:tabs>
          <w:tab w:val="clear" w:pos="567"/>
          <w:tab w:val="clear" w:pos="1134"/>
          <w:tab w:val="clear" w:pos="1701"/>
          <w:tab w:val="clear" w:pos="2268"/>
        </w:tabs>
        <w:jc w:val="left"/>
        <w:rPr>
          <w:rFonts w:asciiTheme="majorBidi" w:eastAsia="Arial" w:hAnsiTheme="majorBidi" w:cstheme="majorBidi"/>
          <w:b/>
          <w:bCs/>
          <w:color w:val="1A1A1A"/>
          <w:sz w:val="28"/>
          <w:szCs w:val="28"/>
          <w:lang w:val="en-CA" w:eastAsia="en-GB"/>
        </w:rPr>
      </w:pPr>
    </w:p>
    <w:p w14:paraId="5C11C9A0" w14:textId="77777777" w:rsidR="00B54840" w:rsidRDefault="00B54840">
      <w:pPr>
        <w:tabs>
          <w:tab w:val="clear" w:pos="567"/>
          <w:tab w:val="clear" w:pos="1134"/>
          <w:tab w:val="clear" w:pos="1701"/>
          <w:tab w:val="clear" w:pos="2268"/>
        </w:tabs>
        <w:jc w:val="left"/>
        <w:rPr>
          <w:rFonts w:asciiTheme="majorBidi" w:eastAsia="Arial" w:hAnsiTheme="majorBidi" w:cstheme="majorBidi"/>
          <w:b/>
          <w:bCs/>
          <w:color w:val="1A1A1A"/>
          <w:sz w:val="28"/>
          <w:szCs w:val="28"/>
          <w:lang w:val="en-CA" w:eastAsia="en-GB"/>
        </w:rPr>
      </w:pPr>
      <w:bookmarkStart w:id="4" w:name="_Toc234579523"/>
      <w:bookmarkStart w:id="5" w:name="_Toc234579782"/>
      <w:r>
        <w:rPr>
          <w:rFonts w:asciiTheme="majorBidi" w:eastAsia="Arial" w:hAnsiTheme="majorBidi" w:cstheme="majorBidi"/>
          <w:b/>
          <w:bCs/>
          <w:color w:val="1A1A1A"/>
          <w:sz w:val="28"/>
          <w:szCs w:val="28"/>
          <w:lang w:val="en-CA" w:eastAsia="en-GB"/>
        </w:rPr>
        <w:br w:type="page"/>
      </w:r>
    </w:p>
    <w:p w14:paraId="63B3FE7E" w14:textId="2D597608" w:rsidR="005F0A67" w:rsidRPr="005F0A67" w:rsidRDefault="005F0A67" w:rsidP="005F0A67">
      <w:pPr>
        <w:numPr>
          <w:ilvl w:val="0"/>
          <w:numId w:val="12"/>
        </w:numPr>
        <w:pBdr>
          <w:bottom w:val="single" w:sz="2" w:space="6" w:color="D9D9D9"/>
        </w:pBdr>
        <w:tabs>
          <w:tab w:val="clear" w:pos="567"/>
          <w:tab w:val="clear" w:pos="1134"/>
          <w:tab w:val="clear" w:pos="1701"/>
          <w:tab w:val="clear" w:pos="2268"/>
        </w:tabs>
        <w:spacing w:before="400" w:after="60"/>
        <w:ind w:left="432" w:hanging="432"/>
        <w:jc w:val="left"/>
        <w:outlineLvl w:val="0"/>
        <w:rPr>
          <w:rFonts w:asciiTheme="majorBidi" w:eastAsia="Arial" w:hAnsiTheme="majorBidi" w:cstheme="majorBidi"/>
          <w:b/>
          <w:bCs/>
          <w:color w:val="1A1A1A"/>
          <w:sz w:val="28"/>
          <w:szCs w:val="28"/>
          <w:lang w:val="en-CA" w:eastAsia="en-GB"/>
        </w:rPr>
      </w:pPr>
      <w:r w:rsidRPr="005F0A67">
        <w:rPr>
          <w:rFonts w:asciiTheme="majorBidi" w:eastAsia="Arial" w:hAnsiTheme="majorBidi" w:cstheme="majorBidi"/>
          <w:b/>
          <w:bCs/>
          <w:color w:val="1A1A1A"/>
          <w:sz w:val="28"/>
          <w:szCs w:val="28"/>
          <w:lang w:val="en-CA" w:eastAsia="en-GB"/>
        </w:rPr>
        <w:lastRenderedPageBreak/>
        <w:t>Introduction</w:t>
      </w:r>
      <w:bookmarkEnd w:id="4"/>
      <w:bookmarkEnd w:id="5"/>
    </w:p>
    <w:p w14:paraId="0B37104D" w14:textId="77777777" w:rsidR="005F0A67" w:rsidRPr="005F0A67" w:rsidRDefault="005F0A67" w:rsidP="005F0A67">
      <w:pPr>
        <w:numPr>
          <w:ilvl w:val="1"/>
          <w:numId w:val="12"/>
        </w:numPr>
        <w:tabs>
          <w:tab w:val="clear" w:pos="567"/>
          <w:tab w:val="clear" w:pos="1134"/>
          <w:tab w:val="clear" w:pos="1701"/>
          <w:tab w:val="clear" w:pos="2268"/>
        </w:tabs>
        <w:spacing w:before="320" w:after="160"/>
        <w:ind w:left="576" w:hanging="576"/>
        <w:jc w:val="left"/>
        <w:outlineLvl w:val="1"/>
        <w:rPr>
          <w:rFonts w:asciiTheme="majorBidi" w:eastAsia="Arial" w:hAnsiTheme="majorBidi" w:cstheme="majorBidi"/>
          <w:b/>
          <w:bCs/>
          <w:color w:val="1A1A1A"/>
          <w:sz w:val="23"/>
          <w:szCs w:val="23"/>
          <w:lang w:val="en-CA" w:eastAsia="en-GB"/>
        </w:rPr>
      </w:pPr>
      <w:bookmarkStart w:id="6" w:name="_Toc234579524"/>
      <w:r w:rsidRPr="005F0A67">
        <w:rPr>
          <w:rFonts w:asciiTheme="majorBidi" w:eastAsia="Arial" w:hAnsiTheme="majorBidi" w:cstheme="majorBidi"/>
          <w:b/>
          <w:bCs/>
          <w:color w:val="1A1A1A"/>
          <w:sz w:val="23"/>
          <w:szCs w:val="23"/>
          <w:lang w:val="en-CA" w:eastAsia="en-GB"/>
        </w:rPr>
        <w:t>Mandate</w:t>
      </w:r>
      <w:bookmarkEnd w:id="6"/>
    </w:p>
    <w:p w14:paraId="5A791C5C"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Paragraph 6 of Decision 16/2</w:t>
      </w:r>
      <w:r w:rsidRPr="005F0A67">
        <w:rPr>
          <w:rFonts w:asciiTheme="majorBidi" w:eastAsia="Times New Roman" w:hAnsiTheme="majorBidi" w:cstheme="majorBidi"/>
          <w:vertAlign w:val="superscript"/>
          <w:lang w:val="en-CA" w:eastAsia="en-GB"/>
        </w:rPr>
        <w:footnoteReference w:id="9"/>
      </w:r>
      <w:r w:rsidRPr="005F0A67">
        <w:rPr>
          <w:rFonts w:asciiTheme="majorBidi" w:eastAsia="Times New Roman" w:hAnsiTheme="majorBidi" w:cstheme="majorBidi"/>
          <w:lang w:val="en-CA" w:eastAsia="en-GB"/>
        </w:rPr>
        <w:t xml:space="preserve"> requested the Executive Secretary, subject to the availability of resources, to commission analytical work ahead of COP17. This study responds to two of those requests, namely:</w:t>
      </w:r>
    </w:p>
    <w:p w14:paraId="7341CCB6" w14:textId="77777777" w:rsidR="005F0A67" w:rsidRPr="005F0A67" w:rsidRDefault="005F0A67" w:rsidP="005F0A67">
      <w:pPr>
        <w:pBdr>
          <w:left w:val="single" w:sz="12" w:space="12" w:color="2C5F2E"/>
        </w:pBdr>
        <w:tabs>
          <w:tab w:val="clear" w:pos="567"/>
          <w:tab w:val="clear" w:pos="1134"/>
          <w:tab w:val="clear" w:pos="1701"/>
          <w:tab w:val="clear" w:pos="2268"/>
        </w:tabs>
        <w:spacing w:after="80"/>
        <w:ind w:left="480"/>
        <w:rPr>
          <w:rFonts w:asciiTheme="majorBidi" w:eastAsia="Times New Roman" w:hAnsiTheme="majorBidi" w:cstheme="majorBidi"/>
          <w:i/>
          <w:iCs/>
          <w:sz w:val="24"/>
          <w:szCs w:val="24"/>
          <w:lang w:val="en-CA" w:eastAsia="en-GB"/>
        </w:rPr>
      </w:pPr>
      <w:r w:rsidRPr="005F0A67">
        <w:rPr>
          <w:rFonts w:asciiTheme="majorBidi" w:eastAsia="Times New Roman" w:hAnsiTheme="majorBidi" w:cstheme="majorBidi"/>
          <w:i/>
          <w:iCs/>
          <w:sz w:val="24"/>
          <w:szCs w:val="24"/>
          <w:lang w:val="en-CA" w:eastAsia="en-GB"/>
        </w:rPr>
        <w:t>"Prepare a study on national and international standards for the identification of the small, medium and large entities referred to in paragraph 3 of the annex to the present decision."</w:t>
      </w:r>
    </w:p>
    <w:p w14:paraId="3E575369" w14:textId="77777777" w:rsidR="005F0A67" w:rsidRPr="005F0A67" w:rsidRDefault="005F0A67" w:rsidP="005F0A67">
      <w:pPr>
        <w:tabs>
          <w:tab w:val="clear" w:pos="567"/>
          <w:tab w:val="clear" w:pos="1134"/>
          <w:tab w:val="clear" w:pos="1701"/>
          <w:tab w:val="clear" w:pos="2268"/>
        </w:tabs>
        <w:ind w:left="480"/>
        <w:jc w:val="left"/>
        <w:rPr>
          <w:rFonts w:asciiTheme="majorBidi" w:eastAsia="Times New Roman" w:hAnsiTheme="majorBidi" w:cstheme="majorBidi"/>
          <w:sz w:val="24"/>
          <w:szCs w:val="24"/>
          <w:lang w:val="en-CA" w:eastAsia="en-GB"/>
        </w:rPr>
      </w:pPr>
      <w:r w:rsidRPr="005F0A67">
        <w:rPr>
          <w:rFonts w:asciiTheme="majorBidi" w:eastAsia="Arial" w:hAnsiTheme="majorBidi" w:cstheme="majorBidi"/>
          <w:color w:val="777777"/>
          <w:sz w:val="17"/>
          <w:szCs w:val="17"/>
          <w:lang w:val="en-CA" w:eastAsia="en-GB"/>
        </w:rPr>
        <w:t>Convention on Biological Diversity, Decision 16/2 paragraph 6(d)</w:t>
      </w:r>
    </w:p>
    <w:p w14:paraId="3727AF33" w14:textId="77777777" w:rsidR="005F0A67" w:rsidRPr="005F0A67" w:rsidRDefault="005F0A67" w:rsidP="005F0A67">
      <w:pPr>
        <w:tabs>
          <w:tab w:val="clear" w:pos="567"/>
          <w:tab w:val="clear" w:pos="1134"/>
          <w:tab w:val="clear" w:pos="1701"/>
          <w:tab w:val="clear" w:pos="2268"/>
        </w:tabs>
        <w:spacing w:before="240"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and:</w:t>
      </w:r>
    </w:p>
    <w:p w14:paraId="0878F905" w14:textId="77777777" w:rsidR="005F0A67" w:rsidRPr="005F0A67" w:rsidRDefault="005F0A67" w:rsidP="005F0A67">
      <w:pPr>
        <w:pBdr>
          <w:left w:val="single" w:sz="12" w:space="12" w:color="2C5F2E"/>
        </w:pBdr>
        <w:tabs>
          <w:tab w:val="clear" w:pos="567"/>
          <w:tab w:val="clear" w:pos="1134"/>
          <w:tab w:val="clear" w:pos="1701"/>
          <w:tab w:val="clear" w:pos="2268"/>
        </w:tabs>
        <w:spacing w:after="80"/>
        <w:ind w:left="480"/>
        <w:rPr>
          <w:rFonts w:asciiTheme="majorBidi" w:eastAsia="Times New Roman" w:hAnsiTheme="majorBidi" w:cstheme="majorBidi"/>
          <w:i/>
          <w:iCs/>
          <w:sz w:val="24"/>
          <w:szCs w:val="24"/>
          <w:lang w:val="en-CA" w:eastAsia="en-GB"/>
        </w:rPr>
      </w:pPr>
      <w:r w:rsidRPr="005F0A67">
        <w:rPr>
          <w:rFonts w:asciiTheme="majorBidi" w:eastAsia="Times New Roman" w:hAnsiTheme="majorBidi" w:cstheme="majorBidi"/>
          <w:i/>
          <w:iCs/>
          <w:sz w:val="24"/>
          <w:szCs w:val="24"/>
          <w:lang w:val="en-CA" w:eastAsia="en-GB"/>
        </w:rPr>
        <w:t>"Commission a study on contribution rates, including implications for revenue generation and economic competitiveness."</w:t>
      </w:r>
    </w:p>
    <w:p w14:paraId="23F5DEDA" w14:textId="77777777" w:rsidR="005F0A67" w:rsidRPr="005F0A67" w:rsidRDefault="005F0A67" w:rsidP="005F0A67">
      <w:pPr>
        <w:tabs>
          <w:tab w:val="clear" w:pos="567"/>
          <w:tab w:val="clear" w:pos="1134"/>
          <w:tab w:val="clear" w:pos="1701"/>
          <w:tab w:val="clear" w:pos="2268"/>
        </w:tabs>
        <w:ind w:left="480"/>
        <w:jc w:val="left"/>
        <w:rPr>
          <w:rFonts w:asciiTheme="majorBidi" w:eastAsia="Times New Roman" w:hAnsiTheme="majorBidi" w:cstheme="majorBidi"/>
          <w:sz w:val="24"/>
          <w:szCs w:val="24"/>
          <w:lang w:val="en-CA" w:eastAsia="en-GB"/>
        </w:rPr>
      </w:pPr>
      <w:r w:rsidRPr="005F0A67">
        <w:rPr>
          <w:rFonts w:asciiTheme="majorBidi" w:eastAsia="Arial" w:hAnsiTheme="majorBidi" w:cstheme="majorBidi"/>
          <w:color w:val="777777"/>
          <w:sz w:val="17"/>
          <w:szCs w:val="17"/>
          <w:lang w:val="en-CA" w:eastAsia="en-GB"/>
        </w:rPr>
        <w:t>Convention on Biological Diversity, Decision 16/2 paragraph 6(e)</w:t>
      </w:r>
    </w:p>
    <w:p w14:paraId="2A732737" w14:textId="77777777" w:rsidR="005F0A67" w:rsidRPr="005F0A67" w:rsidRDefault="005F0A67" w:rsidP="005F0A67">
      <w:pPr>
        <w:tabs>
          <w:tab w:val="clear" w:pos="567"/>
          <w:tab w:val="clear" w:pos="1134"/>
          <w:tab w:val="clear" w:pos="1701"/>
          <w:tab w:val="clear" w:pos="2268"/>
        </w:tabs>
        <w:spacing w:before="240" w:after="120" w:line="293"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The direct relevance of the first study to COP17 is established in paragraph 4 of the annex to Decision 16/2, which states that:</w:t>
      </w:r>
    </w:p>
    <w:p w14:paraId="1EB4308A" w14:textId="77777777" w:rsidR="005F0A67" w:rsidRPr="005F0A67" w:rsidRDefault="005F0A67" w:rsidP="005F0A67">
      <w:pPr>
        <w:pBdr>
          <w:left w:val="single" w:sz="12" w:space="12" w:color="2C5F2E"/>
        </w:pBdr>
        <w:tabs>
          <w:tab w:val="clear" w:pos="567"/>
          <w:tab w:val="clear" w:pos="1134"/>
          <w:tab w:val="clear" w:pos="1701"/>
          <w:tab w:val="clear" w:pos="2268"/>
        </w:tabs>
        <w:spacing w:after="80"/>
        <w:ind w:left="480"/>
        <w:rPr>
          <w:rFonts w:asciiTheme="majorBidi" w:eastAsia="Times New Roman" w:hAnsiTheme="majorBidi" w:cstheme="majorBidi"/>
          <w:i/>
          <w:iCs/>
          <w:sz w:val="24"/>
          <w:szCs w:val="24"/>
          <w:lang w:val="en-CA" w:eastAsia="en-GB"/>
        </w:rPr>
      </w:pPr>
      <w:r w:rsidRPr="005F0A67">
        <w:rPr>
          <w:rFonts w:asciiTheme="majorBidi" w:eastAsia="Times New Roman" w:hAnsiTheme="majorBidi" w:cstheme="majorBidi"/>
          <w:i/>
          <w:iCs/>
          <w:sz w:val="24"/>
          <w:szCs w:val="24"/>
          <w:lang w:val="en-CA" w:eastAsia="en-GB"/>
        </w:rPr>
        <w:t xml:space="preserve"> "In the light of the studies on national and international standards for the identification of small, medium and large entities and on contribution rates, including implications for revenue generation and economic competitiveness, the Conference of the Parties will establish thresholds and contribution rates at its seventeenth meeting and review them periodically thereafter." </w:t>
      </w:r>
    </w:p>
    <w:p w14:paraId="01B6E385" w14:textId="77777777" w:rsidR="005F0A67" w:rsidRPr="005F0A67" w:rsidRDefault="005F0A67" w:rsidP="005F0A67">
      <w:pPr>
        <w:tabs>
          <w:tab w:val="clear" w:pos="567"/>
          <w:tab w:val="clear" w:pos="1134"/>
          <w:tab w:val="clear" w:pos="1701"/>
          <w:tab w:val="clear" w:pos="2268"/>
        </w:tabs>
        <w:ind w:left="480"/>
        <w:jc w:val="left"/>
        <w:rPr>
          <w:rFonts w:asciiTheme="majorBidi" w:eastAsia="Times New Roman" w:hAnsiTheme="majorBidi" w:cstheme="majorBidi"/>
          <w:sz w:val="24"/>
          <w:szCs w:val="24"/>
          <w:lang w:val="en-CA" w:eastAsia="en-GB"/>
        </w:rPr>
      </w:pPr>
      <w:r w:rsidRPr="005F0A67">
        <w:rPr>
          <w:rFonts w:asciiTheme="majorBidi" w:eastAsia="Arial" w:hAnsiTheme="majorBidi" w:cstheme="majorBidi"/>
          <w:color w:val="777777"/>
          <w:sz w:val="17"/>
          <w:szCs w:val="17"/>
          <w:lang w:val="en-CA" w:eastAsia="en-GB"/>
        </w:rPr>
        <w:t>Convention on Biological Diversity, Decision 16/2 Annex paragraph 4</w:t>
      </w:r>
    </w:p>
    <w:p w14:paraId="6043206F" w14:textId="77777777" w:rsidR="005F0A67" w:rsidRPr="005F0A67" w:rsidRDefault="005F0A67" w:rsidP="005F0A67">
      <w:pPr>
        <w:numPr>
          <w:ilvl w:val="1"/>
          <w:numId w:val="12"/>
        </w:numPr>
        <w:tabs>
          <w:tab w:val="clear" w:pos="567"/>
          <w:tab w:val="clear" w:pos="1134"/>
          <w:tab w:val="clear" w:pos="1701"/>
          <w:tab w:val="clear" w:pos="2268"/>
        </w:tabs>
        <w:spacing w:before="320" w:after="160"/>
        <w:ind w:left="576" w:hanging="576"/>
        <w:jc w:val="left"/>
        <w:outlineLvl w:val="1"/>
        <w:rPr>
          <w:rFonts w:asciiTheme="majorBidi" w:eastAsia="Arial" w:hAnsiTheme="majorBidi" w:cstheme="majorBidi"/>
          <w:b/>
          <w:bCs/>
          <w:color w:val="1A1A1A"/>
          <w:sz w:val="23"/>
          <w:szCs w:val="23"/>
          <w:lang w:val="en-CA" w:eastAsia="en-GB"/>
        </w:rPr>
      </w:pPr>
      <w:bookmarkStart w:id="7" w:name="_Toc234579525"/>
      <w:r w:rsidRPr="005F0A67">
        <w:rPr>
          <w:rFonts w:asciiTheme="majorBidi" w:eastAsia="Arial" w:hAnsiTheme="majorBidi" w:cstheme="majorBidi"/>
          <w:b/>
          <w:bCs/>
          <w:color w:val="1A1A1A"/>
          <w:sz w:val="23"/>
          <w:szCs w:val="23"/>
          <w:lang w:val="en-CA" w:eastAsia="en-GB"/>
        </w:rPr>
        <w:t>Scope and limitations</w:t>
      </w:r>
      <w:bookmarkEnd w:id="7"/>
    </w:p>
    <w:p w14:paraId="0A40283C"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This study's focus on contribution rates and economic competitiveness reflects the specific mandate of Decision 16/2, paragraph 6(e). It should be read as one input among the fuller set of considerations set out in Decision 15/9 (see Background), including benefit-sharing, conservation, and support for the Convention's broader objectives, which this study does not independently assess. This study examines only the contribution aspect of the Cali Fund mechanism. It does not consider the allocation formula, distributional outcomes for recipients, or non-monetary benefit-sharing, or the governance, traceability, and disbursement arrangements of the Cali Fund itself, as these are out of scope and for some, addressed through separate intersessional processes. Any instances where the analysis addresses allocation, such as the interaction between contribution obligations and allocations, are explicitly stated. The study makes no finding on additionality, that is, whether funds raised through the mechanism would produce conservation outcomes that would not otherwise have occurred, or on the extent to which they complement rather than substitute for existing public conservation financing; the revenue estimates in Part II accordingly indicate what could be raised, not whether raising it advances the Convention's conservation objectives. The revenue estimates in this study should accordingly not be read as evidence that the mechanism will function as intended once operational; they describe potential contribution levels under stated assumptions, not the credibility or effectiveness of subsequent fund governance.</w:t>
      </w:r>
    </w:p>
    <w:p w14:paraId="5A542B1C"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There are several important limitations to the contribution flow and competitiveness analyses, which are explained in detail in the relevant sections: Section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_Ref231664660 \r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6.2</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for contribution rate modelling and Section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_Ref231664696 \r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7.2</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for </w:t>
      </w:r>
      <w:r w:rsidRPr="005F0A67">
        <w:rPr>
          <w:rFonts w:asciiTheme="majorBidi" w:eastAsia="Times New Roman" w:hAnsiTheme="majorBidi" w:cstheme="majorBidi"/>
          <w:lang w:val="en-CA" w:eastAsia="en-GB"/>
        </w:rPr>
        <w:lastRenderedPageBreak/>
        <w:t xml:space="preserve">competitiveness analysis. The impacts of those limitations on the interpretations of the results are explicitly addressed throughout the study. </w:t>
      </w:r>
    </w:p>
    <w:p w14:paraId="6A06BC8B" w14:textId="77777777" w:rsidR="005F0A67" w:rsidRPr="005F0A67" w:rsidRDefault="005F0A67" w:rsidP="005F0A67">
      <w:pPr>
        <w:numPr>
          <w:ilvl w:val="1"/>
          <w:numId w:val="12"/>
        </w:numPr>
        <w:tabs>
          <w:tab w:val="clear" w:pos="567"/>
          <w:tab w:val="clear" w:pos="1134"/>
          <w:tab w:val="clear" w:pos="1701"/>
          <w:tab w:val="clear" w:pos="2268"/>
        </w:tabs>
        <w:spacing w:before="320" w:after="160"/>
        <w:ind w:left="576" w:hanging="576"/>
        <w:jc w:val="left"/>
        <w:outlineLvl w:val="1"/>
        <w:rPr>
          <w:rFonts w:asciiTheme="majorBidi" w:eastAsia="Arial" w:hAnsiTheme="majorBidi" w:cstheme="majorBidi"/>
          <w:b/>
          <w:bCs/>
          <w:color w:val="1A1A1A"/>
          <w:sz w:val="23"/>
          <w:szCs w:val="23"/>
          <w:lang w:val="en-CA" w:eastAsia="en-GB"/>
        </w:rPr>
      </w:pPr>
      <w:bookmarkStart w:id="8" w:name="_Toc234579526"/>
      <w:r w:rsidRPr="005F0A67">
        <w:rPr>
          <w:rFonts w:asciiTheme="majorBidi" w:eastAsia="Arial" w:hAnsiTheme="majorBidi" w:cstheme="majorBidi"/>
          <w:b/>
          <w:bCs/>
          <w:color w:val="1A1A1A"/>
          <w:sz w:val="23"/>
          <w:szCs w:val="23"/>
          <w:lang w:val="en-CA" w:eastAsia="en-GB"/>
        </w:rPr>
        <w:t>Structure</w:t>
      </w:r>
      <w:bookmarkEnd w:id="8"/>
    </w:p>
    <w:p w14:paraId="1F7C0580" w14:textId="77777777" w:rsidR="005F0A67" w:rsidRPr="005F0A67" w:rsidRDefault="005F0A67" w:rsidP="00B54840">
      <w:pPr>
        <w:tabs>
          <w:tab w:val="clear" w:pos="567"/>
          <w:tab w:val="clear" w:pos="1134"/>
          <w:tab w:val="clear" w:pos="1701"/>
          <w:tab w:val="clear" w:pos="2268"/>
        </w:tabs>
        <w:spacing w:after="180"/>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The study starts with a background section, a review of other multilateral mechanisms concerned with the private sector, and the analytical framework assumed for the analyses. </w:t>
      </w:r>
    </w:p>
    <w:p w14:paraId="73EBD3A4" w14:textId="77777777" w:rsidR="005F0A67" w:rsidRPr="005F0A67" w:rsidRDefault="005F0A67" w:rsidP="00B54840">
      <w:pPr>
        <w:tabs>
          <w:tab w:val="clear" w:pos="567"/>
          <w:tab w:val="clear" w:pos="1134"/>
          <w:tab w:val="clear" w:pos="1701"/>
          <w:tab w:val="clear" w:pos="2268"/>
        </w:tabs>
        <w:spacing w:after="180"/>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The analyses are organised in three parts, each addressing a distinct element of the two mandates above.</w:t>
      </w:r>
    </w:p>
    <w:p w14:paraId="39233A1B" w14:textId="77777777" w:rsidR="005F0A67" w:rsidRPr="005F0A67" w:rsidRDefault="005F0A67" w:rsidP="00B54840">
      <w:pPr>
        <w:tabs>
          <w:tab w:val="clear" w:pos="567"/>
          <w:tab w:val="clear" w:pos="1134"/>
          <w:tab w:val="clear" w:pos="1701"/>
          <w:tab w:val="clear" w:pos="2268"/>
        </w:tabs>
        <w:spacing w:after="180"/>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Part I addresses paragraph 6(d). It examines national and international standards for entity size classification and assesses the Decision 16/2 financial thresholds against those standards. It also compares those standards to the current indicative threshold design.</w:t>
      </w:r>
    </w:p>
    <w:p w14:paraId="1778FDA5" w14:textId="77777777" w:rsidR="005F0A67" w:rsidRPr="005F0A67" w:rsidRDefault="005F0A67" w:rsidP="00B54840">
      <w:pPr>
        <w:tabs>
          <w:tab w:val="clear" w:pos="567"/>
          <w:tab w:val="clear" w:pos="1134"/>
          <w:tab w:val="clear" w:pos="1701"/>
          <w:tab w:val="clear" w:pos="2268"/>
        </w:tabs>
        <w:spacing w:after="180"/>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Part II addresses the revenue generation dimension of paragraph 6(e). It presents firm-level data estimates of the Cali Fund's revenue potential under alternative participation scenarios. Furthermore, it examines the distributional properties of the current modalities on contribution across the indicative sector list.</w:t>
      </w:r>
    </w:p>
    <w:p w14:paraId="17A762A2" w14:textId="77777777" w:rsidR="005F0A67" w:rsidRPr="005F0A67" w:rsidRDefault="005F0A67" w:rsidP="00B54840">
      <w:pPr>
        <w:tabs>
          <w:tab w:val="clear" w:pos="567"/>
          <w:tab w:val="clear" w:pos="1134"/>
          <w:tab w:val="clear" w:pos="1701"/>
          <w:tab w:val="clear" w:pos="2268"/>
        </w:tabs>
        <w:spacing w:after="180"/>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Part III looks at the economic competitiveness and whether Cali Fund contributions might put participating firms at a disadvantage relative to non-participating firms. This part uses sector-level value chain analysis, compares financial burdens, and includes results from a dedicated industry consultation.</w:t>
      </w:r>
    </w:p>
    <w:p w14:paraId="0B7FA377" w14:textId="77777777" w:rsidR="005F0A67" w:rsidRPr="005F0A67" w:rsidRDefault="005F0A67" w:rsidP="00B54840">
      <w:pPr>
        <w:tabs>
          <w:tab w:val="clear" w:pos="567"/>
          <w:tab w:val="clear" w:pos="1134"/>
          <w:tab w:val="clear" w:pos="1701"/>
          <w:tab w:val="clear" w:pos="2268"/>
        </w:tabs>
        <w:spacing w:after="180"/>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The discussion section brings together the findings from all three parts. The conclusion section presents elements that the Conference of the Parties might wish to consider at its seventeenth meeting.</w:t>
      </w:r>
    </w:p>
    <w:p w14:paraId="3AAED210" w14:textId="77777777" w:rsidR="005F0A67" w:rsidRPr="005F0A67" w:rsidRDefault="005F0A67" w:rsidP="005F0A67">
      <w:pPr>
        <w:numPr>
          <w:ilvl w:val="1"/>
          <w:numId w:val="12"/>
        </w:numPr>
        <w:tabs>
          <w:tab w:val="clear" w:pos="567"/>
          <w:tab w:val="clear" w:pos="1134"/>
          <w:tab w:val="clear" w:pos="1701"/>
          <w:tab w:val="clear" w:pos="2268"/>
        </w:tabs>
        <w:spacing w:before="320" w:after="160"/>
        <w:ind w:left="576" w:hanging="576"/>
        <w:jc w:val="left"/>
        <w:outlineLvl w:val="1"/>
        <w:rPr>
          <w:rFonts w:asciiTheme="majorBidi" w:eastAsia="Arial" w:hAnsiTheme="majorBidi" w:cstheme="majorBidi"/>
          <w:b/>
          <w:bCs/>
          <w:color w:val="1A1A1A"/>
          <w:sz w:val="23"/>
          <w:szCs w:val="23"/>
          <w:lang w:val="en-CA" w:eastAsia="en-GB"/>
        </w:rPr>
      </w:pPr>
      <w:bookmarkStart w:id="9" w:name="_Toc234579527"/>
      <w:r w:rsidRPr="005F0A67">
        <w:rPr>
          <w:rFonts w:asciiTheme="majorBidi" w:eastAsia="Arial" w:hAnsiTheme="majorBidi" w:cstheme="majorBidi"/>
          <w:b/>
          <w:bCs/>
          <w:color w:val="1A1A1A"/>
          <w:sz w:val="23"/>
          <w:szCs w:val="23"/>
          <w:lang w:val="en-CA" w:eastAsia="en-GB"/>
        </w:rPr>
        <w:t>Data and analytical inputs</w:t>
      </w:r>
      <w:bookmarkEnd w:id="9"/>
      <w:r w:rsidRPr="005F0A67">
        <w:rPr>
          <w:rFonts w:asciiTheme="majorBidi" w:eastAsia="Arial" w:hAnsiTheme="majorBidi" w:cstheme="majorBidi"/>
          <w:b/>
          <w:bCs/>
          <w:color w:val="1A1A1A"/>
          <w:sz w:val="23"/>
          <w:szCs w:val="23"/>
          <w:lang w:val="en-CA" w:eastAsia="en-GB"/>
        </w:rPr>
        <w:t xml:space="preserve"> </w:t>
      </w:r>
    </w:p>
    <w:p w14:paraId="5FBD94BD"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Each section of the analysis uses different primary data sources. Part I uses submissions to the CBD Secretariat’s </w:t>
      </w:r>
      <w:hyperlink r:id="rId19">
        <w:r w:rsidRPr="005F0A67">
          <w:rPr>
            <w:rFonts w:asciiTheme="majorBidi" w:eastAsia="Times New Roman" w:hAnsiTheme="majorBidi" w:cstheme="majorBidi"/>
            <w:color w:val="0563C1"/>
            <w:u w:val="single"/>
            <w:lang w:val="en-CA" w:eastAsia="en-GB"/>
          </w:rPr>
          <w:t>notification 2024-116</w:t>
        </w:r>
      </w:hyperlink>
      <w:r w:rsidRPr="005F0A67">
        <w:rPr>
          <w:rFonts w:asciiTheme="majorBidi" w:eastAsia="Times New Roman" w:hAnsiTheme="majorBidi" w:cstheme="majorBidi"/>
          <w:lang w:val="en-CA" w:eastAsia="en-GB"/>
        </w:rPr>
        <w:t>, which requested information on how small, medium (SME), and large entities are classified at the national and international levels. These submissions came from Parties, other governments, indigenous peoples and local communities, and relevant organizations. Part II is based on Makowska-Curran</w:t>
      </w:r>
      <w:r w:rsidRPr="005F0A67">
        <w:rPr>
          <w:rFonts w:asciiTheme="majorBidi" w:eastAsia="Times New Roman" w:hAnsiTheme="majorBidi" w:cstheme="majorBidi"/>
          <w:vertAlign w:val="superscript"/>
          <w:lang w:val="en-CA" w:eastAsia="en-GB"/>
        </w:rPr>
        <w:footnoteReference w:id="10"/>
      </w:r>
      <w:r w:rsidRPr="005F0A67">
        <w:rPr>
          <w:rFonts w:asciiTheme="majorBidi" w:eastAsia="Times New Roman" w:hAnsiTheme="majorBidi" w:cstheme="majorBidi"/>
          <w:lang w:val="en-CA" w:eastAsia="en-GB"/>
        </w:rPr>
        <w:t xml:space="preserve"> a working paper from the Grantham Research Institute</w:t>
      </w:r>
      <w:r w:rsidRPr="005F0A67">
        <w:rPr>
          <w:rFonts w:asciiTheme="majorBidi" w:eastAsia="Times New Roman" w:hAnsiTheme="majorBidi" w:cstheme="majorBidi"/>
          <w:vertAlign w:val="superscript"/>
          <w:lang w:val="en-CA" w:eastAsia="en-GB"/>
        </w:rPr>
        <w:footnoteReference w:id="11"/>
      </w:r>
      <w:r w:rsidRPr="005F0A67">
        <w:rPr>
          <w:rFonts w:asciiTheme="majorBidi" w:eastAsia="Times New Roman" w:hAnsiTheme="majorBidi" w:cstheme="majorBidi"/>
          <w:lang w:val="en-CA" w:eastAsia="en-GB"/>
        </w:rPr>
        <w:t xml:space="preserve"> which analysed financial data from more than 20,000 eligible companies in 100 CBD Party jurisdictions to estimate potential Cali Fund contributions. Part III is supported by the results of an industry consultation of companies operating in eligible sectors and industrial association representatives. The consultation’s questionnaire is provided in Annex B.</w:t>
      </w:r>
    </w:p>
    <w:p w14:paraId="07000A34"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For all three parts, the main evidence comes from peer-reviewed literature. Where needed, the analysis also uses grey literature, other submissions to the CBD from Parties, indigenous peoples and local communities, observers, and non-Party stakeholders, and other official documents. All sources are cited throughout.</w:t>
      </w:r>
    </w:p>
    <w:p w14:paraId="46AAAC6D" w14:textId="77777777" w:rsidR="00B54840" w:rsidRDefault="00B54840" w:rsidP="00B54840">
      <w:pPr>
        <w:pBdr>
          <w:bottom w:val="single" w:sz="2" w:space="6" w:color="D9D9D9"/>
        </w:pBdr>
        <w:tabs>
          <w:tab w:val="clear" w:pos="567"/>
          <w:tab w:val="clear" w:pos="1134"/>
          <w:tab w:val="clear" w:pos="1701"/>
          <w:tab w:val="clear" w:pos="2268"/>
        </w:tabs>
        <w:spacing w:before="400" w:after="60"/>
        <w:ind w:left="432"/>
        <w:jc w:val="left"/>
        <w:outlineLvl w:val="0"/>
        <w:rPr>
          <w:rFonts w:asciiTheme="majorBidi" w:eastAsia="Arial" w:hAnsiTheme="majorBidi" w:cstheme="majorBidi"/>
          <w:b/>
          <w:bCs/>
          <w:color w:val="1A1A1A"/>
          <w:sz w:val="28"/>
          <w:szCs w:val="28"/>
          <w:lang w:val="en-CA" w:eastAsia="en-GB"/>
        </w:rPr>
      </w:pPr>
      <w:bookmarkStart w:id="10" w:name="_Ref228992474"/>
      <w:bookmarkStart w:id="11" w:name="_Ref230440030"/>
      <w:bookmarkStart w:id="12" w:name="_Toc234579528"/>
      <w:bookmarkStart w:id="13" w:name="_Toc234579783"/>
    </w:p>
    <w:p w14:paraId="0A69DE04" w14:textId="77777777" w:rsidR="00B54840" w:rsidRDefault="00B54840" w:rsidP="00B54840">
      <w:pPr>
        <w:pBdr>
          <w:bottom w:val="single" w:sz="2" w:space="6" w:color="D9D9D9"/>
        </w:pBdr>
        <w:tabs>
          <w:tab w:val="clear" w:pos="567"/>
          <w:tab w:val="clear" w:pos="1134"/>
          <w:tab w:val="clear" w:pos="1701"/>
          <w:tab w:val="clear" w:pos="2268"/>
        </w:tabs>
        <w:spacing w:before="400" w:after="60"/>
        <w:ind w:left="432"/>
        <w:jc w:val="left"/>
        <w:outlineLvl w:val="0"/>
        <w:rPr>
          <w:rFonts w:asciiTheme="majorBidi" w:eastAsia="Arial" w:hAnsiTheme="majorBidi" w:cstheme="majorBidi"/>
          <w:b/>
          <w:bCs/>
          <w:color w:val="1A1A1A"/>
          <w:sz w:val="28"/>
          <w:szCs w:val="28"/>
          <w:lang w:val="en-CA" w:eastAsia="en-GB"/>
        </w:rPr>
      </w:pPr>
    </w:p>
    <w:p w14:paraId="31ACC290" w14:textId="77777777" w:rsidR="00B54840" w:rsidRDefault="00B54840" w:rsidP="00B54840">
      <w:pPr>
        <w:pBdr>
          <w:bottom w:val="single" w:sz="2" w:space="6" w:color="D9D9D9"/>
        </w:pBdr>
        <w:tabs>
          <w:tab w:val="clear" w:pos="567"/>
          <w:tab w:val="clear" w:pos="1134"/>
          <w:tab w:val="clear" w:pos="1701"/>
          <w:tab w:val="clear" w:pos="2268"/>
        </w:tabs>
        <w:spacing w:before="400" w:after="60"/>
        <w:ind w:left="432"/>
        <w:jc w:val="left"/>
        <w:outlineLvl w:val="0"/>
        <w:rPr>
          <w:rFonts w:asciiTheme="majorBidi" w:eastAsia="Arial" w:hAnsiTheme="majorBidi" w:cstheme="majorBidi"/>
          <w:b/>
          <w:bCs/>
          <w:color w:val="1A1A1A"/>
          <w:sz w:val="28"/>
          <w:szCs w:val="28"/>
          <w:lang w:val="en-CA" w:eastAsia="en-GB"/>
        </w:rPr>
      </w:pPr>
    </w:p>
    <w:p w14:paraId="279423D1" w14:textId="25083374" w:rsidR="005F0A67" w:rsidRPr="005F0A67" w:rsidRDefault="005F0A67" w:rsidP="005F0A67">
      <w:pPr>
        <w:numPr>
          <w:ilvl w:val="0"/>
          <w:numId w:val="12"/>
        </w:numPr>
        <w:pBdr>
          <w:bottom w:val="single" w:sz="2" w:space="6" w:color="D9D9D9"/>
        </w:pBdr>
        <w:tabs>
          <w:tab w:val="clear" w:pos="567"/>
          <w:tab w:val="clear" w:pos="1134"/>
          <w:tab w:val="clear" w:pos="1701"/>
          <w:tab w:val="clear" w:pos="2268"/>
        </w:tabs>
        <w:spacing w:before="400" w:after="60"/>
        <w:ind w:left="432" w:hanging="432"/>
        <w:jc w:val="left"/>
        <w:outlineLvl w:val="0"/>
        <w:rPr>
          <w:rFonts w:asciiTheme="majorBidi" w:eastAsia="Arial" w:hAnsiTheme="majorBidi" w:cstheme="majorBidi"/>
          <w:b/>
          <w:bCs/>
          <w:color w:val="1A1A1A"/>
          <w:sz w:val="28"/>
          <w:szCs w:val="28"/>
          <w:lang w:val="en-CA" w:eastAsia="en-GB"/>
        </w:rPr>
      </w:pPr>
      <w:r w:rsidRPr="005F0A67">
        <w:rPr>
          <w:rFonts w:asciiTheme="majorBidi" w:eastAsia="Arial" w:hAnsiTheme="majorBidi" w:cstheme="majorBidi"/>
          <w:b/>
          <w:bCs/>
          <w:color w:val="1A1A1A"/>
          <w:sz w:val="28"/>
          <w:szCs w:val="28"/>
          <w:lang w:val="en-CA" w:eastAsia="en-GB"/>
        </w:rPr>
        <w:lastRenderedPageBreak/>
        <w:t>Background</w:t>
      </w:r>
      <w:bookmarkEnd w:id="10"/>
      <w:r w:rsidRPr="005F0A67">
        <w:rPr>
          <w:rFonts w:asciiTheme="majorBidi" w:eastAsia="Arial" w:hAnsiTheme="majorBidi" w:cstheme="majorBidi"/>
          <w:b/>
          <w:bCs/>
          <w:color w:val="1A1A1A"/>
          <w:sz w:val="28"/>
          <w:szCs w:val="28"/>
          <w:lang w:val="en-CA" w:eastAsia="en-GB"/>
        </w:rPr>
        <w:t>: institutional and legal context</w:t>
      </w:r>
      <w:bookmarkEnd w:id="11"/>
      <w:bookmarkEnd w:id="12"/>
      <w:bookmarkEnd w:id="13"/>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48"/>
      </w:tblGrid>
      <w:tr w:rsidR="005F0A67" w:rsidRPr="005F0A67" w14:paraId="17CD639F" w14:textId="77777777" w:rsidTr="00B54840">
        <w:trPr>
          <w:trHeight w:hRule="exact" w:val="6240"/>
        </w:trPr>
        <w:tc>
          <w:tcPr>
            <w:tcW w:w="9648" w:type="dxa"/>
            <w:shd w:val="clear" w:color="auto" w:fill="E0F3E3"/>
            <w:tcMar>
              <w:top w:w="200" w:type="dxa"/>
              <w:left w:w="280" w:type="dxa"/>
              <w:bottom w:w="0" w:type="dxa"/>
              <w:right w:w="280" w:type="dxa"/>
            </w:tcMar>
            <w:vAlign w:val="center"/>
          </w:tcPr>
          <w:p w14:paraId="792EC1DE"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This section presents the institutional and legal context of the study, tracing the emergence of the multilateral mechanism for digital sequence information on genetic resources (DSI), and the core design features of the Cali Fund. </w:t>
            </w:r>
          </w:p>
          <w:p w14:paraId="11D063A7"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The term “DSI” remains a placeholder concept without an internationally agreed definition. Different international fora use varying terminology to refer to related forms of digitized genetic information and apply different scopes and governance approaches. Unless explicitly stated otherwise, this study uses the term DSI as it is discussed under the CBD framework (see glossary).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_Ref230861353 \r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fldChar w:fldCharType="end"/>
            </w:r>
          </w:p>
          <w:p w14:paraId="028BB6D8"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Terminology also varies across fora discussing related concepts. The CBD uses 'digital sequence information'; the BBNJ Agreement refers to 'digital sequence information on marine genetic resources of areas beyond national jurisdiction'; and discussions under the ITPGRFA and elsewhere have used 'genetic sequence data' to describe closely related material. This study uses 'DSI' throughout, consistent with the CBD framework, regardless of which term a particular source or instrument uses.</w:t>
            </w:r>
          </w:p>
          <w:p w14:paraId="44F22049"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The long-term availability of publicly accessible DSI is not self-sustaining: it depends on continued investment in biodiversity conservation, species documentation, and sequencing infrastructure, work disproportionately carried out by megadiverse countries. This interdependence is part of the underlying rationale for benefit-sharing under the Convention, though assessing it in full is beyond the scope of this study's focus on contribution rates and competitiveness (see Scope and limitations).</w:t>
            </w:r>
          </w:p>
        </w:tc>
      </w:tr>
      <w:tr w:rsidR="005F0A67" w:rsidRPr="005F0A67" w14:paraId="12F83940" w14:textId="77777777" w:rsidTr="00FB671B">
        <w:trPr>
          <w:trHeight w:hRule="exact" w:val="132"/>
        </w:trPr>
        <w:tc>
          <w:tcPr>
            <w:tcW w:w="9648" w:type="dxa"/>
            <w:shd w:val="clear" w:color="auto" w:fill="2C5F2E"/>
          </w:tcPr>
          <w:p w14:paraId="3D737FBD"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p>
        </w:tc>
      </w:tr>
    </w:tbl>
    <w:p w14:paraId="57B8F995" w14:textId="77777777" w:rsidR="005F0A67" w:rsidRPr="005F0A67" w:rsidRDefault="005F0A67" w:rsidP="005F0A67">
      <w:pPr>
        <w:numPr>
          <w:ilvl w:val="1"/>
          <w:numId w:val="12"/>
        </w:numPr>
        <w:tabs>
          <w:tab w:val="clear" w:pos="567"/>
          <w:tab w:val="clear" w:pos="1134"/>
          <w:tab w:val="clear" w:pos="1701"/>
          <w:tab w:val="clear" w:pos="2268"/>
        </w:tabs>
        <w:spacing w:before="320" w:after="160"/>
        <w:ind w:left="576" w:hanging="576"/>
        <w:jc w:val="left"/>
        <w:outlineLvl w:val="1"/>
        <w:rPr>
          <w:rFonts w:asciiTheme="majorBidi" w:eastAsia="Arial" w:hAnsiTheme="majorBidi" w:cstheme="majorBidi"/>
          <w:b/>
          <w:bCs/>
          <w:color w:val="1A1A1A"/>
          <w:sz w:val="23"/>
          <w:szCs w:val="23"/>
          <w:lang w:val="en-CA" w:eastAsia="en-GB"/>
        </w:rPr>
      </w:pPr>
      <w:bookmarkStart w:id="14" w:name="_Toc234579529"/>
      <w:r w:rsidRPr="005F0A67">
        <w:rPr>
          <w:rFonts w:asciiTheme="majorBidi" w:eastAsia="Arial" w:hAnsiTheme="majorBidi" w:cstheme="majorBidi"/>
          <w:b/>
          <w:bCs/>
          <w:color w:val="1A1A1A"/>
          <w:sz w:val="23"/>
          <w:szCs w:val="23"/>
          <w:lang w:val="en-CA" w:eastAsia="en-GB"/>
        </w:rPr>
        <w:t>Transition towards multilateral approaches for DSI</w:t>
      </w:r>
      <w:bookmarkEnd w:id="14"/>
    </w:p>
    <w:p w14:paraId="6E4B9ED8"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The Nagoya Protocol</w:t>
      </w:r>
      <w:r w:rsidRPr="005F0A67">
        <w:rPr>
          <w:rFonts w:asciiTheme="majorBidi" w:eastAsia="Times New Roman" w:hAnsiTheme="majorBidi" w:cstheme="majorBidi"/>
          <w:vertAlign w:val="superscript"/>
          <w:lang w:val="en-CA" w:eastAsia="en-GB"/>
        </w:rPr>
        <w:footnoteReference w:id="12"/>
      </w:r>
      <w:r w:rsidRPr="005F0A67">
        <w:rPr>
          <w:rFonts w:asciiTheme="majorBidi" w:eastAsia="Times New Roman" w:hAnsiTheme="majorBidi" w:cstheme="majorBidi"/>
          <w:vertAlign w:val="superscript"/>
          <w:lang w:val="en-CA" w:eastAsia="en-GB"/>
        </w:rPr>
        <w:t xml:space="preserve"> </w:t>
      </w:r>
      <w:r w:rsidRPr="005F0A67">
        <w:rPr>
          <w:rFonts w:asciiTheme="majorBidi" w:eastAsia="Times New Roman" w:hAnsiTheme="majorBidi" w:cstheme="majorBidi"/>
          <w:lang w:val="en-CA" w:eastAsia="en-GB"/>
        </w:rPr>
        <w:t>and other bilateral approaches, designed primarily for tangible genetic resources, raised practical challenges when applied to DSI. Among these challenges, as life science research came to depend increasingly on digitised sequence data stored in open-access repositories such as the International Nucleotide Sequence Database Collaboration (INSDC)</w:t>
      </w:r>
      <w:r w:rsidRPr="005F0A67">
        <w:rPr>
          <w:rFonts w:asciiTheme="majorBidi" w:eastAsia="Times New Roman" w:hAnsiTheme="majorBidi" w:cstheme="majorBidi"/>
          <w:vertAlign w:val="superscript"/>
          <w:lang w:val="en-CA" w:eastAsia="en-GB"/>
        </w:rPr>
        <w:footnoteReference w:id="13"/>
      </w:r>
      <w:r w:rsidRPr="005F0A67">
        <w:rPr>
          <w:rFonts w:asciiTheme="majorBidi" w:eastAsia="Times New Roman" w:hAnsiTheme="majorBidi" w:cstheme="majorBidi"/>
          <w:lang w:val="en-CA" w:eastAsia="en-GB"/>
        </w:rPr>
        <w:t>, the bilateral access and traceability requirements underpinning the Protocol became difficult to apply at the scale and speed at which sequence data are generated, shared, and reused</w:t>
      </w:r>
      <w:r w:rsidRPr="005F0A67">
        <w:rPr>
          <w:rFonts w:asciiTheme="majorBidi" w:eastAsia="Times New Roman" w:hAnsiTheme="majorBidi" w:cstheme="majorBidi"/>
          <w:vertAlign w:val="superscript"/>
          <w:lang w:val="en-CA" w:eastAsia="en-GB"/>
        </w:rPr>
        <w:footnoteReference w:id="14"/>
      </w:r>
      <w:r w:rsidRPr="005F0A67">
        <w:rPr>
          <w:rFonts w:asciiTheme="majorBidi" w:eastAsia="Times New Roman" w:hAnsiTheme="majorBidi" w:cstheme="majorBidi"/>
          <w:lang w:val="en-CA" w:eastAsia="en-GB"/>
        </w:rPr>
        <w:t xml:space="preserve">. This reflects a more fundamental distinction between the two mechanisms: unlike physical genetic material, which is finite and can in principle be tracked through a bilateral chain of custody, digital sequence data is non-rivalrous and can be replicated and accessed simultaneously by an unlimited number of users across multiple public repositories, making the bilateral, transaction-based model underlying the Nagoya Protocol structurally unsuited to DSI regardless of scale. This was one of several unresolved issues, alongside questions of attribution to a country or community of origin, the public-good character of open sequence databases, and disagreement over whether DSI constitutes utilisation under the Convention, that shaped the negotiations leading to Decision 15/9. The multilateral mechanism was developed as a pragmatic solution to be implemented alongside the Nagoya Protocol and other existing ABS instruments, rather than as a replacement for them. COP 15 in Montreal in December 2022, acknowledged this and adopted Decision 15/9, which formally established </w:t>
      </w:r>
      <w:r w:rsidRPr="005F0A67">
        <w:rPr>
          <w:rFonts w:asciiTheme="majorBidi" w:eastAsia="Times New Roman" w:hAnsiTheme="majorBidi" w:cstheme="majorBidi"/>
          <w:lang w:val="en-CA" w:eastAsia="en-GB"/>
        </w:rPr>
        <w:lastRenderedPageBreak/>
        <w:t>the multilateral mechanism for the fair and equitable benefit-sharing from the use of DSI and set out the main criteria that a solution for benefit sharing from the use of DSI should meet. It recognised the practical challenges associated with tracking and tracing DSI, established a multilateral approach as a practical response, and stressed that any benefit-sharing arrangement must be consistent with principles of open data. The decision also stated that the mechanism should deliver benefits that outweigh its costs, offer users legal certainty and clarity, not hinder research and innovation, align with international legal obligations, and respect the rights of indigenous peoples and local communities</w:t>
      </w:r>
      <w:r w:rsidRPr="005F0A67">
        <w:rPr>
          <w:rFonts w:asciiTheme="majorBidi" w:eastAsia="Times New Roman" w:hAnsiTheme="majorBidi" w:cstheme="majorBidi"/>
          <w:vertAlign w:val="superscript"/>
          <w:lang w:val="en-CA" w:eastAsia="en-GB"/>
        </w:rPr>
        <w:footnoteReference w:id="15"/>
      </w:r>
      <w:r w:rsidRPr="005F0A67">
        <w:rPr>
          <w:rFonts w:asciiTheme="majorBidi" w:eastAsia="Times New Roman" w:hAnsiTheme="majorBidi" w:cstheme="majorBidi"/>
          <w:lang w:val="en-CA" w:eastAsia="en-GB"/>
        </w:rPr>
        <w:t>. Establishment of the multilateral mechanism reflected not only these practical and technical considerations, but also the collective objective of addressing long-standing equity concerns raised by biodiversity-rich provider countries regarding benefit-sharing from DSI use, and of strengthening implementation of the Convention's third objective on the fair and equitable sharing of benefits.</w:t>
      </w:r>
    </w:p>
    <w:p w14:paraId="6619BCE0"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Building on this and intersessional work, at COP16 in Cali in October 2024, Parties agreed on Decision 16/2</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{"citationID":"akbc7j12m6","properties":{"unsorted":false,"formattedCitation":"(CBD, 2024a)","plainCitation":"(CBD, 2024a)","noteIndex":0},"citationItems":[{"id":611,"uris":["http://zotero.org/users/14977742/items/33BGLU4L"],"itemData":{"id":611,"type":"article-journal","citation-key":"cbdDecision1622024","container-title":"Sixteenth meeting of the Conference of the Parties to the Convention on Biological Diversity (COP 16)","title":"Decision 16/2: Digital sequence information on genetic resources","URL":"https://www.cbd.int/doc/decisions/cop-16/cop-16-dec-02-en.pdf","author":[{"literal":"CBD"}],"issued":{"date-parts":[["2024"]]}}}],"schema":"https://github.com/citation-style-language/schema/raw/master/csl-citation.json"}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Georgia" w:hAnsiTheme="majorBidi" w:cstheme="majorBidi"/>
          <w:lang w:eastAsia="en-GB"/>
        </w:rPr>
        <w:t>(CBD, 2024a)</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which adopted the modalities for operationalizing the multilateral mechanism. This decision operationalised the global financing instrument, designated as the Cali Fund, to channel and distribute the monetary benefits arising from the use of DSI.</w:t>
      </w:r>
    </w:p>
    <w:p w14:paraId="046FD9AF"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The Cali Fund was officially launched in February 2025, administered by the United Nations Multi-Partner Trust Fund Office (MPTFO). The MPTFO provides an institutional structure for receiving, managing, and disbursing resources at the global level. </w:t>
      </w:r>
    </w:p>
    <w:p w14:paraId="51FECF29" w14:textId="77777777" w:rsidR="005F0A67" w:rsidRPr="005F0A67" w:rsidRDefault="005F0A67" w:rsidP="005F0A67">
      <w:pPr>
        <w:numPr>
          <w:ilvl w:val="1"/>
          <w:numId w:val="12"/>
        </w:numPr>
        <w:tabs>
          <w:tab w:val="clear" w:pos="567"/>
          <w:tab w:val="clear" w:pos="1134"/>
          <w:tab w:val="clear" w:pos="1701"/>
          <w:tab w:val="clear" w:pos="2268"/>
        </w:tabs>
        <w:spacing w:before="320" w:after="160"/>
        <w:ind w:left="576" w:hanging="576"/>
        <w:jc w:val="left"/>
        <w:outlineLvl w:val="1"/>
        <w:rPr>
          <w:rFonts w:asciiTheme="majorBidi" w:eastAsia="Arial" w:hAnsiTheme="majorBidi" w:cstheme="majorBidi"/>
          <w:b/>
          <w:bCs/>
          <w:color w:val="1A1A1A"/>
          <w:sz w:val="23"/>
          <w:szCs w:val="23"/>
          <w:lang w:val="en-CA" w:eastAsia="en-GB"/>
        </w:rPr>
      </w:pPr>
      <w:bookmarkStart w:id="15" w:name="_Ref230861353"/>
      <w:bookmarkStart w:id="16" w:name="_Toc234579530"/>
      <w:r w:rsidRPr="005F0A67">
        <w:rPr>
          <w:rFonts w:asciiTheme="majorBidi" w:eastAsia="Arial" w:hAnsiTheme="majorBidi" w:cstheme="majorBidi"/>
          <w:b/>
          <w:bCs/>
          <w:color w:val="1A1A1A"/>
          <w:sz w:val="23"/>
          <w:szCs w:val="23"/>
          <w:lang w:val="en-CA" w:eastAsia="en-GB"/>
        </w:rPr>
        <w:t>The Multilateral Mechanism for the Fair and Equitable Benefit-sharing of Digital Sequence Information on Genetic Resources, and its Cali Fund</w:t>
      </w:r>
      <w:bookmarkEnd w:id="15"/>
      <w:bookmarkEnd w:id="16"/>
    </w:p>
    <w:p w14:paraId="375E47C3"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This subsection presents the institutional design and operational arrangements of the DSI MLM as established under decision 15/9 and operationalized under decision 16/2.</w:t>
      </w:r>
    </w:p>
    <w:p w14:paraId="36F3E4F3" w14:textId="77777777" w:rsidR="005F0A67" w:rsidRPr="005F0A67" w:rsidRDefault="005F0A67" w:rsidP="00B54840">
      <w:pPr>
        <w:tabs>
          <w:tab w:val="clear" w:pos="567"/>
          <w:tab w:val="clear" w:pos="1134"/>
          <w:tab w:val="clear" w:pos="1701"/>
          <w:tab w:val="clear" w:pos="2268"/>
        </w:tabs>
        <w:spacing w:before="320" w:after="160"/>
        <w:ind w:left="720"/>
        <w:jc w:val="left"/>
        <w:outlineLvl w:val="2"/>
        <w:rPr>
          <w:rFonts w:asciiTheme="majorBidi" w:eastAsia="Arial" w:hAnsiTheme="majorBidi" w:cstheme="majorBidi"/>
          <w:b/>
          <w:bCs/>
          <w:color w:val="7F7F7F"/>
          <w:sz w:val="23"/>
          <w:szCs w:val="23"/>
          <w:lang w:val="en-CA" w:eastAsia="en-GB"/>
        </w:rPr>
      </w:pPr>
      <w:bookmarkStart w:id="17" w:name="_Ref229587854"/>
      <w:bookmarkStart w:id="18" w:name="_Toc234579531"/>
      <w:r w:rsidRPr="005F0A67">
        <w:rPr>
          <w:rFonts w:asciiTheme="majorBidi" w:eastAsia="Arial" w:hAnsiTheme="majorBidi" w:cstheme="majorBidi"/>
          <w:b/>
          <w:bCs/>
          <w:color w:val="7F7F7F"/>
          <w:sz w:val="23"/>
          <w:szCs w:val="23"/>
          <w:lang w:val="en-CA" w:eastAsia="en-GB"/>
        </w:rPr>
        <w:t>Scope of DSI</w:t>
      </w:r>
      <w:bookmarkEnd w:id="17"/>
      <w:bookmarkEnd w:id="18"/>
    </w:p>
    <w:p w14:paraId="45A30157" w14:textId="7627872D" w:rsid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At the CBD as well as other international agreements, digital sequence information is a placeholder term, highlighting the lack of a commonly agreed definition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{"citationID":"dqtQyvjF","properties":{"formattedCitation":"(Houssen, Sara and Jaspars, 2020)","plainCitation":"(Houssen, Sara and Jaspars, 2020)","noteIndex":0},"citationItems":[{"id":342,"uris":["http://zotero.org/users/14977742/items/IFM53QJI"],"itemData":{"id":342,"type":"report","citation-key":"waelhoussenDigitalSequenceInformation2020","title":"Digital Sequence Information on Genetic Resources: Concept, Scope and Current Use","URL":"http://www.cbd.int/doc/c/fef9/2f90/70f037ccc5da885dfb293e88/dsi-ahteg-2020-01-03-en.pdf","author":[{"family":"Houssen","given":"Wael"},{"family":"Sara","given":"Rodrigo"},{"family":"Jaspars","given":"Marcel"}],"issued":{"date-parts":[["2020"]]}}}],"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(Houssen, Sara and Jaspars, 2020)</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Under the CBD, where most of the discussions on DSI’s meaning and boundaries have taken place so far, it is understood as a broad umbrella covering a wide range of potential data types and uses, potentially due to the different uses of DSI in different scientific disciplines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{"citationID":"8Fuf78rK","properties":{"formattedCitation":"(Heinemann, Coray and Thaler, 2018; Smyth {\\i{}et al.}, 2020)","plainCitation":"(Heinemann, Coray and Thaler, 2018; Smyth et al., 2020)","noteIndex":0},"citationItems":[{"id":341,"uris":["http://zotero.org/users/14977742/items/PR2KDX2Y"],"itemData":{"id":341,"type":"report","citation-key":"jacka.heinemannExploratoryFactfindingScoping2018","publisher":"FAO GRFA","title":"Exploratory fact‐finding scoping study on “Digital Sequence Information” on genetic resources for food and agriculture.","author":[{"family":"Heinemann","given":"Jack A."},{"family":"Coray","given":"Dorien S."},{"family":"Thaler","given":"David S."}],"issued":{"date-parts":[["2018"]]}}},{"id":530,"uris":["http://zotero.org/users/14977742/items/MLFFFJDK"],"itemData":{"id":530,"type":"article-journal","abstract":"Abstract\n            The decoupling of biological information from its material source has changed debates about global access and benefit sharing (ABS) of genetic resources. What does the digitization of biological information imply for genetic resources of proven and potential value? What implications does digital sequence information (DSI) have for individuals and groups, who have invested time and effort in augmenting and refining valuable characteristics in genetic resources? Stakeholders discussing this issue in various international fora unanimously acknowledge there are currently more questions than answers. Online digital publicly accessible resources represent a transformative technological shift, resulting in intellectual property governance gaps. This article provides interdisciplinary perspectives on options available to governments to continue advancing the goals of ABS, when physical access to genetic resources is no longer needed because DSI is readily accessible. It envisions four governance scenarios.","citation-key":"smythImplicationsBiologicalInformation2020","container-title":"The Journal of World Intellectual Property","DOI":"10.1111/jwip.12151","ISSN":"1422-2213, 1747-1796","issue":"3-4","journalAbbreviation":"World Intellectual Property","language":"en","page":"267-287","source":"DOI.org (Crossref)","title":"Implications of biological information digitization: Access and benefit sharing of plant genetic resources","title-short":"Implications of biological information digitization","volume":"23","author":[{"family":"Smyth","given":"Stuart J."},{"family":"Macall","given":"Diego M."},{"family":"Phillips","given":"Peter W. B."},{"family":"De Beer","given":"Jeremy"}],"issued":{"date-parts":[["2020",7]]}}}],"schema":"https://github.com/citation-style-language/schema/raw/master/csl-citation.json"}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color w:val="000000"/>
          <w:lang w:val="en-CA" w:eastAsia="en-GB"/>
        </w:rPr>
        <w:t xml:space="preserve">(Heinemann, Coray and Thaler, 2018; Smyth </w:t>
      </w:r>
      <w:r w:rsidRPr="005F0A67">
        <w:rPr>
          <w:rFonts w:asciiTheme="majorBidi" w:eastAsia="Times New Roman" w:hAnsiTheme="majorBidi" w:cstheme="majorBidi"/>
          <w:i/>
          <w:iCs/>
          <w:color w:val="000000"/>
          <w:lang w:val="en-CA" w:eastAsia="en-GB"/>
        </w:rPr>
        <w:t>et al.</w:t>
      </w:r>
      <w:r w:rsidRPr="005F0A67">
        <w:rPr>
          <w:rFonts w:asciiTheme="majorBidi" w:eastAsia="Times New Roman" w:hAnsiTheme="majorBidi" w:cstheme="majorBidi"/>
          <w:color w:val="000000"/>
          <w:lang w:val="en-CA" w:eastAsia="en-GB"/>
        </w:rPr>
        <w:t>, 2020)</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However, “the scope of each international ABS instrument is not delineated using the same characteristics or legal concepts” but rather set by jurisdictional boundaries, organism-specific characteristics and type, or its intended use of research and development outputs</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{"citationID":"PejPrWzn","properties":{"formattedCitation":"(Switzer, Rourke and Eccleston-Turner, 2025)","plainCitation":"(Switzer, Rourke and Eccleston-Turner, 2025)","dontUpdate":true,"noteIndex":0},"citationItems":[{"id":529,"uris":["http://zotero.org/users/14977742/items/7GLYV8DY"],"itemData":{"id":529,"type":"article-journal","citation-key":"switzerNavigatingGlobalLandscape2025a","DOI":"10.13140/RG.2.2.13456.52488","language":"en","publisher":"Unpublished","source":"DOI.org (Datacite)","title":"Navigating the Global Landscape of Access and Benefit-Sharing (ABS) on Digital Sequence Information (DSI) Regulation: Dealing with Scope Confusion through Mutual Supportiveness","title-short":"Navigating the Global Landscape of Access and Benefit-Sharing (ABS) on Digital Sequence Information (DSI) Regulation","URL":"https://www.researchgate.net/doi/10.13140/RG.2.2.13456.52488","author":[{"family":"Switzer","given":"Stephanie"},{"family":"Rourke","given":"Michelle"},{"family":"Eccleston-Turner","given":"Mark"}],"accessed":{"date-parts":[["2026",2,3]]},"issued":{"date-parts":[["2025"]]}}}],"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 xml:space="preserve"> (Switzer, Rourke and Eccleston-Turner, 2025)</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Therefore, this subsection presents the scope of DSI under relevant mechanism and will not attempt to set out a single definition for this study. Note that these multilateral mechanisms are further analysed in Section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_Ref229996020 \r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3</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while Section 4.2.3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_Ref230171567 \p \h </w:instrText>
      </w:r>
      <w:r>
        <w:rPr>
          <w:rFonts w:asciiTheme="majorBidi" w:eastAsia="Times New Roman" w:hAnsiTheme="majorBidi" w:cstheme="majorBidi"/>
          <w:lang w:val="en-CA" w:eastAsia="en-GB"/>
        </w:rPr>
        <w:instrText xml:space="preserve">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below</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explores the potential consequences of firms facing multiple DSI-linked commitments for the Cali Fund participation. </w:t>
      </w:r>
      <w:bookmarkStart w:id="19" w:name="_Ref220766752"/>
    </w:p>
    <w:p w14:paraId="61C44549" w14:textId="77777777" w:rsidR="00B54840" w:rsidRDefault="00B54840"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p>
    <w:p w14:paraId="34992058" w14:textId="77777777" w:rsidR="00B54840" w:rsidRDefault="00B54840"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p>
    <w:p w14:paraId="0AC9CD3C" w14:textId="77777777" w:rsidR="00B54840" w:rsidRPr="005F0A67" w:rsidRDefault="00B54840"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p>
    <w:p w14:paraId="19772FE3" w14:textId="77777777" w:rsidR="005F0A67" w:rsidRPr="005F0A67" w:rsidRDefault="005F0A67" w:rsidP="005F0A67">
      <w:pPr>
        <w:numPr>
          <w:ilvl w:val="4"/>
          <w:numId w:val="0"/>
        </w:numPr>
        <w:tabs>
          <w:tab w:val="clear" w:pos="567"/>
          <w:tab w:val="clear" w:pos="1134"/>
          <w:tab w:val="clear" w:pos="1701"/>
          <w:tab w:val="clear" w:pos="2268"/>
        </w:tabs>
        <w:spacing w:after="120"/>
        <w:jc w:val="left"/>
        <w:outlineLvl w:val="4"/>
        <w:rPr>
          <w:rFonts w:asciiTheme="majorBidi" w:eastAsia="Georgia" w:hAnsiTheme="majorBidi" w:cstheme="majorBidi"/>
          <w:b/>
          <w:bCs/>
          <w:color w:val="419844"/>
          <w:lang w:val="en-CA" w:eastAsia="en-GB"/>
        </w:rPr>
      </w:pPr>
      <w:r w:rsidRPr="005F0A67">
        <w:rPr>
          <w:rFonts w:asciiTheme="majorBidi" w:eastAsia="Georgia" w:hAnsiTheme="majorBidi" w:cstheme="majorBidi"/>
          <w:b/>
          <w:bCs/>
          <w:color w:val="419844"/>
          <w:lang w:val="en-CA" w:eastAsia="en-GB"/>
        </w:rPr>
        <w:t xml:space="preserve">Box </w:t>
      </w:r>
      <w:r w:rsidRPr="005F0A67">
        <w:rPr>
          <w:rFonts w:asciiTheme="majorBidi" w:eastAsia="Georgia" w:hAnsiTheme="majorBidi" w:cstheme="majorBidi"/>
          <w:b/>
          <w:bCs/>
          <w:color w:val="419844"/>
          <w:lang w:eastAsia="en-GB"/>
        </w:rPr>
        <w:fldChar w:fldCharType="begin"/>
      </w:r>
      <w:r w:rsidRPr="005F0A67">
        <w:rPr>
          <w:rFonts w:asciiTheme="majorBidi" w:eastAsia="Georgia" w:hAnsiTheme="majorBidi" w:cstheme="majorBidi"/>
          <w:b/>
          <w:bCs/>
          <w:color w:val="419844"/>
          <w:lang w:eastAsia="en-GB"/>
        </w:rPr>
        <w:instrText>SEQ Box \* ARABIC</w:instrText>
      </w:r>
      <w:r w:rsidRPr="005F0A67">
        <w:rPr>
          <w:rFonts w:asciiTheme="majorBidi" w:eastAsia="Georgia" w:hAnsiTheme="majorBidi" w:cstheme="majorBidi"/>
          <w:b/>
          <w:bCs/>
          <w:color w:val="419844"/>
          <w:lang w:eastAsia="en-GB"/>
        </w:rPr>
        <w:fldChar w:fldCharType="separate"/>
      </w:r>
      <w:r w:rsidRPr="005F0A67">
        <w:rPr>
          <w:rFonts w:asciiTheme="majorBidi" w:eastAsia="Georgia" w:hAnsiTheme="majorBidi" w:cstheme="majorBidi"/>
          <w:b/>
          <w:bCs/>
          <w:noProof/>
          <w:color w:val="419844"/>
          <w:lang w:eastAsia="en-GB"/>
        </w:rPr>
        <w:t>1</w:t>
      </w:r>
      <w:r w:rsidRPr="005F0A67">
        <w:rPr>
          <w:rFonts w:asciiTheme="majorBidi" w:eastAsia="Georgia" w:hAnsiTheme="majorBidi" w:cstheme="majorBidi"/>
          <w:b/>
          <w:bCs/>
          <w:color w:val="419844"/>
          <w:lang w:eastAsia="en-GB"/>
        </w:rPr>
        <w:fldChar w:fldCharType="end"/>
      </w:r>
      <w:bookmarkEnd w:id="19"/>
      <w:r w:rsidRPr="005F0A67">
        <w:rPr>
          <w:rFonts w:asciiTheme="majorBidi" w:eastAsia="Georgia" w:hAnsiTheme="majorBidi" w:cstheme="majorBidi"/>
          <w:b/>
          <w:bCs/>
          <w:color w:val="419844"/>
          <w:lang w:val="en-CA" w:eastAsia="en-GB"/>
        </w:rPr>
        <w:t>: DSI scope in the multilateral mechanism</w:t>
      </w:r>
    </w:p>
    <w:tbl>
      <w:tblPr>
        <w:tblW w:w="98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860"/>
      </w:tblGrid>
      <w:tr w:rsidR="005F0A67" w:rsidRPr="005F0A67" w14:paraId="6F5FACF4" w14:textId="77777777" w:rsidTr="005F0A67">
        <w:trPr>
          <w:trHeight w:hRule="exact" w:val="4612"/>
        </w:trPr>
        <w:tc>
          <w:tcPr>
            <w:tcW w:w="9860" w:type="dxa"/>
            <w:shd w:val="clear" w:color="auto" w:fill="F2F2F2"/>
            <w:tcMar>
              <w:top w:w="200" w:type="dxa"/>
              <w:left w:w="280" w:type="dxa"/>
              <w:bottom w:w="0" w:type="dxa"/>
              <w:right w:w="280" w:type="dxa"/>
            </w:tcMar>
            <w:vAlign w:val="center"/>
          </w:tcPr>
          <w:p w14:paraId="0C74E3AC"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The primary scope of DSI used for the purpose of this study is determined based on the wording found in Decision 16/2: </w:t>
            </w:r>
          </w:p>
          <w:p w14:paraId="7B4EE68B"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[Decision 16/2 Annex para. 1</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{"citationID":"JwZvM51m","properties":{"formattedCitation":"(CBD, 2024a)","plainCitation":"(CBD, 2024a)","noteIndex":0},"citationItems":[{"id":611,"uris":["http://zotero.org/users/14977742/items/33BGLU4L"],"itemData":{"id":611,"type":"article-journal","citation-key":"cbdDecision1622024","container-title":"Sixteenth meeting of the Conference of the Parties to the Convention on Biological Diversity (COP 16)","title":"Decision 16/2: Digital sequence information on genetic resources","URL":"https://www.cbd.int/doc/decisions/cop-16/cop-16-dec-02-en.pdf","author":[{"literal":"CBD"}],"issued":{"date-parts":[["2024"]]}}}],"schema":"https://github.com/citation-style-language/schema/raw/master/csl-citation.json"}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(CBD, 2024a)</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The multilateral mechanism for the fair and equitable sharing of benefits from the use of digital sequence information on genetic resources covers, without prejudice to national legislation, digital sequence information on genetic resources:</w:t>
            </w:r>
          </w:p>
          <w:p w14:paraId="1CEF5105" w14:textId="77777777" w:rsidR="005F0A67" w:rsidRPr="005F0A67" w:rsidRDefault="005F0A67" w:rsidP="005F0A67">
            <w:pPr>
              <w:numPr>
                <w:ilvl w:val="0"/>
                <w:numId w:val="30"/>
              </w:numPr>
              <w:tabs>
                <w:tab w:val="clear" w:pos="567"/>
                <w:tab w:val="clear" w:pos="1134"/>
                <w:tab w:val="clear" w:pos="1701"/>
                <w:tab w:val="clear" w:pos="2268"/>
              </w:tabs>
              <w:spacing w:after="180" w:line="292" w:lineRule="auto"/>
              <w:jc w:val="left"/>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That is made publicly available, in compliance with national legislation, where applicable;</w:t>
            </w:r>
          </w:p>
          <w:p w14:paraId="2403DD4C" w14:textId="77777777" w:rsidR="005F0A67" w:rsidRPr="005F0A67" w:rsidRDefault="005F0A67" w:rsidP="005F0A67">
            <w:pPr>
              <w:numPr>
                <w:ilvl w:val="0"/>
                <w:numId w:val="30"/>
              </w:numPr>
              <w:tabs>
                <w:tab w:val="clear" w:pos="567"/>
                <w:tab w:val="clear" w:pos="1134"/>
                <w:tab w:val="clear" w:pos="1701"/>
                <w:tab w:val="clear" w:pos="2268"/>
              </w:tabs>
              <w:spacing w:after="180" w:line="292" w:lineRule="auto"/>
              <w:jc w:val="left"/>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That is not subject to mutually agreed terms established at the time of access to the genetic resources from which the digital sequence information is derived, unless those terms allow for the making of the digital sequence information on genetic resources freely available;</w:t>
            </w:r>
          </w:p>
          <w:p w14:paraId="434D7417" w14:textId="77777777" w:rsidR="005F0A67" w:rsidRPr="005F0A67" w:rsidRDefault="005F0A67" w:rsidP="005F0A67">
            <w:pPr>
              <w:numPr>
                <w:ilvl w:val="0"/>
                <w:numId w:val="30"/>
              </w:numPr>
              <w:tabs>
                <w:tab w:val="clear" w:pos="567"/>
                <w:tab w:val="clear" w:pos="1134"/>
                <w:tab w:val="clear" w:pos="1701"/>
                <w:tab w:val="clear" w:pos="2268"/>
              </w:tabs>
              <w:spacing w:after="180" w:line="292" w:lineRule="auto"/>
              <w:jc w:val="left"/>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For which the fair and equitable sharing of benefits from the use of digital sequence information on genetic resources is not provided for under other international instruments</w:t>
            </w:r>
          </w:p>
          <w:p w14:paraId="0D6B7B23"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p>
        </w:tc>
      </w:tr>
      <w:tr w:rsidR="005F0A67" w:rsidRPr="005F0A67" w14:paraId="3BA93A42" w14:textId="77777777" w:rsidTr="00FB671B">
        <w:trPr>
          <w:trHeight w:hRule="exact" w:val="168"/>
        </w:trPr>
        <w:tc>
          <w:tcPr>
            <w:tcW w:w="9860" w:type="dxa"/>
            <w:shd w:val="clear" w:color="auto" w:fill="419844"/>
          </w:tcPr>
          <w:p w14:paraId="447AF22B"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p>
        </w:tc>
      </w:tr>
    </w:tbl>
    <w:p w14:paraId="662CB943" w14:textId="77777777" w:rsidR="005F0A67" w:rsidRPr="005F0A67" w:rsidRDefault="005F0A67" w:rsidP="005F0A67">
      <w:pPr>
        <w:numPr>
          <w:ilvl w:val="0"/>
          <w:numId w:val="31"/>
        </w:numPr>
        <w:tabs>
          <w:tab w:val="clear" w:pos="567"/>
          <w:tab w:val="clear" w:pos="1134"/>
          <w:tab w:val="clear" w:pos="1701"/>
          <w:tab w:val="clear" w:pos="2268"/>
        </w:tabs>
        <w:spacing w:before="240" w:after="180" w:line="293" w:lineRule="auto"/>
        <w:ind w:left="357" w:hanging="357"/>
        <w:jc w:val="left"/>
        <w:rPr>
          <w:rFonts w:asciiTheme="majorBidi" w:eastAsia="Times New Roman" w:hAnsiTheme="majorBidi" w:cstheme="majorBidi"/>
          <w:lang w:val="en-CA" w:eastAsia="en-GB"/>
        </w:rPr>
      </w:pPr>
      <w:r w:rsidRPr="005F0A67">
        <w:rPr>
          <w:rFonts w:asciiTheme="majorBidi" w:eastAsia="Times New Roman" w:hAnsiTheme="majorBidi" w:cstheme="majorBidi"/>
          <w:b/>
          <w:bCs/>
          <w:lang w:val="en-CA" w:eastAsia="en-GB"/>
        </w:rPr>
        <w:t>Multilateral Mechanism under the CBD:</w:t>
      </w:r>
      <w:r w:rsidRPr="005F0A67">
        <w:rPr>
          <w:rFonts w:asciiTheme="majorBidi" w:eastAsia="Times New Roman" w:hAnsiTheme="majorBidi" w:cstheme="majorBidi"/>
          <w:lang w:val="en-CA" w:eastAsia="en-GB"/>
        </w:rPr>
        <w:t xml:space="preserve"> The mechanism covers DSI that is publicly available, not subject to prior mutually agreed terms, and not already covered by other international instruments. </w:t>
      </w:r>
    </w:p>
    <w:p w14:paraId="5CCC1D86" w14:textId="77777777" w:rsidR="005F0A67" w:rsidRPr="005F0A67" w:rsidRDefault="005F0A67" w:rsidP="005F0A67">
      <w:pPr>
        <w:numPr>
          <w:ilvl w:val="0"/>
          <w:numId w:val="31"/>
        </w:numPr>
        <w:tabs>
          <w:tab w:val="clear" w:pos="567"/>
          <w:tab w:val="clear" w:pos="1134"/>
          <w:tab w:val="clear" w:pos="1701"/>
          <w:tab w:val="clear" w:pos="2268"/>
        </w:tabs>
        <w:spacing w:after="180" w:line="292" w:lineRule="auto"/>
        <w:jc w:val="left"/>
        <w:rPr>
          <w:rFonts w:asciiTheme="majorBidi" w:eastAsia="Times New Roman" w:hAnsiTheme="majorBidi" w:cstheme="majorBidi"/>
          <w:lang w:val="en-CA" w:eastAsia="en-GB"/>
        </w:rPr>
      </w:pPr>
      <w:r w:rsidRPr="005F0A67">
        <w:rPr>
          <w:rFonts w:asciiTheme="majorBidi" w:eastAsia="Times New Roman" w:hAnsiTheme="majorBidi" w:cstheme="majorBidi"/>
          <w:b/>
          <w:bCs/>
          <w:lang w:val="en-CA" w:eastAsia="en-GB"/>
        </w:rPr>
        <w:t>BBNJ Agreement</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{"citationID":"LE7BtYKx","properties":{"formattedCitation":"(UN General Assembly, 2023)","plainCitation":"(UN General Assembly, 2023)","noteIndex":0},"citationItems":[{"id":300,"uris":["http://zotero.org/users/14977742/items/W5CTZE73"],"itemData":{"id":300,"type":"report","citation-key":"unitednationsAgreementUnitedNations2023","number":"A/CONF.232/2023/4","publisher-place":"New York, NY","title":"Agreement under the United Nations Convention on the Law of the Sea on the conservation and sustainable use of marine biological diversity of areas beyond national jurisdiction","URL":"https://docs.un.org/en/a/conf.232/2023/4","author":[{"literal":"UN General Assembly"}],"issued":{"date-parts":[["2023"]]}}}],"schema":"https://github.com/citation-style-language/schema/raw/master/csl-citation.json"}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(UN General Assembly, 2023)</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b/>
          <w:bCs/>
          <w:lang w:val="en-CA" w:eastAsia="en-GB"/>
        </w:rPr>
        <w:t>:</w:t>
      </w:r>
      <w:r w:rsidRPr="005F0A67">
        <w:rPr>
          <w:rFonts w:asciiTheme="majorBidi" w:eastAsia="Times New Roman" w:hAnsiTheme="majorBidi" w:cstheme="majorBidi"/>
          <w:lang w:val="en-CA" w:eastAsia="en-GB"/>
        </w:rPr>
        <w:t xml:space="preserve"> The BBNJ Agreement applies to marine genetic resources found in areas beyond national jurisdiction and specifically refers to </w:t>
      </w:r>
      <w:r w:rsidRPr="005F0A67">
        <w:rPr>
          <w:rFonts w:asciiTheme="majorBidi" w:eastAsia="Times New Roman" w:hAnsiTheme="majorBidi" w:cstheme="majorBidi"/>
          <w:i/>
          <w:iCs/>
          <w:lang w:val="en-CA" w:eastAsia="en-GB"/>
        </w:rPr>
        <w:t>“digital sequence information on marine genetic resources of areas beyond national jurisdiction”</w:t>
      </w:r>
      <w:r w:rsidRPr="005F0A67">
        <w:rPr>
          <w:rFonts w:asciiTheme="majorBidi" w:eastAsia="Times New Roman" w:hAnsiTheme="majorBidi" w:cstheme="majorBidi"/>
          <w:lang w:val="en-CA" w:eastAsia="en-GB"/>
        </w:rPr>
        <w:t xml:space="preserve"> while simultaneously acknowledging that the term DSI is not defined within the agreement. Under the BBNJ framework, benefit-sharing follows a multilateral approach and applies regardless of whether physical marine genetic resources or intangible DSI from MGRs are obtained.</w:t>
      </w:r>
    </w:p>
    <w:p w14:paraId="1D9583E2" w14:textId="77777777" w:rsidR="005F0A67" w:rsidRPr="005F0A67" w:rsidRDefault="005F0A67" w:rsidP="005F0A67">
      <w:pPr>
        <w:numPr>
          <w:ilvl w:val="0"/>
          <w:numId w:val="31"/>
        </w:numPr>
        <w:tabs>
          <w:tab w:val="clear" w:pos="567"/>
          <w:tab w:val="clear" w:pos="1134"/>
          <w:tab w:val="clear" w:pos="1701"/>
          <w:tab w:val="clear" w:pos="2268"/>
        </w:tabs>
        <w:spacing w:after="180" w:line="292" w:lineRule="auto"/>
        <w:jc w:val="left"/>
        <w:rPr>
          <w:rFonts w:asciiTheme="majorBidi" w:eastAsia="Times New Roman" w:hAnsiTheme="majorBidi" w:cstheme="majorBidi"/>
          <w:lang w:val="en-CA" w:eastAsia="en-GB"/>
        </w:rPr>
      </w:pPr>
      <w:r w:rsidRPr="005F0A67">
        <w:rPr>
          <w:rFonts w:asciiTheme="majorBidi" w:eastAsia="Times New Roman" w:hAnsiTheme="majorBidi" w:cstheme="majorBidi"/>
          <w:b/>
          <w:bCs/>
          <w:lang w:val="en-CA" w:eastAsia="en-GB"/>
        </w:rPr>
        <w:t>The Plant Treaty (ITPGRFA</w:t>
      </w:r>
      <w:r w:rsidRPr="005F0A67">
        <w:rPr>
          <w:rFonts w:asciiTheme="majorBidi" w:eastAsia="Times New Roman" w:hAnsiTheme="majorBidi" w:cstheme="majorBidi"/>
          <w:lang w:val="en-CA" w:eastAsia="en-GB"/>
        </w:rPr>
        <w:t>)</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{"citationID":"cYFrUidP","properties":{"formattedCitation":"(FAO, 2009)","plainCitation":"(FAO, 2009)","noteIndex":0},"citationItems":[{"id":340,"uris":["http://zotero.org/users/14977742/items/EHS7ZYF2"],"itemData":{"id":340,"type":"report","citation-key":"foodandagricultureorganizationoftheunitednationsInternationalTreatyPlant2009","publisher-place":"Rome","title":"International Treaty on Plant Genetic Resources for Food and Agriculture","URL":"https://www.fao.org/docrep/pdf/011/i0510e/i0510e.pdf","author":[{"literal":"FAO"}],"issued":{"date-parts":[["2009"]]}}}],"schema":"https://github.com/citation-style-language/schema/raw/master/csl-citation.json"}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(FAO, 2001)</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b/>
          <w:bCs/>
          <w:lang w:val="en-CA" w:eastAsia="en-GB"/>
        </w:rPr>
        <w:t xml:space="preserve">: </w:t>
      </w:r>
      <w:r w:rsidRPr="005F0A67">
        <w:rPr>
          <w:rFonts w:asciiTheme="majorBidi" w:eastAsia="Times New Roman" w:hAnsiTheme="majorBidi" w:cstheme="majorBidi"/>
          <w:lang w:val="en-CA" w:eastAsia="en-GB"/>
        </w:rPr>
        <w:t>The FAO created a dedicated ABS system that governs a specific range of plant genetic resources for food and agriculture (Annex I). It grants facilitated access for research, breeding and training through a Standard Material Transfer Agreement (SMTA), which encourages all users to share non-monetary benefits resulting from the use of the genetic resource, and in certain instances of commercialisation triggers monetary benefit-sharing duties.</w:t>
      </w:r>
    </w:p>
    <w:p w14:paraId="0BF145A7" w14:textId="77777777" w:rsidR="005F0A67" w:rsidRPr="005F0A67" w:rsidRDefault="005F0A67" w:rsidP="005F0A67">
      <w:pPr>
        <w:numPr>
          <w:ilvl w:val="0"/>
          <w:numId w:val="31"/>
        </w:numPr>
        <w:tabs>
          <w:tab w:val="clear" w:pos="567"/>
          <w:tab w:val="clear" w:pos="1134"/>
          <w:tab w:val="clear" w:pos="1701"/>
          <w:tab w:val="clear" w:pos="2268"/>
        </w:tabs>
        <w:spacing w:after="180" w:line="292" w:lineRule="auto"/>
        <w:jc w:val="left"/>
        <w:rPr>
          <w:rFonts w:asciiTheme="majorBidi" w:eastAsia="Times New Roman" w:hAnsiTheme="majorBidi" w:cstheme="majorBidi"/>
          <w:lang w:val="en-CA" w:eastAsia="en-GB"/>
        </w:rPr>
      </w:pPr>
      <w:r w:rsidRPr="005F0A67">
        <w:rPr>
          <w:rFonts w:asciiTheme="majorBidi" w:eastAsia="Times New Roman" w:hAnsiTheme="majorBidi" w:cstheme="majorBidi"/>
          <w:b/>
          <w:bCs/>
          <w:lang w:val="en-CA" w:eastAsia="en-GB"/>
        </w:rPr>
        <w:t xml:space="preserve">The Pandemic Influenza Preparedness (PIP) Framework </w:t>
      </w:r>
      <w:r w:rsidRPr="005F0A67">
        <w:rPr>
          <w:rFonts w:asciiTheme="majorBidi" w:eastAsia="Times New Roman" w:hAnsiTheme="majorBidi" w:cstheme="majorBidi"/>
          <w:b/>
          <w:bCs/>
          <w:lang w:val="en-CA" w:eastAsia="en-GB"/>
        </w:rPr>
        <w:fldChar w:fldCharType="begin"/>
      </w:r>
      <w:r w:rsidRPr="005F0A67">
        <w:rPr>
          <w:rFonts w:asciiTheme="majorBidi" w:eastAsia="Times New Roman" w:hAnsiTheme="majorBidi" w:cstheme="majorBidi"/>
          <w:b/>
          <w:bCs/>
          <w:lang w:val="en-CA" w:eastAsia="en-GB"/>
        </w:rPr>
        <w:instrText xml:space="preserve"> ADDIN ZOTERO_ITEM CSL_CITATION {"citationID":"a277mcv1iva","properties":{"unsorted":false,"formattedCitation":"\\uldash{(WHO, 2021)}","plainCitation":"(WHO, 2021)","noteIndex":0},"citationItems":[{"id":325,"uris":["http://zotero.org/users/14977742/items/6ZPBM3SM"],"itemData":{"id":325,"type":"book","abstract":"Intro -- _GoBack -- _GoBack -- _GoBack","citation-key":"PandemicInfluenzaPreparedness2021","edition":"2nd ed","ISBN":"978-92-4-002485-4","language":"eng","number-of-pages":"1","publisher":"World Health Organization","publisher-place":"Geneva","source":"K10plus ISBN","title":"Pandemic Influenza Preparedness (PIP) Framework for the Sharing of Influenza Viruses and Access to Vaccines and Other Benefits","author":[{"literal":"WHO"}],"issued":{"date-parts":[["2021"]]}}}],"schema":"https://github.com/citation-style-language/schema/raw/master/csl-citation.json"} </w:instrText>
      </w:r>
      <w:r w:rsidRPr="005F0A67">
        <w:rPr>
          <w:rFonts w:asciiTheme="majorBidi" w:eastAsia="Times New Roman" w:hAnsiTheme="majorBidi" w:cstheme="majorBidi"/>
          <w:b/>
          <w:bCs/>
          <w:lang w:val="en-CA" w:eastAsia="en-GB"/>
        </w:rPr>
        <w:fldChar w:fldCharType="separate"/>
      </w:r>
      <w:r w:rsidRPr="005F0A67">
        <w:rPr>
          <w:rFonts w:asciiTheme="majorBidi" w:eastAsia="Georgia" w:hAnsiTheme="majorBidi" w:cstheme="majorBidi"/>
          <w:u w:val="dash"/>
          <w:lang w:eastAsia="en-GB"/>
        </w:rPr>
        <w:t>(WHO, 2021)</w:t>
      </w:r>
      <w:r w:rsidRPr="005F0A67">
        <w:rPr>
          <w:rFonts w:asciiTheme="majorBidi" w:eastAsia="Times New Roman" w:hAnsiTheme="majorBidi" w:cstheme="majorBidi"/>
          <w:b/>
          <w:bCs/>
          <w:lang w:val="en-CA" w:eastAsia="en-GB"/>
        </w:rPr>
        <w:fldChar w:fldCharType="end"/>
      </w:r>
      <w:r w:rsidRPr="005F0A67">
        <w:rPr>
          <w:rFonts w:asciiTheme="majorBidi" w:eastAsia="Times New Roman" w:hAnsiTheme="majorBidi" w:cstheme="majorBidi"/>
          <w:lang w:val="en-CA" w:eastAsia="en-GB"/>
        </w:rPr>
        <w:t>: A WHO-administered mechanism covering seasonal and pandemic influenza virus samples and associated sequence data shared through the Global Influenza Surveillance and Response System (GISRS). Manufacturers that rely on GISRS pay an annual Partnership Contribution equal to 50% of the System's operating expenses into a pooled fund, while benefit-sharing obligations under its Standard Material Transfer Agreement 2 (SMTA2) are arranged bilaterally between manufacturers and WHO and are largely in-kind, including vaccine donations and mutually agreed terms before technology transfer.</w:t>
      </w:r>
    </w:p>
    <w:p w14:paraId="4209D542" w14:textId="77777777" w:rsidR="005F0A67" w:rsidRPr="005F0A67" w:rsidRDefault="005F0A67" w:rsidP="005F0A67">
      <w:pPr>
        <w:numPr>
          <w:ilvl w:val="0"/>
          <w:numId w:val="31"/>
        </w:numPr>
        <w:tabs>
          <w:tab w:val="clear" w:pos="567"/>
          <w:tab w:val="clear" w:pos="1134"/>
          <w:tab w:val="clear" w:pos="1701"/>
          <w:tab w:val="clear" w:pos="2268"/>
        </w:tabs>
        <w:spacing w:after="180" w:line="292" w:lineRule="auto"/>
        <w:jc w:val="left"/>
        <w:rPr>
          <w:rFonts w:asciiTheme="majorBidi" w:eastAsia="Times New Roman" w:hAnsiTheme="majorBidi" w:cstheme="majorBidi"/>
          <w:b/>
          <w:bCs/>
          <w:lang w:val="en-CA" w:eastAsia="en-GB"/>
        </w:rPr>
      </w:pPr>
      <w:r w:rsidRPr="005F0A67">
        <w:rPr>
          <w:rFonts w:asciiTheme="majorBidi" w:eastAsia="Times New Roman" w:hAnsiTheme="majorBidi" w:cstheme="majorBidi"/>
          <w:b/>
          <w:bCs/>
          <w:lang w:val="en-CA" w:eastAsia="en-GB"/>
        </w:rPr>
        <w:t xml:space="preserve">The WHO Pandemic Agreement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{"citationID":"XajTzXiT","properties":{"formattedCitation":"(WHO, 2025b)","plainCitation":"(WHO, 2025b)","noteIndex":0},"citationItems":[{"id":579,"uris":["http://zotero.org/users/14977742/items/M2G48RYI"],"itemData":{"id":579,"type":"article-journal","citation-key":"whoWHOPandemicAgreement2025","container-title":"The Seventy-eighth World Health Assembly","title":"WHO Pandemic Agreement (WHA78.1)","URL":"https://apps.who.int/gb/ebwha/pdf_files/WHA78/A78_R1-en.pdf","author":[{"literal":"WHO"}],"issued":{"date-parts":[["2025",5]]}}}],"schema":"https://github.com/citation-style-language/schema/raw/master/csl-citation.json"}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(WHO, 2025b)</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b/>
          <w:bCs/>
          <w:lang w:val="en-CA" w:eastAsia="en-GB"/>
        </w:rPr>
        <w:t xml:space="preserve">: </w:t>
      </w:r>
      <w:r w:rsidRPr="005F0A67">
        <w:rPr>
          <w:rFonts w:asciiTheme="majorBidi" w:eastAsia="Times New Roman" w:hAnsiTheme="majorBidi" w:cstheme="majorBidi"/>
          <w:lang w:val="en-CA" w:eastAsia="en-GB"/>
        </w:rPr>
        <w:t xml:space="preserve">Recent discussions on the WHO Pandemic Agreement have introduced provisions for a Pathogen Access and Benefit-Sharing (PABS) System. This </w:t>
      </w:r>
      <w:r w:rsidRPr="005F0A67">
        <w:rPr>
          <w:rFonts w:asciiTheme="majorBidi" w:eastAsia="Times New Roman" w:hAnsiTheme="majorBidi" w:cstheme="majorBidi"/>
          <w:lang w:val="en-CA" w:eastAsia="en-GB"/>
        </w:rPr>
        <w:lastRenderedPageBreak/>
        <w:t xml:space="preserve">system is meant to cover PABS Materials and Sequence Information defined in the Annex but broadly includes both physical pathogen materials with pandemic potential and the related sequence data for pathogens with pandemic potential, however at the time of writing is still under negotiation and therefore not yet defined. </w:t>
      </w:r>
    </w:p>
    <w:p w14:paraId="0E472AA8" w14:textId="77777777" w:rsidR="005F0A67" w:rsidRPr="005F0A67" w:rsidRDefault="005F0A67" w:rsidP="00B54840">
      <w:pPr>
        <w:tabs>
          <w:tab w:val="clear" w:pos="567"/>
          <w:tab w:val="clear" w:pos="1134"/>
          <w:tab w:val="clear" w:pos="1701"/>
          <w:tab w:val="clear" w:pos="2268"/>
        </w:tabs>
        <w:spacing w:before="320" w:after="160"/>
        <w:ind w:left="720"/>
        <w:jc w:val="left"/>
        <w:outlineLvl w:val="2"/>
        <w:rPr>
          <w:rFonts w:asciiTheme="majorBidi" w:eastAsia="Arial" w:hAnsiTheme="majorBidi" w:cstheme="majorBidi"/>
          <w:b/>
          <w:bCs/>
          <w:color w:val="7F7F7F"/>
          <w:sz w:val="23"/>
          <w:szCs w:val="23"/>
          <w:lang w:val="en-CA" w:eastAsia="en-GB"/>
        </w:rPr>
      </w:pPr>
      <w:bookmarkStart w:id="20" w:name="_Toc234579532"/>
      <w:r w:rsidRPr="005F0A67">
        <w:rPr>
          <w:rFonts w:asciiTheme="majorBidi" w:eastAsia="Arial" w:hAnsiTheme="majorBidi" w:cstheme="majorBidi"/>
          <w:b/>
          <w:bCs/>
          <w:color w:val="7F7F7F"/>
          <w:sz w:val="23"/>
          <w:szCs w:val="23"/>
          <w:lang w:val="en-CA" w:eastAsia="en-GB"/>
        </w:rPr>
        <w:t>DSI multilateral mechanism</w:t>
      </w:r>
      <w:bookmarkEnd w:id="20"/>
    </w:p>
    <w:p w14:paraId="5B3C352A"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Decision 16/2 defines the operational framework for the DSI multilateral mechanism (DSI MLM). Open access to DSI is a foundational premise of this mechanism, not an outcome it protects: benefit-sharing obligations arise from the use of DSI rather than from access to it, which allows the mechanism to operate without restricting or gating access to sequence data. All users of DSI should share benefits, which can be monetary and non-monetary benefits. While all users should share non-monetary benefits, as appropriate (see para 6 of annex of decision 16/2), users in sectors that directly or indirectly benefit from the use of DSI should also share monetary benefits. </w:t>
      </w:r>
    </w:p>
    <w:p w14:paraId="2FD066B3" w14:textId="6579B2D8"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In practice, the boundaries between commercial and non-commercial use can blur. Academic research conducted with public grant funding is typically non-commercial, but the same research can shift in character once it feeds into a company-sponsored partnership aimed at eventual product development, even before any product exists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{"citationID":"XQvAibc8","properties":{"formattedCitation":"(Vieira, 2015)","plainCitation":"(Vieira, 2015)","noteIndex":0},"citationItems":[{"id":528,"uris":["http://zotero.org/users/14977742/items/C7YVDCPK"],"itemData":{"id":528,"type":"post-weblog","abstract":"When working on a recent book, charting The Impact of the Social Sciences, my co-authors Simon Bastow and Jane Tinkler and I talked with dozens of corporate executives, scientists and academics about business-university linkages in the UK. In those conversations we found that many people on both sides of the fence tended to not see","citation-key":"vieiraTopTenWays2015","container-title":"LSE Business Review - Connecting business research with policy, practice and public debate","language":"en-US","title":"The top ten ways in which firms and universities interact - LSE Business Review","URL":"https://blogs.lse.ac.uk/businessreview/2015/09/07/the-top-ten-ways-in-which-firms-and-universities-interact/","author":[{"family":"Vieira","given":"Helena"}],"accessed":{"date-parts":[["2026",2,4]]},"issued":{"date-parts":[["2015",9,7]]}}}],"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(Vieira, 2015)</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A related case arises within commercial entities themselves: a company's early-stage R&amp;D, such as screening DSI against a reference dataset to identify candidate compounds, is exploratory and produces no product, yet is conducted by a commercial entity with eventual commercial intent. Submissions to CBD Notification 2024-114 raised exactly this question, asking whether such early-stage use, distinct from use in a final product, should trigger the same benefit-sharing expectation as later-stage commercial use; this study does not resolve that question, treating R&amp;D activities as in scope for the revenue analysis (see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_Ref229587181 \r \h </w:instrText>
      </w:r>
      <w:r>
        <w:rPr>
          <w:rFonts w:asciiTheme="majorBidi" w:eastAsia="Times New Roman" w:hAnsiTheme="majorBidi" w:cstheme="majorBidi"/>
          <w:lang w:val="en-CA" w:eastAsia="en-GB"/>
        </w:rPr>
        <w:instrText xml:space="preserve">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4.1</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A related boundary case concerns sequencing conducted for taxonomic identification, strain verification, or safety and regulatory compliance purposes, such as in probiotic, botanical, or microbial supplement production, where sequencing functions primarily as a quality assurance tool rather than a means of extracting commercially exploitable genetic information. Whether such use constitutes 'use' of DSI within the meaning of Decision 16/2 is, like early-stage R&amp;D screening, not resolved by the current text. </w:t>
      </w:r>
    </w:p>
    <w:p w14:paraId="69009DB8"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The benefits generated through the DSI MLM are intended to be allocated to indigenous peoples and local communities, in both developing and, where appropriate, developed countries (with at least 50% of funding earmarked for their self-identified needs), and developing country Parties, in particular least developed countries, small island developing states and economies in transition. Other intergovernmental forums may also use the Cali Fund if they choose to. Decision 16/2 envisages that these benefits, monetary and non-monetary, should support biodiversity conservation, sustainable use, capacity-building, technology transfer, and scientific cooperation, contributing to implementation of the Kunming-Montreal Global Biodiversity Framework; this study's focus on the contribution side of the mechanism does not extend to assessing these downstream objectives (see Scope and limitations).</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_Ref221116035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p>
    <w:p w14:paraId="57AF7AA0"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Figure </w:t>
      </w:r>
      <w:r w:rsidRPr="005F0A67">
        <w:rPr>
          <w:rFonts w:asciiTheme="majorBidi" w:eastAsia="Times New Roman" w:hAnsiTheme="majorBidi" w:cstheme="majorBidi"/>
          <w:noProof/>
          <w:lang w:val="en-CA" w:eastAsia="en-GB"/>
        </w:rPr>
        <w:t>1</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provides an overview of the DSI MLM’s overall structure and indicates the elements that lie within the direct scope of this study.</w:t>
      </w:r>
      <w:bookmarkStart w:id="21" w:name="_Ref221116035"/>
      <w:bookmarkStart w:id="22" w:name="_Ref221103811"/>
      <w:bookmarkStart w:id="23" w:name="_Hlk228982070"/>
    </w:p>
    <w:p w14:paraId="7E6DFDEB" w14:textId="77777777" w:rsidR="00B54840" w:rsidRDefault="00B54840" w:rsidP="005F0A67">
      <w:pPr>
        <w:numPr>
          <w:ilvl w:val="4"/>
          <w:numId w:val="0"/>
        </w:numPr>
        <w:tabs>
          <w:tab w:val="clear" w:pos="567"/>
          <w:tab w:val="clear" w:pos="1134"/>
          <w:tab w:val="clear" w:pos="1701"/>
          <w:tab w:val="clear" w:pos="2268"/>
        </w:tabs>
        <w:spacing w:after="120"/>
        <w:jc w:val="left"/>
        <w:outlineLvl w:val="4"/>
        <w:rPr>
          <w:rFonts w:asciiTheme="majorBidi" w:eastAsia="Georgia" w:hAnsiTheme="majorBidi" w:cstheme="majorBidi"/>
          <w:b/>
          <w:bCs/>
          <w:color w:val="419844"/>
          <w:lang w:eastAsia="en-GB"/>
        </w:rPr>
      </w:pPr>
    </w:p>
    <w:p w14:paraId="43CF902E" w14:textId="77777777" w:rsidR="00B54840" w:rsidRDefault="00B54840" w:rsidP="005F0A67">
      <w:pPr>
        <w:numPr>
          <w:ilvl w:val="4"/>
          <w:numId w:val="0"/>
        </w:numPr>
        <w:tabs>
          <w:tab w:val="clear" w:pos="567"/>
          <w:tab w:val="clear" w:pos="1134"/>
          <w:tab w:val="clear" w:pos="1701"/>
          <w:tab w:val="clear" w:pos="2268"/>
        </w:tabs>
        <w:spacing w:after="120"/>
        <w:jc w:val="left"/>
        <w:outlineLvl w:val="4"/>
        <w:rPr>
          <w:rFonts w:asciiTheme="majorBidi" w:eastAsia="Georgia" w:hAnsiTheme="majorBidi" w:cstheme="majorBidi"/>
          <w:b/>
          <w:bCs/>
          <w:color w:val="419844"/>
          <w:lang w:eastAsia="en-GB"/>
        </w:rPr>
      </w:pPr>
    </w:p>
    <w:p w14:paraId="6A0AA69E" w14:textId="77777777" w:rsidR="00B54840" w:rsidRDefault="00B54840" w:rsidP="005F0A67">
      <w:pPr>
        <w:numPr>
          <w:ilvl w:val="4"/>
          <w:numId w:val="0"/>
        </w:numPr>
        <w:tabs>
          <w:tab w:val="clear" w:pos="567"/>
          <w:tab w:val="clear" w:pos="1134"/>
          <w:tab w:val="clear" w:pos="1701"/>
          <w:tab w:val="clear" w:pos="2268"/>
        </w:tabs>
        <w:spacing w:after="120"/>
        <w:jc w:val="left"/>
        <w:outlineLvl w:val="4"/>
        <w:rPr>
          <w:rFonts w:asciiTheme="majorBidi" w:eastAsia="Georgia" w:hAnsiTheme="majorBidi" w:cstheme="majorBidi"/>
          <w:b/>
          <w:bCs/>
          <w:color w:val="419844"/>
          <w:lang w:eastAsia="en-GB"/>
        </w:rPr>
      </w:pPr>
    </w:p>
    <w:p w14:paraId="29ABE15A" w14:textId="77777777" w:rsidR="00B54840" w:rsidRDefault="00B54840" w:rsidP="005F0A67">
      <w:pPr>
        <w:numPr>
          <w:ilvl w:val="4"/>
          <w:numId w:val="0"/>
        </w:numPr>
        <w:tabs>
          <w:tab w:val="clear" w:pos="567"/>
          <w:tab w:val="clear" w:pos="1134"/>
          <w:tab w:val="clear" w:pos="1701"/>
          <w:tab w:val="clear" w:pos="2268"/>
        </w:tabs>
        <w:spacing w:after="120"/>
        <w:jc w:val="left"/>
        <w:outlineLvl w:val="4"/>
        <w:rPr>
          <w:rFonts w:asciiTheme="majorBidi" w:eastAsia="Georgia" w:hAnsiTheme="majorBidi" w:cstheme="majorBidi"/>
          <w:b/>
          <w:bCs/>
          <w:color w:val="419844"/>
          <w:lang w:eastAsia="en-GB"/>
        </w:rPr>
      </w:pPr>
    </w:p>
    <w:p w14:paraId="020043B7" w14:textId="6BD01B15" w:rsidR="005F0A67" w:rsidRPr="005F0A67" w:rsidRDefault="005F0A67" w:rsidP="005F0A67">
      <w:pPr>
        <w:numPr>
          <w:ilvl w:val="4"/>
          <w:numId w:val="0"/>
        </w:numPr>
        <w:tabs>
          <w:tab w:val="clear" w:pos="567"/>
          <w:tab w:val="clear" w:pos="1134"/>
          <w:tab w:val="clear" w:pos="1701"/>
          <w:tab w:val="clear" w:pos="2268"/>
        </w:tabs>
        <w:spacing w:after="120"/>
        <w:jc w:val="left"/>
        <w:outlineLvl w:val="4"/>
        <w:rPr>
          <w:rFonts w:asciiTheme="majorBidi" w:eastAsia="Georgia" w:hAnsiTheme="majorBidi" w:cstheme="majorBidi"/>
          <w:b/>
          <w:bCs/>
          <w:color w:val="419844"/>
          <w:lang w:eastAsia="en-GB"/>
        </w:rPr>
      </w:pPr>
      <w:r w:rsidRPr="005F0A67">
        <w:rPr>
          <w:rFonts w:asciiTheme="majorBidi" w:eastAsia="Georgia" w:hAnsiTheme="majorBidi" w:cstheme="majorBidi"/>
          <w:b/>
          <w:bCs/>
          <w:color w:val="419844"/>
          <w:lang w:eastAsia="en-GB"/>
        </w:rPr>
        <w:t xml:space="preserve">Figure </w:t>
      </w:r>
      <w:r w:rsidRPr="005F0A67">
        <w:rPr>
          <w:rFonts w:asciiTheme="majorBidi" w:eastAsia="Georgia" w:hAnsiTheme="majorBidi" w:cstheme="majorBidi"/>
          <w:b/>
          <w:bCs/>
          <w:color w:val="419844"/>
          <w:lang w:eastAsia="en-GB"/>
        </w:rPr>
        <w:fldChar w:fldCharType="begin"/>
      </w:r>
      <w:r w:rsidRPr="005F0A67">
        <w:rPr>
          <w:rFonts w:asciiTheme="majorBidi" w:eastAsia="Georgia" w:hAnsiTheme="majorBidi" w:cstheme="majorBidi"/>
          <w:b/>
          <w:bCs/>
          <w:color w:val="419844"/>
          <w:lang w:eastAsia="en-GB"/>
        </w:rPr>
        <w:instrText>SEQ Figure \* ARABIC</w:instrText>
      </w:r>
      <w:r w:rsidRPr="005F0A67">
        <w:rPr>
          <w:rFonts w:asciiTheme="majorBidi" w:eastAsia="Georgia" w:hAnsiTheme="majorBidi" w:cstheme="majorBidi"/>
          <w:b/>
          <w:bCs/>
          <w:color w:val="419844"/>
          <w:lang w:eastAsia="en-GB"/>
        </w:rPr>
        <w:fldChar w:fldCharType="separate"/>
      </w:r>
      <w:r w:rsidRPr="005F0A67">
        <w:rPr>
          <w:rFonts w:asciiTheme="majorBidi" w:eastAsia="Georgia" w:hAnsiTheme="majorBidi" w:cstheme="majorBidi"/>
          <w:b/>
          <w:bCs/>
          <w:noProof/>
          <w:color w:val="419844"/>
          <w:lang w:eastAsia="en-GB"/>
        </w:rPr>
        <w:t>1</w:t>
      </w:r>
      <w:r w:rsidRPr="005F0A67">
        <w:rPr>
          <w:rFonts w:asciiTheme="majorBidi" w:eastAsia="Georgia" w:hAnsiTheme="majorBidi" w:cstheme="majorBidi"/>
          <w:b/>
          <w:bCs/>
          <w:color w:val="419844"/>
          <w:lang w:eastAsia="en-GB"/>
        </w:rPr>
        <w:fldChar w:fldCharType="end"/>
      </w:r>
      <w:bookmarkEnd w:id="21"/>
      <w:r w:rsidRPr="005F0A67">
        <w:rPr>
          <w:rFonts w:asciiTheme="majorBidi" w:eastAsia="Georgia" w:hAnsiTheme="majorBidi" w:cstheme="majorBidi"/>
          <w:b/>
          <w:bCs/>
          <w:color w:val="419844"/>
          <w:lang w:eastAsia="en-GB"/>
        </w:rPr>
        <w:t xml:space="preserve"> Design of the DSI MLM</w:t>
      </w:r>
      <w:bookmarkEnd w:id="22"/>
    </w:p>
    <w:p w14:paraId="5F32730F"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noProof/>
          <w:sz w:val="24"/>
          <w:szCs w:val="24"/>
          <w:lang w:val="en-CA" w:eastAsia="en-GB"/>
        </w:rPr>
        <w:t xml:space="preserve"> </w:t>
      </w:r>
      <w:r w:rsidRPr="005F0A67">
        <w:rPr>
          <w:rFonts w:asciiTheme="majorBidi" w:eastAsia="Times New Roman" w:hAnsiTheme="majorBidi" w:cstheme="majorBidi"/>
          <w:noProof/>
          <w:sz w:val="24"/>
          <w:szCs w:val="24"/>
          <w:lang w:val="en-CA" w:eastAsia="en-GB"/>
        </w:rPr>
        <w:drawing>
          <wp:inline distT="0" distB="0" distL="0" distR="0" wp14:anchorId="5D0877F0" wp14:editId="28EE24FB">
            <wp:extent cx="6172200" cy="1673225"/>
            <wp:effectExtent l="0" t="0" r="0" b="0"/>
            <wp:docPr id="337" name="Picture 336">
              <a:extLst xmlns:a="http://schemas.openxmlformats.org/drawingml/2006/main">
                <a:ext uri="{FF2B5EF4-FFF2-40B4-BE49-F238E27FC236}">
                  <a16:creationId xmlns:a16="http://schemas.microsoft.com/office/drawing/2014/main" id="{D9CDBBF2-CBB2-522D-3559-4ABD5117B1B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 name="Picture 336">
                      <a:extLst>
                        <a:ext uri="{FF2B5EF4-FFF2-40B4-BE49-F238E27FC236}">
                          <a16:creationId xmlns:a16="http://schemas.microsoft.com/office/drawing/2014/main" id="{D9CDBBF2-CBB2-522D-3559-4ABD5117B1B8}"/>
                        </a:ext>
                      </a:extLst>
                    </pic:cNvPr>
                    <pic:cNvPicPr>
                      <a:picLocks noChangeAspect="1"/>
                    </pic:cNvPicPr>
                  </pic:nvPicPr>
                  <pic:blipFill>
                    <a:blip r:embed="rId20"/>
                    <a:stretch>
                      <a:fillRect/>
                    </a:stretch>
                  </pic:blipFill>
                  <pic:spPr>
                    <a:xfrm>
                      <a:off x="0" y="0"/>
                      <a:ext cx="6172200" cy="1673225"/>
                    </a:xfrm>
                    <a:prstGeom prst="rect">
                      <a:avLst/>
                    </a:prstGeom>
                  </pic:spPr>
                </pic:pic>
              </a:graphicData>
            </a:graphic>
          </wp:inline>
        </w:drawing>
      </w:r>
    </w:p>
    <w:bookmarkEnd w:id="23"/>
    <w:p w14:paraId="2D74ED68" w14:textId="77777777" w:rsidR="005F0A67" w:rsidRPr="005F0A67" w:rsidRDefault="005F0A67" w:rsidP="005F0A67">
      <w:pPr>
        <w:tabs>
          <w:tab w:val="clear" w:pos="567"/>
          <w:tab w:val="clear" w:pos="1134"/>
          <w:tab w:val="clear" w:pos="1701"/>
          <w:tab w:val="clear" w:pos="2268"/>
        </w:tabs>
        <w:spacing w:line="293" w:lineRule="auto"/>
        <w:rPr>
          <w:rFonts w:asciiTheme="majorBidi" w:eastAsia="Times New Roman" w:hAnsiTheme="majorBidi" w:cstheme="majorBidi"/>
          <w:i/>
          <w:iCs/>
          <w:sz w:val="18"/>
          <w:szCs w:val="18"/>
          <w:lang w:val="en-CA" w:eastAsia="en-GB"/>
        </w:rPr>
      </w:pPr>
      <w:r w:rsidRPr="005F0A67">
        <w:rPr>
          <w:rFonts w:asciiTheme="majorBidi" w:eastAsia="Times New Roman" w:hAnsiTheme="majorBidi" w:cstheme="majorBidi"/>
          <w:i/>
          <w:iCs/>
          <w:sz w:val="18"/>
          <w:szCs w:val="18"/>
          <w:lang w:val="en-CA" w:eastAsia="en-GB"/>
        </w:rPr>
        <w:t>Notes:</w:t>
      </w:r>
      <w:r w:rsidRPr="005F0A67">
        <w:rPr>
          <w:rFonts w:asciiTheme="majorBidi" w:eastAsia="Times New Roman" w:hAnsiTheme="majorBidi" w:cstheme="majorBidi"/>
          <w:sz w:val="18"/>
          <w:szCs w:val="18"/>
          <w:lang w:val="en-CA" w:eastAsia="en-GB"/>
        </w:rPr>
        <w:t xml:space="preserve"> This study focuses on commercial users of publicly available DSI and their monetary contributions to the Cali Fund (teal, dashed border). The DSI MLM also covers non-commercial use and non-monetary benefit sharing via the CBD Clearing House</w:t>
      </w:r>
      <w:r w:rsidRPr="005F0A67">
        <w:rPr>
          <w:rFonts w:asciiTheme="majorBidi" w:eastAsia="Times New Roman" w:hAnsiTheme="majorBidi" w:cstheme="majorBidi"/>
          <w:sz w:val="18"/>
          <w:szCs w:val="18"/>
          <w:vertAlign w:val="superscript"/>
          <w:lang w:val="en-CA" w:eastAsia="en-GB"/>
        </w:rPr>
        <w:footnoteReference w:id="16"/>
      </w:r>
      <w:r w:rsidRPr="005F0A67">
        <w:rPr>
          <w:rFonts w:asciiTheme="majorBidi" w:eastAsia="Times New Roman" w:hAnsiTheme="majorBidi" w:cstheme="majorBidi"/>
          <w:sz w:val="18"/>
          <w:szCs w:val="18"/>
          <w:lang w:val="en-CA" w:eastAsia="en-GB"/>
        </w:rPr>
        <w:t>.</w:t>
      </w:r>
      <w:r w:rsidRPr="005F0A67">
        <w:rPr>
          <w:rFonts w:asciiTheme="majorBidi" w:eastAsia="Times New Roman" w:hAnsiTheme="majorBidi" w:cstheme="majorBidi"/>
          <w:i/>
          <w:iCs/>
          <w:sz w:val="18"/>
          <w:szCs w:val="18"/>
          <w:lang w:val="en-CA" w:eastAsia="en-GB"/>
        </w:rPr>
        <w:t xml:space="preserve"> </w:t>
      </w:r>
    </w:p>
    <w:p w14:paraId="79C468EC" w14:textId="77777777" w:rsidR="005F0A67" w:rsidRPr="005F0A67" w:rsidRDefault="005F0A67" w:rsidP="005F0A67">
      <w:pPr>
        <w:tabs>
          <w:tab w:val="clear" w:pos="567"/>
          <w:tab w:val="clear" w:pos="1134"/>
          <w:tab w:val="clear" w:pos="1701"/>
          <w:tab w:val="clear" w:pos="2268"/>
        </w:tabs>
        <w:spacing w:line="293" w:lineRule="auto"/>
        <w:rPr>
          <w:rFonts w:asciiTheme="majorBidi" w:eastAsia="Times New Roman" w:hAnsiTheme="majorBidi" w:cstheme="majorBidi"/>
          <w:i/>
          <w:iCs/>
          <w:sz w:val="18"/>
          <w:szCs w:val="18"/>
          <w:lang w:val="en-CA" w:eastAsia="en-GB"/>
        </w:rPr>
      </w:pPr>
      <w:r w:rsidRPr="005F0A67">
        <w:rPr>
          <w:rFonts w:asciiTheme="majorBidi" w:eastAsia="Times New Roman" w:hAnsiTheme="majorBidi" w:cstheme="majorBidi"/>
          <w:i/>
          <w:iCs/>
          <w:sz w:val="18"/>
          <w:szCs w:val="18"/>
          <w:lang w:val="en-CA" w:eastAsia="en-GB"/>
        </w:rPr>
        <w:t xml:space="preserve">Source: </w:t>
      </w:r>
      <w:r w:rsidRPr="005F0A67">
        <w:rPr>
          <w:rFonts w:asciiTheme="majorBidi" w:eastAsia="Times New Roman" w:hAnsiTheme="majorBidi" w:cstheme="majorBidi"/>
          <w:sz w:val="18"/>
          <w:szCs w:val="18"/>
          <w:lang w:val="en-CA" w:eastAsia="en-GB"/>
        </w:rPr>
        <w:t xml:space="preserve">Author’s illustration adapted from Decision 16/2 </w:t>
      </w:r>
      <w:r w:rsidRPr="005F0A67">
        <w:rPr>
          <w:rFonts w:asciiTheme="majorBidi" w:eastAsia="Times New Roman" w:hAnsiTheme="majorBidi" w:cstheme="majorBidi"/>
          <w:sz w:val="18"/>
          <w:szCs w:val="18"/>
          <w:lang w:val="en-CA" w:eastAsia="en-GB"/>
        </w:rPr>
        <w:fldChar w:fldCharType="begin"/>
      </w:r>
      <w:r w:rsidRPr="005F0A67">
        <w:rPr>
          <w:rFonts w:asciiTheme="majorBidi" w:eastAsia="Times New Roman" w:hAnsiTheme="majorBidi" w:cstheme="majorBidi"/>
          <w:sz w:val="18"/>
          <w:szCs w:val="18"/>
          <w:lang w:val="en-CA" w:eastAsia="en-GB"/>
        </w:rPr>
        <w:instrText xml:space="preserve"> ADDIN ZOTERO_ITEM CSL_CITATION {"citationID":"d60w4BfX","properties":{"unsorted":false,"formattedCitation":"(2024a)","plainCitation":"(2024a)","dontUpdate":true,"noteIndex":0},"citationItems":[{"id":611,"uris":["http://zotero.org/users/14977742/items/33BGLU4L"],"itemData":{"id":611,"type":"article-journal","citation-key":"cbdDecision1622024","container-title":"Sixteenth meeting of the Conference of the Parties to the Convention on Biological Diversity (COP 16)","title":"Decision 16/2: Digital sequence information on genetic resources","URL":"https://www.cbd.int/doc/decisions/cop-16/cop-16-dec-02-en.pdf","author":[{"literal":"CBD"}],"issued":{"date-parts":[["2024"]]}},"suppress-author":true}],"schema":"https://github.com/citation-style-language/schema/raw/master/csl-citation.json"} </w:instrText>
      </w:r>
      <w:r w:rsidRPr="005F0A67">
        <w:rPr>
          <w:rFonts w:asciiTheme="majorBidi" w:eastAsia="Times New Roman" w:hAnsiTheme="majorBidi" w:cstheme="majorBidi"/>
          <w:sz w:val="18"/>
          <w:szCs w:val="18"/>
          <w:lang w:val="en-CA" w:eastAsia="en-GB"/>
        </w:rPr>
        <w:fldChar w:fldCharType="separate"/>
      </w:r>
      <w:r w:rsidRPr="005F0A67">
        <w:rPr>
          <w:rFonts w:asciiTheme="majorBidi" w:eastAsia="Times New Roman" w:hAnsiTheme="majorBidi" w:cstheme="majorBidi"/>
          <w:sz w:val="18"/>
          <w:szCs w:val="18"/>
          <w:lang w:val="en-CA" w:eastAsia="en-GB"/>
        </w:rPr>
        <w:fldChar w:fldCharType="end"/>
      </w:r>
      <w:r w:rsidRPr="005F0A67">
        <w:rPr>
          <w:rFonts w:asciiTheme="majorBidi" w:eastAsia="Times New Roman" w:hAnsiTheme="majorBidi" w:cstheme="majorBidi"/>
          <w:sz w:val="18"/>
          <w:szCs w:val="18"/>
          <w:lang w:val="en-CA" w:eastAsia="en-GB"/>
        </w:rPr>
        <w:t xml:space="preserve">and Orozco and Scholz </w:t>
      </w:r>
      <w:r w:rsidRPr="005F0A67">
        <w:rPr>
          <w:rFonts w:asciiTheme="majorBidi" w:eastAsia="Times New Roman" w:hAnsiTheme="majorBidi" w:cstheme="majorBidi"/>
          <w:sz w:val="18"/>
          <w:szCs w:val="18"/>
          <w:lang w:val="en-CA" w:eastAsia="en-GB"/>
        </w:rPr>
        <w:fldChar w:fldCharType="begin"/>
      </w:r>
      <w:r w:rsidRPr="005F0A67">
        <w:rPr>
          <w:rFonts w:asciiTheme="majorBidi" w:eastAsia="Times New Roman" w:hAnsiTheme="majorBidi" w:cstheme="majorBidi"/>
          <w:sz w:val="18"/>
          <w:szCs w:val="18"/>
          <w:lang w:val="en-CA" w:eastAsia="en-GB"/>
        </w:rPr>
        <w:instrText xml:space="preserve"> ADDIN ZOTERO_ITEM CSL_CITATION {"citationID":"NWNNue0K","properties":{"unsorted":false,"formattedCitation":"(2025)","plainCitation":"(2025)","noteIndex":0},"citationItems":[{"id":2515,"uris":["http://zotero.org/groups/6345368/items/IS6F2V2Q"],"itemData":{"id":2515,"type":"article-journal","abstract":"The UN Convention on Biological Diversity’s new financial mechanism to fund conservation efforts involves for-profit users of biodiversity-derived genetic data contributing to the Cali Fund. This global fund promises benefits for biodiversity, Indigenous people and local communities while maintaining open data, but relies on action from countries and businesses.","citation-key":"orozco138_orozcoCaliFundPromises20252025","container-title":"Nature Reviews Biodiversity","DOI":"10.1038/s44358-025-00050-z","ISSN":"3005-0677","issue":"5","journalAbbreviation":"Nat. Rev. Biodivers.","language":"en","license":"2025 Springer Nature Limited","page":"276-278","publisher":"Nature Publishing Group","source":"www.nature.com","title":"138_orozcoCaliFundPromises2025","volume":"1","author":[{"family":"Orozco","given":"Pablo"},{"family":"Scholz","given":"Amber Hartman"}],"issued":{"date-parts":[["2025",5]]}},"suppress-author":true}],"schema":"https://github.com/citation-style-language/schema/raw/master/csl-citation.json"} </w:instrText>
      </w:r>
      <w:r w:rsidRPr="005F0A67">
        <w:rPr>
          <w:rFonts w:asciiTheme="majorBidi" w:eastAsia="Times New Roman" w:hAnsiTheme="majorBidi" w:cstheme="majorBidi"/>
          <w:sz w:val="18"/>
          <w:szCs w:val="18"/>
          <w:lang w:val="en-CA" w:eastAsia="en-GB"/>
        </w:rPr>
        <w:fldChar w:fldCharType="separate"/>
      </w:r>
      <w:r w:rsidRPr="005F0A67">
        <w:rPr>
          <w:rFonts w:asciiTheme="majorBidi" w:eastAsia="Times New Roman" w:hAnsiTheme="majorBidi" w:cstheme="majorBidi"/>
          <w:sz w:val="18"/>
          <w:szCs w:val="18"/>
          <w:lang w:val="en-CA" w:eastAsia="en-GB"/>
        </w:rPr>
        <w:t>(2025)</w:t>
      </w:r>
      <w:r w:rsidRPr="005F0A67">
        <w:rPr>
          <w:rFonts w:asciiTheme="majorBidi" w:eastAsia="Times New Roman" w:hAnsiTheme="majorBidi" w:cstheme="majorBidi"/>
          <w:sz w:val="18"/>
          <w:szCs w:val="18"/>
          <w:lang w:val="en-CA" w:eastAsia="en-GB"/>
        </w:rPr>
        <w:fldChar w:fldCharType="end"/>
      </w:r>
      <w:r w:rsidRPr="005F0A67">
        <w:rPr>
          <w:rFonts w:asciiTheme="majorBidi" w:eastAsia="Times New Roman" w:hAnsiTheme="majorBidi" w:cstheme="majorBidi"/>
          <w:sz w:val="18"/>
          <w:szCs w:val="18"/>
          <w:lang w:val="en-CA" w:eastAsia="en-GB"/>
        </w:rPr>
        <w:t>.</w:t>
      </w:r>
    </w:p>
    <w:p w14:paraId="7EFA2423" w14:textId="77777777" w:rsidR="005F0A67" w:rsidRPr="005F0A67" w:rsidRDefault="005F0A67" w:rsidP="00B54840">
      <w:pPr>
        <w:tabs>
          <w:tab w:val="clear" w:pos="567"/>
          <w:tab w:val="clear" w:pos="1134"/>
          <w:tab w:val="clear" w:pos="1701"/>
          <w:tab w:val="clear" w:pos="2268"/>
        </w:tabs>
        <w:spacing w:before="320" w:after="160"/>
        <w:ind w:left="720"/>
        <w:jc w:val="left"/>
        <w:outlineLvl w:val="2"/>
        <w:rPr>
          <w:rFonts w:asciiTheme="majorBidi" w:eastAsia="Arial" w:hAnsiTheme="majorBidi" w:cstheme="majorBidi"/>
          <w:b/>
          <w:bCs/>
          <w:color w:val="7F7F7F"/>
          <w:sz w:val="23"/>
          <w:szCs w:val="23"/>
          <w:lang w:val="en-CA" w:eastAsia="en-GB"/>
        </w:rPr>
      </w:pPr>
      <w:bookmarkStart w:id="24" w:name="_Ref230710163"/>
      <w:bookmarkStart w:id="25" w:name="_Toc234579533"/>
      <w:r w:rsidRPr="005F0A67">
        <w:rPr>
          <w:rFonts w:asciiTheme="majorBidi" w:eastAsia="Arial" w:hAnsiTheme="majorBidi" w:cstheme="majorBidi"/>
          <w:b/>
          <w:bCs/>
          <w:color w:val="7F7F7F"/>
          <w:sz w:val="23"/>
          <w:szCs w:val="23"/>
          <w:lang w:val="en-CA" w:eastAsia="en-GB"/>
        </w:rPr>
        <w:t>DSI MLM principles</w:t>
      </w:r>
      <w:bookmarkEnd w:id="24"/>
      <w:bookmarkEnd w:id="25"/>
    </w:p>
    <w:p w14:paraId="5D493D09"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sz w:val="21"/>
          <w:szCs w:val="21"/>
          <w:lang w:val="en-CA" w:eastAsia="en-GB"/>
        </w:rPr>
      </w:pPr>
      <w:r w:rsidRPr="005F0A67">
        <w:rPr>
          <w:rFonts w:asciiTheme="majorBidi" w:eastAsia="Times New Roman" w:hAnsiTheme="majorBidi" w:cstheme="majorBidi"/>
          <w:lang w:val="en-CA" w:eastAsia="en-GB"/>
        </w:rPr>
        <w:t>The core design principles of the DSI MLM were initially set out in Decision 15/9 paragraphs 9 and 10</w:t>
      </w:r>
      <w:r w:rsidRPr="005F0A67">
        <w:rPr>
          <w:rFonts w:asciiTheme="majorBidi" w:eastAsia="Times New Roman" w:hAnsiTheme="majorBidi" w:cstheme="majorBidi"/>
          <w:sz w:val="21"/>
          <w:szCs w:val="21"/>
          <w:lang w:val="en-CA" w:eastAsia="en-GB"/>
        </w:rPr>
        <w:t>. These paragraphs specify the main criteria that any DSI benefit-sharing solution should fulfil.</w:t>
      </w:r>
    </w:p>
    <w:p w14:paraId="5DB778E1" w14:textId="77777777" w:rsidR="005F0A67" w:rsidRPr="005F0A67" w:rsidRDefault="005F0A67" w:rsidP="005F0A67">
      <w:pPr>
        <w:pBdr>
          <w:left w:val="single" w:sz="12" w:space="12" w:color="2C5F2E"/>
        </w:pBdr>
        <w:tabs>
          <w:tab w:val="clear" w:pos="567"/>
          <w:tab w:val="clear" w:pos="1134"/>
          <w:tab w:val="clear" w:pos="1701"/>
          <w:tab w:val="clear" w:pos="2268"/>
        </w:tabs>
        <w:spacing w:after="80"/>
        <w:ind w:left="480"/>
        <w:rPr>
          <w:rFonts w:asciiTheme="majorBidi" w:eastAsia="Times New Roman" w:hAnsiTheme="majorBidi" w:cstheme="majorBidi"/>
          <w:i/>
          <w:iCs/>
          <w:lang w:val="en-CA" w:eastAsia="en-GB"/>
        </w:rPr>
      </w:pPr>
      <w:r w:rsidRPr="005F0A67">
        <w:rPr>
          <w:rFonts w:asciiTheme="majorBidi" w:eastAsia="Times New Roman" w:hAnsiTheme="majorBidi" w:cstheme="majorBidi"/>
          <w:i/>
          <w:iCs/>
          <w:lang w:val="en-CA" w:eastAsia="en-GB"/>
        </w:rPr>
        <w:t>[The Conference of the Parties] Also agrees that a solution for fair and equitable benefit-sharing on digital sequence information on genetic resources should, inter alia:</w:t>
      </w:r>
    </w:p>
    <w:p w14:paraId="62A53E2E" w14:textId="77777777" w:rsidR="005F0A67" w:rsidRPr="005F0A67" w:rsidRDefault="005F0A67" w:rsidP="005F0A67">
      <w:pPr>
        <w:numPr>
          <w:ilvl w:val="0"/>
          <w:numId w:val="32"/>
        </w:numPr>
        <w:pBdr>
          <w:left w:val="single" w:sz="12" w:space="12" w:color="2C5F2E"/>
        </w:pBdr>
        <w:tabs>
          <w:tab w:val="clear" w:pos="567"/>
          <w:tab w:val="clear" w:pos="1134"/>
          <w:tab w:val="clear" w:pos="1701"/>
          <w:tab w:val="clear" w:pos="2268"/>
        </w:tabs>
        <w:spacing w:after="80"/>
        <w:jc w:val="left"/>
        <w:rPr>
          <w:rFonts w:asciiTheme="majorBidi" w:eastAsia="Georgia" w:hAnsiTheme="majorBidi" w:cstheme="majorBidi"/>
          <w:i/>
          <w:iCs/>
          <w:color w:val="1A1A1A"/>
          <w:sz w:val="21"/>
          <w:szCs w:val="21"/>
          <w:lang w:val="en-CA" w:eastAsia="en-GB"/>
        </w:rPr>
      </w:pPr>
      <w:r w:rsidRPr="005F0A67">
        <w:rPr>
          <w:rFonts w:asciiTheme="majorBidi" w:eastAsia="Georgia" w:hAnsiTheme="majorBidi" w:cstheme="majorBidi"/>
          <w:i/>
          <w:iCs/>
          <w:color w:val="1A1A1A"/>
          <w:sz w:val="21"/>
          <w:szCs w:val="21"/>
          <w:lang w:val="en-CA" w:eastAsia="en-GB"/>
        </w:rPr>
        <w:t>Be efficient, feasible and practical;</w:t>
      </w:r>
    </w:p>
    <w:p w14:paraId="784F60DF" w14:textId="77777777" w:rsidR="005F0A67" w:rsidRPr="005F0A67" w:rsidRDefault="005F0A67" w:rsidP="005F0A67">
      <w:pPr>
        <w:numPr>
          <w:ilvl w:val="0"/>
          <w:numId w:val="32"/>
        </w:numPr>
        <w:pBdr>
          <w:left w:val="single" w:sz="12" w:space="12" w:color="2C5F2E"/>
        </w:pBdr>
        <w:tabs>
          <w:tab w:val="clear" w:pos="567"/>
          <w:tab w:val="clear" w:pos="1134"/>
          <w:tab w:val="clear" w:pos="1701"/>
          <w:tab w:val="clear" w:pos="2268"/>
        </w:tabs>
        <w:spacing w:after="80"/>
        <w:jc w:val="left"/>
        <w:rPr>
          <w:rFonts w:asciiTheme="majorBidi" w:eastAsia="Georgia" w:hAnsiTheme="majorBidi" w:cstheme="majorBidi"/>
          <w:i/>
          <w:iCs/>
          <w:color w:val="1A1A1A"/>
          <w:sz w:val="21"/>
          <w:szCs w:val="21"/>
          <w:lang w:eastAsia="en-GB"/>
        </w:rPr>
      </w:pPr>
      <w:r w:rsidRPr="005F0A67">
        <w:rPr>
          <w:rFonts w:asciiTheme="majorBidi" w:eastAsia="Georgia" w:hAnsiTheme="majorBidi" w:cstheme="majorBidi"/>
          <w:i/>
          <w:iCs/>
          <w:color w:val="1A1A1A"/>
          <w:sz w:val="21"/>
          <w:szCs w:val="21"/>
          <w:lang w:eastAsia="en-GB"/>
        </w:rPr>
        <w:t>Generate more benefits, including both monetary and non-monetary, than costs;</w:t>
      </w:r>
    </w:p>
    <w:p w14:paraId="18443603" w14:textId="77777777" w:rsidR="005F0A67" w:rsidRPr="005F0A67" w:rsidRDefault="005F0A67" w:rsidP="005F0A67">
      <w:pPr>
        <w:numPr>
          <w:ilvl w:val="0"/>
          <w:numId w:val="32"/>
        </w:numPr>
        <w:pBdr>
          <w:left w:val="single" w:sz="12" w:space="12" w:color="2C5F2E"/>
        </w:pBdr>
        <w:tabs>
          <w:tab w:val="clear" w:pos="567"/>
          <w:tab w:val="clear" w:pos="1134"/>
          <w:tab w:val="clear" w:pos="1701"/>
          <w:tab w:val="clear" w:pos="2268"/>
        </w:tabs>
        <w:spacing w:after="80"/>
        <w:jc w:val="left"/>
        <w:rPr>
          <w:rFonts w:asciiTheme="majorBidi" w:eastAsia="Georgia" w:hAnsiTheme="majorBidi" w:cstheme="majorBidi"/>
          <w:i/>
          <w:iCs/>
          <w:color w:val="1A1A1A"/>
          <w:sz w:val="21"/>
          <w:szCs w:val="21"/>
          <w:lang w:eastAsia="en-GB"/>
        </w:rPr>
      </w:pPr>
      <w:r w:rsidRPr="005F0A67">
        <w:rPr>
          <w:rFonts w:asciiTheme="majorBidi" w:eastAsia="Georgia" w:hAnsiTheme="majorBidi" w:cstheme="majorBidi"/>
          <w:i/>
          <w:iCs/>
          <w:color w:val="1A1A1A"/>
          <w:sz w:val="21"/>
          <w:szCs w:val="21"/>
          <w:lang w:eastAsia="en-GB"/>
        </w:rPr>
        <w:t xml:space="preserve">Be effective; </w:t>
      </w:r>
    </w:p>
    <w:p w14:paraId="0BD8D341" w14:textId="77777777" w:rsidR="005F0A67" w:rsidRPr="005F0A67" w:rsidRDefault="005F0A67" w:rsidP="005F0A67">
      <w:pPr>
        <w:numPr>
          <w:ilvl w:val="0"/>
          <w:numId w:val="32"/>
        </w:numPr>
        <w:pBdr>
          <w:left w:val="single" w:sz="12" w:space="12" w:color="2C5F2E"/>
        </w:pBdr>
        <w:tabs>
          <w:tab w:val="clear" w:pos="567"/>
          <w:tab w:val="clear" w:pos="1134"/>
          <w:tab w:val="clear" w:pos="1701"/>
          <w:tab w:val="clear" w:pos="2268"/>
        </w:tabs>
        <w:spacing w:after="80"/>
        <w:jc w:val="left"/>
        <w:rPr>
          <w:rFonts w:asciiTheme="majorBidi" w:eastAsia="Georgia" w:hAnsiTheme="majorBidi" w:cstheme="majorBidi"/>
          <w:i/>
          <w:iCs/>
          <w:color w:val="1A1A1A"/>
          <w:sz w:val="21"/>
          <w:szCs w:val="21"/>
          <w:lang w:eastAsia="en-GB"/>
        </w:rPr>
      </w:pPr>
      <w:r w:rsidRPr="005F0A67">
        <w:rPr>
          <w:rFonts w:asciiTheme="majorBidi" w:eastAsia="Georgia" w:hAnsiTheme="majorBidi" w:cstheme="majorBidi"/>
          <w:i/>
          <w:iCs/>
          <w:color w:val="1A1A1A"/>
          <w:sz w:val="21"/>
          <w:szCs w:val="21"/>
          <w:lang w:eastAsia="en-GB"/>
        </w:rPr>
        <w:t>Provide certainty and legal clarity for providers and users of digital sequence information on genetic resources;</w:t>
      </w:r>
    </w:p>
    <w:p w14:paraId="182D2701" w14:textId="77777777" w:rsidR="005F0A67" w:rsidRPr="005F0A67" w:rsidRDefault="005F0A67" w:rsidP="005F0A67">
      <w:pPr>
        <w:numPr>
          <w:ilvl w:val="0"/>
          <w:numId w:val="32"/>
        </w:numPr>
        <w:pBdr>
          <w:left w:val="single" w:sz="12" w:space="12" w:color="2C5F2E"/>
        </w:pBdr>
        <w:tabs>
          <w:tab w:val="clear" w:pos="567"/>
          <w:tab w:val="clear" w:pos="1134"/>
          <w:tab w:val="clear" w:pos="1701"/>
          <w:tab w:val="clear" w:pos="2268"/>
        </w:tabs>
        <w:spacing w:after="80"/>
        <w:jc w:val="left"/>
        <w:rPr>
          <w:rFonts w:asciiTheme="majorBidi" w:eastAsia="Georgia" w:hAnsiTheme="majorBidi" w:cstheme="majorBidi"/>
          <w:i/>
          <w:iCs/>
          <w:color w:val="1A1A1A"/>
          <w:sz w:val="21"/>
          <w:szCs w:val="21"/>
          <w:lang w:eastAsia="en-GB"/>
        </w:rPr>
      </w:pPr>
      <w:r w:rsidRPr="005F0A67">
        <w:rPr>
          <w:rFonts w:asciiTheme="majorBidi" w:eastAsia="Georgia" w:hAnsiTheme="majorBidi" w:cstheme="majorBidi"/>
          <w:i/>
          <w:iCs/>
          <w:color w:val="1A1A1A"/>
          <w:sz w:val="21"/>
          <w:szCs w:val="21"/>
          <w:lang w:eastAsia="en-GB"/>
        </w:rPr>
        <w:t>Not hinder research and innovation;</w:t>
      </w:r>
    </w:p>
    <w:p w14:paraId="173E024B" w14:textId="77777777" w:rsidR="005F0A67" w:rsidRPr="005F0A67" w:rsidRDefault="005F0A67" w:rsidP="005F0A67">
      <w:pPr>
        <w:numPr>
          <w:ilvl w:val="0"/>
          <w:numId w:val="32"/>
        </w:numPr>
        <w:pBdr>
          <w:left w:val="single" w:sz="12" w:space="12" w:color="2C5F2E"/>
        </w:pBdr>
        <w:tabs>
          <w:tab w:val="clear" w:pos="567"/>
          <w:tab w:val="clear" w:pos="1134"/>
          <w:tab w:val="clear" w:pos="1701"/>
          <w:tab w:val="clear" w:pos="2268"/>
        </w:tabs>
        <w:spacing w:after="80"/>
        <w:jc w:val="left"/>
        <w:rPr>
          <w:rFonts w:asciiTheme="majorBidi" w:eastAsia="Georgia" w:hAnsiTheme="majorBidi" w:cstheme="majorBidi"/>
          <w:i/>
          <w:iCs/>
          <w:color w:val="1A1A1A"/>
          <w:sz w:val="21"/>
          <w:szCs w:val="21"/>
          <w:lang w:val="en-CA" w:eastAsia="en-GB"/>
        </w:rPr>
      </w:pPr>
      <w:r w:rsidRPr="005F0A67">
        <w:rPr>
          <w:rFonts w:asciiTheme="majorBidi" w:eastAsia="Georgia" w:hAnsiTheme="majorBidi" w:cstheme="majorBidi"/>
          <w:i/>
          <w:iCs/>
          <w:color w:val="1A1A1A"/>
          <w:sz w:val="21"/>
          <w:szCs w:val="21"/>
          <w:lang w:val="en-CA" w:eastAsia="en-GB"/>
        </w:rPr>
        <w:t>Be consistent with open access to data;</w:t>
      </w:r>
    </w:p>
    <w:p w14:paraId="40EAC22D" w14:textId="77777777" w:rsidR="005F0A67" w:rsidRPr="005F0A67" w:rsidRDefault="005F0A67" w:rsidP="005F0A67">
      <w:pPr>
        <w:numPr>
          <w:ilvl w:val="0"/>
          <w:numId w:val="32"/>
        </w:numPr>
        <w:pBdr>
          <w:left w:val="single" w:sz="12" w:space="12" w:color="2C5F2E"/>
        </w:pBdr>
        <w:tabs>
          <w:tab w:val="clear" w:pos="567"/>
          <w:tab w:val="clear" w:pos="1134"/>
          <w:tab w:val="clear" w:pos="1701"/>
          <w:tab w:val="clear" w:pos="2268"/>
        </w:tabs>
        <w:spacing w:after="80"/>
        <w:jc w:val="left"/>
        <w:rPr>
          <w:rFonts w:asciiTheme="majorBidi" w:eastAsia="Georgia" w:hAnsiTheme="majorBidi" w:cstheme="majorBidi"/>
          <w:i/>
          <w:iCs/>
          <w:color w:val="1A1A1A"/>
          <w:sz w:val="21"/>
          <w:szCs w:val="21"/>
          <w:lang w:eastAsia="en-GB"/>
        </w:rPr>
      </w:pPr>
      <w:r w:rsidRPr="005F0A67">
        <w:rPr>
          <w:rFonts w:asciiTheme="majorBidi" w:eastAsia="Georgia" w:hAnsiTheme="majorBidi" w:cstheme="majorBidi"/>
          <w:i/>
          <w:iCs/>
          <w:color w:val="1A1A1A"/>
          <w:sz w:val="21"/>
          <w:szCs w:val="21"/>
          <w:lang w:eastAsia="en-GB"/>
        </w:rPr>
        <w:t>Not be incompatible with international legal obligations;</w:t>
      </w:r>
    </w:p>
    <w:p w14:paraId="09280467" w14:textId="77777777" w:rsidR="005F0A67" w:rsidRPr="005F0A67" w:rsidRDefault="005F0A67" w:rsidP="005F0A67">
      <w:pPr>
        <w:numPr>
          <w:ilvl w:val="0"/>
          <w:numId w:val="32"/>
        </w:numPr>
        <w:pBdr>
          <w:left w:val="single" w:sz="12" w:space="12" w:color="2C5F2E"/>
        </w:pBdr>
        <w:tabs>
          <w:tab w:val="clear" w:pos="567"/>
          <w:tab w:val="clear" w:pos="1134"/>
          <w:tab w:val="clear" w:pos="1701"/>
          <w:tab w:val="clear" w:pos="2268"/>
        </w:tabs>
        <w:spacing w:after="80"/>
        <w:jc w:val="left"/>
        <w:rPr>
          <w:rFonts w:asciiTheme="majorBidi" w:eastAsia="Georgia" w:hAnsiTheme="majorBidi" w:cstheme="majorBidi"/>
          <w:i/>
          <w:iCs/>
          <w:color w:val="1A1A1A"/>
          <w:sz w:val="21"/>
          <w:szCs w:val="21"/>
          <w:lang w:eastAsia="en-GB"/>
        </w:rPr>
      </w:pPr>
      <w:r w:rsidRPr="005F0A67">
        <w:rPr>
          <w:rFonts w:asciiTheme="majorBidi" w:eastAsia="Georgia" w:hAnsiTheme="majorBidi" w:cstheme="majorBidi"/>
          <w:i/>
          <w:iCs/>
          <w:color w:val="1A1A1A"/>
          <w:sz w:val="21"/>
          <w:szCs w:val="21"/>
          <w:lang w:eastAsia="en-GB"/>
        </w:rPr>
        <w:t>Be mutually supportive of other access and benefit-sharing instruments;</w:t>
      </w:r>
    </w:p>
    <w:p w14:paraId="5F3DA4E7" w14:textId="77777777" w:rsidR="005F0A67" w:rsidRPr="005F0A67" w:rsidRDefault="005F0A67" w:rsidP="005F0A67">
      <w:pPr>
        <w:numPr>
          <w:ilvl w:val="0"/>
          <w:numId w:val="32"/>
        </w:numPr>
        <w:pBdr>
          <w:left w:val="single" w:sz="12" w:space="12" w:color="2C5F2E"/>
        </w:pBdr>
        <w:tabs>
          <w:tab w:val="clear" w:pos="567"/>
          <w:tab w:val="clear" w:pos="1134"/>
          <w:tab w:val="clear" w:pos="1701"/>
          <w:tab w:val="clear" w:pos="2268"/>
        </w:tabs>
        <w:spacing w:after="80"/>
        <w:jc w:val="left"/>
        <w:rPr>
          <w:rFonts w:asciiTheme="majorBidi" w:eastAsia="Georgia" w:hAnsiTheme="majorBidi" w:cstheme="majorBidi"/>
          <w:i/>
          <w:iCs/>
          <w:color w:val="1A1A1A"/>
          <w:sz w:val="21"/>
          <w:szCs w:val="21"/>
          <w:lang w:val="en-CA" w:eastAsia="en-GB"/>
        </w:rPr>
      </w:pPr>
      <w:r w:rsidRPr="005F0A67">
        <w:rPr>
          <w:rFonts w:asciiTheme="majorBidi" w:eastAsia="Georgia" w:hAnsiTheme="majorBidi" w:cstheme="majorBidi"/>
          <w:i/>
          <w:iCs/>
          <w:color w:val="1A1A1A"/>
          <w:sz w:val="21"/>
          <w:szCs w:val="21"/>
          <w:lang w:val="en-CA" w:eastAsia="en-GB"/>
        </w:rPr>
        <w:t>Take into account the rights of indigenous peoples and local communities, including with respect to the traditional knowledge associated with genetic resources that they hold;</w:t>
      </w:r>
    </w:p>
    <w:p w14:paraId="5AEC28AE" w14:textId="77777777" w:rsidR="005F0A67" w:rsidRPr="005F0A67" w:rsidRDefault="005F0A67" w:rsidP="005F0A67">
      <w:pPr>
        <w:tabs>
          <w:tab w:val="clear" w:pos="567"/>
          <w:tab w:val="clear" w:pos="1134"/>
          <w:tab w:val="clear" w:pos="1701"/>
          <w:tab w:val="clear" w:pos="2268"/>
        </w:tabs>
        <w:ind w:firstLine="480"/>
        <w:jc w:val="left"/>
        <w:rPr>
          <w:rFonts w:asciiTheme="majorBidi" w:eastAsia="Times New Roman" w:hAnsiTheme="majorBidi" w:cstheme="majorBidi"/>
          <w:lang w:val="en-CA" w:eastAsia="en-GB"/>
        </w:rPr>
      </w:pPr>
      <w:r w:rsidRPr="005F0A67">
        <w:rPr>
          <w:rFonts w:asciiTheme="majorBidi" w:eastAsia="Arial" w:hAnsiTheme="majorBidi" w:cstheme="majorBidi"/>
          <w:color w:val="777777"/>
          <w:sz w:val="16"/>
          <w:szCs w:val="16"/>
          <w:lang w:val="en-CA" w:eastAsia="en-GB"/>
        </w:rPr>
        <w:t>Convention on Biological Diversity, Decision 15/9 paragraph 9</w:t>
      </w:r>
    </w:p>
    <w:p w14:paraId="30E1713B" w14:textId="77777777" w:rsidR="005F0A67" w:rsidRPr="005F0A67" w:rsidRDefault="005F0A67" w:rsidP="005F0A67">
      <w:pPr>
        <w:tabs>
          <w:tab w:val="clear" w:pos="567"/>
          <w:tab w:val="clear" w:pos="1134"/>
          <w:tab w:val="clear" w:pos="1701"/>
          <w:tab w:val="clear" w:pos="2268"/>
        </w:tabs>
        <w:ind w:firstLine="480"/>
        <w:jc w:val="left"/>
        <w:rPr>
          <w:rFonts w:asciiTheme="majorBidi" w:eastAsia="Times New Roman" w:hAnsiTheme="majorBidi" w:cstheme="majorBidi"/>
          <w:lang w:val="en-CA" w:eastAsia="en-GB"/>
        </w:rPr>
      </w:pPr>
    </w:p>
    <w:p w14:paraId="53C1ABFD" w14:textId="77777777" w:rsidR="005F0A67" w:rsidRPr="005F0A67" w:rsidRDefault="005F0A67" w:rsidP="005F0A67">
      <w:pPr>
        <w:pBdr>
          <w:left w:val="single" w:sz="12" w:space="12" w:color="2C5F2E"/>
        </w:pBdr>
        <w:tabs>
          <w:tab w:val="clear" w:pos="567"/>
          <w:tab w:val="clear" w:pos="1134"/>
          <w:tab w:val="clear" w:pos="1701"/>
          <w:tab w:val="clear" w:pos="2268"/>
        </w:tabs>
        <w:spacing w:after="80"/>
        <w:ind w:left="480"/>
        <w:rPr>
          <w:rFonts w:asciiTheme="majorBidi" w:eastAsia="Times New Roman" w:hAnsiTheme="majorBidi" w:cstheme="majorBidi"/>
          <w:i/>
          <w:iCs/>
          <w:lang w:val="en-CA" w:eastAsia="en-GB"/>
        </w:rPr>
      </w:pPr>
      <w:r w:rsidRPr="005F0A67">
        <w:rPr>
          <w:rFonts w:asciiTheme="majorBidi" w:eastAsia="Times New Roman" w:hAnsiTheme="majorBidi" w:cstheme="majorBidi"/>
          <w:lang w:val="en-CA" w:eastAsia="en-GB"/>
        </w:rPr>
        <w:t>[</w:t>
      </w:r>
      <w:r w:rsidRPr="005F0A67">
        <w:rPr>
          <w:rFonts w:asciiTheme="majorBidi" w:eastAsia="Times New Roman" w:hAnsiTheme="majorBidi" w:cstheme="majorBidi"/>
          <w:i/>
          <w:iCs/>
          <w:lang w:val="en-CA" w:eastAsia="en-GB"/>
        </w:rPr>
        <w:t>The Conference of the Parties] Recognizes that the monetary and non-monetary benefits arising from the use of digital sequence information on genetic resources should, in particular, be used to support conservation and sustainable use of biological diversity and, inter alia, benefit indigenous peoples and local communities;</w:t>
      </w:r>
    </w:p>
    <w:p w14:paraId="47EFF4A8" w14:textId="77777777" w:rsidR="005F0A67" w:rsidRPr="005F0A67" w:rsidRDefault="005F0A67" w:rsidP="005F0A67">
      <w:pPr>
        <w:tabs>
          <w:tab w:val="clear" w:pos="567"/>
          <w:tab w:val="clear" w:pos="1134"/>
          <w:tab w:val="clear" w:pos="1701"/>
          <w:tab w:val="clear" w:pos="2268"/>
        </w:tabs>
        <w:ind w:firstLine="480"/>
        <w:jc w:val="left"/>
        <w:rPr>
          <w:rFonts w:asciiTheme="majorBidi" w:eastAsia="Arial" w:hAnsiTheme="majorBidi" w:cstheme="majorBidi"/>
          <w:color w:val="777777"/>
          <w:sz w:val="17"/>
          <w:szCs w:val="17"/>
          <w:lang w:val="en-CA" w:eastAsia="en-GB"/>
        </w:rPr>
      </w:pPr>
      <w:r w:rsidRPr="005F0A67">
        <w:rPr>
          <w:rFonts w:asciiTheme="majorBidi" w:eastAsia="Arial" w:hAnsiTheme="majorBidi" w:cstheme="majorBidi"/>
          <w:color w:val="777777"/>
          <w:sz w:val="17"/>
          <w:szCs w:val="17"/>
          <w:lang w:val="en-CA" w:eastAsia="en-GB"/>
        </w:rPr>
        <w:t>Convention on Biological Diversity, Decision 15/9 paragraph 10</w:t>
      </w:r>
    </w:p>
    <w:p w14:paraId="5B89B283" w14:textId="77777777" w:rsidR="005F0A67" w:rsidRPr="005F0A67" w:rsidRDefault="005F0A67" w:rsidP="00B54840">
      <w:pPr>
        <w:tabs>
          <w:tab w:val="clear" w:pos="567"/>
          <w:tab w:val="clear" w:pos="1134"/>
          <w:tab w:val="clear" w:pos="1701"/>
          <w:tab w:val="clear" w:pos="2268"/>
        </w:tabs>
        <w:spacing w:before="320" w:after="160"/>
        <w:ind w:left="720"/>
        <w:jc w:val="left"/>
        <w:outlineLvl w:val="2"/>
        <w:rPr>
          <w:rFonts w:asciiTheme="majorBidi" w:eastAsia="Arial" w:hAnsiTheme="majorBidi" w:cstheme="majorBidi"/>
          <w:b/>
          <w:bCs/>
          <w:color w:val="7F7F7F"/>
          <w:sz w:val="23"/>
          <w:szCs w:val="23"/>
          <w:lang w:val="en-CA" w:eastAsia="en-GB"/>
        </w:rPr>
      </w:pPr>
      <w:bookmarkStart w:id="26" w:name="_Toc234579534"/>
      <w:r w:rsidRPr="005F0A67">
        <w:rPr>
          <w:rFonts w:asciiTheme="majorBidi" w:eastAsia="Arial" w:hAnsiTheme="majorBidi" w:cstheme="majorBidi"/>
          <w:b/>
          <w:bCs/>
          <w:color w:val="7F7F7F"/>
          <w:sz w:val="23"/>
          <w:szCs w:val="23"/>
          <w:lang w:val="en-CA" w:eastAsia="en-GB"/>
        </w:rPr>
        <w:t>Contributions to the Cali Fund</w:t>
      </w:r>
      <w:bookmarkEnd w:id="26"/>
    </w:p>
    <w:p w14:paraId="4C92317E"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lastRenderedPageBreak/>
        <w:t>This subsection outlines the modalities and indicative parameters adopted under Decision 16/2 for contributions to the Cali Fund and relevant for this study, covering who is expected to contribute, indicative contribution rates, exemptions, and payment modalities.</w:t>
      </w:r>
    </w:p>
    <w:p w14:paraId="1F8189D0"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i/>
          <w:iCs/>
          <w:lang w:val="en-CA" w:eastAsia="en-GB"/>
        </w:rPr>
      </w:pP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_Ref220762412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Box 2</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summarises the key parameters derived from Decision 16/2 covering: (A) indicative criteria for the Fund’s contributors’ size and industrial activity (defined by sectors), and (B) indicative contribution rates. </w:t>
      </w:r>
    </w:p>
    <w:p w14:paraId="4790BEA3" w14:textId="77777777" w:rsidR="005F0A67" w:rsidRPr="005F0A67" w:rsidRDefault="005F0A67" w:rsidP="00B54840">
      <w:pPr>
        <w:tabs>
          <w:tab w:val="clear" w:pos="567"/>
          <w:tab w:val="clear" w:pos="1134"/>
          <w:tab w:val="clear" w:pos="1701"/>
          <w:tab w:val="clear" w:pos="2268"/>
        </w:tabs>
        <w:spacing w:after="120"/>
        <w:jc w:val="left"/>
        <w:outlineLvl w:val="4"/>
        <w:rPr>
          <w:rFonts w:asciiTheme="majorBidi" w:eastAsia="Georgia" w:hAnsiTheme="majorBidi" w:cstheme="majorBidi"/>
          <w:b/>
          <w:bCs/>
          <w:color w:val="419844"/>
          <w:lang w:eastAsia="en-GB"/>
        </w:rPr>
      </w:pPr>
      <w:bookmarkStart w:id="27" w:name="_Ref220762412"/>
      <w:r w:rsidRPr="005F0A67">
        <w:rPr>
          <w:rFonts w:asciiTheme="majorBidi" w:eastAsia="Georgia" w:hAnsiTheme="majorBidi" w:cstheme="majorBidi"/>
          <w:b/>
          <w:bCs/>
          <w:color w:val="419844"/>
          <w:lang w:eastAsia="en-GB"/>
        </w:rPr>
        <w:t xml:space="preserve">Box </w:t>
      </w:r>
      <w:r w:rsidRPr="005F0A67">
        <w:rPr>
          <w:rFonts w:asciiTheme="majorBidi" w:eastAsia="Georgia" w:hAnsiTheme="majorBidi" w:cstheme="majorBidi"/>
          <w:b/>
          <w:bCs/>
          <w:color w:val="419844"/>
          <w:lang w:eastAsia="en-GB"/>
        </w:rPr>
        <w:fldChar w:fldCharType="begin"/>
      </w:r>
      <w:r w:rsidRPr="005F0A67">
        <w:rPr>
          <w:rFonts w:asciiTheme="majorBidi" w:eastAsia="Georgia" w:hAnsiTheme="majorBidi" w:cstheme="majorBidi"/>
          <w:b/>
          <w:bCs/>
          <w:color w:val="419844"/>
          <w:lang w:eastAsia="en-GB"/>
        </w:rPr>
        <w:instrText>SEQ Box \* ARABIC</w:instrText>
      </w:r>
      <w:r w:rsidRPr="005F0A67">
        <w:rPr>
          <w:rFonts w:asciiTheme="majorBidi" w:eastAsia="Georgia" w:hAnsiTheme="majorBidi" w:cstheme="majorBidi"/>
          <w:b/>
          <w:bCs/>
          <w:color w:val="419844"/>
          <w:lang w:eastAsia="en-GB"/>
        </w:rPr>
        <w:fldChar w:fldCharType="separate"/>
      </w:r>
      <w:r w:rsidRPr="005F0A67">
        <w:rPr>
          <w:rFonts w:asciiTheme="majorBidi" w:eastAsia="Georgia" w:hAnsiTheme="majorBidi" w:cstheme="majorBidi"/>
          <w:b/>
          <w:bCs/>
          <w:noProof/>
          <w:color w:val="419844"/>
          <w:lang w:eastAsia="en-GB"/>
        </w:rPr>
        <w:t>2</w:t>
      </w:r>
      <w:r w:rsidRPr="005F0A67">
        <w:rPr>
          <w:rFonts w:asciiTheme="majorBidi" w:eastAsia="Georgia" w:hAnsiTheme="majorBidi" w:cstheme="majorBidi"/>
          <w:b/>
          <w:bCs/>
          <w:color w:val="419844"/>
          <w:lang w:eastAsia="en-GB"/>
        </w:rPr>
        <w:fldChar w:fldCharType="end"/>
      </w:r>
      <w:bookmarkEnd w:id="27"/>
      <w:r w:rsidRPr="005F0A67">
        <w:rPr>
          <w:rFonts w:asciiTheme="majorBidi" w:eastAsia="Georgia" w:hAnsiTheme="majorBidi" w:cstheme="majorBidi"/>
          <w:b/>
          <w:bCs/>
          <w:color w:val="419844"/>
          <w:lang w:eastAsia="en-GB"/>
        </w:rPr>
        <w:t>: Scope of the Cali Fund contributions</w:t>
      </w:r>
    </w:p>
    <w:tbl>
      <w:tblPr>
        <w:tblW w:w="103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303"/>
      </w:tblGrid>
      <w:tr w:rsidR="005F0A67" w:rsidRPr="005F0A67" w14:paraId="43B15193" w14:textId="77777777" w:rsidTr="005F0A67">
        <w:trPr>
          <w:trHeight w:hRule="exact" w:val="8211"/>
        </w:trPr>
        <w:tc>
          <w:tcPr>
            <w:tcW w:w="10303" w:type="dxa"/>
            <w:shd w:val="clear" w:color="auto" w:fill="F2F2F2"/>
            <w:tcMar>
              <w:top w:w="200" w:type="dxa"/>
              <w:left w:w="280" w:type="dxa"/>
              <w:bottom w:w="0" w:type="dxa"/>
              <w:right w:w="280" w:type="dxa"/>
            </w:tcMar>
            <w:vAlign w:val="center"/>
          </w:tcPr>
          <w:p w14:paraId="16EE5766" w14:textId="77777777" w:rsidR="005F0A67" w:rsidRPr="005F0A67" w:rsidRDefault="005F0A67" w:rsidP="005F0A67">
            <w:pPr>
              <w:shd w:val="clear" w:color="auto" w:fill="F2F2F2"/>
              <w:tabs>
                <w:tab w:val="clear" w:pos="567"/>
                <w:tab w:val="clear" w:pos="1134"/>
                <w:tab w:val="clear" w:pos="1701"/>
                <w:tab w:val="clear" w:pos="2268"/>
              </w:tabs>
              <w:spacing w:line="360" w:lineRule="auto"/>
              <w:jc w:val="left"/>
              <w:rPr>
                <w:rFonts w:asciiTheme="majorBidi" w:eastAsia="Times New Roman" w:hAnsiTheme="majorBidi" w:cstheme="majorBidi"/>
                <w:b/>
                <w:bCs/>
                <w:i/>
                <w:iCs/>
                <w:u w:val="single"/>
                <w:lang w:val="en-CA" w:eastAsia="en-GB"/>
              </w:rPr>
            </w:pPr>
            <w:r w:rsidRPr="005F0A67">
              <w:rPr>
                <w:rFonts w:asciiTheme="majorBidi" w:eastAsia="Times New Roman" w:hAnsiTheme="majorBidi" w:cstheme="majorBidi"/>
                <w:b/>
                <w:bCs/>
                <w:u w:val="single"/>
                <w:lang w:val="en-CA" w:eastAsia="en-GB"/>
              </w:rPr>
              <w:t>A. Cali Fund contributors</w:t>
            </w:r>
          </w:p>
          <w:p w14:paraId="509B91E9" w14:textId="77777777" w:rsidR="005F0A67" w:rsidRPr="005F0A67" w:rsidRDefault="005F0A67" w:rsidP="005F0A67">
            <w:pPr>
              <w:shd w:val="clear" w:color="auto" w:fill="F2F2F2"/>
              <w:tabs>
                <w:tab w:val="clear" w:pos="567"/>
                <w:tab w:val="clear" w:pos="1134"/>
                <w:tab w:val="clear" w:pos="1701"/>
                <w:tab w:val="clear" w:pos="2268"/>
              </w:tabs>
              <w:jc w:val="left"/>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As defined in Decision 16/2:</w:t>
            </w:r>
          </w:p>
          <w:p w14:paraId="7B3977C6" w14:textId="77777777" w:rsidR="005F0A67" w:rsidRPr="005F0A67" w:rsidRDefault="005F0A67" w:rsidP="005F0A67">
            <w:pPr>
              <w:shd w:val="clear" w:color="auto" w:fill="F2F2F2"/>
              <w:tabs>
                <w:tab w:val="clear" w:pos="567"/>
                <w:tab w:val="clear" w:pos="1134"/>
                <w:tab w:val="clear" w:pos="1701"/>
                <w:tab w:val="clear" w:pos="2268"/>
                <w:tab w:val="num" w:pos="389"/>
              </w:tabs>
              <w:spacing w:line="312" w:lineRule="auto"/>
              <w:ind w:left="391" w:hanging="391"/>
              <w:rPr>
                <w:rFonts w:asciiTheme="majorBidi" w:eastAsia="Times New Roman" w:hAnsiTheme="majorBidi" w:cstheme="majorBidi"/>
                <w:lang w:val="en-CA" w:eastAsia="en-GB"/>
              </w:rPr>
            </w:pPr>
            <w:r w:rsidRPr="005F0A67">
              <w:rPr>
                <w:rFonts w:asciiTheme="majorBidi" w:eastAsia="Times New Roman" w:hAnsiTheme="majorBidi" w:cstheme="majorBidi"/>
                <w:b/>
                <w:bCs/>
                <w:lang w:val="en-CA" w:eastAsia="en-GB"/>
              </w:rPr>
              <w:t>DSI use and type of activity:</w:t>
            </w:r>
            <w:r w:rsidRPr="005F0A67">
              <w:rPr>
                <w:rFonts w:asciiTheme="majorBidi" w:eastAsia="Times New Roman" w:hAnsiTheme="majorBidi" w:cstheme="majorBidi"/>
                <w:lang w:val="en-CA" w:eastAsia="en-GB"/>
              </w:rPr>
              <w:t xml:space="preserve"> Users of digital sequence information on genetic resources in sectors that </w:t>
            </w:r>
            <w:r w:rsidRPr="005F0A67">
              <w:rPr>
                <w:rFonts w:asciiTheme="majorBidi" w:eastAsia="Times New Roman" w:hAnsiTheme="majorBidi" w:cstheme="majorBidi"/>
                <w:b/>
                <w:bCs/>
                <w:lang w:val="en-CA" w:eastAsia="en-GB"/>
              </w:rPr>
              <w:t>directly or indirectly benefit from its use</w:t>
            </w:r>
            <w:r w:rsidRPr="005F0A67">
              <w:rPr>
                <w:rFonts w:asciiTheme="majorBidi" w:eastAsia="Times New Roman" w:hAnsiTheme="majorBidi" w:cstheme="majorBidi"/>
                <w:lang w:val="en-CA" w:eastAsia="en-GB"/>
              </w:rPr>
              <w:t xml:space="preserve"> in their </w:t>
            </w:r>
            <w:r w:rsidRPr="005F0A67">
              <w:rPr>
                <w:rFonts w:asciiTheme="majorBidi" w:eastAsia="Times New Roman" w:hAnsiTheme="majorBidi" w:cstheme="majorBidi"/>
                <w:b/>
                <w:bCs/>
                <w:lang w:val="en-CA" w:eastAsia="en-GB"/>
              </w:rPr>
              <w:t>commercial activities</w:t>
            </w:r>
            <w:r w:rsidRPr="005F0A67">
              <w:rPr>
                <w:rFonts w:asciiTheme="majorBidi" w:eastAsia="Times New Roman" w:hAnsiTheme="majorBidi" w:cstheme="majorBidi"/>
                <w:lang w:val="en-CA" w:eastAsia="en-GB"/>
              </w:rPr>
              <w:t xml:space="preserve"> (…).</w:t>
            </w:r>
          </w:p>
          <w:p w14:paraId="66B4E8DA" w14:textId="77777777" w:rsidR="005F0A67" w:rsidRPr="005F0A67" w:rsidRDefault="005F0A67" w:rsidP="005F0A67">
            <w:pPr>
              <w:shd w:val="clear" w:color="auto" w:fill="F2F2F2"/>
              <w:tabs>
                <w:tab w:val="clear" w:pos="567"/>
                <w:tab w:val="clear" w:pos="1134"/>
                <w:tab w:val="clear" w:pos="1701"/>
                <w:tab w:val="clear" w:pos="2268"/>
                <w:tab w:val="num" w:pos="389"/>
              </w:tabs>
              <w:spacing w:line="312" w:lineRule="auto"/>
              <w:ind w:left="391" w:hanging="391"/>
              <w:rPr>
                <w:rFonts w:asciiTheme="majorBidi" w:eastAsia="Times New Roman" w:hAnsiTheme="majorBidi" w:cstheme="majorBidi"/>
                <w:lang w:val="en-CA" w:eastAsia="en-GB"/>
              </w:rPr>
            </w:pPr>
            <w:r w:rsidRPr="005F0A67">
              <w:rPr>
                <w:rFonts w:asciiTheme="majorBidi" w:eastAsia="Times New Roman" w:hAnsiTheme="majorBidi" w:cstheme="majorBidi"/>
                <w:b/>
                <w:bCs/>
                <w:lang w:val="en-CA" w:eastAsia="en-GB"/>
              </w:rPr>
              <w:t>Company size</w:t>
            </w:r>
            <w:r w:rsidRPr="005F0A67">
              <w:rPr>
                <w:rFonts w:asciiTheme="majorBidi" w:eastAsia="Times New Roman" w:hAnsiTheme="majorBidi" w:cstheme="majorBidi"/>
                <w:lang w:val="en-CA" w:eastAsia="en-GB"/>
              </w:rPr>
              <w:t xml:space="preserve">: Entities that, on their balance sheet dates, </w:t>
            </w:r>
            <w:r w:rsidRPr="005F0A67">
              <w:rPr>
                <w:rFonts w:asciiTheme="majorBidi" w:eastAsia="Times New Roman" w:hAnsiTheme="majorBidi" w:cstheme="majorBidi"/>
                <w:b/>
                <w:bCs/>
                <w:lang w:val="en-CA" w:eastAsia="en-GB"/>
              </w:rPr>
              <w:t>exceed at least two out of three thresholds</w:t>
            </w:r>
            <w:r w:rsidRPr="005F0A67">
              <w:rPr>
                <w:rFonts w:asciiTheme="majorBidi" w:eastAsia="Times New Roman" w:hAnsiTheme="majorBidi" w:cstheme="majorBidi"/>
                <w:lang w:val="en-CA" w:eastAsia="en-GB"/>
              </w:rPr>
              <w:t xml:space="preserve"> (namely, total assets: 20 million United States dollars, sales: 50 million United States dollars, and profit: 5 million United States dollars) averaged over the preceding three years.</w:t>
            </w:r>
          </w:p>
          <w:p w14:paraId="4555F233" w14:textId="77777777" w:rsidR="005F0A67" w:rsidRPr="005F0A67" w:rsidRDefault="005F0A67" w:rsidP="005F0A67">
            <w:pPr>
              <w:shd w:val="clear" w:color="auto" w:fill="F2F2F2"/>
              <w:tabs>
                <w:tab w:val="clear" w:pos="567"/>
                <w:tab w:val="clear" w:pos="1134"/>
                <w:tab w:val="clear" w:pos="1701"/>
                <w:tab w:val="clear" w:pos="2268"/>
                <w:tab w:val="num" w:pos="389"/>
              </w:tabs>
              <w:spacing w:line="312" w:lineRule="auto"/>
              <w:ind w:left="391" w:hanging="391"/>
              <w:rPr>
                <w:rFonts w:asciiTheme="majorBidi" w:eastAsia="Times New Roman" w:hAnsiTheme="majorBidi" w:cstheme="majorBidi"/>
                <w:lang w:val="en-CA" w:eastAsia="en-GB"/>
              </w:rPr>
            </w:pPr>
            <w:r w:rsidRPr="005F0A67">
              <w:rPr>
                <w:rFonts w:asciiTheme="majorBidi" w:eastAsia="Times New Roman" w:hAnsiTheme="majorBidi" w:cstheme="majorBidi"/>
                <w:b/>
                <w:bCs/>
                <w:lang w:val="en-CA" w:eastAsia="en-GB"/>
              </w:rPr>
              <w:t xml:space="preserve">Indicative list of sectors that may benefit from DSI: </w:t>
            </w:r>
          </w:p>
          <w:p w14:paraId="0D3963CD" w14:textId="77777777" w:rsidR="005F0A67" w:rsidRPr="005F0A67" w:rsidRDefault="005F0A67" w:rsidP="005F0A67">
            <w:pPr>
              <w:shd w:val="clear" w:color="auto" w:fill="F2F2F2"/>
              <w:tabs>
                <w:tab w:val="clear" w:pos="567"/>
                <w:tab w:val="clear" w:pos="1134"/>
                <w:tab w:val="clear" w:pos="1701"/>
                <w:tab w:val="clear" w:pos="2268"/>
              </w:tabs>
              <w:jc w:val="left"/>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Sectors that may benefit directly or indirectly from the use of digital sequence information on genetic resources include:</w:t>
            </w:r>
          </w:p>
          <w:p w14:paraId="6DB657B5" w14:textId="77777777" w:rsidR="005F0A67" w:rsidRPr="005F0A67" w:rsidRDefault="005F0A67" w:rsidP="005F0A67">
            <w:pPr>
              <w:numPr>
                <w:ilvl w:val="0"/>
                <w:numId w:val="33"/>
              </w:numPr>
              <w:shd w:val="clear" w:color="auto" w:fill="F2F2F2"/>
              <w:tabs>
                <w:tab w:val="clear" w:pos="567"/>
                <w:tab w:val="clear" w:pos="1134"/>
                <w:tab w:val="clear" w:pos="1701"/>
                <w:tab w:val="clear" w:pos="2268"/>
              </w:tabs>
              <w:spacing w:line="312" w:lineRule="auto"/>
              <w:ind w:left="839" w:hanging="357"/>
              <w:jc w:val="left"/>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Pharmaceuticals; </w:t>
            </w:r>
          </w:p>
          <w:p w14:paraId="074FA95A" w14:textId="77777777" w:rsidR="005F0A67" w:rsidRPr="005F0A67" w:rsidRDefault="005F0A67" w:rsidP="005F0A67">
            <w:pPr>
              <w:numPr>
                <w:ilvl w:val="0"/>
                <w:numId w:val="33"/>
              </w:numPr>
              <w:shd w:val="clear" w:color="auto" w:fill="F2F2F2"/>
              <w:tabs>
                <w:tab w:val="clear" w:pos="567"/>
                <w:tab w:val="clear" w:pos="1134"/>
                <w:tab w:val="clear" w:pos="1701"/>
                <w:tab w:val="clear" w:pos="2268"/>
              </w:tabs>
              <w:spacing w:line="312" w:lineRule="auto"/>
              <w:ind w:left="839" w:hanging="357"/>
              <w:jc w:val="left"/>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Nutraceuticals (food and health supplements);</w:t>
            </w:r>
          </w:p>
          <w:p w14:paraId="16209912" w14:textId="77777777" w:rsidR="005F0A67" w:rsidRPr="005F0A67" w:rsidRDefault="005F0A67" w:rsidP="005F0A67">
            <w:pPr>
              <w:numPr>
                <w:ilvl w:val="0"/>
                <w:numId w:val="33"/>
              </w:numPr>
              <w:shd w:val="clear" w:color="auto" w:fill="F2F2F2"/>
              <w:tabs>
                <w:tab w:val="clear" w:pos="567"/>
                <w:tab w:val="clear" w:pos="1134"/>
                <w:tab w:val="clear" w:pos="1701"/>
                <w:tab w:val="clear" w:pos="2268"/>
              </w:tabs>
              <w:spacing w:line="312" w:lineRule="auto"/>
              <w:ind w:left="839" w:hanging="357"/>
              <w:jc w:val="left"/>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 Cosmetics;</w:t>
            </w:r>
          </w:p>
          <w:p w14:paraId="7B9D03EE" w14:textId="77777777" w:rsidR="005F0A67" w:rsidRPr="005F0A67" w:rsidRDefault="005F0A67" w:rsidP="005F0A67">
            <w:pPr>
              <w:numPr>
                <w:ilvl w:val="0"/>
                <w:numId w:val="33"/>
              </w:numPr>
              <w:shd w:val="clear" w:color="auto" w:fill="F2F2F2"/>
              <w:tabs>
                <w:tab w:val="clear" w:pos="567"/>
                <w:tab w:val="clear" w:pos="1134"/>
                <w:tab w:val="clear" w:pos="1701"/>
                <w:tab w:val="clear" w:pos="2268"/>
              </w:tabs>
              <w:spacing w:line="312" w:lineRule="auto"/>
              <w:ind w:left="839" w:hanging="357"/>
              <w:jc w:val="left"/>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 Animal and plant breeding;</w:t>
            </w:r>
          </w:p>
          <w:p w14:paraId="51ACAABC" w14:textId="77777777" w:rsidR="005F0A67" w:rsidRPr="005F0A67" w:rsidRDefault="005F0A67" w:rsidP="005F0A67">
            <w:pPr>
              <w:numPr>
                <w:ilvl w:val="0"/>
                <w:numId w:val="33"/>
              </w:numPr>
              <w:shd w:val="clear" w:color="auto" w:fill="F2F2F2"/>
              <w:tabs>
                <w:tab w:val="clear" w:pos="567"/>
                <w:tab w:val="clear" w:pos="1134"/>
                <w:tab w:val="clear" w:pos="1701"/>
                <w:tab w:val="clear" w:pos="2268"/>
              </w:tabs>
              <w:spacing w:line="312" w:lineRule="auto"/>
              <w:ind w:left="839" w:hanging="357"/>
              <w:jc w:val="left"/>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 Biotechnology;</w:t>
            </w:r>
          </w:p>
          <w:p w14:paraId="681ED014" w14:textId="77777777" w:rsidR="005F0A67" w:rsidRPr="005F0A67" w:rsidRDefault="005F0A67" w:rsidP="005F0A67">
            <w:pPr>
              <w:numPr>
                <w:ilvl w:val="0"/>
                <w:numId w:val="33"/>
              </w:numPr>
              <w:shd w:val="clear" w:color="auto" w:fill="F2F2F2"/>
              <w:tabs>
                <w:tab w:val="clear" w:pos="567"/>
                <w:tab w:val="clear" w:pos="1134"/>
                <w:tab w:val="clear" w:pos="1701"/>
                <w:tab w:val="clear" w:pos="2268"/>
              </w:tabs>
              <w:spacing w:line="312" w:lineRule="auto"/>
              <w:ind w:left="839" w:hanging="357"/>
              <w:jc w:val="left"/>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 Laboratory equipment associated with the sequencing and use of digital sequence information on genetic resources, including reagents and supplies;</w:t>
            </w:r>
          </w:p>
          <w:p w14:paraId="01216AAF" w14:textId="77777777" w:rsidR="005F0A67" w:rsidRPr="005F0A67" w:rsidRDefault="005F0A67" w:rsidP="005F0A67">
            <w:pPr>
              <w:numPr>
                <w:ilvl w:val="0"/>
                <w:numId w:val="33"/>
              </w:numPr>
              <w:shd w:val="clear" w:color="auto" w:fill="F2F2F2"/>
              <w:tabs>
                <w:tab w:val="clear" w:pos="567"/>
                <w:tab w:val="clear" w:pos="1134"/>
                <w:tab w:val="clear" w:pos="1701"/>
                <w:tab w:val="clear" w:pos="2268"/>
              </w:tabs>
              <w:spacing w:after="240" w:line="312" w:lineRule="auto"/>
              <w:ind w:left="839" w:hanging="357"/>
              <w:jc w:val="left"/>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Information, scientific and technical services related to digital sequence information on genetic resources, including artificial intelligence.</w:t>
            </w:r>
          </w:p>
          <w:p w14:paraId="7A065FC3" w14:textId="77777777" w:rsidR="005F0A67" w:rsidRPr="005F0A67" w:rsidRDefault="005F0A67" w:rsidP="005F0A67">
            <w:pPr>
              <w:shd w:val="clear" w:color="auto" w:fill="F2F2F2"/>
              <w:tabs>
                <w:tab w:val="clear" w:pos="567"/>
                <w:tab w:val="clear" w:pos="1134"/>
                <w:tab w:val="clear" w:pos="1701"/>
                <w:tab w:val="clear" w:pos="2268"/>
              </w:tabs>
              <w:jc w:val="left"/>
              <w:rPr>
                <w:rFonts w:asciiTheme="majorBidi" w:eastAsia="Times New Roman" w:hAnsiTheme="majorBidi" w:cstheme="majorBidi"/>
                <w:b/>
                <w:bCs/>
                <w:lang w:val="en-CA" w:eastAsia="en-GB"/>
              </w:rPr>
            </w:pPr>
            <w:r w:rsidRPr="005F0A67">
              <w:rPr>
                <w:rFonts w:asciiTheme="majorBidi" w:eastAsia="Times New Roman" w:hAnsiTheme="majorBidi" w:cstheme="majorBidi"/>
                <w:b/>
                <w:bCs/>
                <w:lang w:val="en-CA" w:eastAsia="en-GB"/>
              </w:rPr>
              <w:t xml:space="preserve">B. Indicative contribution rates </w:t>
            </w:r>
          </w:p>
          <w:p w14:paraId="6194B1C7" w14:textId="77777777" w:rsidR="005F0A67" w:rsidRPr="005F0A67" w:rsidRDefault="005F0A67" w:rsidP="005F0A67">
            <w:pPr>
              <w:shd w:val="clear" w:color="auto" w:fill="F2F2F2"/>
              <w:tabs>
                <w:tab w:val="clear" w:pos="567"/>
                <w:tab w:val="clear" w:pos="1134"/>
                <w:tab w:val="clear" w:pos="1701"/>
                <w:tab w:val="clear" w:pos="2268"/>
              </w:tabs>
              <w:jc w:val="left"/>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 (…) should contribute to the global fund </w:t>
            </w:r>
            <w:r w:rsidRPr="005F0A67">
              <w:rPr>
                <w:rFonts w:asciiTheme="majorBidi" w:eastAsia="Times New Roman" w:hAnsiTheme="majorBidi" w:cstheme="majorBidi"/>
                <w:b/>
                <w:bCs/>
                <w:lang w:val="en-CA" w:eastAsia="en-GB"/>
              </w:rPr>
              <w:t>1 per cent of their profits or 0.1 per cent of their revenue</w:t>
            </w:r>
            <w:r w:rsidRPr="005F0A67">
              <w:rPr>
                <w:rFonts w:asciiTheme="majorBidi" w:eastAsia="Times New Roman" w:hAnsiTheme="majorBidi" w:cstheme="majorBidi"/>
                <w:lang w:val="en-CA" w:eastAsia="en-GB"/>
              </w:rPr>
              <w:t>, as an indicative rate.</w:t>
            </w:r>
          </w:p>
          <w:p w14:paraId="207500ED" w14:textId="77777777" w:rsidR="005F0A67" w:rsidRPr="005F0A67" w:rsidRDefault="005F0A67" w:rsidP="005F0A67">
            <w:pPr>
              <w:shd w:val="clear" w:color="auto" w:fill="F2F2F2"/>
              <w:tabs>
                <w:tab w:val="clear" w:pos="567"/>
                <w:tab w:val="clear" w:pos="1134"/>
                <w:tab w:val="clear" w:pos="1701"/>
                <w:tab w:val="clear" w:pos="2268"/>
              </w:tabs>
              <w:jc w:val="left"/>
              <w:rPr>
                <w:rFonts w:asciiTheme="majorBidi" w:eastAsia="Times New Roman" w:hAnsiTheme="majorBidi" w:cstheme="majorBidi"/>
                <w:lang w:val="en-CA" w:eastAsia="en-GB"/>
              </w:rPr>
            </w:pPr>
          </w:p>
        </w:tc>
      </w:tr>
      <w:tr w:rsidR="005F0A67" w:rsidRPr="005F0A67" w14:paraId="211F3E5B" w14:textId="77777777" w:rsidTr="00FB671B">
        <w:trPr>
          <w:trHeight w:hRule="exact" w:val="91"/>
        </w:trPr>
        <w:tc>
          <w:tcPr>
            <w:tcW w:w="10303" w:type="dxa"/>
            <w:shd w:val="clear" w:color="auto" w:fill="419844"/>
          </w:tcPr>
          <w:p w14:paraId="04934734"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lang w:val="en-CA" w:eastAsia="en-GB"/>
              </w:rPr>
            </w:pPr>
          </w:p>
        </w:tc>
      </w:tr>
    </w:tbl>
    <w:p w14:paraId="46A7DFD5" w14:textId="77777777" w:rsidR="005F0A67" w:rsidRPr="005F0A67" w:rsidRDefault="005F0A67" w:rsidP="00B54840">
      <w:pPr>
        <w:tabs>
          <w:tab w:val="clear" w:pos="567"/>
          <w:tab w:val="clear" w:pos="1134"/>
          <w:tab w:val="clear" w:pos="1701"/>
          <w:tab w:val="clear" w:pos="2268"/>
        </w:tabs>
        <w:spacing w:after="120"/>
        <w:jc w:val="left"/>
        <w:outlineLvl w:val="4"/>
        <w:rPr>
          <w:rFonts w:asciiTheme="majorBidi" w:eastAsia="Georgia" w:hAnsiTheme="majorBidi" w:cstheme="majorBidi"/>
          <w:i/>
          <w:iCs/>
          <w:color w:val="1A1A1A"/>
          <w:sz w:val="18"/>
          <w:szCs w:val="18"/>
          <w:lang w:eastAsia="en-GB"/>
        </w:rPr>
      </w:pPr>
      <w:r w:rsidRPr="005F0A67">
        <w:rPr>
          <w:rFonts w:asciiTheme="majorBidi" w:eastAsia="Georgia" w:hAnsiTheme="majorBidi" w:cstheme="majorBidi"/>
          <w:i/>
          <w:iCs/>
          <w:color w:val="1A1A1A"/>
          <w:sz w:val="18"/>
          <w:szCs w:val="18"/>
          <w:lang w:eastAsia="en-GB"/>
        </w:rPr>
        <w:t xml:space="preserve">Notes: </w:t>
      </w:r>
      <w:r w:rsidRPr="005F0A67">
        <w:rPr>
          <w:rFonts w:asciiTheme="majorBidi" w:eastAsia="Georgia" w:hAnsiTheme="majorBidi" w:cstheme="majorBidi"/>
          <w:color w:val="1A1A1A"/>
          <w:sz w:val="18"/>
          <w:szCs w:val="18"/>
          <w:lang w:eastAsia="en-GB"/>
        </w:rPr>
        <w:t>Emphasis added by the author.</w:t>
      </w:r>
    </w:p>
    <w:p w14:paraId="3142BFC1"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Annex to Decision 16/2 on modalities for operationalising the DSI MLM, further clarifies the scope of entities that fall within the contribution modalities and expectations described in the Decision.</w:t>
      </w:r>
    </w:p>
    <w:p w14:paraId="68C30CA1"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Paragraph 5 states that: </w:t>
      </w:r>
    </w:p>
    <w:p w14:paraId="1DC85B33" w14:textId="77777777" w:rsidR="005F0A67" w:rsidRPr="005F0A67" w:rsidRDefault="005F0A67" w:rsidP="005F0A67">
      <w:pPr>
        <w:pBdr>
          <w:left w:val="single" w:sz="12" w:space="12" w:color="2C5F2E"/>
        </w:pBdr>
        <w:tabs>
          <w:tab w:val="clear" w:pos="567"/>
          <w:tab w:val="clear" w:pos="1134"/>
          <w:tab w:val="clear" w:pos="1701"/>
          <w:tab w:val="clear" w:pos="2268"/>
        </w:tabs>
        <w:spacing w:after="80"/>
        <w:ind w:left="480"/>
        <w:rPr>
          <w:rFonts w:asciiTheme="majorBidi" w:eastAsia="Times New Roman" w:hAnsiTheme="majorBidi" w:cstheme="majorBidi"/>
          <w:i/>
          <w:iCs/>
          <w:sz w:val="24"/>
          <w:szCs w:val="24"/>
          <w:lang w:val="en-CA" w:eastAsia="en-GB"/>
        </w:rPr>
      </w:pPr>
      <w:r w:rsidRPr="005F0A67">
        <w:rPr>
          <w:rFonts w:asciiTheme="majorBidi" w:eastAsia="Times New Roman" w:hAnsiTheme="majorBidi" w:cstheme="majorBidi"/>
          <w:i/>
          <w:iCs/>
          <w:sz w:val="24"/>
          <w:szCs w:val="24"/>
          <w:lang w:val="en-CA" w:eastAsia="en-GB"/>
        </w:rPr>
        <w:t>The provisions of paragraph 3 do not apply to entities active in the sectors listed in enclosure I that do not directly or indirectly use digital sequence information on genetic resources.</w:t>
      </w:r>
    </w:p>
    <w:p w14:paraId="2A5F7DC8" w14:textId="77777777" w:rsidR="005F0A67" w:rsidRPr="005F0A67" w:rsidRDefault="005F0A67" w:rsidP="005F0A67">
      <w:pPr>
        <w:tabs>
          <w:tab w:val="clear" w:pos="567"/>
          <w:tab w:val="clear" w:pos="1134"/>
          <w:tab w:val="clear" w:pos="1701"/>
          <w:tab w:val="clear" w:pos="2268"/>
        </w:tabs>
        <w:ind w:left="480"/>
        <w:jc w:val="left"/>
        <w:rPr>
          <w:rFonts w:asciiTheme="majorBidi" w:eastAsia="Arial" w:hAnsiTheme="majorBidi" w:cstheme="majorBidi"/>
          <w:color w:val="777777"/>
          <w:sz w:val="17"/>
          <w:szCs w:val="17"/>
          <w:lang w:val="en-CA" w:eastAsia="en-GB"/>
        </w:rPr>
      </w:pPr>
      <w:r w:rsidRPr="005F0A67">
        <w:rPr>
          <w:rFonts w:asciiTheme="majorBidi" w:eastAsia="Arial" w:hAnsiTheme="majorBidi" w:cstheme="majorBidi"/>
          <w:color w:val="777777"/>
          <w:sz w:val="17"/>
          <w:szCs w:val="17"/>
          <w:lang w:val="en-CA" w:eastAsia="en-GB"/>
        </w:rPr>
        <w:t>Convention on Biological Diversity, Decision 16/2 Annex paragraph 5</w:t>
      </w:r>
    </w:p>
    <w:p w14:paraId="2C693BB9" w14:textId="77777777" w:rsidR="005F0A67" w:rsidRPr="005F0A67" w:rsidRDefault="005F0A67" w:rsidP="005F0A67">
      <w:pPr>
        <w:tabs>
          <w:tab w:val="clear" w:pos="567"/>
          <w:tab w:val="clear" w:pos="1134"/>
          <w:tab w:val="clear" w:pos="1701"/>
          <w:tab w:val="clear" w:pos="2268"/>
        </w:tabs>
        <w:ind w:left="480"/>
        <w:jc w:val="left"/>
        <w:rPr>
          <w:rFonts w:asciiTheme="majorBidi" w:eastAsia="Times New Roman" w:hAnsiTheme="majorBidi" w:cstheme="majorBidi"/>
          <w:sz w:val="24"/>
          <w:szCs w:val="24"/>
          <w:lang w:val="en-CA" w:eastAsia="en-GB"/>
        </w:rPr>
      </w:pPr>
    </w:p>
    <w:p w14:paraId="5C24E86B"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lastRenderedPageBreak/>
        <w:t>Consequently, mere inclusion in a sector covered by Enclosure I does not, on its own, determine contribution expectations; instead, the expectation also depends on whether the entity benefits from its use of DSI in their commercial activities.</w:t>
      </w:r>
    </w:p>
    <w:p w14:paraId="0EF54444"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With no official definition or description of the term “direct or indirect” use of DSI, how this term is implemented in practice may differ between entities and jurisdictions. </w:t>
      </w:r>
    </w:p>
    <w:p w14:paraId="72488DB0"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Similarly, questions relating to the scope of participation and assessment level of an ‘entity’ may be interpreted differently. Section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_Ref229944942 \r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4</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revisits these ambiguities within the context of the analytical framework.</w:t>
      </w:r>
    </w:p>
    <w:p w14:paraId="6470807D"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Additionally, paragraph 16 of the Annex encourages voluntary contributions from entities that fall outside the modalities specified in Decision 16/2. The classification of which entities this applies to is not free of ambiguity: because Enclosure I is described as an 'indicative' list and paragraph 1 uses non-exhaustive language ('include'), it is not settled whether DSI-using entities outside the listed sectors fall under paragraph 16. For the purpose of this study, and pending clarification by the COP, this includes, among others, entities that use DSI but operate in sectors other than those listed in Enclosure I, paragraph 1; entities that use DSI but do not meet the “two out of three” financial threshold criteria set out in Annex, paragraph 3; and entities that benefit from the use of DSI in the context of non-commercial activities.</w:t>
      </w:r>
    </w:p>
    <w:p w14:paraId="4AFE1673"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Furthermore, paragraph 15 of the Annex to Decision 16/2 specifies that contributing entities will receive a certificate, defined as: </w:t>
      </w:r>
    </w:p>
    <w:p w14:paraId="10B007DB" w14:textId="77777777" w:rsidR="005F0A67" w:rsidRPr="005F0A67" w:rsidRDefault="005F0A67" w:rsidP="005F0A67">
      <w:pPr>
        <w:pBdr>
          <w:left w:val="single" w:sz="12" w:space="12" w:color="2C5F2E"/>
        </w:pBdr>
        <w:tabs>
          <w:tab w:val="clear" w:pos="567"/>
          <w:tab w:val="clear" w:pos="1134"/>
          <w:tab w:val="clear" w:pos="1701"/>
          <w:tab w:val="clear" w:pos="2268"/>
        </w:tabs>
        <w:spacing w:after="80"/>
        <w:ind w:left="480"/>
        <w:rPr>
          <w:rFonts w:asciiTheme="majorBidi" w:eastAsia="Times New Roman" w:hAnsiTheme="majorBidi" w:cstheme="majorBidi"/>
          <w:i/>
          <w:iCs/>
          <w:lang w:val="en-CA" w:eastAsia="en-GB"/>
        </w:rPr>
      </w:pPr>
      <w:r w:rsidRPr="005F0A67">
        <w:rPr>
          <w:rFonts w:asciiTheme="majorBidi" w:eastAsia="Times New Roman" w:hAnsiTheme="majorBidi" w:cstheme="majorBidi"/>
          <w:i/>
          <w:iCs/>
          <w:lang w:val="en-CA" w:eastAsia="en-GB"/>
        </w:rPr>
        <w:t>For each year that users make monetary contributions to the fund in line with the modalities of the multilateral mechanism, they will be considered as having fairly and equitably shared monetary benefits arising from the use of digital sequence information on genetic resources under the multilateral mechanism and will receive a certificate accordingly. Such a certificate excludes the user from any expectation to share further monetary benefits from the use of such information within the scope of the multilateral mechanism for that year.</w:t>
      </w:r>
    </w:p>
    <w:p w14:paraId="4C2A1A60" w14:textId="77777777" w:rsidR="005F0A67" w:rsidRPr="005F0A67" w:rsidRDefault="005F0A67" w:rsidP="005F0A67">
      <w:pPr>
        <w:tabs>
          <w:tab w:val="clear" w:pos="567"/>
          <w:tab w:val="clear" w:pos="1134"/>
          <w:tab w:val="clear" w:pos="1701"/>
          <w:tab w:val="clear" w:pos="2268"/>
        </w:tabs>
        <w:ind w:left="480"/>
        <w:jc w:val="left"/>
        <w:rPr>
          <w:rFonts w:asciiTheme="majorBidi" w:eastAsia="Arial" w:hAnsiTheme="majorBidi" w:cstheme="majorBidi"/>
          <w:color w:val="777777"/>
          <w:sz w:val="17"/>
          <w:szCs w:val="17"/>
          <w:lang w:val="en-CA" w:eastAsia="en-GB"/>
        </w:rPr>
      </w:pPr>
      <w:r w:rsidRPr="005F0A67">
        <w:rPr>
          <w:rFonts w:asciiTheme="majorBidi" w:eastAsia="Arial" w:hAnsiTheme="majorBidi" w:cstheme="majorBidi"/>
          <w:color w:val="777777"/>
          <w:sz w:val="17"/>
          <w:szCs w:val="17"/>
          <w:lang w:val="en-CA" w:eastAsia="en-GB"/>
        </w:rPr>
        <w:t>Convention on Biological Diversity, Decision 16/2 Annex paragraph 15</w:t>
      </w:r>
    </w:p>
    <w:p w14:paraId="0642A919" w14:textId="77777777" w:rsidR="005F0A67" w:rsidRPr="005F0A67" w:rsidRDefault="005F0A67" w:rsidP="005F0A67">
      <w:pPr>
        <w:tabs>
          <w:tab w:val="clear" w:pos="567"/>
          <w:tab w:val="clear" w:pos="1134"/>
          <w:tab w:val="clear" w:pos="1701"/>
          <w:tab w:val="clear" w:pos="2268"/>
        </w:tabs>
        <w:spacing w:before="240" w:after="180" w:line="293"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Finally, Decision 16/2 invites Parties and non-Parties to:</w:t>
      </w:r>
    </w:p>
    <w:p w14:paraId="465DDDDA" w14:textId="77777777" w:rsidR="005F0A67" w:rsidRPr="005F0A67" w:rsidRDefault="005F0A67" w:rsidP="005F0A67">
      <w:pPr>
        <w:pBdr>
          <w:left w:val="single" w:sz="12" w:space="12" w:color="2C5F2E"/>
        </w:pBdr>
        <w:tabs>
          <w:tab w:val="clear" w:pos="567"/>
          <w:tab w:val="clear" w:pos="1134"/>
          <w:tab w:val="clear" w:pos="1701"/>
          <w:tab w:val="clear" w:pos="2268"/>
        </w:tabs>
        <w:spacing w:after="80"/>
        <w:ind w:left="480"/>
        <w:rPr>
          <w:rFonts w:asciiTheme="majorBidi" w:eastAsia="Times New Roman" w:hAnsiTheme="majorBidi" w:cstheme="majorBidi"/>
          <w:i/>
          <w:iCs/>
          <w:lang w:val="en-CA" w:eastAsia="en-GB"/>
        </w:rPr>
      </w:pPr>
      <w:r w:rsidRPr="005F0A67">
        <w:rPr>
          <w:rFonts w:asciiTheme="majorBidi" w:eastAsia="Times New Roman" w:hAnsiTheme="majorBidi" w:cstheme="majorBidi"/>
          <w:i/>
          <w:iCs/>
          <w:lang w:val="en-CA" w:eastAsia="en-GB"/>
        </w:rPr>
        <w:t>(...) to take administrative, policy or legislative measures, consistent with national legislation, to incentivize users in their jurisdiction to contribute to the global fund in line with the modalities of the multilateral mechanism.</w:t>
      </w:r>
    </w:p>
    <w:p w14:paraId="1A14CFC3" w14:textId="77777777" w:rsidR="005F0A67" w:rsidRPr="005F0A67" w:rsidRDefault="005F0A67" w:rsidP="005F0A67">
      <w:pPr>
        <w:tabs>
          <w:tab w:val="clear" w:pos="567"/>
          <w:tab w:val="clear" w:pos="1134"/>
          <w:tab w:val="clear" w:pos="1701"/>
          <w:tab w:val="clear" w:pos="2268"/>
        </w:tabs>
        <w:ind w:left="480"/>
        <w:jc w:val="left"/>
        <w:rPr>
          <w:rFonts w:asciiTheme="majorBidi" w:eastAsia="Arial" w:hAnsiTheme="majorBidi" w:cstheme="majorBidi"/>
          <w:color w:val="777777"/>
          <w:sz w:val="17"/>
          <w:szCs w:val="17"/>
          <w:lang w:val="en-CA" w:eastAsia="en-GB"/>
        </w:rPr>
      </w:pPr>
      <w:r w:rsidRPr="005F0A67">
        <w:rPr>
          <w:rFonts w:asciiTheme="majorBidi" w:eastAsia="Arial" w:hAnsiTheme="majorBidi" w:cstheme="majorBidi"/>
          <w:color w:val="777777"/>
          <w:sz w:val="17"/>
          <w:szCs w:val="17"/>
          <w:lang w:val="en-CA" w:eastAsia="en-GB"/>
        </w:rPr>
        <w:t>Convention on Biological Diversity, Decision 16/2 Annex paragraph 13</w:t>
      </w:r>
    </w:p>
    <w:p w14:paraId="2B731DF8" w14:textId="77777777" w:rsidR="005F0A67" w:rsidRPr="005F0A67" w:rsidRDefault="005F0A67" w:rsidP="005F0A67">
      <w:pPr>
        <w:tabs>
          <w:tab w:val="clear" w:pos="567"/>
          <w:tab w:val="clear" w:pos="1134"/>
          <w:tab w:val="clear" w:pos="1701"/>
          <w:tab w:val="clear" w:pos="2268"/>
        </w:tabs>
        <w:spacing w:before="240" w:after="180" w:line="293"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Notably, as Parties design and implement such incentivization measures, any concern surrounding the ‘voluntary nature’ of contributions to the mechanism would diminish considerably. Legislative measures at the national level would alleviate any uncertainty. Moreover, other measures such as e.g. fiscal incentives, could incentivise contributions without affecting the voluntary nature of the Fund. </w:t>
      </w:r>
    </w:p>
    <w:p w14:paraId="7A517A6C" w14:textId="77777777" w:rsidR="005F0A67" w:rsidRPr="005F0A67" w:rsidRDefault="005F0A67" w:rsidP="00B54840">
      <w:pPr>
        <w:tabs>
          <w:tab w:val="clear" w:pos="567"/>
          <w:tab w:val="clear" w:pos="1134"/>
          <w:tab w:val="clear" w:pos="1701"/>
          <w:tab w:val="clear" w:pos="2268"/>
        </w:tabs>
        <w:spacing w:before="320" w:after="160"/>
        <w:ind w:left="720"/>
        <w:jc w:val="left"/>
        <w:outlineLvl w:val="2"/>
        <w:rPr>
          <w:rFonts w:asciiTheme="majorBidi" w:eastAsia="Arial" w:hAnsiTheme="majorBidi" w:cstheme="majorBidi"/>
          <w:b/>
          <w:bCs/>
          <w:color w:val="7F7F7F"/>
          <w:sz w:val="23"/>
          <w:szCs w:val="23"/>
          <w:lang w:val="en-CA" w:eastAsia="en-GB"/>
        </w:rPr>
      </w:pPr>
      <w:bookmarkStart w:id="28" w:name="_Ref230179386"/>
      <w:bookmarkStart w:id="29" w:name="_Toc234579535"/>
      <w:r w:rsidRPr="005F0A67">
        <w:rPr>
          <w:rFonts w:asciiTheme="majorBidi" w:eastAsia="Arial" w:hAnsiTheme="majorBidi" w:cstheme="majorBidi"/>
          <w:b/>
          <w:bCs/>
          <w:color w:val="7F7F7F"/>
          <w:sz w:val="23"/>
          <w:szCs w:val="23"/>
          <w:lang w:val="en-CA" w:eastAsia="en-GB"/>
        </w:rPr>
        <w:t>Cali Fund allocation formula</w:t>
      </w:r>
      <w:bookmarkEnd w:id="28"/>
      <w:bookmarkEnd w:id="29"/>
    </w:p>
    <w:p w14:paraId="22D27E71"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The allocation formula falls outside the primary scope of this study. Its potential relevance to participation incentives is discussed in Section 4 (section 'Who participates?', Allocation formula).</w:t>
      </w:r>
    </w:p>
    <w:p w14:paraId="00497C9D" w14:textId="77777777" w:rsidR="005F0A67" w:rsidRPr="005F0A67" w:rsidRDefault="005F0A67" w:rsidP="005F0A67">
      <w:pPr>
        <w:numPr>
          <w:ilvl w:val="0"/>
          <w:numId w:val="12"/>
        </w:numPr>
        <w:pBdr>
          <w:bottom w:val="single" w:sz="2" w:space="6" w:color="D9D9D9"/>
        </w:pBdr>
        <w:tabs>
          <w:tab w:val="clear" w:pos="567"/>
          <w:tab w:val="clear" w:pos="1134"/>
          <w:tab w:val="clear" w:pos="1701"/>
          <w:tab w:val="clear" w:pos="2268"/>
        </w:tabs>
        <w:spacing w:before="400" w:after="60"/>
        <w:ind w:left="432" w:hanging="432"/>
        <w:jc w:val="left"/>
        <w:outlineLvl w:val="0"/>
        <w:rPr>
          <w:rFonts w:asciiTheme="majorBidi" w:eastAsia="Arial" w:hAnsiTheme="majorBidi" w:cstheme="majorBidi"/>
          <w:b/>
          <w:bCs/>
          <w:color w:val="1A1A1A"/>
          <w:sz w:val="28"/>
          <w:szCs w:val="28"/>
          <w:lang w:val="en-CA" w:eastAsia="en-GB"/>
        </w:rPr>
      </w:pPr>
      <w:r w:rsidRPr="005F0A67">
        <w:rPr>
          <w:rFonts w:asciiTheme="majorBidi" w:eastAsia="Arial" w:hAnsiTheme="majorBidi" w:cstheme="majorBidi"/>
          <w:b/>
          <w:bCs/>
          <w:color w:val="1A1A1A"/>
          <w:lang w:val="en-CA" w:eastAsia="en-GB"/>
        </w:rPr>
        <w:fldChar w:fldCharType="begin"/>
      </w:r>
      <w:r w:rsidRPr="005F0A67">
        <w:rPr>
          <w:rFonts w:asciiTheme="majorBidi" w:eastAsia="Arial" w:hAnsiTheme="majorBidi" w:cstheme="majorBidi"/>
          <w:b/>
          <w:bCs/>
          <w:color w:val="1A1A1A"/>
          <w:sz w:val="28"/>
          <w:szCs w:val="28"/>
          <w:lang w:val="en-CA" w:eastAsia="en-GB"/>
        </w:rPr>
        <w:instrText xml:space="preserve"> ADDIN ZOTERO_ITEM CSL_CITATION {"citationID":"E9cECjD6","properties":{"unsorted":false,"formattedCitation":"(CBD, 2025)","plainCitation":"(CBD, 2025)","noteIndex":0},"citationItems":[{"id":604,"uris":["http://zotero.org/users/14977742/items/GUT5MDZG"],"itemData":{"id":604,"type":"report","citation-key":"cbdNotificationOperationalizationCali2025","title":"Notification: Operationalization of the Cali Fund for the Fair and Equitable Sharing of Benefits from the Use of Digital Sequence Information on Genetic Resources: Composition of the Ad Hoc Technical Expert Group on Allocation Methodology (SCBD/OES/TS/CGA/KB/NF/91971)","URL":"https://www.cbd.int/doc/notifications/2025/ntf-2025-073-dsi-ahteg-en.pdf","author":[{"literal":"CBD"}],"issued":{"date-parts":[["2025",5]]}}}],"schema":"https://github.com/citation-style-language/schema/raw/master/csl-citation.json"} </w:instrText>
      </w:r>
      <w:r w:rsidRPr="005F0A67">
        <w:rPr>
          <w:rFonts w:asciiTheme="majorBidi" w:eastAsia="Arial" w:hAnsiTheme="majorBidi" w:cstheme="majorBidi"/>
          <w:b/>
          <w:bCs/>
          <w:color w:val="1A1A1A"/>
          <w:lang w:val="en-CA" w:eastAsia="en-GB"/>
        </w:rPr>
        <w:fldChar w:fldCharType="separate"/>
      </w:r>
      <w:r w:rsidRPr="005F0A67">
        <w:rPr>
          <w:rFonts w:asciiTheme="majorBidi" w:eastAsia="Arial" w:hAnsiTheme="majorBidi" w:cstheme="majorBidi"/>
          <w:b/>
          <w:bCs/>
          <w:color w:val="1A1A1A"/>
          <w:lang w:val="en-CA" w:eastAsia="en-GB"/>
        </w:rPr>
        <w:fldChar w:fldCharType="end"/>
      </w:r>
      <w:bookmarkStart w:id="30" w:name="_Ref229573832"/>
      <w:bookmarkStart w:id="31" w:name="_Ref229996020"/>
      <w:bookmarkStart w:id="32" w:name="_Toc234579536"/>
      <w:bookmarkStart w:id="33" w:name="_Toc234579784"/>
      <w:bookmarkStart w:id="34" w:name="OLE_LINK1"/>
      <w:r w:rsidRPr="005F0A67">
        <w:rPr>
          <w:rFonts w:asciiTheme="majorBidi" w:eastAsia="Arial" w:hAnsiTheme="majorBidi" w:cstheme="majorBidi"/>
          <w:b/>
          <w:bCs/>
          <w:color w:val="1A1A1A"/>
          <w:sz w:val="28"/>
          <w:szCs w:val="28"/>
          <w:lang w:val="en-CA" w:eastAsia="en-GB"/>
        </w:rPr>
        <w:t>Contribution rate models in analogous monetary benefit-sharing mechanisms</w:t>
      </w:r>
      <w:bookmarkEnd w:id="30"/>
      <w:bookmarkEnd w:id="31"/>
      <w:bookmarkEnd w:id="32"/>
      <w:bookmarkEnd w:id="33"/>
    </w:p>
    <w:tbl>
      <w:tblPr>
        <w:tblW w:w="9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14"/>
      </w:tblGrid>
      <w:tr w:rsidR="005F0A67" w:rsidRPr="005F0A67" w14:paraId="53132491" w14:textId="77777777" w:rsidTr="00FB671B">
        <w:trPr>
          <w:trHeight w:hRule="exact" w:val="1972"/>
        </w:trPr>
        <w:tc>
          <w:tcPr>
            <w:tcW w:w="9614" w:type="dxa"/>
            <w:shd w:val="clear" w:color="auto" w:fill="E0F3E3"/>
            <w:tcMar>
              <w:top w:w="200" w:type="dxa"/>
              <w:left w:w="280" w:type="dxa"/>
              <w:bottom w:w="0" w:type="dxa"/>
              <w:right w:w="280" w:type="dxa"/>
            </w:tcMar>
            <w:vAlign w:val="center"/>
          </w:tcPr>
          <w:p w14:paraId="1E3E320F"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lastRenderedPageBreak/>
              <w:t>This section reviews existing contribution rate models in international benefit-sharing mechanisms that rely on private sector monetary contributions. It covers how rates are determined, the revenues these mechanisms have generated, and the factors shaping revenue generation and compliance. The findings inform the assumptions used in the contribution rate analysis in Part II and the competitiveness framework in Part III.</w:t>
            </w:r>
          </w:p>
        </w:tc>
      </w:tr>
      <w:tr w:rsidR="005F0A67" w:rsidRPr="005F0A67" w14:paraId="543A53F9" w14:textId="77777777" w:rsidTr="00FB671B">
        <w:trPr>
          <w:trHeight w:hRule="exact" w:val="72"/>
        </w:trPr>
        <w:tc>
          <w:tcPr>
            <w:tcW w:w="9614" w:type="dxa"/>
            <w:shd w:val="clear" w:color="auto" w:fill="2C5F2E"/>
          </w:tcPr>
          <w:p w14:paraId="206EC2F7"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p>
        </w:tc>
      </w:tr>
    </w:tbl>
    <w:p w14:paraId="5CB453EB" w14:textId="77777777" w:rsidR="005F0A67" w:rsidRPr="005F0A67" w:rsidRDefault="005F0A67" w:rsidP="005F0A67">
      <w:pPr>
        <w:numPr>
          <w:ilvl w:val="1"/>
          <w:numId w:val="12"/>
        </w:numPr>
        <w:tabs>
          <w:tab w:val="clear" w:pos="567"/>
          <w:tab w:val="clear" w:pos="1134"/>
          <w:tab w:val="clear" w:pos="1701"/>
          <w:tab w:val="clear" w:pos="2268"/>
        </w:tabs>
        <w:spacing w:before="320" w:after="160"/>
        <w:ind w:left="576" w:hanging="576"/>
        <w:jc w:val="left"/>
        <w:outlineLvl w:val="1"/>
        <w:rPr>
          <w:rFonts w:asciiTheme="majorBidi" w:eastAsia="Arial" w:hAnsiTheme="majorBidi" w:cstheme="majorBidi"/>
          <w:b/>
          <w:bCs/>
          <w:color w:val="1A1A1A"/>
          <w:sz w:val="23"/>
          <w:szCs w:val="23"/>
          <w:lang w:val="en-CA" w:eastAsia="en-GB"/>
        </w:rPr>
      </w:pPr>
      <w:bookmarkStart w:id="35" w:name="_Ref230042692"/>
      <w:bookmarkStart w:id="36" w:name="_Toc234579537"/>
      <w:r w:rsidRPr="005F0A67">
        <w:rPr>
          <w:rFonts w:asciiTheme="majorBidi" w:eastAsia="Arial" w:hAnsiTheme="majorBidi" w:cstheme="majorBidi"/>
          <w:b/>
          <w:bCs/>
          <w:color w:val="1A1A1A"/>
          <w:sz w:val="23"/>
          <w:szCs w:val="23"/>
          <w:lang w:val="en-CA" w:eastAsia="en-GB"/>
        </w:rPr>
        <w:t>The Multilateral Access and Benefit-Sharing System of the International Treaty on Plant Genetic Resources for Food and Agriculture</w:t>
      </w:r>
      <w:bookmarkEnd w:id="35"/>
      <w:bookmarkEnd w:id="36"/>
    </w:p>
    <w:p w14:paraId="0D043DC2" w14:textId="77777777" w:rsidR="005F0A67" w:rsidRPr="005F0A67" w:rsidRDefault="005F0A67" w:rsidP="005F0A67">
      <w:pPr>
        <w:tabs>
          <w:tab w:val="clear" w:pos="567"/>
          <w:tab w:val="clear" w:pos="1134"/>
          <w:tab w:val="clear" w:pos="1701"/>
          <w:tab w:val="clear" w:pos="2268"/>
        </w:tabs>
        <w:spacing w:before="240" w:after="180" w:line="293"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The Plant Treaty (ITPGRFA) which was adopted in 2001, entered into force in 2004 and the MLS of the Plant Treaty became operational in 2007, is the closest existing precedent to the Cali Fund, in that it established a multilateral system that governs monetary and non-monetary benefit sharing for PGRFA. The discussion below focuses specifically on the monetary benefit-sharing flows under the Standard Material Transfer Agreement (SMTA), as the closest available comparator for the Cali Fund's own contribution mechanism, rather than on the MLS's broader non-monetary architecture</w:t>
      </w:r>
    </w:p>
    <w:p w14:paraId="76C1F7B7"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Under the Treaty’s Multilateral System (MLS), users who commercialise products developed from MLS material and restrict further access must pay into the Treaty's Benefit-sharing Fund (BSF) via the SMTA 1.1% of the sales of commercialised products, less a 30% deduction for commercialisation costs</w:t>
      </w:r>
      <w:r w:rsidRPr="005F0A67">
        <w:rPr>
          <w:rFonts w:asciiTheme="majorBidi" w:eastAsia="Times New Roman" w:hAnsiTheme="majorBidi" w:cstheme="majorBidi"/>
          <w:vertAlign w:val="superscript"/>
          <w:lang w:val="en-CA" w:eastAsia="en-GB"/>
        </w:rPr>
        <w:footnoteReference w:id="17"/>
      </w:r>
      <w:r w:rsidRPr="005F0A67">
        <w:rPr>
          <w:rFonts w:asciiTheme="majorBidi" w:eastAsia="Times New Roman" w:hAnsiTheme="majorBidi" w:cstheme="majorBidi"/>
          <w:lang w:val="en-CA" w:eastAsia="en-GB"/>
        </w:rPr>
        <w:t xml:space="preserve">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{"citationID":"9zljipm0","properties":{"unsorted":false,"formattedCitation":"(Tsioumani, 2020)","plainCitation":"(Tsioumani, 2020)","noteIndex":0},"citationItems":[{"id":332,"uris":["http://zotero.org/users/14977742/items/UH5CB6F6"],"itemData":{"id":332,"type":"book","abstract":"This book explores the emergence and development of the legal concept of fair and equitable benefit-sharing, and its application in agriculture. Developed in the 1990s, the concept of fair and equitable benefit-sharing has been deployed in an ever-wider variety of international instruments, including those on biodiversity, climate change and human rights. A lack of clarity persists, however, on what fair and equitable benefit-sharing requires and entails, and whether its implementation supports or eventually undermines equity and justice. This book examines these questions in the area of land, food and agriculture, addressing for the first time several instances of the agricultural production chain, including research and development, land governance and land use and access to markets. It identifies challenges regarding implementation of the concept as enshrined in environmental treaties and soft-law instruments, with a focus on the International Treaty on Plant Genetic Resources for Food and Agriculture, the Voluntary Guidelines on Tenure and the UN Declaration on the Rights of Peasants. It investigates its role, enabling conditions and limitations, in a contradictory policy context involving environmental, food security and human rights objectives but also a growing web of multilateral and bilateral trade and investment agreements. Linking international law research with a socio-legal analysis, the book addresses four grassroots examples, which offer ideas for institutional and legal innovation from the local to the global level. This interdisciplinary title will be of great interest to students and scholars of international environmental law, agriculture, land law, development studies and global governance, as well as policymakers and practitioners working in these fields. “The Open Access version of this book, available at https://doi.org/10.4324/9780429198304, has been made available under a Creative Commons Attribution-Non Commercial-No Derivatives 4.0 license.\"","citation-key":"tsioumaniFairEquitableBenefitSharing2020","DOI":"10.4324/9780429198304","ISBN":"978-0-429-58418-3","language":"English","note":"Accepted: 2025-05-19T07:33:30Z\nDOI: 10.4324/9780429198304","publisher":"Taylor &amp; Francis","source":"library.oapen.org","title":"Fair and Equitable Benefit-Sharing in Agriculture (Open Access): Reinventing Agrarian Justice","title-short":"Fair and Equitable Benefit-Sharing in Agriculture (Open Access)","URL":"https://library.oapen.org/handle/20.500.12657/102162","author":[{"family":"Tsioumani","given":"Elsa"}],"accessed":{"date-parts":[["2026",5,9]]},"issued":{"date-parts":[["2020"]]}}}],"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(Tsioumani, 2020)</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which gives an effective rate of approximately 0.77% of sales</w:t>
      </w:r>
      <w:r w:rsidRPr="005F0A67">
        <w:rPr>
          <w:rFonts w:asciiTheme="majorBidi" w:eastAsia="Times New Roman" w:hAnsiTheme="majorBidi" w:cstheme="majorBidi"/>
          <w:vertAlign w:val="superscript"/>
          <w:lang w:val="en-CA" w:eastAsia="en-GB"/>
        </w:rPr>
        <w:footnoteReference w:id="18"/>
      </w:r>
      <w:r w:rsidRPr="005F0A67">
        <w:rPr>
          <w:rFonts w:asciiTheme="majorBidi" w:eastAsia="Times New Roman" w:hAnsiTheme="majorBidi" w:cstheme="majorBidi"/>
          <w:lang w:val="en-CA" w:eastAsia="en-GB"/>
        </w:rPr>
        <w:t xml:space="preserve">. Recipients may instead opt into an alternative payment scheme under Article 6.11, paying a discounted 0.5% on gross sales of all Plant Genetic Resources for Food and Agriculture (PGRFA) products of the same species accessed from the MLS, regardless of restriction status, in place of the standard rate. Article 6.8, covering products made freely available without restriction, encourages voluntary payments but does not specify a rate. The Cali Fund's indicative rates of 1% of profits or 0.1% of revenue apply to a firm's total profit or revenue rather than to sales of a specific product, a materially broader base than the SMTA's product-specific payment obligation. Because the SMTA's 0.77% rate applies only to the sales of the specific commercialised product incorporating MLS material, while the Cali Fund's indicative rates apply to a firm's total revenue or profit, the two are not directly comparable in magnitude. If anything, this difference in base means the Cali Fund's effective burden relative to a firm's total economic activity is likely to be higher than the SMTA's, not lower, though no data exists to quantify this precisely. Whatever the true relative burden, income from user-based payments under the SMTA has remained minimal over fifteen years of operation: by May 2025, total SMTA receipts amounted to just USD 824,680 from six companies, representing only 2.2% of the Benefit-sharing Fund’s USD 36.9 million total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{"citationID":"Eu3Mf6Br","properties":{"unsorted":false,"formattedCitation":"(FAO, 2025b)","plainCitation":"(FAO, 2025b)","noteIndex":0},"citationItems":[{"id":338,"uris":["http://zotero.org/users/14977742/items/TIVW2LTQ"],"itemData":{"id":338,"type":"document","citation-key":"zotero-item-2482","title":"Resolution 3/2025. Implementation of the funding strategy of the international treaty 2020-2027.","URL":"https://openknowledge.fao.org/server/api/core/bitstreams/cfa340a0-e08a-4628-9378-b235b5b4613e/content","author":[{"literal":"FAO"}],"issued":{"date-parts":[["2025",12]]}}}],"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noProof/>
          <w:lang w:val="en-CA" w:eastAsia="en-GB"/>
        </w:rPr>
        <w:t>(FAO, 2025b)</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vertAlign w:val="superscript"/>
          <w:lang w:val="en-CA" w:eastAsia="en-GB"/>
        </w:rPr>
        <w:footnoteReference w:id="19"/>
      </w:r>
      <w:r w:rsidRPr="005F0A67">
        <w:rPr>
          <w:rFonts w:asciiTheme="majorBidi" w:eastAsia="Times New Roman" w:hAnsiTheme="majorBidi" w:cstheme="majorBidi"/>
          <w:lang w:val="en-CA" w:eastAsia="en-GB"/>
        </w:rPr>
        <w:t>. The ITPGRFA's own commissioned analysis projected payments of USD 10 million per year by 2030</w:t>
      </w:r>
      <w:r w:rsidRPr="005F0A67">
        <w:rPr>
          <w:rFonts w:asciiTheme="majorBidi" w:eastAsia="Times New Roman" w:hAnsiTheme="majorBidi" w:cstheme="majorBidi"/>
          <w:vertAlign w:val="superscript"/>
          <w:lang w:val="en-CA" w:eastAsia="en-GB"/>
        </w:rPr>
        <w:footnoteReference w:id="20"/>
      </w:r>
      <w:r w:rsidRPr="005F0A67">
        <w:rPr>
          <w:rFonts w:asciiTheme="majorBidi" w:eastAsia="Times New Roman" w:hAnsiTheme="majorBidi" w:cstheme="majorBidi"/>
          <w:lang w:val="en-CA" w:eastAsia="en-GB"/>
        </w:rPr>
        <w:t xml:space="preserve">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{"citationID":"af5in3f6ie","properties":{"unsorted":false,"formattedCitation":"(Moeller and Stannard, 2013)","plainCitation":"(Moeller and Stannard, 2013)","noteIndex":0},"citationItems":[{"id":217,"uris":["http://zotero.org/users/14977742/items/ZSZMRNNB"],"itemData":{"id":217,"type":"book","citation-key":"moellerIdentifyingBenefitFlows2013","ISBN":"978-92-5-107925-6","language":"eng","number-of-pages":"281","publisher":"FAO","publisher-place":"Rome","source":"K10plus ISBN","title":"Identifying benefit flows: studies on the potential monetary and non-monetary benefits arising from the International Treaty on Plant Genetic Resources for Food and Agriculture","title-short":"Identifying benefit flows","author":[{"family":"Moeller","given":"Nina Isabella"},{"family":"Stannard","given":"Clive"}],"issued":{"date-parts":[["2013"]]}}}],"schema":"https://github.com/citation-style-language/schema/raw/master/csl-citation.json"}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Georgia" w:hAnsiTheme="majorBidi" w:cstheme="majorBidi"/>
          <w:lang w:eastAsia="en-GB"/>
        </w:rPr>
        <w:t>(Moeller and Stannard, 2013)</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actual payments averaged approximately USD 55,000 per year over fifteen years, noting that the figures are not directly comparable due to different time spans. Consequently, the BSF remains financed </w:t>
      </w:r>
      <w:r w:rsidRPr="005F0A67">
        <w:rPr>
          <w:rFonts w:asciiTheme="majorBidi" w:eastAsia="Times New Roman" w:hAnsiTheme="majorBidi" w:cstheme="majorBidi"/>
          <w:lang w:val="en-CA" w:eastAsia="en-GB"/>
        </w:rPr>
        <w:lastRenderedPageBreak/>
        <w:t xml:space="preserve">almost entirely through governmental contributions. This shortfall reflects structural flaws rather than the payment rate itself. Obligations under the SMTA arise only upon commercialisation, a stage rarely reached given the lengthy interval between research and product development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{"citationID":"aofrsh1sg7","properties":{"unsorted":false,"formattedCitation":"(ITPGRFA Secretariat, 2014; Tsioumani, 2020)","plainCitation":"(ITPGRFA Secretariat, 2014; Tsioumani, 2020)","noteIndex":0},"citationItems":[{"id":331,"uris":["http://zotero.org/users/14977742/items/ANFFAH5C"],"itemData":{"id":331,"type":"report","citation-key":"zotero-item-2490","number":"IT/OWG-EFMLS-1/14/Report","publisher-place":"Geneva","title":"First Meeting of the Ad Hoc Open-Ended Working Group to Enhance the Functioning of the Multilateral System. Report","URL":"https://openknowledge.fao.org/server/api/core/bitstreams/024dbc29-609a-4b71-81cb-da812e34f021/content","author":[{"literal":"ITPGRFA Secretariat"}],"issued":{"date-parts":[["2014"]]}}},{"id":332,"uris":["http://zotero.org/users/14977742/items/UH5CB6F6"],"itemData":{"id":332,"type":"book","abstract":"This book explores the emergence and development of the legal concept of fair and equitable benefit-sharing, and its application in agriculture. Developed in the 1990s, the concept of fair and equitable benefit-sharing has been deployed in an ever-wider variety of international instruments, including those on biodiversity, climate change and human rights. A lack of clarity persists, however, on what fair and equitable benefit-sharing requires and entails, and whether its implementation supports or eventually undermines equity and justice. This book examines these questions in the area of land, food and agriculture, addressing for the first time several instances of the agricultural production chain, including research and development, land governance and land use and access to markets. It identifies challenges regarding implementation of the concept as enshrined in environmental treaties and soft-law instruments, with a focus on the International Treaty on Plant Genetic Resources for Food and Agriculture, the Voluntary Guidelines on Tenure and the UN Declaration on the Rights of Peasants. It investigates its role, enabling conditions and limitations, in a contradictory policy context involving environmental, food security and human rights objectives but also a growing web of multilateral and bilateral trade and investment agreements. Linking international law research with a socio-legal analysis, the book addresses four grassroots examples, which offer ideas for institutional and legal innovation from the local to the global level. This interdisciplinary title will be of great interest to students and scholars of international environmental law, agriculture, land law, development studies and global governance, as well as policymakers and practitioners working in these fields. “The Open Access version of this book, available at https://doi.org/10.4324/9780429198304, has been made available under a Creative Commons Attribution-Non Commercial-No Derivatives 4.0 license.\"","citation-key":"tsioumaniFairEquitableBenefitSharing2020","DOI":"10.4324/9780429198304","ISBN":"978-0-429-58418-3","language":"English","note":"Accepted: 2025-05-19T07:33:30Z\nDOI: 10.4324/9780429198304","publisher":"Taylor &amp; Francis","source":"library.oapen.org","title":"Fair and Equitable Benefit-Sharing in Agriculture (Open Access): Reinventing Agrarian Justice","title-short":"Fair and Equitable Benefit-Sharing in Agriculture (Open Access)","URL":"https://library.oapen.org/handle/20.500.12657/102162","author":[{"family":"Tsioumani","given":"Elsa"}],"accessed":{"date-parts":[["2026",5,9]]},"issued":{"date-parts":[["2020"]]}}}],"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Georgia" w:hAnsiTheme="majorBidi" w:cstheme="majorBidi"/>
          <w:u w:val="dash"/>
          <w:lang w:eastAsia="en-GB"/>
        </w:rPr>
        <w:t>(Bassi, Sanchez-Garcia and Ortiz, 2024)</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companies can fully avoid these obligations by sourcing material outside the MLS; voluntary payments generated and thus an uneven playing field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{"citationID":"D0MPerzn","properties":{"unsorted":false,"formattedCitation":"(FAO, 2025a)","plainCitation":"(FAO, 2025a)","noteIndex":0},"citationItems":[{"id":328,"uris":["http://zotero.org/users/14977742/items/4ZDY35JS"],"itemData":{"id":328,"type":"report","citation-key":"zotero-item-2493","number":"IT/GB-11/25/Report","title":"Eleventh session of the governing body of the international treaty on plant genetic resources for food and agriculture","URL":"https://www.fao.org/3/nt205en/nt205en.pdf","author":[{"literal":"FAO"}],"issued":{"date-parts":[["2025",11]]}}}],"schema":"https://github.com/citation-style-language/schema/raw/master/csl-citation.json"}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Georgia" w:hAnsiTheme="majorBidi" w:cstheme="majorBidi"/>
          <w:lang w:eastAsia="en-GB"/>
        </w:rPr>
        <w:t>(ITPGRFA Secretariat, 2014; Tsioumani, 2020)</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and reform discussions have not resulted in a revised SMTA, despite the Enhancement Process having examined many of the same issues raised later in this study for the plant breeding sector, including early benefit-sharing payments, a possible subscription option, and the inclusion of licensing fees in the payment basis; the 11th Governing Body in November 2025 was unable to reach agreement on these proposals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{"citationID":"D0MPerzn","properties":{"unsorted":false,"formattedCitation":"(FAO, 2025a)","plainCitation":"(FAO, 2025a)","noteIndex":0},"citationItems":[{"id":328,"uris":["http://zotero.org/users/14977742/items/4ZDY35JS"],"itemData":{"id":328,"type":"report","citation-key":"zotero-item-2493","number":"IT/GB-11/25/Report","title":"Eleventh session of the governing body of the international treaty on plant genetic resources for food and agriculture","URL":"https://www.fao.org/3/nt205en/nt205en.pdf","author":[{"literal":"FAO"}],"issued":{"date-parts":[["2025",11]]}}}],"schema":"https://github.com/citation-style-language/schema/raw/master/csl-citation.json"}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noProof/>
          <w:lang w:val="en-CA" w:eastAsia="en-GB"/>
        </w:rPr>
        <w:t>(FAO, 2025a)</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w:t>
      </w:r>
    </w:p>
    <w:p w14:paraId="0A49292F"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Unlike the ITPGRFA, where payment under the standard SMTA route becomes a binding contractual obligation once a firm accesses Multilateral System material and commercialises a restricted product, the Cali Fund's contribution expectation under Decision 16/2 creates no equivalent binding duty; participation depends on the incentives available rather than an enforceable obligation, a deliberate design choice reflecting the voluntary nature agreed by Parties. This is a structural difference, not a shared feature, and one that plausibly makes the Cali Fund more exposed to the participation risks the ITPGRFA experience illustrates, not less. Beyond this, the Cali Fund exhibits two further structural weaknesses analogous to the ITPGRFA's: DSI can be obtained beyond the scope of Decision 16/2 via private databases, and the specific DSI uses that would trigger contributions are not explicitly defined.</w:t>
      </w:r>
    </w:p>
    <w:p w14:paraId="33BDB3BC" w14:textId="77777777" w:rsidR="005F0A67" w:rsidRPr="005F0A67" w:rsidRDefault="005F0A67" w:rsidP="00B54840">
      <w:pPr>
        <w:tabs>
          <w:tab w:val="clear" w:pos="567"/>
          <w:tab w:val="clear" w:pos="1134"/>
          <w:tab w:val="clear" w:pos="1701"/>
          <w:tab w:val="clear" w:pos="2268"/>
        </w:tabs>
        <w:spacing w:before="320" w:after="160"/>
        <w:ind w:left="720"/>
        <w:jc w:val="left"/>
        <w:outlineLvl w:val="2"/>
        <w:rPr>
          <w:rFonts w:asciiTheme="majorBidi" w:eastAsia="Arial" w:hAnsiTheme="majorBidi" w:cstheme="majorBidi"/>
          <w:b/>
          <w:bCs/>
          <w:color w:val="7F7F7F"/>
          <w:sz w:val="23"/>
          <w:szCs w:val="23"/>
          <w:lang w:val="en-CA" w:eastAsia="en-GB"/>
        </w:rPr>
      </w:pPr>
      <w:bookmarkStart w:id="37" w:name="_Toc234579539"/>
      <w:r w:rsidRPr="005F0A67">
        <w:rPr>
          <w:rFonts w:asciiTheme="majorBidi" w:eastAsia="Arial" w:hAnsiTheme="majorBidi" w:cstheme="majorBidi"/>
          <w:b/>
          <w:bCs/>
          <w:color w:val="7F7F7F"/>
          <w:sz w:val="23"/>
          <w:szCs w:val="23"/>
          <w:lang w:val="en-CA" w:eastAsia="en-GB"/>
        </w:rPr>
        <w:t>The Pandemic Influenza Preparedness Framework</w:t>
      </w:r>
      <w:bookmarkEnd w:id="37"/>
    </w:p>
    <w:p w14:paraId="0FA50DF7" w14:textId="77777777" w:rsid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Adopted in 2011, the WHO Pandemic Influenza Preparedness (PIP) Framework obliges manufacturers that rely on the Global Influenza Surveillance and Response System (GISRS) to pay an annual Partnership Contribution (PC) equal to 50% of GISRS operating expenses (currently USD 33.7 million per year) managed as a pooled fund by WHO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{"citationID":"a16ke71t0mf","properties":{"unsorted":false,"formattedCitation":"(WHO, 2021; Switzer {\\i{}et al.}, 2023)","plainCitation":"(WHO, 2021; Switzer et al., 2023)","noteIndex":0},"citationItems":[{"id":325,"uris":["http://zotero.org/users/14977742/items/6ZPBM3SM"],"itemData":{"id":325,"type":"book","abstract":"Intro -- _GoBack -- _GoBack -- _GoBack","citation-key":"PandemicInfluenzaPreparedness2021","edition":"2nd ed","ISBN":"978-92-4-002485-4","language":"eng","number-of-pages":"1","publisher":"World Health Organization","publisher-place":"Geneva","source":"K10plus ISBN","title":"Pandemic Influenza Preparedness (PIP) Framework for the Sharing of Influenza Viruses and Access to Vaccines and Other Benefits","author":[{"literal":"WHO"}],"issued":{"date-parts":[["2021"]]}}},{"id":333,"uris":["http://zotero.org/users/14977742/items/TY7TFIXX"],"itemData":{"id":333,"type":"report","citation-key":"zotero-item-2487","publisher":"CBD","title":"CBD/WGDSI/1/INF/1. Lessons learned from other international funding mechanisms","URL":"https://www.cbd.int/doc/c/81e4/aa04/71d526871fe0aa306f61ec50/wgdsi-01-inf-01-en.pdf","author":[{"family":"Switzer","given":"Stephanie"},{"family":"Morgera","given":"Elisa"},{"family":"Travers","given":"Jack"},{"family":"Hemsi","given":"Sumiya"},{"family":"Pennie","given":"Dean"}],"issued":{"date-parts":[["2023"]]}}}],"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Georgia" w:hAnsiTheme="majorBidi" w:cstheme="majorBidi"/>
          <w:lang w:eastAsia="en-GB"/>
        </w:rPr>
        <w:t xml:space="preserve">(WHO, 2021; Switzer </w:t>
      </w:r>
      <w:r w:rsidRPr="005F0A67">
        <w:rPr>
          <w:rFonts w:asciiTheme="majorBidi" w:eastAsia="Georgia" w:hAnsiTheme="majorBidi" w:cstheme="majorBidi"/>
          <w:i/>
          <w:iCs/>
          <w:lang w:eastAsia="en-GB"/>
        </w:rPr>
        <w:t>et al.</w:t>
      </w:r>
      <w:r w:rsidRPr="005F0A67">
        <w:rPr>
          <w:rFonts w:asciiTheme="majorBidi" w:eastAsia="Georgia" w:hAnsiTheme="majorBidi" w:cstheme="majorBidi"/>
          <w:lang w:eastAsia="en-GB"/>
        </w:rPr>
        <w:t>, 2023)</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In contrast to the Cali Fund, the benefits shared under the PIP framework’s Standard Material Transfer Agreement 2 (SMTA2) are largely in-kind, including real-time vaccine donations and mutually agreed terms before technology transfer commitments, and arranged through bilateral, confidential agreements rather than through a centralised monetary fund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{"citationID":"a2gpdlba4t6","properties":{"unsorted":false,"formattedCitation":"(Rourke, 2019; Hampton {\\i{}et al.}, 2023)","plainCitation":"(Rourke, 2019; Hampton et al., 2023)","noteIndex":0},"citationItems":[{"id":320,"uris":["http://zotero.org/users/14977742/items/8888DV7P"],"itemData":{"id":320,"type":"article-journal","abstract":"Policy Points Securing access to pathogen samples for research purposes is crucial for pandemic preparedness and responding to infectious disease outbreaks. The Pandemic Influenza Preparedness Framework (PIP Framework) is the only pathogen-specific international access and benefit-sharing (ABS) instrument. This analysis reveals that during an influenza pandemic, the PIP Framework will safeguard access to virus samples but may not be as effective in delivering the associated benefits, like vaccines and antivirals, to countries in need. The PIP Framework's deficiencies must be addressed before an influenza pandemic and before this ABS model is extended to other human pathogens. Context The World Health Organization (WHO) adopted the Pandemic Influenza Preparedness Framework (PIP Framework) after being forced to grapple with the demands of developing countries for the fairer distribution of vaccines and antivirals created using influenza viruses isolated from within their territories. Though adopted as a nonbinding resolution, the PIP Framework has been praised for its novel legal approach to access and benefit-sharing (ABS), using Standard Material Transfer Agreements (SMTAs) to create binding terms and conditions on both providers and users of PIP biological materials. The PIP Framework's SMTA1 regulates the movement of influenza viruses with human pandemic potential through the WHO's Global Influenza Surveillance and Response System (GISRS) as it operates to monitor the spread of seasonal influenza and detect the emergence of pandemic strains. Member States give consent to the WHO to transfer their materials to third parties under the terms of a negotiated SMTA2. The SMTA2 details benefits such as vaccines and antivirals to be made available to the WHO for distribution in the event of an influenza pandemic. Methods I analyzed the PIP Framework, its SMTAs, and secondary sources to determine whether the PIP Framework will effectively function as an ABS instrument during an influenza pandemic. Findings The SMTAs do not create any direct or binding agreements between Member States and third-party recipients of influenza viruses. In the lead-up to and during a pandemic, the SMTA1 secures access to influenza viruses for the WHO, and the SMTA2 secures access for commercial users of virus samples, but the SMTA2 may be ineffective in securing tangible benefits for the sovereign providers of those materials. Conclusions As the international community starts to consider how to best regulate access to nonpandemic influenza pathogen samples, it is imperative that we first address the shortcomings of the only pathogen-specific international ABS instrument available, and we should do so before it is put to the ultimate test.","citation-key":"rourkeAccessDesignBenefits2019","container-title":"The Milbank Quarterly","DOI":"10.1111/1468-0009.12364","ISSN":"1468-0009","issue":"1","language":"en","license":"© 2019 Milbank Memorial Fund","note":"_eprint: https://onlinelibrary.wiley.com/doi/pdf/10.1111/1468-0009.12364","page":"91-112","source":"Wiley Online Library","title":"Access by Design, Benefits if Convenient: A Closer Look at the Pandemic Influenza Preparedness Framework's Standard Material Transfer Agreements","title-short":"Access by Design, Benefits if Convenient","volume":"97","author":[{"family":"Rourke","given":"Michelle F."}],"issued":{"date-parts":[["2019"]]}}},{"id":316,"uris":["http://zotero.org/users/14977742/items/69NBM7RU"],"itemData":{"id":316,"type":"article-journal","abstract":"During the COVID-19 pandemic the international community repeatedly called for the equitable distribution of vaccines and other medical countermeasures. However, there was a substantial gap between this rhetoric and State action. High-income countries secured significantly more doses than they required, leaving many low-income countries unable to vaccinate their populations. Current negotiations for the new Pandemic Treaty under the World Health Organization (WHO) attempt to narrow the gap between rhetoric and behaviour by building the concept of equity into the Treaty's substantive content. However, equity is difficult to define, much less to operationalize. Presently, WHO Member States appear to have chosen ‘access and benefit-sharing’ (ABS) as the predominant mechanism for operationalizing equity in the Treaty. This article examines ABS as a mechanism, its use in public health, and argues that ABS is fundamentally flawed, unable to achieve equity. It proposes other options for an equitable international response to future pandemic threats.","citation-key":"hamptonEQUITYPANDEMICTREATY2023","container-title":"International &amp; Comparative Law Quarterly","DOI":"10.1017/S0020589323000350","ISSN":"0020-5893, 1471-6895","issue":"4","language":"en","page":"909-943","source":"Cambridge University Press","title":"‘EQUITY’ IN THE PANDEMIC TREATY: THE FALSE HOPE OF ‘ACCESS AND BENEFIT-SHARING’","title-short":"‘EQUITY’ IN THE PANDEMIC TREATY","volume":"72","author":[{"family":"Hampton","given":"Abbie-Rose"},{"family":"Eccleston-Turner","given":"Mark"},{"family":"Rourke","given":"Michelle"},{"family":"Switzer","given":"Stephanie"}],"issued":{"date-parts":[["2023",10]]}}}],"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Georgia" w:hAnsiTheme="majorBidi" w:cstheme="majorBidi"/>
          <w:color w:val="000000"/>
          <w:lang w:eastAsia="en-GB"/>
        </w:rPr>
        <w:t xml:space="preserve">(Rourke, 2019; Hampton </w:t>
      </w:r>
      <w:r w:rsidRPr="005F0A67">
        <w:rPr>
          <w:rFonts w:asciiTheme="majorBidi" w:eastAsia="Georgia" w:hAnsiTheme="majorBidi" w:cstheme="majorBidi"/>
          <w:i/>
          <w:iCs/>
          <w:color w:val="000000"/>
          <w:lang w:eastAsia="en-GB"/>
        </w:rPr>
        <w:t>et al.</w:t>
      </w:r>
      <w:r w:rsidRPr="005F0A67">
        <w:rPr>
          <w:rFonts w:asciiTheme="majorBidi" w:eastAsia="Georgia" w:hAnsiTheme="majorBidi" w:cstheme="majorBidi"/>
          <w:color w:val="000000"/>
          <w:lang w:eastAsia="en-GB"/>
        </w:rPr>
        <w:t>, 2023)</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Within its defined contributor base, the Framework has generated substantial participation: 17 manufacturers have entered into SMTA2 agreements, together accounting for roughly 85% of global pandemic vaccine manufacturing capacity, with total PC collections reaching USD 354.7 million for the period 2012-2025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{"citationID":"a18b0t2k5n1","properties":{"unsorted":false,"formattedCitation":"(WHO, 2025a, 2026)","plainCitation":"(WHO, 2025a, 2026)","noteIndex":0},"citationItems":[{"id":216,"uris":["http://zotero.org/users/14977742/items/NYDAF47Q"],"itemData":{"id":216,"type":"report","citation-key":"zotero-item-2693","title":"PIP Partnership Contributions (2012-2025)","URL":"https://cdn.who.int/media/docs/default-source/pip-framework/partnership-contribution/pc-collection/pc-total-contributions.pdf?sfvrsn=ce1eb4d1_8","author":[{"literal":"WHO"}],"issued":{"date-parts":[["2025"]]}}},{"id":319,"uris":["http://zotero.org/users/14977742/items/EQNIW7AZ"],"itemData":{"id":319,"type":"report","citation-key":"zotero-item-2509","title":"Category A. SMTA2 and other agreements with vaccine &amp; antiviral manufacturers (factsheet)","URL":"https://cdn.who.int/media/docs/default-source/pip-framework/smta2/20241025-smta2-benefits-cat-a.pdf?sfvrsn=17bc74dd_6","author":[{"literal":"WHO"}],"issued":{"date-parts":[["2026"]]}}}],"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Georgia" w:hAnsiTheme="majorBidi" w:cstheme="majorBidi"/>
          <w:lang w:eastAsia="en-GB"/>
        </w:rPr>
        <w:t>(WHO, 2025a, 2026)</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This performance depended on structural factors that are not easily reproduced for the Cali Fund: manufacturers faced a clearly defined obligation; their operational reliance on GISRS-supplied candidate vaccine viruses created strong incentives to join; and the small, well-identified contributor group allowed costs to be distributed across competitors mitigating first-mover disadvantage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{"citationID":"alqagqgdpn","properties":{"unsorted":false,"formattedCitation":"(Rourke, 2019; Huvos, Solomon and Nannini, 2020)","plainCitation":"(Rourke, 2019; Huvos, Solomon and Nannini, 2020)","noteIndex":0},"citationItems":[{"id":320,"uris":["http://zotero.org/users/14977742/items/8888DV7P"],"itemData":{"id":320,"type":"article-journal","abstract":"Policy Points Securing access to pathogen samples for research purposes is crucial for pandemic preparedness and responding to infectious disease outbreaks. The Pandemic Influenza Preparedness Framework (PIP Framework) is the only pathogen-specific international access and benefit-sharing (ABS) instrument. This analysis reveals that during an influenza pandemic, the PIP Framework will safeguard access to virus samples but may not be as effective in delivering the associated benefits, like vaccines and antivirals, to countries in need. The PIP Framework's deficiencies must be addressed before an influenza pandemic and before this ABS model is extended to other human pathogens. Context The World Health Organization (WHO) adopted the Pandemic Influenza Preparedness Framework (PIP Framework) after being forced to grapple with the demands of developing countries for the fairer distribution of vaccines and antivirals created using influenza viruses isolated from within their territories. Though adopted as a nonbinding resolution, the PIP Framework has been praised for its novel legal approach to access and benefit-sharing (ABS), using Standard Material Transfer Agreements (SMTAs) to create binding terms and conditions on both providers and users of PIP biological materials. The PIP Framework's SMTA1 regulates the movement of influenza viruses with human pandemic potential through the WHO's Global Influenza Surveillance and Response System (GISRS) as it operates to monitor the spread of seasonal influenza and detect the emergence of pandemic strains. Member States give consent to the WHO to transfer their materials to third parties under the terms of a negotiated SMTA2. The SMTA2 details benefits such as vaccines and antivirals to be made available to the WHO for distribution in the event of an influenza pandemic. Methods I analyzed the PIP Framework, its SMTAs, and secondary sources to determine whether the PIP Framework will effectively function as an ABS instrument during an influenza pandemic. Findings The SMTAs do not create any direct or binding agreements between Member States and third-party recipients of influenza viruses. In the lead-up to and during a pandemic, the SMTA1 secures access to influenza viruses for the WHO, and the SMTA2 secures access for commercial users of virus samples, but the SMTA2 may be ineffective in securing tangible benefits for the sovereign providers of those materials. Conclusions As the international community starts to consider how to best regulate access to nonpandemic influenza pathogen samples, it is imperative that we first address the shortcomings of the only pathogen-specific international ABS instrument available, and we should do so before it is put to the ultimate test.","citation-key":"rourkeAccessDesignBenefits2019","container-title":"The Milbank Quarterly","DOI":"10.1111/1468-0009.12364","ISSN":"1468-0009","issue":"1","language":"en","license":"© 2019 Milbank Memorial Fund","note":"_eprint: https://onlinelibrary.wiley.com/doi/pdf/10.1111/1468-0009.12364","page":"91-112","source":"Wiley Online Library","title":"Access by Design, Benefits if Convenient: A Closer Look at the Pandemic Influenza Preparedness Framework's Standard Material Transfer Agreements","title-short":"Access by Design, Benefits if Convenient","volume":"97","author":[{"family":"Rourke","given":"Michelle F."}],"issued":{"date-parts":[["2019"]]}}},{"id":317,"uris":["http://zotero.org/users/14977742/items/FP9EDTHJ"],"itemData":{"id":317,"type":"chapter","abstract":"Chapter 11 describes the Pandemic Influenza Preparedness Framework, a landmark public health and benefit sharing agreement that was adopted to address many of the concerns raised in the preceding chapters. Under the PIP Framework regime, companies, universities, and others may still access materials from the WHO Global Influenza Surveillance and Response System, but many must contribute toward its maintenance and companies especially must promise to provide access to vaccines, medicines, or intellectual property should a pandemic emerge. The authors are representatives of the World Health Organization, and they articulate how the PIP Framework might operate as a lesson for other access and benefit regimes developed under the Nagoya Protocol.","citation-key":"huvosPandemicInfluenzaPreparedness2020","container-title":"Viral Sovereignty and Technology Transfer: The Changing Global System for Sharing Pathogens for Public Health Research","DOI":"10.1017/9781108676076.013","ISBN":"978-1-108-48472-5","page":"193-204","publisher":"Cambridge University Press","publisher-place":"Cambridge","source":"Cambridge University Press","title":"The Pandemic Influenza Preparedness Framework as an Access and Benefit Sharing Mechanism","URL":"https://www.cambridge.org/core/books/viral-sovereignty-and-technology-transfer/pandemic-influenza-preparedness-framework-as-an-access-and-benefit-sharing-mechanism/535884BE78E4F5AE1D2A882F2D806CB1","editor":[{"family":"Katz","given":"Rebecca"},{"family":"Halabi","given":"Sam F."}],"author":[{"family":"Huvos","given":"Anne"},{"family":"Solomon","given":"Steven A."},{"family":"Nannini","given":"Claudia"}],"accessed":{"date-parts":[["2026",5,10]]},"issued":{"date-parts":[["2020"]]}}}],"schema":"https://github.com/citation-style-language/schema/raw/master/csl-citation.json"}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Georgia" w:hAnsiTheme="majorBidi" w:cstheme="majorBidi"/>
          <w:lang w:eastAsia="en-GB"/>
        </w:rPr>
        <w:t>(Rourke, 2019; Huvos, Solomon and Nannini, 2020)</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Neither of these enabling conditions are present for the Cali Fund, where the scope of the multilateral mechanism is limited to the use of publicly available DSI, users operate across several sectors, and the degree to which any particular firm’s products rely on publicly available DSI is hard to determine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{"citationID":"a265aajn0r0","properties":{"unsorted":false,"formattedCitation":"(Sett {\\i{}et al.}, 2024a)","plainCitation":"(Sett et al., 2024a)","noteIndex":0},"citationItems":[{"id":635,"uris":["http://zotero.org/users/14977742/items/LQ39M86H"],"itemData":{"id":635,"type":"article-journal","abstract":"As multiple UN fora develop parallel rules for sharing benefits from digital sequence information, we urge better coordination. International policymakers should focus on harmonizing new benefit-sharing rules to ensure open access to data, database interoperability, and better benefit sharing outcomes.","citation-key":"settHarmonizeRulesDigital2024","container-title":"Nature Communications","DOI":"10.1038/s41467-024-52994-z","ISSN":"2041-1723","issue":"1","journalAbbreviation":"Nat Commun","language":"en","license":"2024 The Author(s)","page":"8745","publisher":"Nature Publishing Group","source":"www.nature.com","title":"Harmonize rules for digital sequence information benefit-sharing across UN frameworks","volume":"15","author":[{"family":"Sett","given":"Scarlett"},{"family":"Kress","given":"W. John"},{"family":"Halewood","given":"Michael"},{"family":"Nicholson","given":"David"},{"family":"Nuñez-Vega","given":"Genuar"},{"family":"Faggionato","given":"Davide"},{"family":"Rouard","given":"Mathieu"},{"family":"Jaspars","given":"Marcel"},{"family":"Silva","given":"Manuela","non-dropping-particle":"da"},{"family":"Prat","given":"Christine"},{"family":"Raposo","given":"Débora S."},{"family":"Klünker","given":"Irma"},{"family":"Freitag","given":"Jens"},{"family":"Tiambo","given":"Christian Keambou"},{"family":"Santos Ribeiro","given":"Carolina","non-dropping-particle":"dos"},{"family":"Wong","given":"Linda"},{"family":"Benbouza","given":"Halima"},{"family":"Overmann","given":"Jörg"},{"family":"Scholz","given":"Amber Hartman"}],"issued":{"date-parts":[["2024",10,9]]}}}],"schema":"https://github.com/citation-style-language/schema/raw/master/csl-citation.json"}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Georgia" w:hAnsiTheme="majorBidi" w:cstheme="majorBidi"/>
          <w:lang w:eastAsia="en-GB"/>
        </w:rPr>
        <w:t xml:space="preserve">(Sett </w:t>
      </w:r>
      <w:r w:rsidRPr="005F0A67">
        <w:rPr>
          <w:rFonts w:asciiTheme="majorBidi" w:eastAsia="Georgia" w:hAnsiTheme="majorBidi" w:cstheme="majorBidi"/>
          <w:i/>
          <w:iCs/>
          <w:lang w:eastAsia="en-GB"/>
        </w:rPr>
        <w:t>et al.</w:t>
      </w:r>
      <w:r w:rsidRPr="005F0A67">
        <w:rPr>
          <w:rFonts w:asciiTheme="majorBidi" w:eastAsia="Georgia" w:hAnsiTheme="majorBidi" w:cstheme="majorBidi"/>
          <w:lang w:eastAsia="en-GB"/>
        </w:rPr>
        <w:t>, 2024a)</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As a result, the main takeaway concerns structural prerequisites rather than specific contribution rates - to secure broad, voluntary financial participation in a multilateral mechanism, there must be a clearly bounded set of contributors, precisely defined obligations, and burden-sharing arrangements that offset first-mover disadvantage. All of those elements currently remain only partially addressed under the current Decision 16/2 modalities.</w:t>
      </w:r>
    </w:p>
    <w:p w14:paraId="411A3EB6" w14:textId="77777777" w:rsidR="00B54840" w:rsidRPr="005F0A67" w:rsidRDefault="00B54840"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p>
    <w:p w14:paraId="4A1567F7" w14:textId="77777777" w:rsidR="005F0A67" w:rsidRPr="005F0A67" w:rsidRDefault="005F0A67" w:rsidP="00B54840">
      <w:pPr>
        <w:tabs>
          <w:tab w:val="clear" w:pos="567"/>
          <w:tab w:val="clear" w:pos="1134"/>
          <w:tab w:val="clear" w:pos="1701"/>
          <w:tab w:val="clear" w:pos="2268"/>
        </w:tabs>
        <w:spacing w:before="320" w:after="160"/>
        <w:ind w:left="720"/>
        <w:jc w:val="left"/>
        <w:outlineLvl w:val="2"/>
        <w:rPr>
          <w:rFonts w:asciiTheme="majorBidi" w:eastAsia="Arial" w:hAnsiTheme="majorBidi" w:cstheme="majorBidi"/>
          <w:b/>
          <w:bCs/>
          <w:color w:val="7F7F7F"/>
          <w:sz w:val="23"/>
          <w:szCs w:val="23"/>
          <w:lang w:val="en-CA" w:eastAsia="en-GB"/>
        </w:rPr>
      </w:pPr>
      <w:bookmarkStart w:id="38" w:name="_Toc234579540"/>
      <w:r w:rsidRPr="005F0A67">
        <w:rPr>
          <w:rFonts w:asciiTheme="majorBidi" w:eastAsia="Arial" w:hAnsiTheme="majorBidi" w:cstheme="majorBidi"/>
          <w:b/>
          <w:bCs/>
          <w:color w:val="7F7F7F"/>
          <w:sz w:val="23"/>
          <w:szCs w:val="23"/>
          <w:lang w:val="en-CA" w:eastAsia="en-GB"/>
        </w:rPr>
        <w:t>The WHO Pandemic Agreement</w:t>
      </w:r>
      <w:bookmarkEnd w:id="38"/>
      <w:r w:rsidRPr="005F0A67">
        <w:rPr>
          <w:rFonts w:asciiTheme="majorBidi" w:eastAsia="Arial" w:hAnsiTheme="majorBidi" w:cstheme="majorBidi"/>
          <w:b/>
          <w:bCs/>
          <w:color w:val="7F7F7F"/>
          <w:sz w:val="23"/>
          <w:szCs w:val="23"/>
          <w:lang w:val="en-CA" w:eastAsia="en-GB"/>
        </w:rPr>
        <w:t xml:space="preserve"> </w:t>
      </w:r>
    </w:p>
    <w:p w14:paraId="32424127"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The WHO Pandemic Agreement, adopted in May 2025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{"citationID":"qK0VZyX1","properties":{"unsorted":false,"formattedCitation":"(WHO, 2025b)","plainCitation":"(WHO, 2025b)","noteIndex":0},"citationItems":[{"id":579,"uris":["http://zotero.org/users/14977742/items/M2G48RYI"],"itemData":{"id":579,"type":"article-journal","citation-key":"whoWHOPandemicAgreement2025","container-title":"The Seventy-eighth World Health Assembly","title":"WHO Pandemic Agreement (WHA78.1)","URL":"https://apps.who.int/gb/ebwha/pdf_files/WHA78/A78_R1-en.pdf","author":[{"literal":"WHO"}],"issued":{"date-parts":[["2025",5]]}}}],"schema":"https://github.com/citation-style-language/schema/raw/master/csl-citation.json"}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noProof/>
          <w:lang w:val="en-CA" w:eastAsia="en-GB"/>
        </w:rPr>
        <w:t>(WHO, 2025b)</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represents a further shift away from the PIP model toward a binding, in-kind-first approach. Through its Pathogen Access and Benefit Sharing (PABS) framework it obliges pharmaceutical manufacturers to allocate 10-20% of their real-time pandemic production to WHO as a condition for gaining access to pathogen samples and sequence information. The practical implementation has been postponed to a PABS annex, which is still being negotiated. Decision 15/9 requires that any solution for benefit-sharing from DSI be mutually supportive of other international instruments and not incompatible with existing international legal obligations. Whether this is achieved in practice for the WHO Pandemic Agreement specifically remains to be seen, since implementation arrangements under its PABS framework are still under development. For this study, the Agreement matters primarily because of the overlap risk this uncertainty introduces: firms relying on pathogen DSI could, absent a coherence arrangements between the two mechanisms, incur parallel in-kind obligations under the Pandemic Agreement while also becoming subject to monetary benefit-sharing expectations under the Cali Fund for the same activity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{"citationID":"Hv9Rw6b4","properties":{"unsorted":false,"formattedCitation":"(Jon, 2025)","plainCitation":"(Jon, 2025)","noteIndex":0},"citationItems":[{"id":314,"uris":["http://zotero.org/users/14977742/items/C95YLYXJ"],"itemData":{"id":314,"type":"article-journal","citation-key":"jonPathogenSharingDigital2025","container-title":"Clinical and Translational Medicine","DOI":"10.1002/ctm2.70473","ISSN":"2001-1326","issue":"9","journalAbbreviation":"Clin Transl Med","page":"e70473","PMID":"40910349","PMCID":"PMC12411924","source":"PubMed Central","title":"Pathogen sharing in the digital age: The unfinished agenda of the WHO pandemic agreement","title-short":"Pathogen sharing in the digital age","volume":"15","author":[{"family":"Jon","given":"WooJung"}],"issued":{"date-parts":[["2025",9,5]]}}}],"schema":"https://github.com/citation-style-language/schema/raw/master/csl-citation.json"}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noProof/>
          <w:lang w:val="en-CA" w:eastAsia="en-GB"/>
        </w:rPr>
        <w:t>(Jon, 2025)</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The consequences for firm-level contribution choices are examined in Section 4.2.</w:t>
      </w:r>
    </w:p>
    <w:p w14:paraId="32CA4784" w14:textId="77777777" w:rsidR="005F0A67" w:rsidRPr="005F0A67" w:rsidRDefault="005F0A67" w:rsidP="005F0A67">
      <w:pPr>
        <w:numPr>
          <w:ilvl w:val="1"/>
          <w:numId w:val="12"/>
        </w:numPr>
        <w:tabs>
          <w:tab w:val="clear" w:pos="567"/>
          <w:tab w:val="clear" w:pos="1134"/>
          <w:tab w:val="clear" w:pos="1701"/>
          <w:tab w:val="clear" w:pos="2268"/>
        </w:tabs>
        <w:spacing w:before="320" w:after="160"/>
        <w:ind w:left="576" w:hanging="576"/>
        <w:jc w:val="left"/>
        <w:outlineLvl w:val="1"/>
        <w:rPr>
          <w:rFonts w:asciiTheme="majorBidi" w:eastAsia="Arial" w:hAnsiTheme="majorBidi" w:cstheme="majorBidi"/>
          <w:b/>
          <w:bCs/>
          <w:color w:val="1A1A1A"/>
          <w:sz w:val="23"/>
          <w:szCs w:val="23"/>
          <w:lang w:val="en-CA" w:eastAsia="en-GB"/>
        </w:rPr>
      </w:pPr>
      <w:bookmarkStart w:id="39" w:name="_Toc234579541"/>
      <w:r w:rsidRPr="005F0A67">
        <w:rPr>
          <w:rFonts w:asciiTheme="majorBidi" w:eastAsia="Arial" w:hAnsiTheme="majorBidi" w:cstheme="majorBidi"/>
          <w:b/>
          <w:bCs/>
          <w:color w:val="1A1A1A"/>
          <w:sz w:val="23"/>
          <w:szCs w:val="23"/>
          <w:lang w:val="en-CA" w:eastAsia="en-GB"/>
        </w:rPr>
        <w:t>The Agreement on Marine Biological Diversity of Areas beyond National Jurisdiction (BBNJ)</w:t>
      </w:r>
      <w:bookmarkEnd w:id="39"/>
      <w:r w:rsidRPr="005F0A67">
        <w:rPr>
          <w:rFonts w:asciiTheme="majorBidi" w:eastAsia="Arial" w:hAnsiTheme="majorBidi" w:cstheme="majorBidi"/>
          <w:b/>
          <w:bCs/>
          <w:color w:val="1A1A1A"/>
          <w:sz w:val="23"/>
          <w:szCs w:val="23"/>
          <w:lang w:val="en-CA" w:eastAsia="en-GB"/>
        </w:rPr>
        <w:t xml:space="preserve"> </w:t>
      </w:r>
    </w:p>
    <w:p w14:paraId="15265E55"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fr-FR" w:eastAsia="en-GB"/>
        </w:rPr>
      </w:pPr>
      <w:r w:rsidRPr="005F0A67">
        <w:rPr>
          <w:rFonts w:asciiTheme="majorBidi" w:eastAsia="Times New Roman" w:hAnsiTheme="majorBidi" w:cstheme="majorBidi"/>
          <w:lang w:val="en-CA" w:eastAsia="en-GB"/>
        </w:rPr>
        <w:t xml:space="preserve">The BBNJ Agreement entered into force on 17 January 2026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{"citationID":"FgM2I26I","properties":{"unsorted":false,"formattedCitation":"(United Nations Treaty Collection, 2026)","plainCitation":"(United Nations Treaty Collection, 2026)","noteIndex":0},"citationItems":[{"id":299,"uris":["http://zotero.org/users/14977742/items/WQW6SWMW"],"itemData":{"id":299,"type":"webpage","abstract":"This is the United Nations Treaty Collection homepage. Here you will find related information and links.","citation-key":"UnitedNationsTreaty","container-title":"United Nations Treaty Collection","language":"EN","title":"Status of the Agreement under the United Nations Convention on the Law of the Sea on the Conservation and Sustainable Use of Marine Biological Diversity of Areas beyond National Jurisdiction","URL":"https://treaties.un.org/Pages/ViewDetails.aspx?src=TREATY&amp;mtdsg_no=XXI-10&amp;chapter=21&amp;clang=_en","author":[{"literal":"United Nations Treaty Collection"}],"accessed":{"date-parts":[["2026",5,11]]},"issued":{"date-parts":[["2026",5,11]]}}}],"schema":"https://github.com/citation-style-language/schema/raw/master/csl-citation.json"}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noProof/>
          <w:lang w:val="en-CA" w:eastAsia="en-GB"/>
        </w:rPr>
        <w:t>(United Nations Treaty Collection, 2026)</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In its current form it creates a framework for future rulemaking rather than a fully operational payment system for private sector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{"citationID":"SEJY684u","properties":{"unsorted":false,"formattedCitation":"(Krabbe, 2025; Yu {\\i{}et al.}, 2025; Krabbe and Wagenaar, 2026)","plainCitation":"(Krabbe, 2025; Yu et al., 2025; Krabbe and Wagenaar, 2026)","noteIndex":0},"citationItems":[{"id":305,"uris":["http://zotero.org/users/14977742/items/99IKI7B5"],"itemData":{"id":305,"type":"article-journal","abstract":"Abstract The Global North and South for long held opposing positions on the legal status of genetic resources in oceans commons. Throughout the long BBNJ process, a broad coalition of developing States claimed that all resources of the deep seabed belong to the common heritage of humankind. States from the Global North, on the other hand, insisted that the law of the sea provides for open access, in line with the freedoms of the high seas and that the pre-existing deep seabed regime excluded genetic resources. During the final hours of the negotiation of the new treaty, a compromise was reached which bridged this divide. The resulting genetic resource regime of the BBNJ does not preclude the appropriation by States or private actors. While the Agreement enables free access, it imposes detailed requirements for notifications at different stages. This aims to foster transparency on research and development and a greater involvement by developing countries. This system, which qualifies access on the sharing of information, differs considerably from the rules for accessing other marine resources. The component of the BBNJ which particularly stands out relates to the sharing of monetary benefits from genetic resources. As a trade-off for maintaining open access, States in principle agreed that mandatory requirements for private actors to share profits from the use of genetic resources could be introduced, but that the introduction of such a system would require a decision by the Conference of Parties. According to the Agreement, this could entail a multitude of measures lacking precedent in international law, including a global tax on the use of biological functions found in nature. Pending this decision, developed States undertook to provide annual contributions to the funds established by the BBNJ as a compensation for not directly introducing direct sharing of monetary benefits. This paper speculates on the implications of the genetic resource regime of the BBNJ treaty, discussing likely implications for States as well as different users of genetic resources. It puts the novel approaches of the genetic resource regime in a comparative perspective, examining it from the perspective of resource management.","citation-key":"krabbeSharingBenefitsGenetic2025","container-title":"Max Planck Yearbook of United Nations Law Online","DOI":"10.1163/18757413-bja10026","issue":"1","language":"eng","page":"286-304","publisher":"Brill Nijhoff","source":"brill.com","title":"Sharing Benefits of Genetic Resources Under the BBNJ Agreement – Resolving the North–South Divide by Legal Creativity","volume":"28","author":[{"family":"Krabbe","given":"Niels"}],"issued":{"date-parts":[["2025",10,29]]}}},{"id":297,"uris":["http://zotero.org/users/14977742/items/PFR8VQY3"],"itemData":{"id":297,"type":"article-journal","abstract":"While the Agreement under the United Nations Convention on the Law of the Sea on the Conservation and Sustainable Use of Marine Biological Diversity of Areas Beyond National Jurisdiction (BBNJ Agreement) has pioneered the establishment of a benefit-sharing regime for marine genetic resources (MGRs), persistent divergences between developing and developed countries have posed substantial challenges to its implementation. The current legal framework is overly schematic and insufficient to guide practice, leaving many issues unresolved. To explore the solutions for these issues, this article adopts a legal functionalist approach grounded in the principle that “form follows function”. First, this article categorizes the unresolved issues into four types: ambiguous terms in the Agreement, uncertain legal nature of benefit-sharing modalities, weak operability resulting from incomplete guiding rules, and inadequate monitoring rules. Second, it derives potential solutions from a legal functionalist perspective. This approach emphasizes the instrumental value or functionality of law. By focusing on facilitating the achievement of the Agreement’s intended functions and goals, this approach can help steer ongoing international rule-making activities and overcome negotiation deadlocks. Under such an approach, the core guiding principle for problem solving is to make rules operational by addressing conflicts, giving due regard to diverse concerns, and fostering broad consensus among negotiating parties. Finally, this article tentatively applies this approach to specific unresolved issues, including: adopting broader definitions of key terms; designing relatively light monetary benefit-sharing rules that combine mandatory and voluntary mechanisms; facilitating ex situ access through multilateral mechanisms; clearly delineating the respective scope of application of different technology transfer modalities; and strengthening supporting information disclosure and traceability rules. Concurrently, this article suggests that the design and implementation of rules should take into account the needs of marine scientific research, data confidentiality, financial and administrative burdens, and the legitimate rights and interests of stakeholders.","citation-key":"yuFormFollowsFunction2025","container-title":"Frontiers in Marine Science","DOI":"10.3389/fmars.2025.1726523","ISSN":"2296-7745","journalAbbreviation":"Front. Mar. Sci.","language":"English","publisher":"Frontiers","source":"Frontiers","title":"Form follows function: in pursuit of solutions to the unresolved issues of the benefit-sharing regime for marine genetic resources under the BBNJ agreement","title-short":"Form follows function","URL":"https://www.frontiersin.org/journals/marine-science/articles/10.3389/fmars.2025.1726523/full","volume":"12","author":[{"family":"Yu","given":"Wenlong"},{"family":"Tang","given":"Yi"},{"family":"Sun","given":"Yuqiong"},{"family":"Zhang","given":"Yanxuedan"}],"accessed":{"date-parts":[["2026",5,11]]},"issued":{"date-parts":[["2025",12,1]]}}},{"id":298,"uris":["http://zotero.org/users/14977742/items/U7H3D7SE"],"itemData":{"id":298,"type":"article-journal","abstract":"The adoption of the BBNJ Agreement concluded a decades-long dispute over how MGRs of ABNJ should be legally classified and how benefits, particularly monetary benefits, derived from the utilisation and commercialisation of these MGRs, should be shared. The outcome represented a legally creative compromise bridging the opposing positions of the Global North and South on these issues. This article argues that the BBNJ regime should be understood less as a final resolution of distributive conflict and more as a reconfiguration of ocean justice through the deferral of equity claims. By analysing relevant provisions of the Agreement through the lenses of distributive, procedural and corrective justice, the article shows how negotiations shifted from doctrinal disagreements over the applicability of the CHM and the FHS, to a technocratic focus on monetary benefit-sharing mechanisms. The resulting decoupled model, which combines open access, state-funded contributions with a review clause for the operationalisation of possible future monetary obligations, essentially preserves unrestricted commercial appropriation of these MGRs, while postponing the equitable sharing of resultant monetary benefits. Coupled with temporal exceptions and high activation thresholds, this is likely to entrench existing technical and scientific asymmetries between states. The article demonstrates that the Agreement does not merely balance the competing principles of the CHM and the FHS but restructures the terms on which justice claims can be articulated in the ocean commons. By allowing free appropriation of these MGRs while rendering monetary benefit-sharing contingent on future decision-making processes, the Agreement risks solidifying, rather than transforming, structural inequalities.","citation-key":"krabbeOceanJusticeMarine2026a","container-title":"Marine Policy","DOI":"10.1016/j.marpol.2026.107150","ISSN":"0308-597X","journalAbbreviation":"Marine Policy","page":"107150","source":"ScienceDirect","title":"Ocean justice? Marine genetic resources and monetary benefit-sharing under the BBNJ Agreement","title-short":"Ocean justice?","volume":"191","author":[{"family":"Krabbe","given":"Niels"},{"family":"Wagenaar","given":"Tanya"}],"issued":{"date-parts":[["2026",9,1]]}}}],"schema":"https://github.com/citation-style-language/schema/raw/master/csl-citation.json"}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color w:val="000000"/>
          <w:lang w:val="en-CA" w:eastAsia="en-GB"/>
        </w:rPr>
        <w:t xml:space="preserve">(Krabbe, 2025; Yu </w:t>
      </w:r>
      <w:r w:rsidRPr="005F0A67">
        <w:rPr>
          <w:rFonts w:asciiTheme="majorBidi" w:eastAsia="Times New Roman" w:hAnsiTheme="majorBidi" w:cstheme="majorBidi"/>
          <w:i/>
          <w:iCs/>
          <w:color w:val="000000"/>
          <w:lang w:val="en-CA" w:eastAsia="en-GB"/>
        </w:rPr>
        <w:t>et al.</w:t>
      </w:r>
      <w:r w:rsidRPr="005F0A67">
        <w:rPr>
          <w:rFonts w:asciiTheme="majorBidi" w:eastAsia="Times New Roman" w:hAnsiTheme="majorBidi" w:cstheme="majorBidi"/>
          <w:color w:val="000000"/>
          <w:lang w:val="en-CA" w:eastAsia="en-GB"/>
        </w:rPr>
        <w:t>, 2025; Krabbe and Wagenaar, 2026)</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At present, the most concrete financial obligations rest with developed States, which are required to make annual contributions to a dedicated fund </w:t>
      </w:r>
      <w:r w:rsidRPr="005F0A67">
        <w:rPr>
          <w:rFonts w:asciiTheme="majorBidi" w:eastAsia="Georgia" w:hAnsiTheme="majorBidi" w:cstheme="majorBidi"/>
          <w:lang w:val="en-CA" w:eastAsia="en-GB"/>
        </w:rPr>
        <w:t>equal to 50 per cent of each Party's assessed budget contribution</w:t>
      </w:r>
      <w:r w:rsidRPr="005F0A67">
        <w:rPr>
          <w:rFonts w:asciiTheme="majorBidi" w:eastAsia="Times New Roman" w:hAnsiTheme="majorBidi" w:cstheme="majorBidi"/>
          <w:vertAlign w:val="superscript"/>
          <w:lang w:val="en-CA" w:eastAsia="en-GB"/>
        </w:rPr>
        <w:footnoteReference w:id="21"/>
      </w:r>
      <w:r w:rsidRPr="005F0A67">
        <w:rPr>
          <w:rFonts w:asciiTheme="majorBidi" w:eastAsia="Times New Roman" w:hAnsiTheme="majorBidi" w:cstheme="majorBidi"/>
          <w:lang w:val="en-CA" w:eastAsia="en-GB"/>
        </w:rPr>
        <w:t xml:space="preserve">. The COP will later decide how monetary benefits arising from the commercial exploitation of marine genetic resources and related DSI should be allocated among downstream users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{"citationID":"ZNoKAaFv","properties":{"unsorted":false,"formattedCitation":"(Krabbe, 2025; Whomersley, 2025; Krabbe and Wagenaar, 2026)","plainCitation":"(Krabbe, 2025; Whomersley, 2025; Krabbe and Wagenaar, 2026)","noteIndex":0},"citationItems":[{"id":305,"uris":["http://zotero.org/users/14977742/items/99IKI7B5"],"itemData":{"id":305,"type":"article-journal","abstract":"Abstract The Global North and South for long held opposing positions on the legal status of genetic resources in oceans commons. Throughout the long BBNJ process, a broad coalition of developing States claimed that all resources of the deep seabed belong to the common heritage of humankind. States from the Global North, on the other hand, insisted that the law of the sea provides for open access, in line with the freedoms of the high seas and that the pre-existing deep seabed regime excluded genetic resources. During the final hours of the negotiation of the new treaty, a compromise was reached which bridged this divide. The resulting genetic resource regime of the BBNJ does not preclude the appropriation by States or private actors. While the Agreement enables free access, it imposes detailed requirements for notifications at different stages. This aims to foster transparency on research and development and a greater involvement by developing countries. This system, which qualifies access on the sharing of information, differs considerably from the rules for accessing other marine resources. The component of the BBNJ which particularly stands out relates to the sharing of monetary benefits from genetic resources. As a trade-off for maintaining open access, States in principle agreed that mandatory requirements for private actors to share profits from the use of genetic resources could be introduced, but that the introduction of such a system would require a decision by the Conference of Parties. According to the Agreement, this could entail a multitude of measures lacking precedent in international law, including a global tax on the use of biological functions found in nature. Pending this decision, developed States undertook to provide annual contributions to the funds established by the BBNJ as a compensation for not directly introducing direct sharing of monetary benefits. This paper speculates on the implications of the genetic resource regime of the BBNJ treaty, discussing likely implications for States as well as different users of genetic resources. It puts the novel approaches of the genetic resource regime in a comparative perspective, examining it from the perspective of resource management.","citation-key":"krabbeSharingBenefitsGenetic2025","container-title":"Max Planck Yearbook of United Nations Law Online","DOI":"10.1163/18757413-bja10026","issue":"1","language":"eng","page":"286-304","publisher":"Brill Nijhoff","source":"brill.com","title":"Sharing Benefits of Genetic Resources Under the BBNJ Agreement – Resolving the North–South Divide by Legal Creativity","volume":"28","author":[{"family":"Krabbe","given":"Niels"}],"issued":{"date-parts":[["2025",10,29]]}}},{"id":295,"uris":["http://zotero.org/users/14977742/items/I2K4RZUB"],"itemData":{"id":295,"type":"article-journal","abstract":"Abstract The adoption of the Agreement under the United Nations Convention on the Law of the Sea on the Conservation and Sustainable Use of Marine Biological Diversity of Areas beyond National Jurisdiction (BBNJ Agreement) is a major achievement, not least because of its institutional arrangements. A number of new institutions will be established, with interesting and novel competences. These include particularly innovative provisions about dealing with marine genetic resources, as well as procedures leading to binding decisions establishing area-based management tools; the latter may not include areas within national jurisdiction, although how disputes on this point will be resolved is unclear. There is a particular emphasis upon the inclusivity and transparency of procedures. In addition, the financial mechanism involves novel rules designed to benefit developing countries. The new institutions will be obliged to coordinate closely with existing organisations having relevant competences.","citation-key":"whomersleyInnovationsInstitutionalArrangements2025a","container-title":"The International Journal of Marine and Coastal Law","DOI":"10.1163/15718085-bja10230","ISSN":"1571-8085, 0927-3522","issue":"2","language":"eng","page":"308-327","publisher":"Brill Nijhoff","source":"brill.com","title":"Innovations in the Institutional Arrangements in the BBNJ Agreement","volume":"40","author":[{"family":"Whomersley","given":"Christopher"}],"issued":{"date-parts":[["2025",3,27]]}}},{"id":298,"uris":["http://zotero.org/users/14977742/items/U7H3D7SE"],"itemData":{"id":298,"type":"article-journal","abstract":"The adoption of the BBNJ Agreement concluded a decades-long dispute over how MGRs of ABNJ should be legally classified and how benefits, particularly monetary benefits, derived from the utilisation and commercialisation of these MGRs, should be shared. The outcome represented a legally creative compromise bridging the opposing positions of the Global North and South on these issues. This article argues that the BBNJ regime should be understood less as a final resolution of distributive conflict and more as a reconfiguration of ocean justice through the deferral of equity claims. By analysing relevant provisions of the Agreement through the lenses of distributive, procedural and corrective justice, the article shows how negotiations shifted from doctrinal disagreements over the applicability of the CHM and the FHS, to a technocratic focus on monetary benefit-sharing mechanisms. The resulting decoupled model, which combines open access, state-funded contributions with a review clause for the operationalisation of possible future monetary obligations, essentially preserves unrestricted commercial appropriation of these MGRs, while postponing the equitable sharing of resultant monetary benefits. Coupled with temporal exceptions and high activation thresholds, this is likely to entrench existing technical and scientific asymmetries between states. The article demonstrates that the Agreement does not merely balance the competing principles of the CHM and the FHS but restructures the terms on which justice claims can be articulated in the ocean commons. By allowing free appropriation of these MGRs while rendering monetary benefit-sharing contingent on future decision-making processes, the Agreement risks solidifying, rather than transforming, structural inequalities.","citation-key":"krabbeOceanJusticeMarine2026a","container-title":"Marine Policy","DOI":"10.1016/j.marpol.2026.107150","ISSN":"0308-597X","journalAbbreviation":"Marine Policy","page":"107150","source":"ScienceDirect","title":"Ocean justice? Marine genetic resources and monetary benefit-sharing under the BBNJ Agreement","title-short":"Ocean justice?","volume":"191","author":[{"family":"Krabbe","given":"Niels"},{"family":"Wagenaar","given":"Tanya"}],"issued":{"date-parts":[["2026",9,1]]}}}],"schema":"https://github.com/citation-style-language/schema/raw/master/csl-citation.json"}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noProof/>
          <w:lang w:val="en-CA" w:eastAsia="en-GB"/>
        </w:rPr>
        <w:t>(Krabbe, 2025; Whomersley, 2025; Krabbe and Wagenaar, 2026)</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BBNJ’s significance for the Cali Fund lies in the way it highlights the challenges of converting broad political agreement on fair and equitable benefit-sharing into a workable payment mechanism; key elements, including contribution levels, payment triggers, and the legal nature of user obligations, are still unresolved, and the literature repeatedly emphasizes that any feasible system would need strong disclosure and traceability rules before obligations on private users could be effectively implemented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{"citationID":"p1p7N6yU","properties":{"unsorted":false,"formattedCitation":"(Humphries {\\i{}et al.}, 2020; Humphries, Rabone and Jaspars, 2021; Yu {\\i{}et al.}, 2025)","plainCitation":"(Humphries et al., 2020; Humphries, Rabone and Jaspars, 2021; Yu et al., 2025)","noteIndex":0},"citationItems":[{"id":302,"uris":["http://zotero.org/users/14977742/items/AHU68NXF"],"itemData":{"id":302,"type":"article-journal","abstract":"Developing a governance framework for Marine Genetic Resources (MGRs) is a crucial element of the proposed treaty on the conservation and sustainable use of marine biodiversity in areas beyond national jurisdiction (BBNJ). Negotiating countries' positions on MGRs, including questions on the sharing of benefits from their use, range from no regulation to elaborate infrastructure for access and benefit sharing (ABS) of all MGRs. This article proposes a Tiered Approach to MGR governance that finds a middle ground between negotiating countries' positions on ABS and aims to foster scientific research on samples and data, protect traditional and local knowledge, promote consistency with existing ABS frameworks within national jurisdiction and address conservation gaps including the absence of a biosafety framework. This practical activities approach to MGR governance provides an alternative to the ‘one size fits all’ approach to ABS currently under negotiation with range of governance options more suited to ABNJ's unique environmental and geo-political conditions. These include an ABNJ Activity Notification and Monitoring System, a Facilitated Information and Sample Sharing Hub, an ABNJ Benefit Sharing System and an End-user Due Diligence approach to monitoring and benefit sharing. This article concludes that MGR governance should implement the United Nations Convention on the Law of the Sea's vision for an ‘equitable and efficient’ utilisation of resources and protection of the marine environment, offering a range of tools and approaches that complement ABS, but that are more diverse and flexible than the ABS concept alone.","citation-key":"humphriesTieredApproachMarine2020","container-title":"Marine Policy","DOI":"10.1016/j.marpol.2020.103910","ISSN":"0308-597X","journalAbbreviation":"Marine Policy","page":"103910","source":"ScienceDirect","title":"A tiered approach to the marine genetic resource governance framework under the proposed UNCLOS agreement for biodiversity beyond national jurisdiction (BBNJ)","volume":"122","author":[{"family":"Humphries","given":"Fran"},{"family":"Gottlieb","given":"Hiroko Muraki"},{"family":"Laird","given":"Sarah"},{"family":"Wynberg","given":"Rachel"},{"family":"Lawson","given":"Charles"},{"family":"Rourke","given":"Michelle"},{"family":"Tvedt","given":"Morten Walløe"},{"family":"Oliva","given":"Maria Julia"},{"family":"Jaspars","given":"Marcel"}],"issued":{"date-parts":[["2020",12,1]]}}},{"id":296,"uris":["http://zotero.org/users/14977742/items/FXNT59VN"],"itemData":{"id":296,"type":"article-journal","abstract":"During current negotiations of a new treaty for the conservation and sustainable use of biodiversity of areas beyond national jurisdiction under the United Nations Convention on the Law of the Sea, points of contention have focussed around marine genetic resources, and how to ensure that any monetary and non-monetary benefits arising from their use are equitably shared between countries. Tracing the origin of marine genetic resources used in scientific research, development and commercialisation may offer the evidence needed to prove they came from areas beyond national jurisdiction and that benefit sharing is owed. Traceability is complex and multidisciplinary: involving legal, scientific and informatics considerations. We look at different traceability approaches within national jurisdictions and how these might provide lessons for the proposed treaty, using one of the few case studies where we have been able to trace the commercial development of a marine genetic resource from areas beyond national jurisdiction. We discuss this case study in relation to existing legal frameworks including the Nagoya Protocol and other systems based on open sharing of information and materials, including existing scientific practice. We conclude that a well-designed traceability system tailored to the unique geographical, political and jurisdictional characteristics of areas beyond national jurisdiction could lead to more equitable outcomes for the sharing of benefits from the use of marine genetic resources. Our key recommendations are that any traceability mechanism needs to be light touch, integrated with existing systems such as bioinformatics databases and not impose additional burdens on scientific users. Systems should be designed to improve scientific knowledge of ocean biodiversity to allow better conservation measures to be developed. If treaty negotiators engage commercial sectors to find workable policy solutions for the draft treaty that promote greater transparency and data sharing from these sectors, there may be a greater chance for traceability mechanisms to support benefit sharing.","citation-key":"humphriesTraceabilityApproachesMarine2021","container-title":"Frontiers in Marine Science","DOI":"10.3389/fmars.2021.661313","ISSN":"2296-7745","journalAbbreviation":"Front. Mar. Sci.","language":"English","publisher":"Frontiers","source":"Frontiers","title":"Traceability Approaches for Marine Genetic Resources Under the Proposed Ocean (BBNJ) Treaty","URL":"https://www.frontiersin.org/journals/marine-science/articles/10.3389/fmars.2021.661313/full","volume":"8","author":[{"family":"Humphries","given":"Fran"},{"family":"Rabone","given":"Muriel"},{"family":"Jaspars","given":"Marcel"}],"accessed":{"date-parts":[["2026",5,11]]},"issued":{"date-parts":[["2021",4,27]]}}},{"id":297,"uris":["http://zotero.org/users/14977742/items/PFR8VQY3"],"itemData":{"id":297,"type":"article-journal","abstract":"While the Agreement under the United Nations Convention on the Law of the Sea on the Conservation and Sustainable Use of Marine Biological Diversity of Areas Beyond National Jurisdiction (BBNJ Agreement) has pioneered the establishment of a benefit-sharing regime for marine genetic resources (MGRs), persistent divergences between developing and developed countries have posed substantial challenges to its implementation. The current legal framework is overly schematic and insufficient to guide practice, leaving many issues unresolved. To explore the solutions for these issues, this article adopts a legal functionalist approach grounded in the principle that “form follows function”. First, this article categorizes the unresolved issues into four types: ambiguous terms in the Agreement, uncertain legal nature of benefit-sharing modalities, weak operability resulting from incomplete guiding rules, and inadequate monitoring rules. Second, it derives potential solutions from a legal functionalist perspective. This approach emphasizes the instrumental value or functionality of law. By focusing on facilitating the achievement of the Agreement’s intended functions and goals, this approach can help steer ongoing international rule-making activities and overcome negotiation deadlocks. Under such an approach, the core guiding principle for problem solving is to make rules operational by addressing conflicts, giving due regard to diverse concerns, and fostering broad consensus among negotiating parties. Finally, this article tentatively applies this approach to specific unresolved issues, including: adopting broader definitions of key terms; designing relatively light monetary benefit-sharing rules that combine mandatory and voluntary mechanisms; facilitating ex situ access through multilateral mechanisms; clearly delineating the respective scope of application of different technology transfer modalities; and strengthening supporting information disclosure and traceability rules. Concurrently, this article suggests that the design and implementation of rules should take into account the needs of marine scientific research, data confidentiality, financial and administrative burdens, and the legitimate rights and interests of stakeholders.","citation-key":"yuFormFollowsFunction2025","container-title":"Frontiers in Marine Science","DOI":"10.3389/fmars.2025.1726523","ISSN":"2296-7745","journalAbbreviation":"Front. Mar. Sci.","language":"English","publisher":"Frontiers","source":"Frontiers","title":"Form follows function: in pursuit of solutions to the unresolved issues of the benefit-sharing regime for marine genetic resources under the BBNJ agreement","title-short":"Form follows function","URL":"https://www.frontiersin.org/journals/marine-science/articles/10.3389/fmars.2025.1726523/full","volume":"12","author":[{"family":"Yu","given":"Wenlong"},{"family":"Tang","given":"Yi"},{"family":"Sun","given":"Yuqiong"},{"family":"Zhang","given":"Yanxuedan"}],"accessed":{"date-parts":[["2026",5,11]]},"issued":{"date-parts":[["2025",12,1]]}}}],"schema":"https://github.com/citation-style-language/schema/raw/master/csl-citation.json"} </w:instrText>
      </w:r>
      <w:r w:rsidRPr="005F0A67">
        <w:rPr>
          <w:rFonts w:asciiTheme="majorBidi" w:eastAsia="Times New Roman" w:hAnsiTheme="majorBidi" w:cstheme="majorBidi"/>
          <w:lang w:val="fr-FR" w:eastAsia="en-GB"/>
        </w:rPr>
        <w:instrText xml:space="preserve">ng relatively light monetary benefit-sharing rules that combine mandatory and voluntary mechanisms; facilitating ex situ access through multilateral mechanisms; clearly delineating the respective scope of application of different technology transfer modalities; and strengthening supporting information disclosure and traceability rules. Concurrently, this article suggests that the design and implementation of rules should take into account the needs of marine scientific research, data confidentiality, financial and administrative burdens, and the legitimate rights and interests of stakeholders.","citation-key":"yuFormFollowsFunction2025","container-title":"Frontiers in Marine Science","DOI":"10.3389/fmars.2025.1726523","ISSN":"2296-7745","journalAbbreviation":"Front. Mar. Sci.","language":"English","publisher":"Frontiers","source":"Frontiers","title":"Form follows function: in pursuit of solutions to the unresolved issues of the benefit-sharing regime for marine genetic resources under the BBNJ agreement","title-short":"Form follows function","URL":"https://www.frontiersin.org/journals/marine-science/articles/10.3389/fmars.2025.1726523/full","volume":"12","author":[{"family":"Yu","given":"Wenlong"},{"family":"Tang","given":"Yi"},{"family":"Sun","given":"Yuqiong"},{"family":"Zhang","given":"Yanxuedan"}],"accessed":{"date-parts":[["2026",5,11]]},"issued":{"date-parts":[["2025",12,1]]}}}],"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color w:val="000000"/>
          <w:lang w:val="fr-FR" w:eastAsia="en-GB"/>
        </w:rPr>
        <w:t xml:space="preserve">(Humphries </w:t>
      </w:r>
      <w:r w:rsidRPr="005F0A67">
        <w:rPr>
          <w:rFonts w:asciiTheme="majorBidi" w:eastAsia="Times New Roman" w:hAnsiTheme="majorBidi" w:cstheme="majorBidi"/>
          <w:i/>
          <w:iCs/>
          <w:color w:val="000000"/>
          <w:lang w:val="fr-FR" w:eastAsia="en-GB"/>
        </w:rPr>
        <w:t>et al.</w:t>
      </w:r>
      <w:r w:rsidRPr="005F0A67">
        <w:rPr>
          <w:rFonts w:asciiTheme="majorBidi" w:eastAsia="Times New Roman" w:hAnsiTheme="majorBidi" w:cstheme="majorBidi"/>
          <w:color w:val="000000"/>
          <w:lang w:val="fr-FR" w:eastAsia="en-GB"/>
        </w:rPr>
        <w:t xml:space="preserve">, 2020; Humphries, Rabone and Jaspars, 2021; Yu </w:t>
      </w:r>
      <w:r w:rsidRPr="005F0A67">
        <w:rPr>
          <w:rFonts w:asciiTheme="majorBidi" w:eastAsia="Times New Roman" w:hAnsiTheme="majorBidi" w:cstheme="majorBidi"/>
          <w:i/>
          <w:iCs/>
          <w:color w:val="000000"/>
          <w:lang w:val="fr-FR" w:eastAsia="en-GB"/>
        </w:rPr>
        <w:t>et al.</w:t>
      </w:r>
      <w:r w:rsidRPr="005F0A67">
        <w:rPr>
          <w:rFonts w:asciiTheme="majorBidi" w:eastAsia="Times New Roman" w:hAnsiTheme="majorBidi" w:cstheme="majorBidi"/>
          <w:color w:val="000000"/>
          <w:lang w:val="fr-FR" w:eastAsia="en-GB"/>
        </w:rPr>
        <w:t>, 2025)</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fr-FR" w:eastAsia="en-GB"/>
        </w:rPr>
        <w:t>.</w:t>
      </w:r>
    </w:p>
    <w:p w14:paraId="7BFDB260" w14:textId="77777777" w:rsidR="005F0A67" w:rsidRPr="005F0A67" w:rsidRDefault="005F0A67" w:rsidP="005F0A67">
      <w:pPr>
        <w:numPr>
          <w:ilvl w:val="1"/>
          <w:numId w:val="12"/>
        </w:numPr>
        <w:tabs>
          <w:tab w:val="clear" w:pos="567"/>
          <w:tab w:val="clear" w:pos="1134"/>
          <w:tab w:val="clear" w:pos="1701"/>
          <w:tab w:val="clear" w:pos="2268"/>
        </w:tabs>
        <w:spacing w:before="320" w:after="160"/>
        <w:ind w:left="576" w:hanging="576"/>
        <w:jc w:val="left"/>
        <w:outlineLvl w:val="1"/>
        <w:rPr>
          <w:rFonts w:asciiTheme="majorBidi" w:eastAsia="Arial" w:hAnsiTheme="majorBidi" w:cstheme="majorBidi"/>
          <w:b/>
          <w:bCs/>
          <w:color w:val="1A1A1A"/>
          <w:sz w:val="23"/>
          <w:szCs w:val="23"/>
          <w:lang w:val="en-CA" w:eastAsia="en-GB"/>
        </w:rPr>
      </w:pPr>
      <w:bookmarkStart w:id="40" w:name="_Toc234579542"/>
      <w:bookmarkStart w:id="41" w:name="_Ref228992105"/>
      <w:r w:rsidRPr="005F0A67">
        <w:rPr>
          <w:rFonts w:asciiTheme="majorBidi" w:eastAsia="Arial" w:hAnsiTheme="majorBidi" w:cstheme="majorBidi"/>
          <w:b/>
          <w:bCs/>
          <w:color w:val="1A1A1A"/>
          <w:sz w:val="23"/>
          <w:szCs w:val="23"/>
          <w:lang w:val="en-CA" w:eastAsia="en-GB"/>
        </w:rPr>
        <w:t>The International Seabed Authority</w:t>
      </w:r>
      <w:bookmarkEnd w:id="40"/>
      <w:r w:rsidRPr="005F0A67">
        <w:rPr>
          <w:rFonts w:asciiTheme="majorBidi" w:eastAsia="Arial" w:hAnsiTheme="majorBidi" w:cstheme="majorBidi"/>
          <w:b/>
          <w:bCs/>
          <w:color w:val="1A1A1A"/>
          <w:sz w:val="23"/>
          <w:szCs w:val="23"/>
          <w:lang w:val="en-CA" w:eastAsia="en-GB"/>
        </w:rPr>
        <w:t xml:space="preserve"> </w:t>
      </w:r>
    </w:p>
    <w:p w14:paraId="4EB1025D"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The International Seabed Authority (ISA) is not itself an access and benefit-sharing mechanism, but its payment system offers a useful reference point for designing private-sector contributions within an international regime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{"citationID":"SD02U0mx","properties":{"unsorted":false,"formattedCitation":"(Feichtner, 2019; Willaert, 2022)","plainCitation":"(Feichtner, 2019; Willaert, 2022)","noteIndex":0},"citationItems":[{"id":287,"uris":["http://zotero.org/users/14977742/items/KRMQ4ZDZ"],"itemData":{"id":287,"type":"article-journal","abstract":"This article seeks to clarify how the principle of common heritage is being implemented and concretized by the fiscal regime of deep seabed mining. It first explicates the exploitation rationale underlying the common heritage principle. It argues that common heritage is a jurisdictional principle that lays the basis for the international allocation and administration of exploitation rights and, thus, for the effective economic exploitation of seabed minerals. This exploitation bias is strengthened by the perceived remoteness of deep seabed mining and the real institutional disembeddedness of the International Seabed Authority (ISA). To better understand the distribution conflicts that the law of deep seabed mining addresses, the article introduces two (competing) sets of public interest objectives: participation in exploitation and revenue generation pursued by newly independent (and, today, developing) states and access to raw materials pursued by industrialized states. The article then focuses on the different ways in which the 1982 United Nations Convention on the Law of the Sea and the 1994 Agreement on the Implementation of Part XI promote, reconcile and detract from the identified public interest objectives. It reveals how the participation objective has given way to a focus on market supply and revenue generation, and how the changes of the 1994 Implementation Agreement may be read as an attempt to dissolve the conflict between these competing public interest objectives, and to depoliticize the seabed regime. Third, the article turns to the ongoing work on a mining code for the deep seabed that, inter alia, must implement the ISA’s mandates to generate revenue from deep seabed mining and to redistribute this revenue. It shows how the ISA’s adoption of an individualist stakeholder orientation and its deference to commercial expectations of profitability, in the context of growing political attention to the oceans as a source of economic growth, are further transforming the notion of common heritage and benefit sharing and concomitantly undermine the regime’s redistributive ambitions. It also clarifies how the sponsorship of deep seabed mining by small Pacific island states holds only little promise of significant public revenue generation for these states, but may work to undermine solidarity among developing states. The article ends with a call on international lawyers to recognize the designing of a mining code for the deep seabed as the making of political economy.","citation-key":"feichtnerSharingRichesSea2019","container-title":"European Journal of International Law","DOI":"10.1093/ejil/chz022","ISSN":"0938-5428","issue":"2","journalAbbreviation":"Eur J Int Law","page":"601-633","source":"Silverchair","title":"Sharing the Riches of the Sea: The Redistributive and Fiscal Dimension of Deep Seabed Exploitation","title-short":"Sharing the Riches of the Sea","volume":"30","author":[{"family":"Feichtner","given":"Isabel"}],"issued":{"date-parts":[["2019",7,22]]}}},{"id":288,"uris":["http://zotero.org/users/14977742/items/TZQTDVIN"],"itemData":{"id":288,"type":"article-journal","abstract":"Abstract One of the vital principles within the international regime governing the deep seabed is the status of the Area (comprising the seabed and subsoil beyond national jurisdiction) and its mineral resources as the common heritage of mankind. This abstract concept encompasses a wide array of interrelated components, though one of the most crucial premises is that activities in the Area must be carried out for the benefit of mankind as a whole, entailing equitable sharing of financial and other economic benefits derived from deep sea mining operations. As a result, the International Seabed Authority (ISA) is tasked with developing a suitable payment and distribution mechanism, which takes the needs and interests of developing States into particular consideration. This article analyses the overarching rules and principles, assesses the available options and offers insightful thoughts on the way forward.","citation-key":"willaertFairShareEquitable2022a","container-title":"The International Journal of Marine and Coastal Law","DOI":"10.1163/15718085-bja10086","ISSN":"1571-8085, 0927-3522","issue":"2","language":"eng","page":"217-240","publisher":"Brill Nijhoff","source":"brill.com","title":"Fair Share: Equitable Distribution of Deep Sea Mining Proceeds","title-short":"Fair Share","volume":"37","author":[{"family":"Willaert","given":"Klaas"}],"issued":{"date-parts":[["2022",2,14]]}}}],"schema":"https://github.com/citation-style-language/schema/raw/master/csl-citation.json"}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(Feichtner, 2019; Willaert, 2022)</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An ISA-commissioned technical report recommended a tiered ad valorem royalty beginning at 2% of the total value of metals recovered in the initial production stages, increasing to 6% in later stages; however, exploitation rules were still being negotiated as of early 2026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{"citationID":"at2mj9aoa9","properties":{"unsorted":false,"formattedCitation":"(Kirchain {\\i{}et al.}, 2019; Wilde {\\i{}et al.}, 2023; IISD, 2026)","plainCitation":"(Kirchain et al., 2019; Wilde et al., 2023; IISD, 2026)","noteIndex":0},"citationItems":[{"id":281,"uris":["http://zotero.org/users/14977742/items/IMMMMMD9"],"itemData":{"id":281,"type":"report","citation-key":"zotero-item-2579","publisher":"MIT Materials Systems Laboratory","publisher-place":"Cambridge, MA USA","title":"Report to the International Seabed Authority on the Development of an Economic Model and System of Payments for the Exploitation of Polymetallic Nodules in the Area","URL":"https://isa.org.jm/wp-content/uploads/2022/12/paysysmodel-3jun.pdf","author":[{"family":"Kirchain","given":"Randolph"},{"family":"Roth","given":"Richard"},{"family":"Field III","given":"Frank R."},{"family":"Muñoz-Royo","given":"Carlos"},{"literal":"Thomas Peacock"}],"issued":{"date-parts":[["2019"]]}}},{"id":293,"uris":["http://zotero.org/users/14977742/items/P2XW9GFW"],"itemData":{"id":293,"type":"article-journal","abstract":"The International Seabed Authority is tasked to develop rules for “equitable sharing of financial and other economic benefits” from deep-sea mining activities in the seabed area beyond national jurisdiction. Without this element of the legal regime, the ISA cannot meet its stated aim of ensuring deep-sea mining activities are undertaken for the ‘benefit of [hu]mankind as a whole’, with particular consideration to the interests and needs of developing States. This paper examines proposals made at the ISA to date. It demonstrates, using modelled revenue estimates, that the direct distribution of funds would lead to States receiving economically insignificant benefits. It also examines formulae for dividing benefits between member States, noting a degree of arbitrariness in current proposals. The authors note the merit of an alternative proposal for pooling mining revenue into a ‘Seabed Sustainability Fund’, but question whether, as is currently proposed, the fund should be narrowly focused on deep-sea mining related activities, including activities that should be funded by miners, and/or before mining commences. In addition, aspects of the fund’s proposed governance are examined critically against international best practice. The paper finally raises the importance of the decision-making process for equitable benefit-sharing arrangements meeting the highest standards of process legitimacy, including transparency and consultation. The paper notes that these are decisions about the common heritage of [hu]mankind, which include value questions on which there may be diverse positions, and that set a precedent for other global common resources in the future.","citation-key":"wildeEquitableSharingDeepsea2023","container-title":"Marine Policy","DOI":"10.1016/j.marpol.2023.105572","ISSN":"0308-597X","journalAbbreviation":"Marine Policy","page":"105572","source":"ScienceDirect","title":"Equitable sharing of deep-sea mining benefits: More questions than answers","title-short":"Equitable sharing of deep-sea mining benefits","volume":"151","author":[{"family":"Wilde","given":"Daniel"},{"family":"Lily","given":"Hannah"},{"family":"Craik","given":"Neil"},{"family":"Chakraborty","given":"Anindita"}],"issued":{"date-parts":[["2023",5,1]]}}},{"id":283,"uris":["http://zotero.org/users/14977742/items/NE8CPL7V"],"itemData":{"id":283,"type":"webpage","citation-key":"SummaryReport919","container-title":"IISD Earth Negotiations Bulletin","language":"en","title":"Summary report 9-19 March 2026. 1st Part of the 31st Annual Session of the International Seabed Authority (ISA).","URL":"https://enb.iisd.org/international-seabed-authority-isa-council-31-1-summary","author":[{"literal":"IISD"}],"accessed":{"date-parts":[["2026",5,12]]},"issued":{"date-parts":[["2026",3]]}}}],"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Georgia" w:hAnsiTheme="majorBidi" w:cstheme="majorBidi"/>
          <w:color w:val="000000"/>
          <w:lang w:eastAsia="en-GB"/>
        </w:rPr>
        <w:t xml:space="preserve">(Kirchain </w:t>
      </w:r>
      <w:r w:rsidRPr="005F0A67">
        <w:rPr>
          <w:rFonts w:asciiTheme="majorBidi" w:eastAsia="Georgia" w:hAnsiTheme="majorBidi" w:cstheme="majorBidi"/>
          <w:i/>
          <w:iCs/>
          <w:color w:val="000000"/>
          <w:lang w:eastAsia="en-GB"/>
        </w:rPr>
        <w:t>et al.</w:t>
      </w:r>
      <w:r w:rsidRPr="005F0A67">
        <w:rPr>
          <w:rFonts w:asciiTheme="majorBidi" w:eastAsia="Georgia" w:hAnsiTheme="majorBidi" w:cstheme="majorBidi"/>
          <w:color w:val="000000"/>
          <w:lang w:eastAsia="en-GB"/>
        </w:rPr>
        <w:t xml:space="preserve">, 2019; Wilde </w:t>
      </w:r>
      <w:r w:rsidRPr="005F0A67">
        <w:rPr>
          <w:rFonts w:asciiTheme="majorBidi" w:eastAsia="Georgia" w:hAnsiTheme="majorBidi" w:cstheme="majorBidi"/>
          <w:i/>
          <w:iCs/>
          <w:color w:val="000000"/>
          <w:lang w:eastAsia="en-GB"/>
        </w:rPr>
        <w:t>et al.</w:t>
      </w:r>
      <w:r w:rsidRPr="005F0A67">
        <w:rPr>
          <w:rFonts w:asciiTheme="majorBidi" w:eastAsia="Georgia" w:hAnsiTheme="majorBidi" w:cstheme="majorBidi"/>
          <w:color w:val="000000"/>
          <w:lang w:eastAsia="en-GB"/>
        </w:rPr>
        <w:t>, 2023; IISD, 2026)</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The literature on rate design converges on a lar finding, that profit-based instruments are theoretically more equitable but vulnerable to transfer-pricing abuse and hard to verify when </w:t>
      </w:r>
      <w:r w:rsidRPr="005F0A67">
        <w:rPr>
          <w:rFonts w:asciiTheme="majorBidi" w:eastAsia="Times New Roman" w:hAnsiTheme="majorBidi" w:cstheme="majorBidi"/>
          <w:lang w:val="en-CA" w:eastAsia="en-GB"/>
        </w:rPr>
        <w:lastRenderedPageBreak/>
        <w:t xml:space="preserve">oversight capacity is limited, while straightforward ad valorem schemes are easier to implement and enforce, even though they tend to capture less value over the long term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{"citationID":"HGerhrOa","properties":{"unsorted":false,"formattedCitation":"(Nijen {\\i{}et al.}, 2019; Thiele, Damian and Singh, 2021)","plainCitation":"(Nijen et al., 2019; Thiele, Damian and Singh, 2021)","noteIndex":0},"citationItems":[{"id":285,"uris":["http://zotero.org/users/14977742/items/ZNN6927M"],"itemData":{"id":285,"type":"article-journal","abstract":"Abstract In July 2015, the Council of the International Seabed Authority (ISA) adopted seven priority deliverables for the development of the exploitation code. The first priority was the development of a zero draft of the exploitation regulations. This article focusses on the second priority deliverable, namely the development of a payment mechanism for exploitation activities, following detailed financial and economic models based on proposed business plans. Between 2015 and 2017, five workshops have been organised with 196 active participants from 34 countries. The results so far are synthesised, drawing upon the outcome of these workshops, ISA technical papers, and the scholarly literature.","citation-key":"nijenDevelopmentPaymentRegime2019","container-title":"The International Journal of Marine and Coastal Law","DOI":"10.1163/15718085-13441100","ISSN":"1571-8085, 0927-3522","issue":"4","language":"eng","page":"571-601","publisher":"Brill Nijhoff","source":"brill.com","title":"The Development of a Payment Regime for Deep Sea Mining Activities in the Area through Stakeholder Participation","volume":"34","author":[{"family":"Nijen","given":"Kris Van"},{"family":"Passel","given":"Steven Van"},{"family":"Brown","given":"Chris G."},{"family":"Lodge","given":"Michael W."},{"family":"Segerson","given":"Kathleen"},{"family":"Squires","given":"Dale"}],"issued":{"date-parts":[["2019",11,4]]}}},{"id":291,"uris":["http://zotero.org/users/14977742/items/KTWZAPQH"],"itemData":{"id":291,"type":"article-journal","abstract":"Author: Thiele, Torsten et al.; Genre: Paper; Finally published : 2021-01; Open Access; Title: A comprehensive approach to the payment mechanism for deep seabed mining","citation-key":"thieleComprehensiveApproachPayment2021","DOI":"10.48440/iass.2021.004","language":"eng","publisher":"Institute for Advanced Sustainability Studies (IASS)","source":"publications.rifs-potsdam.de","title":"A comprehensive approach to the payment mechanism for deep seabed mining","URL":"https://publications.rifs-potsdam.de/pubman/faces/ViewItemOverviewPage.jsp?itemId=item_6000737","author":[{"family":"Thiele","given":"Torsten"},{"family":"Damian","given":"H.-P."},{"family":"Singh","given":"Pradeep"}],"accessed":{"date-parts":[["2026",5,11]]},"issued":{"date-parts":[["2021",1]]}}}],"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color w:val="000000"/>
          <w:lang w:val="en-CA" w:eastAsia="en-GB"/>
        </w:rPr>
        <w:t xml:space="preserve">(Nijen </w:t>
      </w:r>
      <w:r w:rsidRPr="005F0A67">
        <w:rPr>
          <w:rFonts w:asciiTheme="majorBidi" w:eastAsia="Times New Roman" w:hAnsiTheme="majorBidi" w:cstheme="majorBidi"/>
          <w:i/>
          <w:iCs/>
          <w:color w:val="000000"/>
          <w:lang w:val="en-CA" w:eastAsia="en-GB"/>
        </w:rPr>
        <w:t>et al.</w:t>
      </w:r>
      <w:r w:rsidRPr="005F0A67">
        <w:rPr>
          <w:rFonts w:asciiTheme="majorBidi" w:eastAsia="Times New Roman" w:hAnsiTheme="majorBidi" w:cstheme="majorBidi"/>
          <w:color w:val="000000"/>
          <w:lang w:val="en-CA" w:eastAsia="en-GB"/>
        </w:rPr>
        <w:t>, 2019; Thiele, Damian and Singh, 2021)</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For the Cali Fund, the key lesson is that contribution levels must be evaluated together with the ease of measurement and the risk of avoidance, rather than in isolation; a seemingly lower but straightforward, verifiable rate may ultimately yield more revenue than a higher nominal rate that is open to dispute and manipulation.</w:t>
      </w:r>
    </w:p>
    <w:p w14:paraId="77B47C6E" w14:textId="77777777" w:rsidR="005F0A67" w:rsidRPr="005F0A67" w:rsidRDefault="005F0A67" w:rsidP="005F0A67">
      <w:pPr>
        <w:numPr>
          <w:ilvl w:val="1"/>
          <w:numId w:val="12"/>
        </w:numPr>
        <w:tabs>
          <w:tab w:val="clear" w:pos="567"/>
          <w:tab w:val="clear" w:pos="1134"/>
          <w:tab w:val="clear" w:pos="1701"/>
          <w:tab w:val="clear" w:pos="2268"/>
        </w:tabs>
        <w:spacing w:before="320" w:after="160"/>
        <w:ind w:left="576" w:hanging="576"/>
        <w:jc w:val="left"/>
        <w:outlineLvl w:val="1"/>
        <w:rPr>
          <w:rFonts w:asciiTheme="majorBidi" w:eastAsia="Arial" w:hAnsiTheme="majorBidi" w:cstheme="majorBidi"/>
          <w:b/>
          <w:bCs/>
          <w:color w:val="1A1A1A"/>
          <w:sz w:val="23"/>
          <w:szCs w:val="23"/>
          <w:lang w:val="en-CA" w:eastAsia="en-GB"/>
        </w:rPr>
      </w:pPr>
      <w:bookmarkStart w:id="42" w:name="_Toc234579543"/>
      <w:r w:rsidRPr="005F0A67">
        <w:rPr>
          <w:rFonts w:asciiTheme="majorBidi" w:eastAsia="Arial" w:hAnsiTheme="majorBidi" w:cstheme="majorBidi"/>
          <w:b/>
          <w:bCs/>
          <w:color w:val="1A1A1A"/>
          <w:sz w:val="23"/>
          <w:szCs w:val="23"/>
          <w:lang w:val="en-CA" w:eastAsia="en-GB"/>
        </w:rPr>
        <w:t>Synthesis and implications for the Cali Fund</w:t>
      </w:r>
      <w:bookmarkEnd w:id="42"/>
    </w:p>
    <w:p w14:paraId="62166F36"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sectPr w:rsidR="005F0A67" w:rsidRPr="005F0A67" w:rsidSect="008B4B27">
          <w:headerReference w:type="even" r:id="rId21"/>
          <w:headerReference w:type="default" r:id="rId22"/>
          <w:footerReference w:type="even" r:id="rId23"/>
          <w:footerReference w:type="default" r:id="rId24"/>
          <w:headerReference w:type="first" r:id="rId25"/>
          <w:pgSz w:w="12240" w:h="15840"/>
          <w:pgMar w:top="1080" w:right="1260" w:bottom="1080" w:left="1260" w:header="706" w:footer="706" w:gutter="0"/>
          <w:cols w:space="720"/>
          <w:titlePg/>
          <w:docGrid w:linePitch="360"/>
        </w:sectPr>
      </w:pP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_Ref235448541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Table 1</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summarises the key features of each mechanism.</w:t>
      </w:r>
    </w:p>
    <w:p w14:paraId="11B55026" w14:textId="77777777" w:rsidR="005F0A67" w:rsidRDefault="005F0A67" w:rsidP="005F0A67">
      <w:pPr>
        <w:tabs>
          <w:tab w:val="clear" w:pos="567"/>
          <w:tab w:val="clear" w:pos="1134"/>
          <w:tab w:val="clear" w:pos="1701"/>
          <w:tab w:val="clear" w:pos="2268"/>
        </w:tabs>
        <w:spacing w:after="200" w:line="312" w:lineRule="auto"/>
        <w:contextualSpacing/>
        <w:rPr>
          <w:rFonts w:asciiTheme="majorBidi" w:eastAsia="Georgia" w:hAnsiTheme="majorBidi" w:cstheme="majorBidi"/>
          <w:b/>
          <w:bCs/>
          <w:color w:val="419844"/>
          <w:lang w:val="en-US" w:eastAsia="ja-JP"/>
        </w:rPr>
      </w:pPr>
      <w:bookmarkStart w:id="43" w:name="_Ref235448541"/>
      <w:r w:rsidRPr="005F0A67">
        <w:rPr>
          <w:rFonts w:asciiTheme="majorBidi" w:eastAsia="Georgia" w:hAnsiTheme="majorBidi" w:cstheme="majorBidi"/>
          <w:b/>
          <w:bCs/>
          <w:color w:val="419844"/>
          <w:lang w:val="en-US" w:eastAsia="ja-JP"/>
        </w:rPr>
        <w:lastRenderedPageBreak/>
        <w:t xml:space="preserve">Table </w:t>
      </w:r>
      <w:r w:rsidRPr="005F0A67">
        <w:rPr>
          <w:rFonts w:asciiTheme="majorBidi" w:eastAsia="Georgia" w:hAnsiTheme="majorBidi" w:cstheme="majorBidi"/>
          <w:b/>
          <w:bCs/>
          <w:color w:val="419844"/>
          <w:lang w:eastAsia="en-GB"/>
        </w:rPr>
        <w:fldChar w:fldCharType="begin"/>
      </w:r>
      <w:r w:rsidRPr="005F0A67">
        <w:rPr>
          <w:rFonts w:asciiTheme="majorBidi" w:eastAsia="Georgia" w:hAnsiTheme="majorBidi" w:cstheme="majorBidi"/>
          <w:b/>
          <w:bCs/>
          <w:color w:val="419844"/>
          <w:lang w:eastAsia="en-GB"/>
        </w:rPr>
        <w:instrText xml:space="preserve"> SEQ Table \* ARABIC </w:instrText>
      </w:r>
      <w:r w:rsidRPr="005F0A67">
        <w:rPr>
          <w:rFonts w:asciiTheme="majorBidi" w:eastAsia="Georgia" w:hAnsiTheme="majorBidi" w:cstheme="majorBidi"/>
          <w:b/>
          <w:bCs/>
          <w:color w:val="419844"/>
          <w:lang w:eastAsia="en-GB"/>
        </w:rPr>
        <w:fldChar w:fldCharType="separate"/>
      </w:r>
      <w:r w:rsidRPr="005F0A67">
        <w:rPr>
          <w:rFonts w:asciiTheme="majorBidi" w:eastAsia="Georgia" w:hAnsiTheme="majorBidi" w:cstheme="majorBidi"/>
          <w:b/>
          <w:bCs/>
          <w:noProof/>
          <w:color w:val="419844"/>
          <w:lang w:eastAsia="en-GB"/>
        </w:rPr>
        <w:t>1</w:t>
      </w:r>
      <w:r w:rsidRPr="005F0A67">
        <w:rPr>
          <w:rFonts w:asciiTheme="majorBidi" w:eastAsia="Georgia" w:hAnsiTheme="majorBidi" w:cstheme="majorBidi"/>
          <w:b/>
          <w:bCs/>
          <w:color w:val="419844"/>
          <w:lang w:eastAsia="en-GB"/>
        </w:rPr>
        <w:fldChar w:fldCharType="end"/>
      </w:r>
      <w:bookmarkEnd w:id="43"/>
      <w:r w:rsidRPr="005F0A67">
        <w:rPr>
          <w:rFonts w:asciiTheme="majorBidi" w:eastAsia="Georgia" w:hAnsiTheme="majorBidi" w:cstheme="majorBidi"/>
          <w:b/>
          <w:bCs/>
          <w:color w:val="419844"/>
          <w:lang w:val="en-US" w:eastAsia="ja-JP"/>
        </w:rPr>
        <w:t xml:space="preserve"> Comparison of analogous benefit-sharing and payment mechanisms </w:t>
      </w:r>
    </w:p>
    <w:p w14:paraId="019446BE" w14:textId="77777777" w:rsidR="00B54840" w:rsidRPr="005F0A67" w:rsidRDefault="00B54840" w:rsidP="005F0A67">
      <w:pPr>
        <w:tabs>
          <w:tab w:val="clear" w:pos="567"/>
          <w:tab w:val="clear" w:pos="1134"/>
          <w:tab w:val="clear" w:pos="1701"/>
          <w:tab w:val="clear" w:pos="2268"/>
        </w:tabs>
        <w:spacing w:after="200" w:line="312" w:lineRule="auto"/>
        <w:contextualSpacing/>
        <w:rPr>
          <w:rFonts w:asciiTheme="majorBidi" w:eastAsia="Georgia" w:hAnsiTheme="majorBidi" w:cstheme="majorBidi"/>
          <w:b/>
          <w:bCs/>
          <w:color w:val="419844"/>
          <w:lang w:eastAsia="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0"/>
        <w:gridCol w:w="2340"/>
        <w:gridCol w:w="2417"/>
        <w:gridCol w:w="2594"/>
        <w:gridCol w:w="2120"/>
        <w:gridCol w:w="2927"/>
      </w:tblGrid>
      <w:tr w:rsidR="005F0A67" w:rsidRPr="005F0A67" w14:paraId="799D1D60" w14:textId="77777777" w:rsidTr="00FB671B">
        <w:trPr>
          <w:trHeight w:val="265"/>
          <w:jc w:val="center"/>
        </w:trPr>
        <w:tc>
          <w:tcPr>
            <w:tcW w:w="0" w:type="auto"/>
            <w:tcBorders>
              <w:top w:val="single" w:sz="1" w:space="0" w:color="AAAAAA"/>
              <w:left w:val="single" w:sz="1" w:space="0" w:color="AAAAAA"/>
              <w:bottom w:val="single" w:sz="1" w:space="0" w:color="AAAAAA"/>
              <w:right w:val="single" w:sz="1" w:space="0" w:color="AAAAAA"/>
            </w:tcBorders>
            <w:shd w:val="clear" w:color="auto" w:fill="1F4E6B"/>
            <w:tcMar>
              <w:top w:w="60" w:type="dxa"/>
              <w:left w:w="100" w:type="dxa"/>
              <w:bottom w:w="60" w:type="dxa"/>
              <w:right w:w="100" w:type="dxa"/>
            </w:tcMar>
          </w:tcPr>
          <w:p w14:paraId="73D07A00"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FFFFFF"/>
                <w:sz w:val="18"/>
                <w:szCs w:val="18"/>
                <w:lang w:val="en-CA" w:eastAsia="en-GB"/>
              </w:rPr>
            </w:pPr>
            <w:r w:rsidRPr="005F0A67">
              <w:rPr>
                <w:rFonts w:asciiTheme="majorBidi" w:eastAsia="Tahoma" w:hAnsiTheme="majorBidi" w:cstheme="majorBidi"/>
                <w:b/>
                <w:bCs/>
                <w:color w:val="FFFFFF"/>
                <w:sz w:val="18"/>
                <w:szCs w:val="18"/>
                <w:lang w:val="en-CA" w:eastAsia="en-GB"/>
              </w:rPr>
              <w:t>Mechanism</w:t>
            </w:r>
          </w:p>
        </w:tc>
        <w:tc>
          <w:tcPr>
            <w:tcW w:w="0" w:type="auto"/>
            <w:tcBorders>
              <w:top w:val="single" w:sz="1" w:space="0" w:color="AAAAAA"/>
              <w:left w:val="single" w:sz="1" w:space="0" w:color="AAAAAA"/>
              <w:bottom w:val="single" w:sz="1" w:space="0" w:color="AAAAAA"/>
              <w:right w:val="single" w:sz="1" w:space="0" w:color="AAAAAA"/>
            </w:tcBorders>
            <w:shd w:val="clear" w:color="auto" w:fill="1F4E6B"/>
            <w:tcMar>
              <w:top w:w="60" w:type="dxa"/>
              <w:left w:w="100" w:type="dxa"/>
              <w:bottom w:w="60" w:type="dxa"/>
              <w:right w:w="100" w:type="dxa"/>
            </w:tcMar>
          </w:tcPr>
          <w:p w14:paraId="1FE534AF"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FFFFFF"/>
                <w:sz w:val="18"/>
                <w:szCs w:val="18"/>
                <w:lang w:val="en-CA" w:eastAsia="en-GB"/>
              </w:rPr>
            </w:pPr>
            <w:r w:rsidRPr="005F0A67">
              <w:rPr>
                <w:rFonts w:asciiTheme="majorBidi" w:eastAsia="Tahoma" w:hAnsiTheme="majorBidi" w:cstheme="majorBidi"/>
                <w:b/>
                <w:bCs/>
                <w:color w:val="FFFFFF"/>
                <w:sz w:val="18"/>
                <w:szCs w:val="18"/>
                <w:lang w:val="en-CA" w:eastAsia="en-GB"/>
              </w:rPr>
              <w:t>Legal status</w:t>
            </w:r>
          </w:p>
        </w:tc>
        <w:tc>
          <w:tcPr>
            <w:tcW w:w="0" w:type="auto"/>
            <w:tcBorders>
              <w:top w:val="single" w:sz="1" w:space="0" w:color="AAAAAA"/>
              <w:left w:val="single" w:sz="1" w:space="0" w:color="AAAAAA"/>
              <w:bottom w:val="single" w:sz="1" w:space="0" w:color="AAAAAA"/>
              <w:right w:val="single" w:sz="1" w:space="0" w:color="AAAAAA"/>
            </w:tcBorders>
            <w:shd w:val="clear" w:color="auto" w:fill="1F4E6B"/>
          </w:tcPr>
          <w:p w14:paraId="3722D998"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FFFFFF"/>
                <w:sz w:val="18"/>
                <w:szCs w:val="18"/>
                <w:lang w:val="en-CA" w:eastAsia="en-GB"/>
              </w:rPr>
            </w:pPr>
            <w:r w:rsidRPr="005F0A67">
              <w:rPr>
                <w:rFonts w:asciiTheme="majorBidi" w:eastAsia="Tahoma" w:hAnsiTheme="majorBidi" w:cstheme="majorBidi"/>
                <w:b/>
                <w:bCs/>
                <w:color w:val="FFFFFF"/>
                <w:sz w:val="18"/>
                <w:szCs w:val="18"/>
                <w:lang w:val="en-CA" w:eastAsia="en-GB"/>
              </w:rPr>
              <w:t>Contribution basis</w:t>
            </w:r>
          </w:p>
        </w:tc>
        <w:tc>
          <w:tcPr>
            <w:tcW w:w="0" w:type="auto"/>
            <w:tcBorders>
              <w:top w:val="single" w:sz="1" w:space="0" w:color="AAAAAA"/>
              <w:left w:val="single" w:sz="1" w:space="0" w:color="AAAAAA"/>
              <w:bottom w:val="single" w:sz="1" w:space="0" w:color="AAAAAA"/>
              <w:right w:val="single" w:sz="1" w:space="0" w:color="AAAAAA"/>
            </w:tcBorders>
            <w:shd w:val="clear" w:color="auto" w:fill="1F4E6B"/>
          </w:tcPr>
          <w:p w14:paraId="4F0262A7"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FFFFFF"/>
                <w:sz w:val="18"/>
                <w:szCs w:val="18"/>
                <w:lang w:val="en-CA" w:eastAsia="en-GB"/>
              </w:rPr>
            </w:pPr>
            <w:r w:rsidRPr="005F0A67">
              <w:rPr>
                <w:rFonts w:asciiTheme="majorBidi" w:eastAsia="Tahoma" w:hAnsiTheme="majorBidi" w:cstheme="majorBidi"/>
                <w:b/>
                <w:bCs/>
                <w:color w:val="FFFFFF"/>
                <w:sz w:val="18"/>
                <w:szCs w:val="18"/>
                <w:lang w:val="en-CA" w:eastAsia="en-GB"/>
              </w:rPr>
              <w:t>Rate</w:t>
            </w:r>
          </w:p>
        </w:tc>
        <w:tc>
          <w:tcPr>
            <w:tcW w:w="0" w:type="auto"/>
            <w:tcBorders>
              <w:top w:val="single" w:sz="1" w:space="0" w:color="AAAAAA"/>
              <w:left w:val="single" w:sz="1" w:space="0" w:color="AAAAAA"/>
              <w:bottom w:val="single" w:sz="1" w:space="0" w:color="AAAAAA"/>
              <w:right w:val="single" w:sz="1" w:space="0" w:color="AAAAAA"/>
            </w:tcBorders>
            <w:shd w:val="clear" w:color="auto" w:fill="1F4E6B"/>
          </w:tcPr>
          <w:p w14:paraId="298F709E"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FFFFFF"/>
                <w:sz w:val="18"/>
                <w:szCs w:val="18"/>
                <w:lang w:val="en-CA" w:eastAsia="en-GB"/>
              </w:rPr>
            </w:pPr>
            <w:r w:rsidRPr="005F0A67">
              <w:rPr>
                <w:rFonts w:asciiTheme="majorBidi" w:eastAsia="Tahoma" w:hAnsiTheme="majorBidi" w:cstheme="majorBidi"/>
                <w:b/>
                <w:bCs/>
                <w:color w:val="FFFFFF"/>
                <w:sz w:val="18"/>
                <w:szCs w:val="18"/>
                <w:lang w:val="en-CA" w:eastAsia="en-GB"/>
              </w:rPr>
              <w:t>Observed participation</w:t>
            </w:r>
          </w:p>
        </w:tc>
        <w:tc>
          <w:tcPr>
            <w:tcW w:w="0" w:type="auto"/>
            <w:tcBorders>
              <w:top w:val="single" w:sz="1" w:space="0" w:color="AAAAAA"/>
              <w:left w:val="single" w:sz="1" w:space="0" w:color="AAAAAA"/>
              <w:bottom w:val="single" w:sz="1" w:space="0" w:color="AAAAAA"/>
              <w:right w:val="single" w:sz="1" w:space="0" w:color="AAAAAA"/>
            </w:tcBorders>
            <w:shd w:val="clear" w:color="auto" w:fill="1F4E6B"/>
          </w:tcPr>
          <w:p w14:paraId="7EE02FF7"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FFFFFF"/>
                <w:sz w:val="18"/>
                <w:szCs w:val="18"/>
                <w:lang w:val="en-CA" w:eastAsia="en-GB"/>
              </w:rPr>
            </w:pPr>
            <w:r w:rsidRPr="005F0A67">
              <w:rPr>
                <w:rFonts w:asciiTheme="majorBidi" w:eastAsia="Tahoma" w:hAnsiTheme="majorBidi" w:cstheme="majorBidi"/>
                <w:b/>
                <w:bCs/>
                <w:color w:val="FFFFFF"/>
                <w:sz w:val="18"/>
                <w:szCs w:val="18"/>
                <w:lang w:val="en-CA" w:eastAsia="en-GB"/>
              </w:rPr>
              <w:t>Key lessons</w:t>
            </w:r>
          </w:p>
        </w:tc>
      </w:tr>
      <w:tr w:rsidR="005F0A67" w:rsidRPr="005F0A67" w14:paraId="0725EA8A" w14:textId="77777777" w:rsidTr="005F0A67">
        <w:trPr>
          <w:trHeight w:val="348"/>
          <w:jc w:val="center"/>
        </w:trPr>
        <w:tc>
          <w:tcPr>
            <w:tcW w:w="0" w:type="auto"/>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tcPr>
          <w:p w14:paraId="1B7CD574"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b/>
                <w:bCs/>
                <w:sz w:val="18"/>
                <w:szCs w:val="18"/>
                <w:lang w:eastAsia="en-GB"/>
              </w:rPr>
            </w:pPr>
            <w:r w:rsidRPr="005F0A67">
              <w:rPr>
                <w:rFonts w:asciiTheme="majorBidi" w:eastAsia="Times New Roman" w:hAnsiTheme="majorBidi" w:cstheme="majorBidi"/>
                <w:sz w:val="18"/>
                <w:szCs w:val="18"/>
                <w:lang w:eastAsia="en-GB"/>
              </w:rPr>
              <w:t>ITPGRFA / MLS (SMTA)</w:t>
            </w:r>
          </w:p>
        </w:tc>
        <w:tc>
          <w:tcPr>
            <w:tcW w:w="0" w:type="auto"/>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tcPr>
          <w:p w14:paraId="1F157412"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val="en-CA" w:eastAsia="en-GB"/>
              </w:rPr>
              <w:t>Binding treaty; contribution route itself voluntary/discretionary depending on option chosen</w:t>
            </w:r>
          </w:p>
        </w:tc>
        <w:tc>
          <w:tcPr>
            <w:tcW w:w="0" w:type="auto"/>
            <w:tcBorders>
              <w:top w:val="single" w:sz="1" w:space="0" w:color="AAAAAA"/>
              <w:left w:val="single" w:sz="1" w:space="0" w:color="AAAAAA"/>
              <w:bottom w:val="single" w:sz="1" w:space="0" w:color="AAAAAA"/>
              <w:right w:val="single" w:sz="1" w:space="0" w:color="AAAAAA"/>
            </w:tcBorders>
          </w:tcPr>
          <w:p w14:paraId="1512A178"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Sales of the specific commercialised product (not total firm revenue)</w:t>
            </w:r>
          </w:p>
        </w:tc>
        <w:tc>
          <w:tcPr>
            <w:tcW w:w="0" w:type="auto"/>
            <w:tcBorders>
              <w:top w:val="single" w:sz="1" w:space="0" w:color="AAAAAA"/>
              <w:left w:val="single" w:sz="1" w:space="0" w:color="AAAAAA"/>
              <w:bottom w:val="single" w:sz="1" w:space="0" w:color="AAAAAA"/>
              <w:right w:val="single" w:sz="1" w:space="0" w:color="AAAAAA"/>
            </w:tcBorders>
          </w:tcPr>
          <w:p w14:paraId="06C944A6"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1.1% of product sales less 30% deduction (≈0.77% effective); or 0.5% alternative scheme on all PGRFA products of the species (Art. 6.11); voluntary, unspecified rate for unrestricted products (Art. 6.8)</w:t>
            </w:r>
          </w:p>
        </w:tc>
        <w:tc>
          <w:tcPr>
            <w:tcW w:w="0" w:type="auto"/>
            <w:tcBorders>
              <w:top w:val="single" w:sz="1" w:space="0" w:color="AAAAAA"/>
              <w:left w:val="single" w:sz="1" w:space="0" w:color="AAAAAA"/>
              <w:bottom w:val="single" w:sz="1" w:space="0" w:color="AAAAAA"/>
              <w:right w:val="single" w:sz="1" w:space="0" w:color="AAAAAA"/>
            </w:tcBorders>
          </w:tcPr>
          <w:p w14:paraId="725B55CA"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USD 824,680 total from 6 companies since 2007 (2.2% of BSF); commissioned projection of USD 10m/year vs. actual ~USD 55,000/year</w:t>
            </w:r>
          </w:p>
        </w:tc>
        <w:tc>
          <w:tcPr>
            <w:tcW w:w="0" w:type="auto"/>
            <w:tcBorders>
              <w:top w:val="single" w:sz="1" w:space="0" w:color="AAAAAA"/>
              <w:left w:val="single" w:sz="1" w:space="0" w:color="AAAAAA"/>
              <w:bottom w:val="single" w:sz="1" w:space="0" w:color="AAAAAA"/>
              <w:right w:val="single" w:sz="1" w:space="0" w:color="AAAAAA"/>
            </w:tcBorders>
          </w:tcPr>
          <w:p w14:paraId="34F71D25"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val="en-CA" w:eastAsia="en-GB"/>
              </w:rPr>
              <w:t>Obligation may be avoidable by sourcing outside MLS; narrow, rarely reached commercialisation trigger; no public-sector fallback if user income falls short</w:t>
            </w:r>
          </w:p>
        </w:tc>
      </w:tr>
      <w:tr w:rsidR="005F0A67" w:rsidRPr="005F0A67" w14:paraId="27852B3C" w14:textId="77777777" w:rsidTr="005F0A67">
        <w:trPr>
          <w:trHeight w:val="348"/>
          <w:jc w:val="center"/>
        </w:trPr>
        <w:tc>
          <w:tcPr>
            <w:tcW w:w="0" w:type="auto"/>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tcPr>
          <w:p w14:paraId="54A3584B"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b/>
                <w:bCs/>
                <w:sz w:val="18"/>
                <w:szCs w:val="18"/>
                <w:lang w:eastAsia="en-GB"/>
              </w:rPr>
            </w:pPr>
            <w:r w:rsidRPr="005F0A67">
              <w:rPr>
                <w:rFonts w:asciiTheme="majorBidi" w:eastAsia="Times New Roman" w:hAnsiTheme="majorBidi" w:cstheme="majorBidi"/>
                <w:sz w:val="18"/>
                <w:szCs w:val="18"/>
                <w:lang w:eastAsia="en-GB"/>
              </w:rPr>
              <w:t>WHO PIP Framework</w:t>
            </w:r>
          </w:p>
        </w:tc>
        <w:tc>
          <w:tcPr>
            <w:tcW w:w="0" w:type="auto"/>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tcPr>
          <w:p w14:paraId="197F1CE0"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Binding on manufacturers relying on GISRS</w:t>
            </w:r>
          </w:p>
        </w:tc>
        <w:tc>
          <w:tcPr>
            <w:tcW w:w="0" w:type="auto"/>
            <w:tcBorders>
              <w:top w:val="single" w:sz="1" w:space="0" w:color="AAAAAA"/>
              <w:left w:val="single" w:sz="1" w:space="0" w:color="AAAAAA"/>
              <w:bottom w:val="single" w:sz="1" w:space="0" w:color="AAAAAA"/>
              <w:right w:val="single" w:sz="1" w:space="0" w:color="AAAAAA"/>
            </w:tcBorders>
          </w:tcPr>
          <w:p w14:paraId="3C8378DE"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Fixed Partnership Contribution tied to GISRS operating costs</w:t>
            </w:r>
          </w:p>
        </w:tc>
        <w:tc>
          <w:tcPr>
            <w:tcW w:w="0" w:type="auto"/>
            <w:tcBorders>
              <w:top w:val="single" w:sz="1" w:space="0" w:color="AAAAAA"/>
              <w:left w:val="single" w:sz="1" w:space="0" w:color="AAAAAA"/>
              <w:bottom w:val="single" w:sz="1" w:space="0" w:color="AAAAAA"/>
              <w:right w:val="single" w:sz="1" w:space="0" w:color="AAAAAA"/>
            </w:tcBorders>
          </w:tcPr>
          <w:p w14:paraId="1AC0BF08"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50% of GISRS operating expenses (~USD 33.7m/year, pooled)</w:t>
            </w:r>
          </w:p>
        </w:tc>
        <w:tc>
          <w:tcPr>
            <w:tcW w:w="0" w:type="auto"/>
            <w:tcBorders>
              <w:top w:val="single" w:sz="1" w:space="0" w:color="AAAAAA"/>
              <w:left w:val="single" w:sz="1" w:space="0" w:color="AAAAAA"/>
              <w:bottom w:val="single" w:sz="1" w:space="0" w:color="AAAAAA"/>
              <w:right w:val="single" w:sz="1" w:space="0" w:color="AAAAAA"/>
            </w:tcBorders>
          </w:tcPr>
          <w:p w14:paraId="6F6D5C56"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17 manufacturers, ~85% of global pandemic vaccine capacity; USD 354.7m collected 2012-2025</w:t>
            </w:r>
          </w:p>
        </w:tc>
        <w:tc>
          <w:tcPr>
            <w:tcW w:w="0" w:type="auto"/>
            <w:tcBorders>
              <w:top w:val="single" w:sz="1" w:space="0" w:color="AAAAAA"/>
              <w:left w:val="single" w:sz="1" w:space="0" w:color="AAAAAA"/>
              <w:bottom w:val="single" w:sz="1" w:space="0" w:color="AAAAAA"/>
              <w:right w:val="single" w:sz="1" w:space="0" w:color="AAAAAA"/>
            </w:tcBorders>
          </w:tcPr>
          <w:p w14:paraId="517C458E"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Success depended on a clearly bounded contributor group, a precisely defined obligation, and burden-sharing that offset first-mover disadvantage — conditions the Cali Fund currently lacks</w:t>
            </w:r>
          </w:p>
        </w:tc>
      </w:tr>
      <w:tr w:rsidR="005F0A67" w:rsidRPr="005F0A67" w14:paraId="380C1ABB" w14:textId="77777777" w:rsidTr="005F0A67">
        <w:trPr>
          <w:trHeight w:val="348"/>
          <w:jc w:val="center"/>
        </w:trPr>
        <w:tc>
          <w:tcPr>
            <w:tcW w:w="0" w:type="auto"/>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tcPr>
          <w:p w14:paraId="3AD85DAF"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b/>
                <w:bCs/>
                <w:sz w:val="18"/>
                <w:szCs w:val="18"/>
                <w:lang w:eastAsia="en-GB"/>
              </w:rPr>
            </w:pPr>
            <w:r w:rsidRPr="005F0A67">
              <w:rPr>
                <w:rFonts w:asciiTheme="majorBidi" w:eastAsia="Times New Roman" w:hAnsiTheme="majorBidi" w:cstheme="majorBidi"/>
                <w:sz w:val="18"/>
                <w:szCs w:val="18"/>
                <w:lang w:eastAsia="en-GB"/>
              </w:rPr>
              <w:t>WHO Pandemic Agreement (PABS)</w:t>
            </w:r>
          </w:p>
        </w:tc>
        <w:tc>
          <w:tcPr>
            <w:tcW w:w="0" w:type="auto"/>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tcPr>
          <w:p w14:paraId="198EE7F4"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Binding (adopted May 2025); implementation details still being negotiated</w:t>
            </w:r>
          </w:p>
        </w:tc>
        <w:tc>
          <w:tcPr>
            <w:tcW w:w="0" w:type="auto"/>
            <w:tcBorders>
              <w:top w:val="single" w:sz="1" w:space="0" w:color="AAAAAA"/>
              <w:left w:val="single" w:sz="1" w:space="0" w:color="AAAAAA"/>
              <w:bottom w:val="single" w:sz="1" w:space="0" w:color="AAAAAA"/>
              <w:right w:val="single" w:sz="1" w:space="0" w:color="AAAAAA"/>
            </w:tcBorders>
          </w:tcPr>
          <w:p w14:paraId="1A654C44"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In-kind: 10–20% of real-time pandemic production, as a condition of accessing pathogen samples/sequences</w:t>
            </w:r>
          </w:p>
        </w:tc>
        <w:tc>
          <w:tcPr>
            <w:tcW w:w="0" w:type="auto"/>
            <w:tcBorders>
              <w:top w:val="single" w:sz="1" w:space="0" w:color="AAAAAA"/>
              <w:left w:val="single" w:sz="1" w:space="0" w:color="AAAAAA"/>
              <w:bottom w:val="single" w:sz="1" w:space="0" w:color="AAAAAA"/>
              <w:right w:val="single" w:sz="1" w:space="0" w:color="AAAAAA"/>
            </w:tcBorders>
          </w:tcPr>
          <w:p w14:paraId="3B2B9143"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Not monetary</w:t>
            </w:r>
          </w:p>
        </w:tc>
        <w:tc>
          <w:tcPr>
            <w:tcW w:w="0" w:type="auto"/>
            <w:tcBorders>
              <w:top w:val="single" w:sz="1" w:space="0" w:color="AAAAAA"/>
              <w:left w:val="single" w:sz="1" w:space="0" w:color="AAAAAA"/>
              <w:bottom w:val="single" w:sz="1" w:space="0" w:color="AAAAAA"/>
              <w:right w:val="single" w:sz="1" w:space="0" w:color="AAAAAA"/>
            </w:tcBorders>
          </w:tcPr>
          <w:p w14:paraId="117098E6"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Not yet operational</w:t>
            </w:r>
          </w:p>
        </w:tc>
        <w:tc>
          <w:tcPr>
            <w:tcW w:w="0" w:type="auto"/>
            <w:tcBorders>
              <w:top w:val="single" w:sz="1" w:space="0" w:color="AAAAAA"/>
              <w:left w:val="single" w:sz="1" w:space="0" w:color="AAAAAA"/>
              <w:bottom w:val="single" w:sz="1" w:space="0" w:color="AAAAAA"/>
              <w:right w:val="single" w:sz="1" w:space="0" w:color="AAAAAA"/>
            </w:tcBorders>
          </w:tcPr>
          <w:p w14:paraId="27A67610"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Creates a direct overlap risk: firms using pathogen DSI may face both potential PABS in-kind obligations and Cali Fund monetary obligations for the same activity</w:t>
            </w:r>
          </w:p>
        </w:tc>
      </w:tr>
      <w:tr w:rsidR="005F0A67" w:rsidRPr="005F0A67" w14:paraId="5334ACF9" w14:textId="77777777" w:rsidTr="005F0A67">
        <w:trPr>
          <w:trHeight w:val="348"/>
          <w:jc w:val="center"/>
        </w:trPr>
        <w:tc>
          <w:tcPr>
            <w:tcW w:w="0" w:type="auto"/>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tcPr>
          <w:p w14:paraId="436A4662"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b/>
                <w:bCs/>
                <w:sz w:val="18"/>
                <w:szCs w:val="18"/>
                <w:lang w:eastAsia="en-GB"/>
              </w:rPr>
            </w:pPr>
            <w:r w:rsidRPr="005F0A67">
              <w:rPr>
                <w:rFonts w:asciiTheme="majorBidi" w:eastAsia="Times New Roman" w:hAnsiTheme="majorBidi" w:cstheme="majorBidi"/>
                <w:sz w:val="18"/>
                <w:szCs w:val="18"/>
                <w:lang w:eastAsia="en-GB"/>
              </w:rPr>
              <w:t>BBNJ Agreement</w:t>
            </w:r>
          </w:p>
        </w:tc>
        <w:tc>
          <w:tcPr>
            <w:tcW w:w="0" w:type="auto"/>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tcPr>
          <w:p w14:paraId="5F1AFE42"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In force (Jan 2026); private-sector payment system not yet designed</w:t>
            </w:r>
          </w:p>
        </w:tc>
        <w:tc>
          <w:tcPr>
            <w:tcW w:w="0" w:type="auto"/>
            <w:tcBorders>
              <w:top w:val="single" w:sz="1" w:space="0" w:color="AAAAAA"/>
              <w:left w:val="single" w:sz="1" w:space="0" w:color="AAAAAA"/>
              <w:bottom w:val="single" w:sz="1" w:space="0" w:color="AAAAAA"/>
              <w:right w:val="single" w:sz="1" w:space="0" w:color="AAAAAA"/>
            </w:tcBorders>
          </w:tcPr>
          <w:p w14:paraId="29990FF5"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Currently government-only (developed States pay into a fund based on assessed budget contributions); private-sector mechanism still undecided</w:t>
            </w:r>
          </w:p>
        </w:tc>
        <w:tc>
          <w:tcPr>
            <w:tcW w:w="0" w:type="auto"/>
            <w:tcBorders>
              <w:top w:val="single" w:sz="1" w:space="0" w:color="AAAAAA"/>
              <w:left w:val="single" w:sz="1" w:space="0" w:color="AAAAAA"/>
              <w:bottom w:val="single" w:sz="1" w:space="0" w:color="AAAAAA"/>
              <w:right w:val="single" w:sz="1" w:space="0" w:color="AAAAAA"/>
            </w:tcBorders>
          </w:tcPr>
          <w:p w14:paraId="7005E5A5"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50% of assessed budget contribution (states only, for now)</w:t>
            </w:r>
          </w:p>
        </w:tc>
        <w:tc>
          <w:tcPr>
            <w:tcW w:w="0" w:type="auto"/>
            <w:tcBorders>
              <w:top w:val="single" w:sz="1" w:space="0" w:color="AAAAAA"/>
              <w:left w:val="single" w:sz="1" w:space="0" w:color="AAAAAA"/>
              <w:bottom w:val="single" w:sz="1" w:space="0" w:color="AAAAAA"/>
              <w:right w:val="single" w:sz="1" w:space="0" w:color="AAAAAA"/>
            </w:tcBorders>
          </w:tcPr>
          <w:p w14:paraId="2D47DB43"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Not yet applicable to private users</w:t>
            </w:r>
          </w:p>
        </w:tc>
        <w:tc>
          <w:tcPr>
            <w:tcW w:w="0" w:type="auto"/>
            <w:tcBorders>
              <w:top w:val="single" w:sz="1" w:space="0" w:color="AAAAAA"/>
              <w:left w:val="single" w:sz="1" w:space="0" w:color="AAAAAA"/>
              <w:bottom w:val="single" w:sz="1" w:space="0" w:color="AAAAAA"/>
              <w:right w:val="single" w:sz="1" w:space="0" w:color="AAAAAA"/>
            </w:tcBorders>
          </w:tcPr>
          <w:p w14:paraId="38B3579B"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Illustrates how far broad political agreement can be from a workable private-sector payment mechanism; disclosure/traceability seen as a prerequisite before firm-level obligations can work</w:t>
            </w:r>
          </w:p>
        </w:tc>
      </w:tr>
      <w:tr w:rsidR="005F0A67" w:rsidRPr="005F0A67" w14:paraId="1AD4FEF5" w14:textId="77777777" w:rsidTr="005F0A67">
        <w:trPr>
          <w:trHeight w:val="348"/>
          <w:jc w:val="center"/>
        </w:trPr>
        <w:tc>
          <w:tcPr>
            <w:tcW w:w="0" w:type="auto"/>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tcPr>
          <w:p w14:paraId="26DCBA3B"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b/>
                <w:bCs/>
                <w:sz w:val="18"/>
                <w:szCs w:val="18"/>
                <w:lang w:eastAsia="en-GB"/>
              </w:rPr>
            </w:pPr>
            <w:r w:rsidRPr="005F0A67">
              <w:rPr>
                <w:rFonts w:asciiTheme="majorBidi" w:eastAsia="Times New Roman" w:hAnsiTheme="majorBidi" w:cstheme="majorBidi"/>
                <w:sz w:val="18"/>
                <w:szCs w:val="18"/>
                <w:lang w:eastAsia="en-GB"/>
              </w:rPr>
              <w:t>International Seabed Authority</w:t>
            </w:r>
          </w:p>
        </w:tc>
        <w:tc>
          <w:tcPr>
            <w:tcW w:w="0" w:type="auto"/>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tcPr>
          <w:p w14:paraId="7CE120E1"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Not an ABS mechanism, but a comparable royalty-design precedent</w:t>
            </w:r>
          </w:p>
        </w:tc>
        <w:tc>
          <w:tcPr>
            <w:tcW w:w="0" w:type="auto"/>
            <w:tcBorders>
              <w:top w:val="single" w:sz="1" w:space="0" w:color="AAAAAA"/>
              <w:left w:val="single" w:sz="1" w:space="0" w:color="AAAAAA"/>
              <w:bottom w:val="single" w:sz="1" w:space="0" w:color="AAAAAA"/>
              <w:right w:val="single" w:sz="1" w:space="0" w:color="AAAAAA"/>
            </w:tcBorders>
          </w:tcPr>
          <w:p w14:paraId="63B74176"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Ad valorem on value of resources recovered</w:t>
            </w:r>
          </w:p>
        </w:tc>
        <w:tc>
          <w:tcPr>
            <w:tcW w:w="0" w:type="auto"/>
            <w:tcBorders>
              <w:top w:val="single" w:sz="1" w:space="0" w:color="AAAAAA"/>
              <w:left w:val="single" w:sz="1" w:space="0" w:color="AAAAAA"/>
              <w:bottom w:val="single" w:sz="1" w:space="0" w:color="AAAAAA"/>
              <w:right w:val="single" w:sz="1" w:space="0" w:color="AAAAAA"/>
            </w:tcBorders>
          </w:tcPr>
          <w:p w14:paraId="08573119"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Tiered, 2% rising to 6% (recommended, not yet finalised)</w:t>
            </w:r>
          </w:p>
        </w:tc>
        <w:tc>
          <w:tcPr>
            <w:tcW w:w="0" w:type="auto"/>
            <w:tcBorders>
              <w:top w:val="single" w:sz="1" w:space="0" w:color="AAAAAA"/>
              <w:left w:val="single" w:sz="1" w:space="0" w:color="AAAAAA"/>
              <w:bottom w:val="single" w:sz="1" w:space="0" w:color="AAAAAA"/>
              <w:right w:val="single" w:sz="1" w:space="0" w:color="AAAAAA"/>
            </w:tcBorders>
          </w:tcPr>
          <w:p w14:paraId="14034EC5"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Rules still under negotiation as of 2026</w:t>
            </w:r>
          </w:p>
        </w:tc>
        <w:tc>
          <w:tcPr>
            <w:tcW w:w="0" w:type="auto"/>
            <w:tcBorders>
              <w:top w:val="single" w:sz="1" w:space="0" w:color="AAAAAA"/>
              <w:left w:val="single" w:sz="1" w:space="0" w:color="AAAAAA"/>
              <w:bottom w:val="single" w:sz="1" w:space="0" w:color="AAAAAA"/>
              <w:right w:val="single" w:sz="1" w:space="0" w:color="AAAAAA"/>
            </w:tcBorders>
          </w:tcPr>
          <w:p w14:paraId="5DF1A85E"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Simple ad valorem designs are easier to enforce and audit than profit-based ones, though they may capture less value over time</w:t>
            </w:r>
          </w:p>
        </w:tc>
      </w:tr>
    </w:tbl>
    <w:p w14:paraId="7845CA8D"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sz w:val="18"/>
          <w:szCs w:val="18"/>
          <w:lang w:val="en-CA" w:eastAsia="en-GB"/>
        </w:rPr>
        <w:sectPr w:rsidR="005F0A67" w:rsidRPr="005F0A67" w:rsidSect="005F0A67">
          <w:pgSz w:w="15840" w:h="12240" w:orient="landscape"/>
          <w:pgMar w:top="1260" w:right="1080" w:bottom="1260" w:left="1080" w:header="706" w:footer="706" w:gutter="0"/>
          <w:cols w:space="720"/>
          <w:docGrid w:linePitch="360"/>
        </w:sectPr>
      </w:pPr>
    </w:p>
    <w:p w14:paraId="2878835A"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lastRenderedPageBreak/>
        <w:t>The contrast between the ITPGRFA MLS and PIP experiences together points to the importance of structural conditions in determining whether private sector contributions materialise. The Cali Fund currently shares more structural features with the Plant Treaty’s MLS than with the PIP Framework, and unlike both, lacks a comparable public sector fallback</w:t>
      </w:r>
      <w:r w:rsidRPr="005F0A67">
        <w:rPr>
          <w:rFonts w:asciiTheme="majorBidi" w:eastAsia="Times New Roman" w:hAnsiTheme="majorBidi" w:cstheme="majorBidi"/>
          <w:vertAlign w:val="superscript"/>
          <w:lang w:val="en-CA" w:eastAsia="en-GB"/>
        </w:rPr>
        <w:footnoteReference w:id="22"/>
      </w:r>
      <w:r w:rsidRPr="005F0A67">
        <w:rPr>
          <w:rFonts w:asciiTheme="majorBidi" w:eastAsia="Times New Roman" w:hAnsiTheme="majorBidi" w:cstheme="majorBidi"/>
          <w:lang w:val="en-CA" w:eastAsia="en-GB"/>
        </w:rPr>
        <w:t xml:space="preserve"> to compensate for shortfalls in user-based income. The two mechanisms differ in legal basis, governance, and contributor base, so this comparison is used as the closest available reference point rather than a precise predictive model, except where explicitly used to calibrate the lower bound of the revenue scenarios in Part II, given the mechanisms' shared reliance on voluntary, non-binding contributions.</w:t>
      </w:r>
    </w:p>
    <w:p w14:paraId="3253DE8D"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The design of the contribution rate and its measurement basis have, in comparable mechanisms, been closely linked to how readily the underlying obligation can be defined and verified. Under the Plant Treaty's SMTA, companies may source material from non-Party countries or private collections to sidestep obligations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{"citationID":"a3p1c9avli","properties":{"unsorted":false,"formattedCitation":"\\uldash{(Moeller and Stannard, 2013; Rabitz, 2017)}","plainCitation":"(Moeller and Stannard, 2013; Rabitz, 2017)","noteIndex":0},"citationItems":[{"id":217,"uris":["http://zotero.org/users/14977742/items/ZSZMRNNB"],"itemData":{"id":217,"type":"book","citation-key":"moellerIdentifyingBenefitFlows2013","ISBN":"978-92-5-107925-6","language":"eng","number-of-pages":"281","publisher":"FAO","publisher-place":"Rome","source":"K10plus ISBN","title":"Identifying benefit flows: studies on the potential monetary and non-monetary benefits arising from the International Treaty on Plant Genetic Resources for Food and Agriculture","title-short":"Identifying benefit flows","author":[{"family":"Moeller","given":"Nina Isabella"},{"family":"Stannard","given":"Clive"}],"issued":{"date-parts":[["2013"]]}}},{"id":462,"uris":["http://zotero.org/users/14977742/items/PB3UF4AI"],"itemData":{"id":462,"type":"article-journal","abstract":"The 2001 International Treaty on Plant Genetic Resources for Food andAgriculture established a global network of seed banks which grants facilitated access to crops for breeding purposes while aiming that the resulting commercial benefits are shared fairly and equitably. While the treaty has been successful in terms of access, benefits are not being shared. I analyze the causes for the lack of benefit-sharing in terms of the treaty’s institutional design, implementation challenges and the wider problem structure of plant genetic resources for food and agriculture. Subsequently, I evaluate the options which are currently under discussion for a comprehensive reform. I conclude by proposing a set of measures which would enhance the treaty’s effectiveness both in terms of access to plant genetic resources for food and agriculture and the fair and equitable sharing of relevant benefits.","citation-key":"rabitzAccessBenefitsharingDesign2017","container-title":"International Journal of the Commons","DOI":"10.18352/ijc.736","ISSN":"1875-0281","issue":"2","language":"en","source":"thecommonsjournal.org","title":"Access without benefit-sharing: Design, effectiveness and reform of the FAO Seed Treaty","title-short":"Access without benefit-sharing","URL":"https://thecommonsjournal.org/articles/10.18352/ijc.736","volume":"11","author":[{"family":"Rabitz","given":"Florian"}],"accessed":{"date-parts":[["2026",4,10]]},"issued":{"date-parts":[["2017",10,16]]}}}],"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Georgia" w:hAnsiTheme="majorBidi" w:cstheme="majorBidi"/>
          <w:u w:val="dash"/>
          <w:lang w:eastAsia="en-GB"/>
        </w:rPr>
        <w:t>(Moeller and Stannard, 2013; Rabitz, 2017)</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The equivalent underlying genetic sequence information remains accessible through private databases outside the scope of Decision 16/2, even where publicly available DSI on the same resource is captured by the Cali Fund. The PIP experience adds a further dimension: when scope definitions are tied to physical material transfers rather than actual data use, companies relying on sequence data alone can fall entirely outside the contribution framework. The Cali Fund faces an analogous risk, as its contribution scope is broad in sectoral coverage but lacks clear definitions. Neither DSI itself nor the distinction between direct and indirect uses have been defined, which leaves room for contested interpretation.</w:t>
      </w:r>
    </w:p>
    <w:p w14:paraId="568D8C4E"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The ISA literature underscores a related insight: relatively simple ad valorem contribution models tend to be more enforceable than profit-based arrangements, even if they capture less value over time. Their structure makes them less vulnerable to transfer pricing manipulation and easier to audit where monitoring capacity is constrained. The revenue effects of different rate designs are assessed in the contribution rate analysis in Part II. </w:t>
      </w:r>
    </w:p>
    <w:p w14:paraId="0F4C7850"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Together, the evidence from all four mechanisms shows that rate levels must be assessed alongside measurement feasibility, avoidance risks, and the strength of institutional implementation. To address this, the indicative contribution rates under Decision 16/2 are adjusted for realistic compliance presented in Part II. </w:t>
      </w:r>
    </w:p>
    <w:p w14:paraId="03B03EBA" w14:textId="77777777" w:rsidR="005F0A67" w:rsidRPr="005F0A67" w:rsidRDefault="005F0A67" w:rsidP="005F0A67">
      <w:pPr>
        <w:numPr>
          <w:ilvl w:val="0"/>
          <w:numId w:val="12"/>
        </w:numPr>
        <w:pBdr>
          <w:bottom w:val="single" w:sz="2" w:space="6" w:color="D9D9D9"/>
        </w:pBdr>
        <w:tabs>
          <w:tab w:val="clear" w:pos="567"/>
          <w:tab w:val="clear" w:pos="1134"/>
          <w:tab w:val="clear" w:pos="1701"/>
          <w:tab w:val="clear" w:pos="2268"/>
        </w:tabs>
        <w:spacing w:before="400" w:after="60"/>
        <w:ind w:left="432" w:hanging="432"/>
        <w:jc w:val="left"/>
        <w:outlineLvl w:val="0"/>
        <w:rPr>
          <w:rFonts w:asciiTheme="majorBidi" w:eastAsia="Arial" w:hAnsiTheme="majorBidi" w:cstheme="majorBidi"/>
          <w:b/>
          <w:bCs/>
          <w:color w:val="1A1A1A"/>
          <w:sz w:val="28"/>
          <w:szCs w:val="28"/>
          <w:lang w:val="en-CA" w:eastAsia="en-GB"/>
        </w:rPr>
      </w:pPr>
      <w:bookmarkStart w:id="44" w:name="_Toc234579544"/>
      <w:bookmarkStart w:id="45" w:name="_Toc234579785"/>
      <w:bookmarkStart w:id="46" w:name="_Ref229944942"/>
      <w:bookmarkEnd w:id="34"/>
      <w:r w:rsidRPr="005F0A67">
        <w:rPr>
          <w:rFonts w:asciiTheme="majorBidi" w:eastAsia="Arial" w:hAnsiTheme="majorBidi" w:cstheme="majorBidi"/>
          <w:b/>
          <w:bCs/>
          <w:color w:val="1A1A1A"/>
          <w:sz w:val="28"/>
          <w:szCs w:val="28"/>
          <w:lang w:val="en-CA" w:eastAsia="en-GB"/>
        </w:rPr>
        <w:t>Analytical framework: implications of the DSI MLM design for economic assessment</w:t>
      </w:r>
      <w:bookmarkEnd w:id="41"/>
      <w:bookmarkEnd w:id="44"/>
      <w:bookmarkEnd w:id="45"/>
      <w:r w:rsidRPr="005F0A67">
        <w:rPr>
          <w:rFonts w:asciiTheme="majorBidi" w:eastAsia="Arial" w:hAnsiTheme="majorBidi" w:cstheme="majorBidi"/>
          <w:b/>
          <w:bCs/>
          <w:color w:val="1A1A1A"/>
          <w:sz w:val="28"/>
          <w:szCs w:val="28"/>
          <w:lang w:val="en-CA" w:eastAsia="en-GB"/>
        </w:rPr>
        <w:t xml:space="preserve"> </w:t>
      </w:r>
      <w:bookmarkEnd w:id="46"/>
    </w:p>
    <w:tbl>
      <w:tblPr>
        <w:tblW w:w="9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898"/>
      </w:tblGrid>
      <w:tr w:rsidR="005F0A67" w:rsidRPr="005F0A67" w14:paraId="32FB6BBC" w14:textId="77777777" w:rsidTr="00FB671B">
        <w:trPr>
          <w:trHeight w:hRule="exact" w:val="2652"/>
        </w:trPr>
        <w:tc>
          <w:tcPr>
            <w:tcW w:w="9898" w:type="dxa"/>
            <w:shd w:val="clear" w:color="auto" w:fill="E0F3E3"/>
            <w:tcMar>
              <w:top w:w="200" w:type="dxa"/>
              <w:left w:w="280" w:type="dxa"/>
              <w:bottom w:w="0" w:type="dxa"/>
              <w:right w:w="280" w:type="dxa"/>
            </w:tcMar>
            <w:vAlign w:val="center"/>
          </w:tcPr>
          <w:p w14:paraId="1B6318C0"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lastRenderedPageBreak/>
              <w:t xml:space="preserve">This section translates the design of Decision 16/2 into the analytical parameters applied in Parts I (industry classification standards), II (contribution rates analysis), and III (competitiveness analysis). It identifies the modalities of the mechanism that require explicit methodological positions prior to empirical analysis and clarifies the rationale for presenting results across a range of scenarios due to several uncertainties around companies’ eligibility, participation, and their ultimate level of contribution.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_Ref229583418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 xml:space="preserve">Figure </w:t>
            </w:r>
            <w:r w:rsidRPr="005F0A67">
              <w:rPr>
                <w:rFonts w:asciiTheme="majorBidi" w:eastAsia="Times New Roman" w:hAnsiTheme="majorBidi" w:cstheme="majorBidi"/>
                <w:noProof/>
                <w:lang w:val="en-CA" w:eastAsia="en-GB"/>
              </w:rPr>
              <w:t>2</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presents the participation decision framework that structures the analysis. The summary of all the identified uncertainties can be found in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_Ref229844376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Table 1</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w:t>
            </w:r>
          </w:p>
          <w:p w14:paraId="43B9338C"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p>
        </w:tc>
      </w:tr>
      <w:tr w:rsidR="005F0A67" w:rsidRPr="005F0A67" w14:paraId="084C3806" w14:textId="77777777" w:rsidTr="00FB671B">
        <w:trPr>
          <w:trHeight w:hRule="exact" w:val="98"/>
        </w:trPr>
        <w:tc>
          <w:tcPr>
            <w:tcW w:w="9898" w:type="dxa"/>
            <w:shd w:val="clear" w:color="auto" w:fill="2C5F2E"/>
          </w:tcPr>
          <w:p w14:paraId="7260D805"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p>
        </w:tc>
      </w:tr>
    </w:tbl>
    <w:p w14:paraId="6F0DE990" w14:textId="77777777" w:rsidR="005F0A67" w:rsidRPr="005F0A67" w:rsidRDefault="005F0A67" w:rsidP="005F0A67">
      <w:pPr>
        <w:tabs>
          <w:tab w:val="clear" w:pos="567"/>
          <w:tab w:val="clear" w:pos="1134"/>
          <w:tab w:val="clear" w:pos="1701"/>
          <w:tab w:val="clear" w:pos="2268"/>
        </w:tabs>
        <w:spacing w:before="240" w:after="180" w:line="293"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The factors identified in this section are derived from three primary sources: peer-reviewed literature evaluating the modalities of Decision 16/2, comparative analysis of multilateral contribution models presented in Section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_Ref229573832 \r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3</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and official submissions to CBD intersessional consultations from Parties, industry representatives, and other relevant stakeholders</w:t>
      </w:r>
      <w:r w:rsidRPr="005F0A67">
        <w:rPr>
          <w:rFonts w:asciiTheme="majorBidi" w:eastAsia="Times New Roman" w:hAnsiTheme="majorBidi" w:cstheme="majorBidi"/>
          <w:vertAlign w:val="superscript"/>
          <w:lang w:val="en-CA" w:eastAsia="en-GB"/>
        </w:rPr>
        <w:footnoteReference w:id="23"/>
      </w:r>
      <w:r w:rsidRPr="005F0A67">
        <w:rPr>
          <w:rFonts w:asciiTheme="majorBidi" w:eastAsia="Times New Roman" w:hAnsiTheme="majorBidi" w:cstheme="majorBidi"/>
          <w:lang w:val="en-CA" w:eastAsia="en-GB"/>
        </w:rPr>
        <w:t xml:space="preserve">. CBD notification submissions reflect positions in an ongoing negotiation process and are used here to corroborate factors identified in the academic literature and show relative salience of concerns among the relevant actors, rather than as independent evidence of how firms can be expected to behave. </w:t>
      </w:r>
    </w:p>
    <w:p w14:paraId="03C619AD"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Decision 16/2 sets out indicative parameters pending further development ahead of COP17, which once agreed, may determine entity eligibility, participation behaviour, and contribution burden. Where the decision provides a clear basis, this study makes transparent methodological choices, presented below. Where it does not, the underlying features are treated as uncertainties and reflected in the scenario analysis, because the existing evidence is often insufficient to assign them settled values. The volume of unresolved parameters reflects the early stage of the mechanism’s implementation, and many of the elements discussed here are expressly identified in Decision 16/2 as pending further development ahead of COP17. Each such uncertainty has a direct impact on the revenue analysis in Part II, where the scenario range changes depending on how these parameters are defined, and on the competitiveness analysis in Part III, which examines how they influence the distribution and magnitude of firm-level burdens.</w:t>
      </w:r>
    </w:p>
    <w:p w14:paraId="61D3A5BD" w14:textId="77777777" w:rsidR="005F0A67" w:rsidRPr="005F0A67" w:rsidRDefault="005F0A67" w:rsidP="005F0A67">
      <w:pPr>
        <w:tabs>
          <w:tab w:val="clear" w:pos="567"/>
          <w:tab w:val="clear" w:pos="1134"/>
          <w:tab w:val="clear" w:pos="1701"/>
          <w:tab w:val="clear" w:pos="2268"/>
        </w:tabs>
        <w:spacing w:before="240" w:after="180" w:line="293"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_Ref229583418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 xml:space="preserve">Figure </w:t>
      </w:r>
      <w:r w:rsidRPr="005F0A67">
        <w:rPr>
          <w:rFonts w:asciiTheme="majorBidi" w:eastAsia="Times New Roman" w:hAnsiTheme="majorBidi" w:cstheme="majorBidi"/>
          <w:noProof/>
          <w:lang w:val="en-CA" w:eastAsia="en-GB"/>
        </w:rPr>
        <w:t>2</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organises the three analytical stages that structure this section, each corresponding to firm-level decisions occurring before any contribution into the Fund is made:</w:t>
      </w:r>
    </w:p>
    <w:p w14:paraId="0F8A1DBA" w14:textId="77777777" w:rsidR="005F0A67" w:rsidRPr="005F0A67" w:rsidRDefault="005F0A67" w:rsidP="005F0A67">
      <w:pPr>
        <w:numPr>
          <w:ilvl w:val="0"/>
          <w:numId w:val="34"/>
        </w:numPr>
        <w:tabs>
          <w:tab w:val="clear" w:pos="567"/>
          <w:tab w:val="clear" w:pos="1134"/>
          <w:tab w:val="clear" w:pos="1701"/>
          <w:tab w:val="clear" w:pos="2268"/>
        </w:tabs>
        <w:spacing w:before="240" w:after="180" w:line="293" w:lineRule="auto"/>
        <w:jc w:val="left"/>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Stage 1: a firm self-identifies as eligible or non-eligible (i.e. Who is eligible?);</w:t>
      </w:r>
    </w:p>
    <w:p w14:paraId="40A328C9" w14:textId="77777777" w:rsidR="005F0A67" w:rsidRPr="005F0A67" w:rsidRDefault="005F0A67" w:rsidP="005F0A67">
      <w:pPr>
        <w:numPr>
          <w:ilvl w:val="0"/>
          <w:numId w:val="34"/>
        </w:numPr>
        <w:tabs>
          <w:tab w:val="clear" w:pos="567"/>
          <w:tab w:val="clear" w:pos="1134"/>
          <w:tab w:val="clear" w:pos="1701"/>
          <w:tab w:val="clear" w:pos="2268"/>
        </w:tabs>
        <w:spacing w:before="240" w:after="180" w:line="293" w:lineRule="auto"/>
        <w:jc w:val="left"/>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Stage 2: an eligible firm decides to participate or opts out (i.e. Who participates?); and,</w:t>
      </w:r>
    </w:p>
    <w:p w14:paraId="4E60740C" w14:textId="77777777" w:rsidR="005F0A67" w:rsidRPr="005F0A67" w:rsidRDefault="005F0A67" w:rsidP="005F0A67">
      <w:pPr>
        <w:numPr>
          <w:ilvl w:val="0"/>
          <w:numId w:val="34"/>
        </w:numPr>
        <w:tabs>
          <w:tab w:val="clear" w:pos="567"/>
          <w:tab w:val="clear" w:pos="1134"/>
          <w:tab w:val="clear" w:pos="1701"/>
          <w:tab w:val="clear" w:pos="2268"/>
        </w:tabs>
        <w:spacing w:before="240" w:after="180" w:line="293" w:lineRule="auto"/>
        <w:jc w:val="left"/>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Stage 3: a participating firm determines its contribution (i.e. How much do they contribute?).</w:t>
      </w:r>
    </w:p>
    <w:p w14:paraId="6550BFB5" w14:textId="77777777" w:rsidR="005F0A67" w:rsidRPr="005F0A67" w:rsidRDefault="005F0A67" w:rsidP="005F0A67">
      <w:pPr>
        <w:tabs>
          <w:tab w:val="clear" w:pos="567"/>
          <w:tab w:val="clear" w:pos="1134"/>
          <w:tab w:val="clear" w:pos="1701"/>
          <w:tab w:val="clear" w:pos="2268"/>
        </w:tabs>
        <w:spacing w:before="240" w:after="180" w:line="293"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Sections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_Ref229587181 \r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4.1</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to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_Ref229587197 \r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4.3</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examine each stage sequentially, identifying the key determinants and uncertainties that inform scenario construction in Parts II and III. Section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_Ref230181464 \r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4.4</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provides a summary of the key analytical parameters and their treatment. </w:t>
      </w:r>
    </w:p>
    <w:p w14:paraId="03C8A988" w14:textId="77777777" w:rsidR="00B54840" w:rsidRDefault="00B54840" w:rsidP="005F0A67">
      <w:pPr>
        <w:numPr>
          <w:ilvl w:val="4"/>
          <w:numId w:val="0"/>
        </w:numPr>
        <w:tabs>
          <w:tab w:val="clear" w:pos="567"/>
          <w:tab w:val="clear" w:pos="1134"/>
          <w:tab w:val="clear" w:pos="1701"/>
          <w:tab w:val="clear" w:pos="2268"/>
        </w:tabs>
        <w:spacing w:after="120"/>
        <w:jc w:val="left"/>
        <w:outlineLvl w:val="4"/>
        <w:rPr>
          <w:rFonts w:asciiTheme="majorBidi" w:eastAsia="Georgia" w:hAnsiTheme="majorBidi" w:cstheme="majorBidi"/>
          <w:b/>
          <w:bCs/>
          <w:color w:val="419844"/>
          <w:lang w:eastAsia="en-GB"/>
        </w:rPr>
      </w:pPr>
      <w:bookmarkStart w:id="47" w:name="_Ref229583418"/>
    </w:p>
    <w:p w14:paraId="65D76A4E" w14:textId="16743958" w:rsidR="005F0A67" w:rsidRPr="005F0A67" w:rsidRDefault="005F0A67" w:rsidP="005F0A67">
      <w:pPr>
        <w:numPr>
          <w:ilvl w:val="4"/>
          <w:numId w:val="0"/>
        </w:numPr>
        <w:tabs>
          <w:tab w:val="clear" w:pos="567"/>
          <w:tab w:val="clear" w:pos="1134"/>
          <w:tab w:val="clear" w:pos="1701"/>
          <w:tab w:val="clear" w:pos="2268"/>
        </w:tabs>
        <w:spacing w:after="120"/>
        <w:jc w:val="left"/>
        <w:outlineLvl w:val="4"/>
        <w:rPr>
          <w:rFonts w:asciiTheme="majorBidi" w:eastAsia="Georgia" w:hAnsiTheme="majorBidi" w:cstheme="majorBidi"/>
          <w:b/>
          <w:bCs/>
          <w:color w:val="419844"/>
          <w:lang w:eastAsia="en-GB"/>
        </w:rPr>
      </w:pPr>
      <w:r w:rsidRPr="005F0A67">
        <w:rPr>
          <w:rFonts w:asciiTheme="majorBidi" w:eastAsia="Georgia" w:hAnsiTheme="majorBidi" w:cstheme="majorBidi"/>
          <w:b/>
          <w:bCs/>
          <w:color w:val="419844"/>
          <w:lang w:eastAsia="en-GB"/>
        </w:rPr>
        <w:lastRenderedPageBreak/>
        <w:t xml:space="preserve">Figure </w:t>
      </w:r>
      <w:r w:rsidRPr="005F0A67">
        <w:rPr>
          <w:rFonts w:asciiTheme="majorBidi" w:eastAsia="Georgia" w:hAnsiTheme="majorBidi" w:cstheme="majorBidi"/>
          <w:b/>
          <w:bCs/>
          <w:color w:val="419844"/>
          <w:lang w:eastAsia="en-GB"/>
        </w:rPr>
        <w:fldChar w:fldCharType="begin"/>
      </w:r>
      <w:r w:rsidRPr="005F0A67">
        <w:rPr>
          <w:rFonts w:asciiTheme="majorBidi" w:eastAsia="Georgia" w:hAnsiTheme="majorBidi" w:cstheme="majorBidi"/>
          <w:b/>
          <w:bCs/>
          <w:color w:val="419844"/>
          <w:lang w:eastAsia="en-GB"/>
        </w:rPr>
        <w:instrText>SEQ Figure \* ARABIC</w:instrText>
      </w:r>
      <w:r w:rsidRPr="005F0A67">
        <w:rPr>
          <w:rFonts w:asciiTheme="majorBidi" w:eastAsia="Georgia" w:hAnsiTheme="majorBidi" w:cstheme="majorBidi"/>
          <w:b/>
          <w:bCs/>
          <w:color w:val="419844"/>
          <w:lang w:eastAsia="en-GB"/>
        </w:rPr>
        <w:fldChar w:fldCharType="separate"/>
      </w:r>
      <w:r w:rsidRPr="005F0A67">
        <w:rPr>
          <w:rFonts w:asciiTheme="majorBidi" w:eastAsia="Georgia" w:hAnsiTheme="majorBidi" w:cstheme="majorBidi"/>
          <w:b/>
          <w:bCs/>
          <w:noProof/>
          <w:color w:val="419844"/>
          <w:lang w:eastAsia="en-GB"/>
        </w:rPr>
        <w:t>2</w:t>
      </w:r>
      <w:r w:rsidRPr="005F0A67">
        <w:rPr>
          <w:rFonts w:asciiTheme="majorBidi" w:eastAsia="Georgia" w:hAnsiTheme="majorBidi" w:cstheme="majorBidi"/>
          <w:b/>
          <w:bCs/>
          <w:color w:val="419844"/>
          <w:lang w:eastAsia="en-GB"/>
        </w:rPr>
        <w:fldChar w:fldCharType="end"/>
      </w:r>
      <w:bookmarkEnd w:id="47"/>
      <w:r w:rsidRPr="005F0A67">
        <w:rPr>
          <w:rFonts w:asciiTheme="majorBidi" w:eastAsia="Georgia" w:hAnsiTheme="majorBidi" w:cstheme="majorBidi"/>
          <w:b/>
          <w:bCs/>
          <w:color w:val="419844"/>
          <w:lang w:eastAsia="en-GB"/>
        </w:rPr>
        <w:t xml:space="preserve"> Participation decision framework for the Cali Fund under Decision 16/2 and corresponding sections of the study</w:t>
      </w:r>
    </w:p>
    <w:p w14:paraId="14160D3A" w14:textId="77777777" w:rsidR="005F0A67" w:rsidRPr="005F0A67" w:rsidRDefault="005F0A67" w:rsidP="005F0A67">
      <w:pPr>
        <w:tabs>
          <w:tab w:val="clear" w:pos="567"/>
          <w:tab w:val="clear" w:pos="1134"/>
          <w:tab w:val="clear" w:pos="1701"/>
          <w:tab w:val="clear" w:pos="2268"/>
        </w:tabs>
        <w:spacing w:before="240" w:after="180" w:line="293" w:lineRule="auto"/>
        <w:rPr>
          <w:rFonts w:asciiTheme="majorBidi" w:eastAsia="Times New Roman" w:hAnsiTheme="majorBidi" w:cstheme="majorBidi"/>
          <w:lang w:val="en-CA" w:eastAsia="en-GB"/>
        </w:rPr>
      </w:pPr>
      <w:r w:rsidRPr="005F0A67">
        <w:rPr>
          <w:rFonts w:asciiTheme="majorBidi" w:eastAsia="Times New Roman" w:hAnsiTheme="majorBidi" w:cstheme="majorBidi"/>
          <w:noProof/>
          <w:lang w:val="en-CA" w:eastAsia="en-GB"/>
        </w:rPr>
        <w:drawing>
          <wp:inline distT="0" distB="0" distL="0" distR="0" wp14:anchorId="530D6F26" wp14:editId="456DE6F6">
            <wp:extent cx="6172200" cy="4003040"/>
            <wp:effectExtent l="0" t="0" r="0" b="0"/>
            <wp:docPr id="1661099596" name="Picture 42">
              <a:extLst xmlns:a="http://schemas.openxmlformats.org/drawingml/2006/main">
                <a:ext uri="{FF2B5EF4-FFF2-40B4-BE49-F238E27FC236}">
                  <a16:creationId xmlns:a16="http://schemas.microsoft.com/office/drawing/2014/main" id="{1118DCE2-7932-BC36-7B50-1543AAB8ED8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2">
                      <a:extLst>
                        <a:ext uri="{FF2B5EF4-FFF2-40B4-BE49-F238E27FC236}">
                          <a16:creationId xmlns:a16="http://schemas.microsoft.com/office/drawing/2014/main" id="{1118DCE2-7932-BC36-7B50-1543AAB8ED85}"/>
                        </a:ext>
                      </a:extLst>
                    </pic:cNvPr>
                    <pic:cNvPicPr>
                      <a:picLocks noChangeAspect="1"/>
                    </pic:cNvPicPr>
                  </pic:nvPicPr>
                  <pic:blipFill>
                    <a:blip r:embed="rId26"/>
                    <a:stretch>
                      <a:fillRect/>
                    </a:stretch>
                  </pic:blipFill>
                  <pic:spPr>
                    <a:xfrm>
                      <a:off x="0" y="0"/>
                      <a:ext cx="6172200" cy="4003040"/>
                    </a:xfrm>
                    <a:prstGeom prst="rect">
                      <a:avLst/>
                    </a:prstGeom>
                  </pic:spPr>
                </pic:pic>
              </a:graphicData>
            </a:graphic>
          </wp:inline>
        </w:drawing>
      </w:r>
    </w:p>
    <w:p w14:paraId="2D062A36" w14:textId="77777777" w:rsidR="005F0A67" w:rsidRPr="005F0A67" w:rsidRDefault="005F0A67" w:rsidP="005F0A67">
      <w:pPr>
        <w:tabs>
          <w:tab w:val="clear" w:pos="567"/>
          <w:tab w:val="clear" w:pos="1134"/>
          <w:tab w:val="clear" w:pos="1701"/>
          <w:tab w:val="clear" w:pos="2268"/>
        </w:tabs>
        <w:spacing w:line="293" w:lineRule="auto"/>
        <w:rPr>
          <w:rFonts w:asciiTheme="majorBidi" w:eastAsia="Times New Roman" w:hAnsiTheme="majorBidi" w:cstheme="majorBidi"/>
          <w:i/>
          <w:iCs/>
          <w:sz w:val="18"/>
          <w:szCs w:val="18"/>
          <w:lang w:val="en-CA" w:eastAsia="en-GB"/>
        </w:rPr>
      </w:pPr>
      <w:r w:rsidRPr="005F0A67">
        <w:rPr>
          <w:rFonts w:asciiTheme="majorBidi" w:eastAsia="Times New Roman" w:hAnsiTheme="majorBidi" w:cstheme="majorBidi"/>
          <w:i/>
          <w:iCs/>
          <w:sz w:val="18"/>
          <w:szCs w:val="18"/>
          <w:lang w:val="en-CA" w:eastAsia="en-GB"/>
        </w:rPr>
        <w:t>Notes:</w:t>
      </w:r>
      <w:r w:rsidRPr="005F0A67">
        <w:rPr>
          <w:rFonts w:asciiTheme="majorBidi" w:eastAsia="Times New Roman" w:hAnsiTheme="majorBidi" w:cstheme="majorBidi"/>
          <w:sz w:val="18"/>
          <w:szCs w:val="18"/>
          <w:lang w:val="en-CA" w:eastAsia="en-GB"/>
        </w:rPr>
        <w:t xml:space="preserve"> The framework maps the sequential firm participation logic that structures the analysis in Parts I-III. Key determinants reflect the mechanism's design as specified in Decision 16/2 and core factors shaping firms’ participation decisions (the list is illustrative rather than exhaustive); key uncertainties identify unresolved features that may alter firms’ decisions to participate. In-scope, non-paying firms enter Part III as non-contributing competitors. Blue arrows map the stages onto the relevant parts of the analysis they feed into. </w:t>
      </w:r>
    </w:p>
    <w:p w14:paraId="608E1FAC" w14:textId="77777777" w:rsidR="005F0A67" w:rsidRPr="005F0A67" w:rsidRDefault="005F0A67" w:rsidP="005F0A67">
      <w:pPr>
        <w:numPr>
          <w:ilvl w:val="1"/>
          <w:numId w:val="12"/>
        </w:numPr>
        <w:tabs>
          <w:tab w:val="clear" w:pos="567"/>
          <w:tab w:val="clear" w:pos="1134"/>
          <w:tab w:val="clear" w:pos="1701"/>
          <w:tab w:val="clear" w:pos="2268"/>
        </w:tabs>
        <w:spacing w:before="320" w:after="160"/>
        <w:ind w:left="576" w:hanging="576"/>
        <w:jc w:val="left"/>
        <w:outlineLvl w:val="1"/>
        <w:rPr>
          <w:rFonts w:asciiTheme="majorBidi" w:eastAsia="Arial" w:hAnsiTheme="majorBidi" w:cstheme="majorBidi"/>
          <w:b/>
          <w:bCs/>
          <w:color w:val="1A1A1A"/>
          <w:sz w:val="23"/>
          <w:szCs w:val="23"/>
          <w:lang w:val="en-CA" w:eastAsia="en-GB"/>
        </w:rPr>
      </w:pPr>
      <w:bookmarkStart w:id="48" w:name="_Ref229587181"/>
      <w:bookmarkStart w:id="49" w:name="_Toc234579545"/>
      <w:r w:rsidRPr="005F0A67">
        <w:rPr>
          <w:rFonts w:asciiTheme="majorBidi" w:eastAsia="Arial" w:hAnsiTheme="majorBidi" w:cstheme="majorBidi"/>
          <w:b/>
          <w:bCs/>
          <w:color w:val="1A1A1A"/>
          <w:sz w:val="23"/>
          <w:szCs w:val="23"/>
          <w:lang w:val="en-CA" w:eastAsia="en-GB"/>
        </w:rPr>
        <w:t>Who is eligible?</w:t>
      </w:r>
      <w:bookmarkEnd w:id="48"/>
      <w:bookmarkEnd w:id="49"/>
      <w:r w:rsidRPr="005F0A67">
        <w:rPr>
          <w:rFonts w:asciiTheme="majorBidi" w:eastAsia="Arial" w:hAnsiTheme="majorBidi" w:cstheme="majorBidi"/>
          <w:b/>
          <w:bCs/>
          <w:color w:val="1A1A1A"/>
          <w:sz w:val="23"/>
          <w:szCs w:val="23"/>
          <w:lang w:val="en-CA" w:eastAsia="en-GB"/>
        </w:rPr>
        <w:t xml:space="preserve"> </w:t>
      </w:r>
    </w:p>
    <w:p w14:paraId="47620351"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The entities expected to contribute to the Cali Fund under Decision 16/2 are defined by three criteria: sectoral activity, entity size, and commercial use of DSI in scope of the MLM. Each subsection explains the methodological approach for this study and points out to uncertainties potentially affecting which firms are expected to contribute.</w:t>
      </w:r>
    </w:p>
    <w:p w14:paraId="1626219B" w14:textId="77777777" w:rsidR="005F0A67" w:rsidRPr="005F0A67" w:rsidRDefault="005F0A67" w:rsidP="00B54840">
      <w:pPr>
        <w:tabs>
          <w:tab w:val="clear" w:pos="567"/>
          <w:tab w:val="clear" w:pos="1134"/>
          <w:tab w:val="clear" w:pos="1701"/>
          <w:tab w:val="clear" w:pos="2268"/>
        </w:tabs>
        <w:spacing w:before="320" w:after="160"/>
        <w:ind w:left="720"/>
        <w:jc w:val="left"/>
        <w:outlineLvl w:val="2"/>
        <w:rPr>
          <w:rFonts w:asciiTheme="majorBidi" w:eastAsia="Arial" w:hAnsiTheme="majorBidi" w:cstheme="majorBidi"/>
          <w:b/>
          <w:bCs/>
          <w:color w:val="7F7F7F"/>
          <w:sz w:val="23"/>
          <w:szCs w:val="23"/>
          <w:lang w:val="en-CA" w:eastAsia="en-GB"/>
        </w:rPr>
      </w:pPr>
      <w:bookmarkStart w:id="50" w:name="_Toc234579546"/>
      <w:r w:rsidRPr="005F0A67">
        <w:rPr>
          <w:rFonts w:asciiTheme="majorBidi" w:eastAsia="Arial" w:hAnsiTheme="majorBidi" w:cstheme="majorBidi"/>
          <w:b/>
          <w:bCs/>
          <w:color w:val="7F7F7F"/>
          <w:sz w:val="23"/>
          <w:szCs w:val="23"/>
          <w:lang w:val="en-CA" w:eastAsia="en-GB"/>
        </w:rPr>
        <w:t>Sectoral activity</w:t>
      </w:r>
      <w:bookmarkEnd w:id="50"/>
      <w:r w:rsidRPr="005F0A67">
        <w:rPr>
          <w:rFonts w:asciiTheme="majorBidi" w:eastAsia="Arial" w:hAnsiTheme="majorBidi" w:cstheme="majorBidi"/>
          <w:b/>
          <w:bCs/>
          <w:color w:val="7F7F7F"/>
          <w:sz w:val="23"/>
          <w:szCs w:val="23"/>
          <w:lang w:val="en-CA" w:eastAsia="en-GB"/>
        </w:rPr>
        <w:t xml:space="preserve"> </w:t>
      </w:r>
    </w:p>
    <w:p w14:paraId="4FE3EF5B"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Georgia" w:hAnsiTheme="majorBidi" w:cstheme="majorBidi"/>
          <w:lang w:val="en-CA" w:eastAsia="en-GB"/>
        </w:rPr>
      </w:pPr>
      <w:r w:rsidRPr="005F0A67">
        <w:rPr>
          <w:rFonts w:asciiTheme="majorBidi" w:eastAsia="Georgia" w:hAnsiTheme="majorBidi" w:cstheme="majorBidi"/>
          <w:lang w:val="en-CA" w:eastAsia="en-GB"/>
        </w:rPr>
        <w:t xml:space="preserve">This study covers the indicative sectors listed in Decision 16/2 Enclosure I, as set out in </w:t>
      </w:r>
      <w:r w:rsidRPr="005F0A67">
        <w:rPr>
          <w:rFonts w:asciiTheme="majorBidi" w:eastAsia="Georgia" w:hAnsiTheme="majorBidi" w:cstheme="majorBidi"/>
          <w:lang w:val="en-CA" w:eastAsia="en-GB"/>
        </w:rPr>
        <w:fldChar w:fldCharType="begin"/>
      </w:r>
      <w:r w:rsidRPr="005F0A67">
        <w:rPr>
          <w:rFonts w:asciiTheme="majorBidi" w:eastAsia="Georgia" w:hAnsiTheme="majorBidi" w:cstheme="majorBidi"/>
          <w:lang w:val="en-CA" w:eastAsia="en-GB"/>
        </w:rPr>
        <w:instrText xml:space="preserve"> REF _Ref220762412 \h  \* MERGEFORMAT </w:instrText>
      </w:r>
      <w:r w:rsidRPr="005F0A67">
        <w:rPr>
          <w:rFonts w:asciiTheme="majorBidi" w:eastAsia="Georgia" w:hAnsiTheme="majorBidi" w:cstheme="majorBidi"/>
          <w:lang w:val="en-CA" w:eastAsia="en-GB"/>
        </w:rPr>
      </w:r>
      <w:r w:rsidRPr="005F0A67">
        <w:rPr>
          <w:rFonts w:asciiTheme="majorBidi" w:eastAsia="Georgia" w:hAnsiTheme="majorBidi" w:cstheme="majorBidi"/>
          <w:lang w:val="en-CA" w:eastAsia="en-GB"/>
        </w:rPr>
        <w:fldChar w:fldCharType="separate"/>
      </w:r>
      <w:r w:rsidRPr="005F0A67">
        <w:rPr>
          <w:rFonts w:asciiTheme="majorBidi" w:eastAsia="Georgia" w:hAnsiTheme="majorBidi" w:cstheme="majorBidi"/>
          <w:lang w:val="en-CA" w:eastAsia="en-GB"/>
        </w:rPr>
        <w:t>Box 2</w:t>
      </w:r>
      <w:r w:rsidRPr="005F0A67">
        <w:rPr>
          <w:rFonts w:asciiTheme="majorBidi" w:eastAsia="Georgia" w:hAnsiTheme="majorBidi" w:cstheme="majorBidi"/>
          <w:lang w:val="en-CA" w:eastAsia="en-GB"/>
        </w:rPr>
        <w:fldChar w:fldCharType="end"/>
      </w:r>
      <w:r w:rsidRPr="005F0A67">
        <w:rPr>
          <w:rFonts w:asciiTheme="majorBidi" w:eastAsia="Georgia" w:hAnsiTheme="majorBidi" w:cstheme="majorBidi"/>
          <w:lang w:val="en-CA" w:eastAsia="en-GB"/>
        </w:rPr>
        <w:t xml:space="preserve">. Enclosure I is explicitly described as an 'indicative' list, and in principle, any DSI-using entity could fall within scope regardless of sector. This study nonetheless focuses on these seven sectors for analytical tractability, since reliably identifying DSI use outside them is not feasible at this scale; the choice should be read as a practical boundary, not an authoritative statement of scope. The detailed mapping of Indicative Enclosure I sectors to official industrial classifications is described in Part II, </w:t>
      </w:r>
      <w:r w:rsidRPr="005F0A67">
        <w:rPr>
          <w:rFonts w:asciiTheme="majorBidi" w:eastAsia="Times New Roman" w:hAnsiTheme="majorBidi" w:cstheme="majorBidi"/>
          <w:lang w:val="en-CA" w:eastAsia="en-GB"/>
        </w:rPr>
        <w:t>and should not be read as this study's own assessment of sector reliance on DSI</w:t>
      </w:r>
    </w:p>
    <w:p w14:paraId="76624ACD"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lastRenderedPageBreak/>
        <w:t xml:space="preserve">Throughout the analysis, selected Indicative Enclosure I sector names are abbreviated for brevity. Full designations are as follows: </w:t>
      </w:r>
    </w:p>
    <w:p w14:paraId="33DC8506" w14:textId="77777777" w:rsidR="005F0A67" w:rsidRPr="005F0A67" w:rsidRDefault="005F0A67" w:rsidP="003A387A">
      <w:pPr>
        <w:numPr>
          <w:ilvl w:val="0"/>
          <w:numId w:val="43"/>
        </w:numPr>
        <w:tabs>
          <w:tab w:val="clear" w:pos="567"/>
          <w:tab w:val="clear" w:pos="1134"/>
          <w:tab w:val="clear" w:pos="1701"/>
          <w:tab w:val="clear" w:pos="2268"/>
        </w:tabs>
        <w:spacing w:after="180" w:line="292" w:lineRule="auto"/>
        <w:jc w:val="left"/>
        <w:rPr>
          <w:rFonts w:asciiTheme="majorBidi" w:eastAsia="Georgia" w:hAnsiTheme="majorBidi" w:cstheme="majorBidi"/>
          <w:lang w:val="en-CA" w:eastAsia="en-GB"/>
        </w:rPr>
      </w:pPr>
      <w:r w:rsidRPr="005F0A67">
        <w:rPr>
          <w:rFonts w:asciiTheme="majorBidi" w:eastAsia="Times New Roman" w:hAnsiTheme="majorBidi" w:cstheme="majorBidi"/>
          <w:lang w:val="en-CA" w:eastAsia="en-GB"/>
        </w:rPr>
        <w:t xml:space="preserve">Information and AI refer to information, scientific, and technical services related to DSI including artificial intelligence; </w:t>
      </w:r>
    </w:p>
    <w:p w14:paraId="2DE7F60C" w14:textId="77777777" w:rsidR="005F0A67" w:rsidRPr="005F0A67" w:rsidRDefault="005F0A67" w:rsidP="003A387A">
      <w:pPr>
        <w:numPr>
          <w:ilvl w:val="0"/>
          <w:numId w:val="43"/>
        </w:numPr>
        <w:tabs>
          <w:tab w:val="clear" w:pos="567"/>
          <w:tab w:val="clear" w:pos="1134"/>
          <w:tab w:val="clear" w:pos="1701"/>
          <w:tab w:val="clear" w:pos="2268"/>
        </w:tabs>
        <w:spacing w:after="180" w:line="292" w:lineRule="auto"/>
        <w:jc w:val="left"/>
        <w:rPr>
          <w:rFonts w:asciiTheme="majorBidi" w:eastAsia="Georgia" w:hAnsiTheme="majorBidi" w:cstheme="majorBidi"/>
          <w:lang w:val="en-CA" w:eastAsia="en-GB"/>
        </w:rPr>
      </w:pPr>
      <w:r w:rsidRPr="005F0A67">
        <w:rPr>
          <w:rFonts w:asciiTheme="majorBidi" w:eastAsia="Times New Roman" w:hAnsiTheme="majorBidi" w:cstheme="majorBidi"/>
          <w:lang w:val="en-CA" w:eastAsia="en-GB"/>
        </w:rPr>
        <w:t xml:space="preserve">Laboratory equipment refers to laboratory equipment related to sequencing and DSI use including reagents and supplies. </w:t>
      </w:r>
    </w:p>
    <w:p w14:paraId="36D6ED0C" w14:textId="77777777" w:rsidR="005F0A67" w:rsidRPr="005F0A67" w:rsidRDefault="005F0A67" w:rsidP="003A387A">
      <w:pPr>
        <w:numPr>
          <w:ilvl w:val="0"/>
          <w:numId w:val="43"/>
        </w:numPr>
        <w:tabs>
          <w:tab w:val="clear" w:pos="567"/>
          <w:tab w:val="clear" w:pos="1134"/>
          <w:tab w:val="clear" w:pos="1701"/>
          <w:tab w:val="clear" w:pos="2268"/>
        </w:tabs>
        <w:spacing w:after="180" w:line="292" w:lineRule="auto"/>
        <w:jc w:val="left"/>
        <w:rPr>
          <w:rFonts w:asciiTheme="majorBidi" w:eastAsia="Georgia" w:hAnsiTheme="majorBidi" w:cstheme="majorBidi"/>
          <w:lang w:val="en-CA" w:eastAsia="en-GB"/>
        </w:rPr>
      </w:pPr>
      <w:r w:rsidRPr="005F0A67">
        <w:rPr>
          <w:rFonts w:asciiTheme="majorBidi" w:eastAsia="Times New Roman" w:hAnsiTheme="majorBidi" w:cstheme="majorBidi"/>
          <w:lang w:val="en-CA" w:eastAsia="en-GB"/>
        </w:rPr>
        <w:t>Pharmaceuticals, biotechnology, nutraceuticals, cosmetics, and animal and plant breeding correspond directly to their Enclosure I names.</w:t>
      </w:r>
    </w:p>
    <w:p w14:paraId="6E50B229"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Georgia" w:hAnsiTheme="majorBidi" w:cstheme="majorBidi"/>
          <w:lang w:val="en-CA" w:eastAsia="en-GB"/>
        </w:rPr>
      </w:pPr>
      <w:r w:rsidRPr="005F0A67">
        <w:rPr>
          <w:rFonts w:asciiTheme="majorBidi" w:eastAsia="Georgia" w:hAnsiTheme="majorBidi" w:cstheme="majorBidi"/>
          <w:lang w:val="en-CA" w:eastAsia="en-GB"/>
        </w:rPr>
        <w:t>The indicative list of Enclosure I brings uncertainty as to the inclusion of additional sectors or the deletion of existing ones in the future. Additionally, these sectors are broadly defined, so that some sectors are contesting their status as ‘DSI-reliant’ (see CBD notification 2024-114</w:t>
      </w:r>
      <w:r w:rsidRPr="005F0A67">
        <w:rPr>
          <w:rFonts w:asciiTheme="majorBidi" w:eastAsia="Georgia" w:hAnsiTheme="majorBidi" w:cstheme="majorBidi"/>
          <w:lang w:val="en-CA" w:eastAsia="en-GB"/>
        </w:rPr>
        <w:fldChar w:fldCharType="begin"/>
      </w:r>
      <w:r w:rsidRPr="005F0A67">
        <w:rPr>
          <w:rFonts w:asciiTheme="majorBidi" w:eastAsia="Georgia" w:hAnsiTheme="majorBidi" w:cstheme="majorBidi"/>
          <w:lang w:val="en-CA" w:eastAsia="en-GB"/>
        </w:rPr>
        <w:instrText xml:space="preserve"> ADDIN ZOTERO_ITEM CSL_CITATION {"citationID":"a1nclff53ii","properties":{"unsorted":false,"formattedCitation":"(CBD, 2024b)","plainCitation":"(CBD, 2024b)","noteIndex":0},"citationItems":[{"id":278,"uris":["http://zotero.org/users/14977742/items/SDF3HC2R"],"itemData":{"id":278,"type":"webpage","citation-key":"ConventionBiologicalDiversitya","container-title":"Convention on Biological Diversity","language":"en","title":"Notification 2024-114. The multilateral mechanism for the fair and equitable sharing of benefits from the use of digital sequence information on genetic resources, including a global fund (\"The Cali Fund\"): Submission of views on possible additional modalities of the multilateral mechanism.","URL":"https://www.cbd.int/notifications/2024-114","author":[{"literal":"CBD"}],"accessed":{"date-parts":[["2026",5,13]]},"issued":{"date-parts":[["2024",12]]}}}],"schema":"https://github.com/citation-style-language/schema/raw/master/csl-citation.json"} </w:instrText>
      </w:r>
      <w:r w:rsidRPr="005F0A67">
        <w:rPr>
          <w:rFonts w:asciiTheme="majorBidi" w:eastAsia="Georgia" w:hAnsiTheme="majorBidi" w:cstheme="majorBidi"/>
          <w:lang w:val="en-CA" w:eastAsia="en-GB"/>
        </w:rPr>
        <w:fldChar w:fldCharType="separate"/>
      </w:r>
      <w:r w:rsidRPr="005F0A67">
        <w:rPr>
          <w:rFonts w:asciiTheme="majorBidi" w:eastAsia="Georgia" w:hAnsiTheme="majorBidi" w:cstheme="majorBidi"/>
          <w:lang w:eastAsia="en-GB"/>
        </w:rPr>
        <w:t>(CBD, 2024b)</w:t>
      </w:r>
      <w:r w:rsidRPr="005F0A67">
        <w:rPr>
          <w:rFonts w:asciiTheme="majorBidi" w:eastAsia="Georgia" w:hAnsiTheme="majorBidi" w:cstheme="majorBidi"/>
          <w:lang w:val="en-CA" w:eastAsia="en-GB"/>
        </w:rPr>
        <w:fldChar w:fldCharType="end"/>
      </w:r>
      <w:r w:rsidRPr="005F0A67">
        <w:rPr>
          <w:rFonts w:asciiTheme="majorBidi" w:eastAsia="Georgia" w:hAnsiTheme="majorBidi" w:cstheme="majorBidi"/>
          <w:lang w:val="en-CA" w:eastAsia="en-GB"/>
        </w:rPr>
        <w:t xml:space="preserve">). The common use of industrial classification codes was used in this study in order to refine some sectors such as ‘information and artificial intelligence’ but should not be interpreted as a study on sector reliance on DSI. </w:t>
      </w:r>
    </w:p>
    <w:p w14:paraId="28CFAFB4"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Georgia" w:hAnsiTheme="majorBidi" w:cstheme="majorBidi"/>
          <w:lang w:val="en-CA" w:eastAsia="en-GB"/>
        </w:rPr>
      </w:pPr>
      <w:r w:rsidRPr="005F0A67">
        <w:rPr>
          <w:rFonts w:asciiTheme="majorBidi" w:eastAsia="Times New Roman" w:hAnsiTheme="majorBidi" w:cstheme="majorBidi"/>
          <w:lang w:val="en-CA" w:eastAsia="en-GB"/>
        </w:rPr>
        <w:t>This subjectivity has consequences beyond definitional debate. Because sector membership is used as a proxy for DSI reliance, firms with genuinely low DSI use may be grouped with, and treated on the same basis as, firms with high reliance, or vice versa, which can create inconsistencies in how the mechanism's obligations map onto actual DSI use. This can also lead to an incomplete capture of genuinely DSI-reliant firms whose sector classification places them outside Enclosure I.</w:t>
      </w:r>
    </w:p>
    <w:p w14:paraId="429459F1" w14:textId="77777777" w:rsidR="005F0A67" w:rsidRPr="005F0A67" w:rsidRDefault="005F0A67" w:rsidP="00B54840">
      <w:pPr>
        <w:tabs>
          <w:tab w:val="clear" w:pos="567"/>
          <w:tab w:val="clear" w:pos="1134"/>
          <w:tab w:val="clear" w:pos="1701"/>
          <w:tab w:val="clear" w:pos="2268"/>
        </w:tabs>
        <w:spacing w:before="320" w:after="160"/>
        <w:ind w:left="720"/>
        <w:jc w:val="left"/>
        <w:outlineLvl w:val="2"/>
        <w:rPr>
          <w:rFonts w:asciiTheme="majorBidi" w:eastAsia="Arial" w:hAnsiTheme="majorBidi" w:cstheme="majorBidi"/>
          <w:b/>
          <w:bCs/>
          <w:color w:val="7F7F7F"/>
          <w:sz w:val="23"/>
          <w:szCs w:val="23"/>
          <w:lang w:val="en-CA" w:eastAsia="en-GB"/>
        </w:rPr>
      </w:pPr>
      <w:bookmarkStart w:id="51" w:name="_Ref229931968"/>
      <w:bookmarkStart w:id="52" w:name="_Toc234579547"/>
      <w:r w:rsidRPr="005F0A67">
        <w:rPr>
          <w:rFonts w:asciiTheme="majorBidi" w:eastAsia="Arial" w:hAnsiTheme="majorBidi" w:cstheme="majorBidi"/>
          <w:b/>
          <w:bCs/>
          <w:color w:val="7F7F7F"/>
          <w:sz w:val="23"/>
          <w:szCs w:val="23"/>
          <w:lang w:val="en-CA" w:eastAsia="en-GB"/>
        </w:rPr>
        <w:t>Financial thresholds and entity definition</w:t>
      </w:r>
      <w:bookmarkEnd w:id="51"/>
      <w:bookmarkEnd w:id="52"/>
    </w:p>
    <w:p w14:paraId="504B4C50"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The thresholds presented in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_Ref220762412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Box 2</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are designed to restrict the expectation to larger commercial entities. Large companies often operate through multiple subsidiaries, which are separate legal entities that may each focus on a different business activity or operate in a different country. For the purpose of applying the Decision 16/2 financial thresholds, this study assesses each subsidiary individually rather than treating an entire corporate group as one entity. This approach better reflects where DSI-related activity actually occurs. For example, a large technology multinational corporation may have a subsidiary specialising in bioinformatics that crosses the eligibility thresholds on its own, even though the parent company’s overall revenues are dominated by DSI-unrelated business activities. Assessing the subsidiary separately captures DSI-relevant activity more accurately than looking at the group as a whole. This approach is consistent with the methodology adopted in Makowska-Curran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{"citationID":"7GI7a4LX","properties":{"unsorted":false,"formattedCitation":"(2026)","plainCitation":"(2026)","noteIndex":0},"citationItems":[{"id":77,"uris":["http://zotero.org/users/14977742/items/2PI55QKT"],"itemData":{"id":77,"type":"article-journal","abstract":"This paper provides the first global, firm-level analysis of what the Cali Fund, designed to support global conservation, is likely to raise and how resources would be distributed.","citation-key":"GlobalBiodiversityCommitments","container-title":"Grantham Research Institute on climate change and the environment","language":"en-GB","publisher":"London School of Economics and Political Science (LSE)","title":"From global biodiversity commitments to local action: revenue potential and allocation dynamics of the Cali Fund","title-short":"From global biodiversity commitments to local action","URL":"https://www.lse.ac.uk/granthaminstitute/publication/from-global-biodiversity-commitments-to-local-action-revenue-potential-and-allocation-dynamics-of-the-cali-fund/","author":[{"family":"Makowska-Curran","given":"Agata"}],"accessed":{"date-parts":[["2026",6,3]]},"issued":{"date-parts":[["2026",6]]}},"suppress-author":true}],"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(2026)</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whose firm-level estimates inform the revenue analysis in Part II. </w:t>
      </w:r>
    </w:p>
    <w:p w14:paraId="73BB8A20"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The threshold design raises three analytical issues. The first concerns calibration and is addressed directly in Parts I and II. For the former, Decision 16/2 explicitly requests a study on standards for identifying small, medium, and large entities [paragraph 6(d)], acknowledging that the current thresholds may be considered further for a global mechanism. For the latter, the potential revenue analysis in Part II (“Uncertainty-adjusted revenue range”) tests how sensitive the projected revenues are to the current indicative thresholds. </w:t>
      </w:r>
    </w:p>
    <w:p w14:paraId="7CAEF17F"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The second issue concerns threshold volatility. Because eligibility is assessed as a three-year average, firms whose financials fluctuate significantly across years may find their eligibility status change between reference </w:t>
      </w:r>
      <w:r w:rsidRPr="005F0A67">
        <w:rPr>
          <w:rFonts w:asciiTheme="majorBidi" w:eastAsia="Times New Roman" w:hAnsiTheme="majorBidi" w:cstheme="majorBidi"/>
          <w:lang w:val="en-CA" w:eastAsia="en-GB"/>
        </w:rPr>
        <w:lastRenderedPageBreak/>
        <w:t>periods, introducing some instability into the Fund's revenue base over time. The sensitivity of the eligible population</w:t>
      </w:r>
      <w:r w:rsidRPr="005F0A67">
        <w:rPr>
          <w:rFonts w:asciiTheme="majorBidi" w:eastAsia="Times New Roman" w:hAnsiTheme="majorBidi" w:cstheme="majorBidi"/>
          <w:vertAlign w:val="superscript"/>
          <w:lang w:val="en-CA" w:eastAsia="en-GB"/>
        </w:rPr>
        <w:footnoteReference w:id="24"/>
      </w:r>
      <w:r w:rsidRPr="005F0A67">
        <w:rPr>
          <w:rFonts w:asciiTheme="majorBidi" w:eastAsia="Times New Roman" w:hAnsiTheme="majorBidi" w:cstheme="majorBidi"/>
          <w:lang w:val="en-CA" w:eastAsia="en-GB"/>
        </w:rPr>
        <w:t xml:space="preserve"> and their revenue estimates is also examined in Part II (”Rate and base design sensitivity”). </w:t>
      </w:r>
    </w:p>
    <w:p w14:paraId="5E738959"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Georgia" w:hAnsiTheme="majorBidi" w:cstheme="majorBidi"/>
          <w:lang w:val="en-CA" w:eastAsia="en-GB"/>
        </w:rPr>
        <w:t xml:space="preserve">The third source of uncertainty relates to the definition of the contributing entity. Decision 16/2 does not clarify whether the contributing entity is </w:t>
      </w:r>
      <w:r w:rsidRPr="005F0A67">
        <w:rPr>
          <w:rFonts w:asciiTheme="majorBidi" w:eastAsia="Times New Roman" w:hAnsiTheme="majorBidi" w:cstheme="majorBidi"/>
          <w:lang w:val="en-CA" w:eastAsia="en-GB"/>
        </w:rPr>
        <w:t xml:space="preserve">a </w:t>
      </w:r>
      <w:r w:rsidRPr="005F0A67">
        <w:rPr>
          <w:rFonts w:asciiTheme="majorBidi" w:eastAsia="Georgia" w:hAnsiTheme="majorBidi" w:cstheme="majorBidi"/>
          <w:lang w:val="en-CA" w:eastAsia="en-GB"/>
        </w:rPr>
        <w:t xml:space="preserve">subsidiary or </w:t>
      </w:r>
      <w:r w:rsidRPr="005F0A67">
        <w:rPr>
          <w:rFonts w:asciiTheme="majorBidi" w:eastAsia="Times New Roman" w:hAnsiTheme="majorBidi" w:cstheme="majorBidi"/>
          <w:lang w:val="en-CA" w:eastAsia="en-GB"/>
        </w:rPr>
        <w:t>a</w:t>
      </w:r>
      <w:r w:rsidRPr="005F0A67">
        <w:rPr>
          <w:rFonts w:asciiTheme="majorBidi" w:eastAsia="Georgia" w:hAnsiTheme="majorBidi" w:cstheme="majorBidi"/>
          <w:lang w:val="en-CA" w:eastAsia="en-GB"/>
        </w:rPr>
        <w:t xml:space="preserve"> consolidated corporate group. Under subsidiary-level assessment, a multinational is represented as multiple contributing entities across </w:t>
      </w:r>
      <w:r w:rsidRPr="005F0A67">
        <w:rPr>
          <w:rFonts w:asciiTheme="majorBidi" w:eastAsia="Times New Roman" w:hAnsiTheme="majorBidi" w:cstheme="majorBidi"/>
          <w:lang w:val="en-CA" w:eastAsia="en-GB"/>
        </w:rPr>
        <w:t xml:space="preserve">several </w:t>
      </w:r>
      <w:r w:rsidRPr="005F0A67">
        <w:rPr>
          <w:rFonts w:asciiTheme="majorBidi" w:eastAsia="Georgia" w:hAnsiTheme="majorBidi" w:cstheme="majorBidi"/>
          <w:lang w:val="en-CA" w:eastAsia="en-GB"/>
        </w:rPr>
        <w:t>jurisdictions, wh</w:t>
      </w:r>
      <w:r w:rsidRPr="005F0A67">
        <w:rPr>
          <w:rFonts w:asciiTheme="majorBidi" w:eastAsia="Times New Roman" w:hAnsiTheme="majorBidi" w:cstheme="majorBidi"/>
          <w:lang w:val="en-CA" w:eastAsia="en-GB"/>
        </w:rPr>
        <w:t>ile</w:t>
      </w:r>
      <w:r w:rsidRPr="005F0A67">
        <w:rPr>
          <w:rFonts w:asciiTheme="majorBidi" w:eastAsia="Georgia" w:hAnsiTheme="majorBidi" w:cstheme="majorBidi"/>
          <w:lang w:val="en-CA" w:eastAsia="en-GB"/>
        </w:rPr>
        <w:t xml:space="preserve"> group-level assessment treats the same firm as a single entity. The absence of a clearly defined boundary enables firms to effectively minimise contributions</w:t>
      </w:r>
      <w:r w:rsidRPr="005F0A67">
        <w:rPr>
          <w:rFonts w:asciiTheme="majorBidi" w:eastAsia="Georgia" w:hAnsiTheme="majorBidi" w:cstheme="majorBidi"/>
          <w:vertAlign w:val="superscript"/>
          <w:lang w:val="en-CA" w:eastAsia="en-GB"/>
        </w:rPr>
        <w:footnoteReference w:id="25"/>
      </w:r>
      <w:r w:rsidRPr="005F0A67">
        <w:rPr>
          <w:rFonts w:asciiTheme="majorBidi" w:eastAsia="Georgia" w:hAnsiTheme="majorBidi" w:cstheme="majorBidi"/>
          <w:lang w:val="en-CA" w:eastAsia="en-GB"/>
        </w:rPr>
        <w:t>, as the evidence from the analogous tax literature shows that separate-entity approaches facilitate the shifting of profits and costs, which would reduce the contribution base of the eligible entity</w:t>
      </w:r>
      <w:r w:rsidRPr="005F0A67">
        <w:rPr>
          <w:rFonts w:asciiTheme="majorBidi" w:eastAsia="Georgia" w:hAnsiTheme="majorBidi" w:cstheme="majorBidi"/>
          <w:vertAlign w:val="superscript"/>
          <w:lang w:val="en-CA" w:eastAsia="en-GB"/>
        </w:rPr>
        <w:footnoteReference w:id="26"/>
      </w:r>
      <w:r w:rsidRPr="005F0A67">
        <w:rPr>
          <w:rFonts w:asciiTheme="majorBidi" w:eastAsia="Georgia" w:hAnsiTheme="majorBidi" w:cstheme="majorBidi"/>
          <w:lang w:val="en-CA" w:eastAsia="en-GB"/>
        </w:rPr>
        <w:t xml:space="preserve"> </w:t>
      </w:r>
      <w:r w:rsidRPr="005F0A67">
        <w:rPr>
          <w:rFonts w:asciiTheme="majorBidi" w:eastAsia="Georgia" w:hAnsiTheme="majorBidi" w:cstheme="majorBidi"/>
          <w:lang w:val="en-CA" w:eastAsia="en-GB"/>
        </w:rPr>
        <w:fldChar w:fldCharType="begin"/>
      </w:r>
      <w:r w:rsidRPr="005F0A67">
        <w:rPr>
          <w:rFonts w:asciiTheme="majorBidi" w:eastAsia="Georgia" w:hAnsiTheme="majorBidi" w:cstheme="majorBidi"/>
          <w:lang w:val="en-CA" w:eastAsia="en-GB"/>
        </w:rPr>
        <w:instrText xml:space="preserve"> ADDIN ZOTERO_ITEM CSL_CITATION {"citationID":"r4x3pwCW","properties":{"unsorted":false,"formattedCitation":"(Morgan, 2016; Picciotto, 2019; Beer, de Mooij and Liu, 2020)","plainCitation":"(Morgan, 2016; Picciotto, 2019; Beer, de Mooij and Liu, 2020)","noteIndex":0},"citationItems":[{"id":214,"uris":["http://zotero.org/users/14977742/items/KZNLBC3D"],"itemData":{"id":214,"type":"article-journal","abstract":"Research Highlights and Abstract•Contextualises and clarifies the case for unitary taxation•In so doing sets out the structural and institutional constraints of the current system of taxation for multinational corporations (separate entity status and the arms length principle)•Explores the limits and potentials of current policy initiatives that are shaping the ongoing response to issues of taxation for multinational corporations (from the Organisation for Economic Co-operation and Development (OECD), within the UK and the EC)The tax practices of multinational corporations have become a matter of significant public and political concern. The underlying issues are rooted in the capacity of multinational corporations (MNCs) to construct organisational circuits that shift where sales, revenue and profit are reported. This capacity in turn becomes a focus because of the way MNCs are treated as a series of separate entities, subject to the arm’s length principle. This has become a classic example of a system whose current form and consequences were not foreseen when the original principles were set out. The continued existence of that system owes more to specific interests and inertia than it does to the absence of a viable alternative. Unitary taxation based on formula apportionment clearly resolves the underlying issues and unitary taxation may well ultimately emerge as a new generalised basis for corporate taxation. However, for it to do so, the problems of the current system and the advantages of the alternative need to be more clearly understood within academia, business and on a societal basis. This paper is a contribution to such an understanding.","citation-key":"morganCorporationTaxProblem2016","container-title":"The British Journal of Politics and International Relations","DOI":"10.1177/1369148115623213","ISSN":"1369-1481","issue":"2","language":"EN","page":"463-481","publisher":"SAGE Publications","source":"SAGE Journals","title":"Corporation tax as a problem of MNC organisational circuits: The case for unitary taxation","title-short":"Corporation tax as a problem of MNC organisational circuits","volume":"18","author":[{"family":"Morgan","given":"Jamie"}],"issued":{"date-parts":[["2016",5,1]]}}},{"id":213,"uris":["http://zotero.org/users/14977742/items/ATRRCZ6F"],"itemData":{"id":213,"type":"article-journal","abstract":"This paper traces the history of international corporate taxation, discusses how transnational corporations (TNCs), through their tax advisers, have helped to shape the system, and suggests that this is important in understanding the development of TNCs. It argues that a key competitive advantage of TNCs is their ability to exploit differences in corporate tax rules, as a form of regulatory arbitrage, which is facilitated by the inadequate coordination of those rules. It focuses on the divergence between the understanding in business, economics and international studies that TNCs are unitary firms and the principle which has increasingly hardened in international tax rules, especially on transfer pricing, that the various affiliates of TNCs in different countries should be treated as if they were independent entities dealing with each other at arm’s length. It argues that this facilitates tax avoidance, which is one of the strategies of the exploitation of regulatory differences, or regulatory arbitrage, which has contributed to the growth and oligopolistic dominance of large TNCs. While claiming that they merely obey the laws of each country where they do business, TNCs have taken advantage of their global reach to mould laws and normative practices, and develop structures taking maximum advantage of the loose coordination of global governance regimes.","citation-key":"picciottoInternationalTaxRegulatory2019","container-title":"Transnational Corporations","DOI":"10.18356/7b01478a-en","ISSN":"2076099X","issue":"3","language":"en","page":"27-53","publisher":"United Nations","source":"www.un-ilibrary.org","title":"International tax, regulatory arbitrage and the growth of transnational corporations","volume":"25","author":[{"family":"Picciotto","given":"Sol"}],"issued":{"date-parts":[["2019",6,3]]}}},{"id":215,"uris":["http://zotero.org/users/14977742/items/XWIASJUD"],"itemData":{"id":215,"type":"article-journal","abstract":"This paper reviews the rapidly growing empirical literature on international tax avoidance by multinational corporations. It surveys evidence on the main channels of corporate tax avoidance including transfer mispricing, international debt shifting, treaty shopping, tax deferral, and corporate inversions. Moreover, it performs a meta-analysis of the extensive literature that estimates the overall size of profit shifting. We find that the literature suggests that, on average, a 1 percentage-point lower corporate tax rate will expand before-tax income by 1%—an effect that is larger than reported as the consensus estimate in previous surveys and tends to be increasing over time. The literature on tax avoidance still has several unresolved puzzles and blind spots that require further research.","citation-key":"beerInternationalCorporateTax2020","container-title":"Journal of Economic Surveys","DOI":"10.1111/joes.12305","ISSN":"1467-6419","issue":"3","language":"en","license":"© 2019 John Wiley &amp; Sons Ltd.","note":"_eprint: https://onlinelibrary.wiley.com/doi/pdf/10.1111/joes.12305","page":"660-688","source":"Wiley Online Library","title":"International Corporate Tax Avoidance: A Review of the Channels, Magnitudes, and Blind Spots","title-short":"International Corporate Tax Avoidance","volume":"34","author":[{"family":"Beer","given":"Sebastian"},{"family":"Mooij","given":"Ruud","non-dropping-particle":"de"},{"family":"Liu","given":"Li"}],"issued":{"date-parts":[["2020"]]}}}],"schema":"https://github.com/citation-style-language/schema/raw/master/csl-citation.json"} </w:instrText>
      </w:r>
      <w:r w:rsidRPr="005F0A67">
        <w:rPr>
          <w:rFonts w:asciiTheme="majorBidi" w:eastAsia="Georgia" w:hAnsiTheme="majorBidi" w:cstheme="majorBidi"/>
          <w:lang w:val="en-CA" w:eastAsia="en-GB"/>
        </w:rPr>
        <w:fldChar w:fldCharType="separate"/>
      </w:r>
      <w:r w:rsidRPr="005F0A67">
        <w:rPr>
          <w:rFonts w:asciiTheme="majorBidi" w:eastAsia="Georgia" w:hAnsiTheme="majorBidi" w:cstheme="majorBidi"/>
          <w:noProof/>
          <w:lang w:val="en-CA" w:eastAsia="en-GB"/>
        </w:rPr>
        <w:t>(Morgan, 2016; Picciotto, 2019; Beer, de Mooij and Liu, 2020)</w:t>
      </w:r>
      <w:r w:rsidRPr="005F0A67">
        <w:rPr>
          <w:rFonts w:asciiTheme="majorBidi" w:eastAsia="Georgia" w:hAnsiTheme="majorBidi" w:cstheme="majorBidi"/>
          <w:lang w:val="en-CA" w:eastAsia="en-GB"/>
        </w:rPr>
        <w:fldChar w:fldCharType="end"/>
      </w:r>
      <w:r w:rsidRPr="005F0A67">
        <w:rPr>
          <w:rFonts w:asciiTheme="majorBidi" w:eastAsia="Georgia" w:hAnsiTheme="majorBidi" w:cstheme="majorBidi"/>
          <w:lang w:val="en-CA" w:eastAsia="en-GB"/>
        </w:rPr>
        <w:t xml:space="preserve">. Firms may also simply choose not to join unless the mechanism offers a clear advantage or stronger incentives; for example, studies of optional EU corporate tax consolidation find that firms opt into optional regimes only when doing so lowers their burden, while optional participation can reduce overall revenue </w:t>
      </w:r>
      <w:r w:rsidRPr="005F0A67">
        <w:rPr>
          <w:rFonts w:asciiTheme="majorBidi" w:eastAsia="Georgia" w:hAnsiTheme="majorBidi" w:cstheme="majorBidi"/>
          <w:lang w:val="en-CA" w:eastAsia="en-GB"/>
        </w:rPr>
        <w:fldChar w:fldCharType="begin"/>
      </w:r>
      <w:r w:rsidRPr="005F0A67">
        <w:rPr>
          <w:rFonts w:asciiTheme="majorBidi" w:eastAsia="Georgia" w:hAnsiTheme="majorBidi" w:cstheme="majorBidi"/>
          <w:lang w:val="en-CA" w:eastAsia="en-GB"/>
        </w:rPr>
        <w:instrText xml:space="preserve"> ADDIN ZOTERO_ITEM CSL_CITATION {"citationID":"2RPwgAcJ","properties":{"unsorted":false,"formattedCitation":"(van der Horst, Bettendorf and Rojas-Romagosa, 2007; Devereux and Loretz, 2008)","plainCitation":"(van der Horst, Bettendorf and Rojas-Romagosa, 2007; Devereux and Loretz, 2008)","noteIndex":0},"citationItems":[{"id":212,"uris":["http://zotero.org/users/14977742/items/THH8RP65"],"itemData":{"id":212,"type":"article","abstract":"The European Commission favours the introduction of a consolidated corporate tax base to overcome the distortions arising from the existing system of separate accounting. The blueprints for consolidation are simulated with the applied general equilibrium model CORTAX. We show that the benefits of a common consolidated tax base are limited due to two weaknesses. Formula apportionment, which is needed to allocate the consolidated taxable profits across jurisdictions, creates for MNEs new tax planning possibilities to exploit tax rate differentials in the European Union. In addition, it triggers tax competition as the incentives for member states to attract foreign investment by reducing their tax rates are enforced. The second weakness arises from the unlevel playing field, which is introduced if only part of the firms chooses to participate in the consolidation. The gains from consolidation can be fully grasped if it is obliged for all firms and accompanied by harmonisation of the tax rate.","citation-key":"vanderhorstWillCorporateTax2007","DOI":"10.2139/ssrn.1016948","genre":"SSRN Scholarly Paper","language":"en","number":"1016948","publisher":"Social Science Research Network","publisher-place":"Rochester, NY","source":"papers.ssrn.com","title":"Will Corporate Tax Consolidation Improve Efficiency in the EU?","URL":"https://papers.ssrn.com/abstract=1016948","author":[{"family":"Horst","given":"Albert","non-dropping-particle":"van der"},{"family":"Bettendorf","given":"Leon J. H."},{"family":"Rojas-Romagosa","given":"Hugo"}],"accessed":{"date-parts":[["2026",5,20]]},"issued":{"date-parts":[["2007",9,1]]}}},{"id":211,"uris":["http://zotero.org/users/14977742/items/ZWQERBKG"],"itemData":{"id":211,"type":"article-journal","abstract":"The European Commission proposes to replace the current system of taxing corporate income using separate accounting by a two-step ‘consolidation and apportionment’ procedure. This paper uses a large set of unconsolidated firm-level data to assess the likely impact on corporate tax revenues in each member state. Taking pre-tax profit as given, overall tax revenues would be likely to drop by 2.5 per cent if companies could choose whether to participate. By contrast, if they were forced to participate, total tax revenues would be likely to increase by more than 2 per cent, leaving some European countries - most notably, Spain, Sweden and the UK - better off. We investigate how sensitive these results are to the apportionment factors used.","citation-key":"devereuxEffectsEUFormula2008","container-title":"Fiscal Studies","DOI":"10.1111/j.1475-5890.2008.00067.x","ISSN":"1475-5890","issue":"1","language":"en","license":"© 2008 The Authors","note":"_eprint: https://onlinelibrary.wiley.com/doi/pdf/10.1111/j.1475-5890.2008.00067.x","page":"1-33","source":"Wiley Online Library","title":"The Effects of EU Formula Apportionment on Corporate Tax Revenues","volume":"29","author":[{"family":"Devereux","given":"Michael P."},{"family":"Loretz","given":"Simon"}],"issued":{"date-parts":[["2008"]]}}}],"schema":"https://github.com/citation-style-language/schema/raw/master/csl-citation.json"} </w:instrText>
      </w:r>
      <w:r w:rsidRPr="005F0A67">
        <w:rPr>
          <w:rFonts w:asciiTheme="majorBidi" w:eastAsia="Georgia" w:hAnsiTheme="majorBidi" w:cstheme="majorBidi"/>
          <w:lang w:val="en-CA" w:eastAsia="en-GB"/>
        </w:rPr>
        <w:fldChar w:fldCharType="separate"/>
      </w:r>
      <w:r w:rsidRPr="005F0A67">
        <w:rPr>
          <w:rFonts w:asciiTheme="majorBidi" w:eastAsia="Georgia" w:hAnsiTheme="majorBidi" w:cstheme="majorBidi"/>
          <w:noProof/>
          <w:lang w:val="en-CA" w:eastAsia="en-GB"/>
        </w:rPr>
        <w:t>(van der Horst, Bettendorf and Rojas-Romagosa, 2007; Devereux and Loretz, 2008)</w:t>
      </w:r>
      <w:r w:rsidRPr="005F0A67">
        <w:rPr>
          <w:rFonts w:asciiTheme="majorBidi" w:eastAsia="Georgia" w:hAnsiTheme="majorBidi" w:cstheme="majorBidi"/>
          <w:lang w:val="en-CA" w:eastAsia="en-GB"/>
        </w:rPr>
        <w:fldChar w:fldCharType="end"/>
      </w:r>
      <w:r w:rsidRPr="005F0A67">
        <w:rPr>
          <w:rFonts w:asciiTheme="majorBidi" w:eastAsia="Georgia" w:hAnsiTheme="majorBidi" w:cstheme="majorBidi"/>
          <w:lang w:val="en-CA" w:eastAsia="en-GB"/>
        </w:rPr>
        <w:t xml:space="preserve">. </w:t>
      </w:r>
      <w:r w:rsidRPr="005F0A67">
        <w:rPr>
          <w:rFonts w:asciiTheme="majorBidi" w:eastAsia="Times New Roman" w:hAnsiTheme="majorBidi" w:cstheme="majorBidi"/>
          <w:lang w:val="en-CA" w:eastAsia="en-GB"/>
        </w:rPr>
        <w:t>On the other hand, a s</w:t>
      </w:r>
      <w:r w:rsidRPr="005F0A67">
        <w:rPr>
          <w:rFonts w:asciiTheme="majorBidi" w:eastAsia="Georgia" w:hAnsiTheme="majorBidi" w:cstheme="majorBidi"/>
          <w:lang w:val="en-CA" w:eastAsia="en-GB"/>
        </w:rPr>
        <w:t xml:space="preserve">ubsidiary-level </w:t>
      </w:r>
      <w:r w:rsidRPr="005F0A67">
        <w:rPr>
          <w:rFonts w:asciiTheme="majorBidi" w:eastAsia="Times New Roman" w:hAnsiTheme="majorBidi" w:cstheme="majorBidi"/>
          <w:lang w:val="en-CA" w:eastAsia="en-GB"/>
        </w:rPr>
        <w:t xml:space="preserve">eligibility </w:t>
      </w:r>
      <w:r w:rsidRPr="005F0A67">
        <w:rPr>
          <w:rFonts w:asciiTheme="majorBidi" w:eastAsia="Georgia" w:hAnsiTheme="majorBidi" w:cstheme="majorBidi"/>
          <w:lang w:val="en-CA" w:eastAsia="en-GB"/>
        </w:rPr>
        <w:t>assessment may</w:t>
      </w:r>
      <w:r w:rsidRPr="005F0A67">
        <w:rPr>
          <w:rFonts w:asciiTheme="majorBidi" w:eastAsia="Times New Roman" w:hAnsiTheme="majorBidi" w:cstheme="majorBidi"/>
          <w:lang w:val="en-CA" w:eastAsia="en-GB"/>
        </w:rPr>
        <w:t xml:space="preserve"> support more accurate targeting, by allowing firms to </w:t>
      </w:r>
      <w:r w:rsidRPr="005F0A67">
        <w:rPr>
          <w:rFonts w:asciiTheme="majorBidi" w:eastAsia="Georgia" w:hAnsiTheme="majorBidi" w:cstheme="majorBidi"/>
          <w:lang w:val="en-CA" w:eastAsia="en-GB"/>
        </w:rPr>
        <w:t xml:space="preserve">contribute only through subsidiaries that directly use DSI. </w:t>
      </w:r>
      <w:r w:rsidRPr="005F0A67">
        <w:rPr>
          <w:rFonts w:asciiTheme="majorBidi" w:eastAsia="Times New Roman" w:hAnsiTheme="majorBidi" w:cstheme="majorBidi"/>
          <w:lang w:val="en-CA" w:eastAsia="en-GB"/>
        </w:rPr>
        <w:t>The net effect on Fund revenue is ambiguous and cannot be determined ex ante. Part III examines the competitive implications of entity-level assessment, including whether the absence of ownership and affiliation conditions, equivalent to those in the EU and US frameworks, creates asymmetries between corporate groups that restructure to minimise contributions and those that do not, and what this implies for the level playing field among competing firms in the same sector.</w:t>
      </w:r>
    </w:p>
    <w:p w14:paraId="1169110C" w14:textId="77777777" w:rsidR="005F0A67" w:rsidRPr="005F0A67" w:rsidRDefault="005F0A67" w:rsidP="00B54840">
      <w:pPr>
        <w:tabs>
          <w:tab w:val="clear" w:pos="567"/>
          <w:tab w:val="clear" w:pos="1134"/>
          <w:tab w:val="clear" w:pos="1701"/>
          <w:tab w:val="clear" w:pos="2268"/>
        </w:tabs>
        <w:spacing w:before="320" w:after="160"/>
        <w:ind w:left="720"/>
        <w:jc w:val="left"/>
        <w:outlineLvl w:val="2"/>
        <w:rPr>
          <w:rFonts w:asciiTheme="majorBidi" w:eastAsia="Arial" w:hAnsiTheme="majorBidi" w:cstheme="majorBidi"/>
          <w:b/>
          <w:bCs/>
          <w:color w:val="7F7F7F"/>
          <w:sz w:val="23"/>
          <w:szCs w:val="23"/>
          <w:lang w:val="en-CA" w:eastAsia="en-GB"/>
        </w:rPr>
      </w:pPr>
      <w:bookmarkStart w:id="53" w:name="_Ref229760691"/>
      <w:bookmarkStart w:id="54" w:name="_Toc234579548"/>
      <w:r w:rsidRPr="005F0A67">
        <w:rPr>
          <w:rFonts w:asciiTheme="majorBidi" w:eastAsia="Arial" w:hAnsiTheme="majorBidi" w:cstheme="majorBidi"/>
          <w:b/>
          <w:bCs/>
          <w:color w:val="7F7F7F"/>
          <w:sz w:val="23"/>
          <w:szCs w:val="23"/>
          <w:lang w:val="en-CA" w:eastAsia="en-GB"/>
        </w:rPr>
        <w:t>Commercial DSI use</w:t>
      </w:r>
      <w:bookmarkEnd w:id="53"/>
      <w:bookmarkEnd w:id="54"/>
    </w:p>
    <w:p w14:paraId="06BFBA8D"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Several aspects of the current scope of DSI under the MLM may create uncertainty about which firms are truly eligible, each explored below. </w:t>
      </w:r>
    </w:p>
    <w:p w14:paraId="046467C0" w14:textId="77777777" w:rsidR="005F0A67" w:rsidRPr="005F0A67" w:rsidRDefault="005F0A67" w:rsidP="00B54840">
      <w:pPr>
        <w:tabs>
          <w:tab w:val="clear" w:pos="567"/>
          <w:tab w:val="clear" w:pos="1134"/>
          <w:tab w:val="clear" w:pos="1701"/>
          <w:tab w:val="clear" w:pos="2268"/>
        </w:tabs>
        <w:spacing w:after="120"/>
        <w:jc w:val="left"/>
        <w:outlineLvl w:val="3"/>
        <w:rPr>
          <w:rFonts w:asciiTheme="majorBidi" w:eastAsia="Georgia" w:hAnsiTheme="majorBidi" w:cstheme="majorBidi"/>
          <w:b/>
          <w:bCs/>
          <w:color w:val="0F4761"/>
          <w:lang w:eastAsia="en-GB"/>
        </w:rPr>
      </w:pPr>
      <w:r w:rsidRPr="005F0A67">
        <w:rPr>
          <w:rFonts w:asciiTheme="majorBidi" w:eastAsia="Georgia" w:hAnsiTheme="majorBidi" w:cstheme="majorBidi"/>
          <w:b/>
          <w:bCs/>
          <w:color w:val="0F4761"/>
          <w:lang w:eastAsia="en-GB"/>
        </w:rPr>
        <w:t>Public DSI</w:t>
      </w:r>
    </w:p>
    <w:p w14:paraId="1AECF0E4"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The mechanism only applies to publicly available DSI not under other obligations, which narrows down the scope of the mechanism. For the purposes of eligibility, however, this restriction creates limited uncertainty in practice; firms that use publicly available DSI can reasonably self-identify as eligible under the current binary threshold implicitly imposed by Decision 16/2</w:t>
      </w:r>
      <w:r w:rsidRPr="005F0A67">
        <w:rPr>
          <w:rFonts w:asciiTheme="majorBidi" w:eastAsia="Times New Roman" w:hAnsiTheme="majorBidi" w:cstheme="majorBidi"/>
          <w:vertAlign w:val="superscript"/>
          <w:lang w:val="en-CA" w:eastAsia="en-GB"/>
        </w:rPr>
        <w:footnoteReference w:id="27"/>
      </w:r>
      <w:r w:rsidRPr="005F0A67">
        <w:rPr>
          <w:rFonts w:asciiTheme="majorBidi" w:eastAsia="Times New Roman" w:hAnsiTheme="majorBidi" w:cstheme="majorBidi"/>
          <w:lang w:val="en-CA" w:eastAsia="en-GB"/>
        </w:rPr>
        <w:t xml:space="preserve"> (users vs. non-users). For most, it will be clear</w:t>
      </w:r>
      <w:r w:rsidRPr="005F0A67">
        <w:rPr>
          <w:rFonts w:asciiTheme="majorBidi" w:eastAsia="Times New Roman" w:hAnsiTheme="majorBidi" w:cstheme="majorBidi"/>
          <w:vertAlign w:val="superscript"/>
          <w:lang w:val="en-CA" w:eastAsia="en-GB"/>
        </w:rPr>
        <w:footnoteReference w:id="28"/>
      </w:r>
      <w:r w:rsidRPr="005F0A67">
        <w:rPr>
          <w:rFonts w:asciiTheme="majorBidi" w:eastAsia="Times New Roman" w:hAnsiTheme="majorBidi" w:cstheme="majorBidi"/>
          <w:lang w:val="en-CA" w:eastAsia="en-GB"/>
        </w:rPr>
        <w:t xml:space="preserve"> whether public DSI plays a role in their research and innovation operations or not.</w:t>
      </w:r>
    </w:p>
    <w:p w14:paraId="0EE220E4"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lastRenderedPageBreak/>
        <w:t xml:space="preserve">Determining exactly how much they depend on it is more difficult, and the degree of dependence matters. The current all-in contribution design applies the same rates to total revenues or profits regardless of how intensively a firm uses DSI relative to its overall commercial activity. This means that a firm deriving only a small share of its commercial value from DSI contributes on the same basis as one whose entire operations rely on it. This difficulty has a direct bearing on participation: a firm deriving only a marginal share of its commercial value from DSI has an incentive to avoid the mechanism altogether rather than contribute on a basis it considers disproportionate to its actual DSI-derived benefit, since the current design offers no way to contribute proportionally instead. In practice, companies typically combine public and proprietary (private) sequences in shared internal databases, and the reported ratios of public to private data that are self-declared might be inexact </w:t>
      </w:r>
      <w:bookmarkStart w:id="55" w:name="_Hlk229675848"/>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{"citationID":"RjJJF9qt","properties":{"unsorted":false,"formattedCitation":"(CBD, 2020a)","plainCitation":"(CBD, 2020a)","noteIndex":0},"citationItems":[{"id":273,"uris":["http://zotero.org/users/14977742/items/YGY7VD5E"],"itemData":{"id":273,"type":"report","citation-key":"zotero-item-2594","number":"CBD/DSI/AHTEG/2020/1/4","publisher-place":"Montreal, Canada","title":"Combined study on digital sequence information in public adnd private databases and traceability","URL":"https://www.cbd.int/doc/c/1f8f/d793/57cb114ca40cb6468f479584/dsi-ahteg-2020-01-04-en.pdf","author":[{"literal":"CBD"}],"issued":{"date-parts":[["2020",1,31]]}}}],"schema":"https://github.com/citation-style-language/schema/raw/master/csl-citation.json"}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(CBD, 2020a)</w:t>
      </w:r>
      <w:r w:rsidRPr="005F0A67">
        <w:rPr>
          <w:rFonts w:asciiTheme="majorBidi" w:eastAsia="Times New Roman" w:hAnsiTheme="majorBidi" w:cstheme="majorBidi"/>
          <w:lang w:val="en-CA" w:eastAsia="en-GB"/>
        </w:rPr>
        <w:fldChar w:fldCharType="end"/>
      </w:r>
      <w:bookmarkEnd w:id="55"/>
      <w:r w:rsidRPr="005F0A67">
        <w:rPr>
          <w:rFonts w:asciiTheme="majorBidi" w:eastAsia="Times New Roman" w:hAnsiTheme="majorBidi" w:cstheme="majorBidi"/>
          <w:lang w:val="en-CA" w:eastAsia="en-GB"/>
        </w:rPr>
        <w:t>. The current modalities do not specify whether contributions need to be aligned with the proportion of public DSI used in a company’s activities, possibly due to the fact that tracking and tracing DSI was recognized as impractical (decision 15/9 para 5). Firms are generally able to determine whether DSI was used in the development of a specific product, and in principle could aggregate this determination across their product portfolio to approximate the share of commercial activity attributable to DSI use, without following individual sequences through a supply chain. A proportional design based on this kind of product-level self-declaration would face its own practical and verification challenges but is conceptually distinct from the tracking and tracing problem Decision 15/9 addressed.</w:t>
      </w:r>
    </w:p>
    <w:p w14:paraId="141477F0"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This design also carries a structural risk in the opposite direction: because the contribution obligation attaches specifically to public DSI use, firms may have an incentive to rely more heavily on privately negotiated sequence access or proprietary databases to reduce their exposure, which would run counter to Decision 15/9's own principle that the mechanism be consistent with open data. Neither the current DSI intensity multipliers nor the underlying literature distinguish contributions by source (public versus private database), meaning this risk cannot currently be assessed empirically. Note that COP17 will consider possible additional modalities, including a product or service-based payment into the Cali Fund.</w:t>
      </w:r>
    </w:p>
    <w:p w14:paraId="7049F2FF" w14:textId="77777777" w:rsidR="005F0A67" w:rsidRPr="005F0A67" w:rsidRDefault="005F0A67" w:rsidP="00B54840">
      <w:pPr>
        <w:tabs>
          <w:tab w:val="clear" w:pos="567"/>
          <w:tab w:val="clear" w:pos="1134"/>
          <w:tab w:val="clear" w:pos="1701"/>
          <w:tab w:val="clear" w:pos="2268"/>
        </w:tabs>
        <w:spacing w:after="120"/>
        <w:jc w:val="left"/>
        <w:outlineLvl w:val="3"/>
        <w:rPr>
          <w:rFonts w:asciiTheme="majorBidi" w:eastAsia="Georgia" w:hAnsiTheme="majorBidi" w:cstheme="majorBidi"/>
          <w:b/>
          <w:bCs/>
          <w:color w:val="0F4761"/>
          <w:lang w:eastAsia="en-GB"/>
        </w:rPr>
      </w:pPr>
      <w:bookmarkStart w:id="56" w:name="_Ref230446433"/>
      <w:r w:rsidRPr="005F0A67">
        <w:rPr>
          <w:rFonts w:asciiTheme="majorBidi" w:eastAsia="Georgia" w:hAnsiTheme="majorBidi" w:cstheme="majorBidi"/>
          <w:b/>
          <w:bCs/>
          <w:color w:val="0F4761"/>
          <w:lang w:eastAsia="en-GB"/>
        </w:rPr>
        <w:t>Direct vs. indirect use boundary</w:t>
      </w:r>
      <w:bookmarkEnd w:id="56"/>
    </w:p>
    <w:p w14:paraId="5FFC2568"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Decision 16/2 refers to entities benefiting directly or indirectly from DSI use, without defining this term. In conventional value chain analysis, the differentiation between direct and indirect corresponds to where a firm is situated in the chain in relation to the activity that produces the value added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{"citationID":"NfFzzSEV","properties":{"unsorted":false,"formattedCitation":"(McCormick and Schmitz, 2001)","plainCitation":"(McCormick and Schmitz, 2001)","noteIndex":0},"citationItems":[{"id":271,"uris":["http://zotero.org/users/14977742/items/I374LFMK"],"itemData":{"id":271,"type":"book","abstract":"In developed and developing countries, grassroots organisations are trying to improve thelivelihoods of informal producers. Such organisations have been concerned in particular with thehome-based workers who carry out production tasks or provide services for the garmentindustry. Organisations such as the Self Employed Women’s Association (SEWA) of India,and HomeNet International, both founding members of Women in the Informal Economy:Globalizing and Organizing (WIEGO), have tried to provide homeworkers with informationand organisational strength. Women represent a majority of those working in the garmentsindustry, particularly in home based operations, where they are excluded from formal labourmarket protection and organisation.To read your eBook EPUB file, you must have an eBook reader installed. See the EPUB Download Guidelines for information on accessing EPUB files from IDS OpenDocs on your device. You can also download IDS eBooks for your device directly from Amazon, Google, Kobo, or the British Library from which they will be delivered to you in the usual way from these sites.The eBook PDF was updated in 2025 for compliance with the European Accessibility Act, replacing the former PDF version with one that meets the PDF/UA (Universal Accessibility) standard.The EPUB files conform to the Web Content Accessibility Guidelines (WCAG) 2.2 AA standard.","citation-key":"ManualValueChain2001","ISBN":"978-1-85864-414-1","language":"en","publisher":"The Institute of Development Studies and Partner Organisations","source":"opendocs.ids.ac.uk","title":"Manual for Value Chain Research on Homeworkers in the Garment Industry","URL":"https://opendocs.ids.ac.uk/articles/online_resource/Manual_for_Value_Chain_Research_on_Homeworkers_in_the_Garment_Industry/26433013/2","author":[{"family":"McCormick","given":"Dorothy"},{"family":"Schmitz","given":"Hubert"}],"accessed":{"date-parts":[["2026",5,14]]},"issued":{"date-parts":[["2001",11,30]]}}}],"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(McCormick and Schmitz, 2001)</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To exemplify this logic: a firm that accesses DSI sequences to develop a new drug is directly connected to the value-generating activity; a retailer selling that drug is not, even though it benefits commercially from the same chain. Applying this reasoning to DSI, direct users would be those whose commercial goods or services rely directly on sequence data e.g. pharmaceutical companies identifying compounds via genomic screening, or biotech companies designing sequences for particular uses. Indirect users would include downstream firms that use inputs produced from DSI, despite not working directly with sequence data. Under this interpretation, upstream enablers, such as manufacturers of laboratory equipment, would usually be excluded from the scope, since indirect benefits generally accrue downstream. Note that including the laboratory sector in Enclosure I does not clearly fit this framework, except where such companies use DSI in their own research or production processes, in which case they would qualify as direct users. The interpretation set out above is offered for analytical purposes only. It does not reflect an agreed understanding under the Convention, nor is it intended to narrow or predetermine the scope of contributors; the definition of direct and indirect use remains a matter for the Conference of the Parties to determine.</w:t>
      </w:r>
    </w:p>
    <w:p w14:paraId="673401E3"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lastRenderedPageBreak/>
        <w:t>For this study, eligibility is defined by primary sectoral activity rather than value chain position. Mapping indirect inter-firm links across supply chains is infeasible at the scale of the firm-level analysis used for the revenue estimates in Part II, hence the sector-based approach in Enclosure I is used as a practical criterion. As a result, the direct/indirect distinction set out above does not operate as a separate filter in the revenue estimates that follow. Any firm meeting the sectoral and financial threshold criteria is treated identically for eligibility purposes, whether its use of DSI would be classified as direct or indirect under the value-chain reasoning above. This reflects two compounding constraints rather than a single practical shortcut: Decision 16/2 does not define what distinguishes direct from indirect use, and even under a working definition, mapping individual firms' inter-firm value-chain links at the scale of a 21,690-firm sample would not be feasible with available data. The DSI intensity and participation multipliers applied in Part II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_Ref235279338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Table 46</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and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_Ref235279344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Table 48</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vary by sector, not by an individual firm's position within that sector's value chain. The analytical implications of this choice, especially for upstream and downstream firms whose links to DSI are mediated through the value chain, are examined in Part III.</w:t>
      </w:r>
    </w:p>
    <w:p w14:paraId="51394C03"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Submissions to CBD Notification 2024-114 from seed industry and bio-business representatives raised a related concern: under a broad interpretation, multiple actors in the same value chain could fall within the scope, so a single use of DSI might be counted repeatedly at different stages of the chain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{"citationID":"w9QPAvVr","properties":{"unsorted":false,"formattedCitation":"(CBD, 2024b)","plainCitation":"(CBD, 2024b)","noteIndex":0},"citationItems":[{"id":278,"uris":["http://zotero.org/users/14977742/items/SDF3HC2R"],"itemData":{"id":278,"type":"webpage","citation-key":"ConventionBiologicalDiversitya","container-title":"Convention on Biological Diversity","language":"en","title":"Notification 2024-114. The multilateral mechanism for the fair and equitable sharing of benefits from the use of digital sequence information on genetic resources, including a global fund (\"The Cali Fund\"): Submission of views on possible additional modalities of the multilateral mechanism.","URL":"https://www.cbd.int/notifications/2024-114","author":[{"literal":"CBD"}],"accessed":{"date-parts":[["2026",5,13]]},"issued":{"date-parts":[["2024",12]]}}}],"schema":"https://github.com/citation-style-language/schema/raw/master/csl-citation.json"}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(CBD, 2024b)</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Part III examines the competitive implications of how this boundary is ultimately defined. This risk compounds with a separate feature of the contribution design. Because each eligible entity contributes on the basis of its own total revenue or profit rather than a DSI-attributed share, a firm identified as an indirect user can be captured twice: once directly, through its own contribution obligation, and again indirectly, to the extent that an upstream direct user passes its own contribution cost forward through input pricing (see Cost of intermediate consumption, Part III). Sector-level and aggregate contribution totals in this study do not net out this potential overlap, since doing so would require value-chain-level data on inter-firm cost pass-through that is not available at the scale of this analysis.</w:t>
      </w:r>
    </w:p>
    <w:p w14:paraId="1E25F42C"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Other submissions to CBD Notification 2024-114 questioned whether early-stage DSI use, typically in R&amp;D screening rather than in final products, creates the expectation of monetary benefit sharing as intended by Decision 16/2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{"citationID":"UPwWBSlw","properties":{"unsorted":false,"formattedCitation":"(CBD, 2024b)","plainCitation":"(CBD, 2024b)","noteIndex":0},"citationItems":[{"id":278,"uris":["http://zotero.org/users/14977742/items/SDF3HC2R"],"itemData":{"id":278,"type":"webpage","citation-key":"ConventionBiologicalDiversitya","container-title":"Convention on Biological Diversity","language":"en","title":"Notification 2024-114. The multilateral mechanism for the fair and equitable sharing of benefits from the use of digital sequence information on genetic resources, including a global fund (\"The Cali Fund\"): Submission of views on possible additional modalities of the multilateral mechanism.","URL":"https://www.cbd.int/notifications/2024-114","author":[{"literal":"CBD"}],"accessed":{"date-parts":[["2026",5,13]]},"issued":{"date-parts":[["2024",12]]}}}],"schema":"https://github.com/citation-style-language/schema/raw/master/csl-citation.json"}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noProof/>
          <w:lang w:val="en-CA" w:eastAsia="en-GB"/>
        </w:rPr>
        <w:t>(CBD, 2024b)</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This question reflects the scientific nature of DSI, where value arises from comparative analysis against the global dataset rather than from use in discrete final products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{"citationID":"PqyOHPyl","properties":{"unsorted":false,"formattedCitation":"(Scholz {\\i{}et al.}, 2022a)","plainCitation":"(Scholz et al., 2022a)","noteIndex":0},"citationItems":[{"id":239,"uris":["http://zotero.org/users/14977742/items/8ZRCMUQ3"],"itemData":{"id":239,"type":"article-journal","abstract":"Open access to sequence data is a cornerstone of biology and biodiversity research, but has created tension under the United Nations Convention on Biological Diversity (CBD). Policy decisions could compromise research and development, unless a practical multilateral solution is implemented.","citation-key":"scholzMultilateralBenefitsharingDigital2022a","container-title":"Nature Communications","DOI":"10.1038/s41467-022-28594-0","ISSN":"2041-1723","issue":"1","journalAbbreviation":"Nat Commun","language":"en","license":"2022 The Author(s)","page":"1086","publisher":"Nature Publishing Group","source":"www.nature.com","title":"Multilateral benefit-sharing from digital sequence information will support both science and biodiversity conservation","volume":"13","author":[{"family":"Scholz","given":"Amber Hartman"},{"family":"Freitag","given":"Jens"},{"family":"Lyal","given":"Christopher H. C."},{"family":"Sara","given":"Rodrigo"},{"family":"Cepeda","given":"Martha Lucia"},{"family":"Cancio","given":"Ibon"},{"family":"Sett","given":"Scarlett"},{"family":"Hufton","given":"Andrew Lee"},{"family":"Abebaw","given":"Yemisrach"},{"family":"Bansal","given":"Kailash"},{"family":"Benbouza","given":"Halima"},{"family":"Boga","given":"Hamadi Iddi"},{"family":"Brisse","given":"Sylvain"},{"family":"Bruford","given":"Michael W."},{"family":"Clissold","given":"Hayley"},{"family":"Cochrane","given":"Guy"},{"family":"Coddington","given":"Jonathan A."},{"family":"Deletoille","given":"Anne-Caroline"},{"family":"García-Cardona","given":"Felipe"},{"family":"Hamer","given":"Michelle"},{"family":"Hurtado-Ortiz","given":"Raquel"},{"family":"Miano","given":"Douglas W."},{"family":"Nicholson","given":"David"},{"family":"Oliveira","given":"Guilherme"},{"family":"Bravo","given":"Carlos Ospina"},{"family":"Rohden","given":"Fabian"},{"family":"Seberg","given":"Ole"},{"family":"Segelbacher","given":"Gernot"},{"family":"Shouche","given":"Yogesh"},{"family":"Sierra","given":"Alejandra"},{"family":"Karsch-Mizrachi","given":"Ilene"},{"family":"Silva","given":"Jessica","non-dropping-particle":"da"},{"family":"Hautea","given":"Desiree M."},{"family":"Silva","given":"Manuela","non-dropping-particle":"da"},{"family":"Suzuki","given":"Mutsuaki"},{"family":"Tesfaye","given":"Kassahun"},{"family":"Tiambo","given":"Christian Keambou"},{"family":"Tolley","given":"Krystal A."},{"family":"Varshney","given":"Rajeev"},{"family":"Zambrano","given":"María Mercedes"},{"family":"Overmann","given":"Jörg"}],"issued":{"date-parts":[["2022",2,23]]}}}],"schema":"https://github.com/citation-style-language/schema/raw/master/csl-citation.json"}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Georgia" w:hAnsiTheme="majorBidi" w:cstheme="majorBidi"/>
          <w:lang w:eastAsia="en-GB"/>
        </w:rPr>
        <w:t xml:space="preserve">(Scholz </w:t>
      </w:r>
      <w:r w:rsidRPr="005F0A67">
        <w:rPr>
          <w:rFonts w:asciiTheme="majorBidi" w:eastAsia="Georgia" w:hAnsiTheme="majorBidi" w:cstheme="majorBidi"/>
          <w:i/>
          <w:iCs/>
          <w:lang w:eastAsia="en-GB"/>
        </w:rPr>
        <w:t>et al.</w:t>
      </w:r>
      <w:r w:rsidRPr="005F0A67">
        <w:rPr>
          <w:rFonts w:asciiTheme="majorBidi" w:eastAsia="Georgia" w:hAnsiTheme="majorBidi" w:cstheme="majorBidi"/>
          <w:lang w:eastAsia="en-GB"/>
        </w:rPr>
        <w:t>, 2022a)</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This study does not answer that question, which depends on how the benefit-sharing trigger is interpreted. For the revenue analysis, R&amp;D activities are treated as in scope, consistent with the full-sector approach in Enclosure I and with comparable studies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{"citationID":"8MR2P9Bl","properties":{"unsorted":false,"formattedCitation":"(CBD, 2024d; Menon Economics, 2025)","plainCitation":"(CBD, 2024d; Menon Economics, 2025)","noteIndex":0},"citationItems":[{"id":240,"uris":["http://zotero.org/users/14977742/items/L8MGTCIL"],"itemData":{"id":240,"type":"report","citation-key":"cbdStudiesCommissionedFurther2024","number":"CBD/WGDSI/2/INF/1","title":"Studies commissioned further to decision 15/9","URL":"https://www.cbd.int/doc/c/58d2/cd87/2ef418ccca31155fb8d0a4f5/wgdsi-02-inf-01-en.pdf","author":[{"literal":"CBD"}],"issued":{"date-parts":[["2024"]]}}},{"id":1261,"uris":["http://zotero.org/users/14977742/items/KZBPZ48K"],"itemData":{"id":1261,"type":"report","citation-key":"menoneconomicsGenesGlobalFinance2025","number":"153","title":"From genes to global finance: Implications of the Cali fund for Norwegian businesses","URL":"https://menon.no/en/projects/from-genes-to-global-finance","author":[{"literal":"Menon Economics"}],"issued":{"date-parts":[["2025",10]]}}}],"schema":"https://github.com/citation-style-language/schema/raw/master/csl-citation.json"}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noProof/>
          <w:lang w:val="en-CA" w:eastAsia="en-GB"/>
        </w:rPr>
        <w:t>(CBD, 2024d; Menon Economics, 2025)</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Revenue sensitivity to a narrower interpretation cannot be isolated from the broader uncertainty around DSI intensity</w:t>
      </w:r>
      <w:r w:rsidRPr="005F0A67">
        <w:rPr>
          <w:rFonts w:asciiTheme="majorBidi" w:eastAsia="Times New Roman" w:hAnsiTheme="majorBidi" w:cstheme="majorBidi"/>
          <w:vertAlign w:val="superscript"/>
          <w:lang w:val="en-CA" w:eastAsia="en-GB"/>
        </w:rPr>
        <w:footnoteReference w:id="29"/>
      </w:r>
      <w:r w:rsidRPr="005F0A67">
        <w:rPr>
          <w:rFonts w:asciiTheme="majorBidi" w:eastAsia="Times New Roman" w:hAnsiTheme="majorBidi" w:cstheme="majorBidi"/>
          <w:lang w:val="en-CA" w:eastAsia="en-GB"/>
        </w:rPr>
        <w:t xml:space="preserve"> and participation rates in Part II, since firms holding that view are unlikely to see themselves as eligible or to contribute.</w:t>
      </w:r>
    </w:p>
    <w:p w14:paraId="3114F0BC" w14:textId="77777777" w:rsid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A further issue arises for firms that use DSI in only a subset of their commercial activities. Decision 16/2 does not clarify how these firms should be treated in comparison to those whose entire commercial output depends on DSI. The contribution consequences of partial DSI use are discussed in Section 4.3.</w:t>
      </w:r>
    </w:p>
    <w:p w14:paraId="62B5EBB8" w14:textId="77777777" w:rsidR="00B54840" w:rsidRDefault="00B54840"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p>
    <w:p w14:paraId="3648BABD" w14:textId="77777777" w:rsidR="00B54840" w:rsidRPr="005F0A67" w:rsidRDefault="00B54840"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p>
    <w:p w14:paraId="0B643158" w14:textId="77777777" w:rsidR="005F0A67" w:rsidRPr="005F0A67" w:rsidRDefault="005F0A67" w:rsidP="005F0A67">
      <w:pPr>
        <w:numPr>
          <w:ilvl w:val="1"/>
          <w:numId w:val="12"/>
        </w:numPr>
        <w:tabs>
          <w:tab w:val="clear" w:pos="567"/>
          <w:tab w:val="clear" w:pos="1134"/>
          <w:tab w:val="clear" w:pos="1701"/>
          <w:tab w:val="clear" w:pos="2268"/>
        </w:tabs>
        <w:spacing w:before="320" w:after="160"/>
        <w:ind w:left="576" w:hanging="576"/>
        <w:jc w:val="left"/>
        <w:outlineLvl w:val="1"/>
        <w:rPr>
          <w:rFonts w:asciiTheme="majorBidi" w:eastAsia="Arial" w:hAnsiTheme="majorBidi" w:cstheme="majorBidi"/>
          <w:b/>
          <w:bCs/>
          <w:color w:val="1A1A1A"/>
          <w:sz w:val="23"/>
          <w:szCs w:val="23"/>
          <w:lang w:val="en-CA" w:eastAsia="en-GB"/>
        </w:rPr>
      </w:pPr>
      <w:bookmarkStart w:id="57" w:name="_Toc234579549"/>
      <w:bookmarkStart w:id="58" w:name="_Ref235460528"/>
      <w:r w:rsidRPr="005F0A67">
        <w:rPr>
          <w:rFonts w:asciiTheme="majorBidi" w:eastAsia="Arial" w:hAnsiTheme="majorBidi" w:cstheme="majorBidi"/>
          <w:b/>
          <w:bCs/>
          <w:color w:val="1A1A1A"/>
          <w:sz w:val="23"/>
          <w:szCs w:val="23"/>
          <w:lang w:val="en-CA" w:eastAsia="en-GB"/>
        </w:rPr>
        <w:t>Who participates?</w:t>
      </w:r>
      <w:bookmarkEnd w:id="57"/>
      <w:bookmarkEnd w:id="58"/>
    </w:p>
    <w:p w14:paraId="1DC5B6AA"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Decision 16/2 states that eligible entities "should contribute", which sets an expectation for participation but does not create a legal requirement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{"citationID":"I33vL9ls","properties":{"unsorted":false,"formattedCitation":"(Blom {\\i{}et al.}, 2025; Mu\\uc0\\u241{}oz-Garc\\uc0\\u237{}a {\\i{}et al.}, 2025)","plainCitation":"(Blom et al., 2025; Muñoz-García et al., 2025)","noteIndex":0},"citationItems":[{"id":636,"uris":["http://zotero.org/users/14977742/items/JVHVP8XX"],"itemData":{"id":636,"type":"article-journal","abstract":"The COP16 decision established a multilateral mechanism for digital sequence information (DSI) benefit-sharing. This Comment brings together insights from academia and commercial DSI researchers to assess what has been accomplished so far, identify remaining challenges and describe elements under discussion to support collective goals.","citation-key":"blomFrameworksFinanceHow2025","container-title":"Nature Biotechnology","DOI":"10.1038/s41587-025-02820-8","ISSN":"1546-1696","issue":"10","journalAbbreviation":"Nat Biotechnol","language":"en","license":"2025 Springer Nature America, Inc.","page":"1599-1602","publisher":"Nature Publishing Group","source":"www.nature.com","title":"From frameworks to finance: how sharing benefits from the use of digital sequence information can evolve to contribute to biodiversity conservation","title-short":"From frameworks to finance","volume":"43","author":[{"family":"Blom","given":"Charlotte"},{"family":"Jaspars","given":"Marcel"},{"family":"Muminovic Rilak","given":"Jasmina"},{"family":"Scholz","given":"Amber Hartman"}],"issued":{"date-parts":[["2025",10]]}}},{"id":554,"uris":["http://zotero.org/users/14977742/items/KG5IJPPY"],"itemData":{"id":554,"type":"article-journal","citation-key":"munoz-garciaNavigatingCOP16sDigital2025","container-title":"Patterns","DOI":"10.1016/j.patter.2025.101208","ISSN":"2666-3899","issue":"3","journalAbbreviation":"Patterns","language":"English","publisher":"Elsevier","source":"www.cell.com","title":"Navigating COP16’s digital sequence information outcomes: What researchers need to do in practice","title-short":"Navigating COP16’s digital sequence information outcomes","URL":"https://www.cell.com/patterns/abstract/S2666-3899(25)00056-X","volume":"6","author":[{"family":"Muñoz-García","given":"Melania"},{"family":"Bansal","given":"K. C."},{"family":"Bao","given":"Yiming"},{"family":"Brinkley","given":"Sarah C."},{"family":"Buzan","given":"Elena"},{"family":"Castle","given":"David"},{"family":"Cepeda-Hernández","given":"Martha Lucía"},{"family":"Correard","given":"Solenne"},{"family":"Crawford","given":"Andrew J."},{"family":"Silva","given":"Jessica M.","dropping-particle":"da"},{"family":"Silva","given":"Manuela","dropping-particle":"da"},{"family":"Ekpe","given":"Sonigitu"},{"family":"Fahime","given":"Elmostafa El"},{"family":"Engelhardt","given":"Annika"},{"family":"Faggionato","given":"Davide"},{"family":"Haas","given":"Aylin S."},{"family":"Hautea","given":"Desiree M."},{"family":"Hossaert-McKey","given":"Martine"},{"family":"Mazzoni","given":"Camila J."},{"family":"Jaspars","given":"Marcel"},{"family":"Katee","given":"Sally"},{"family":"Kress","given":"John"},{"family":"Kwarteng","given":"Alexander"},{"family":"Lijtmaer","given":"Darío A."},{"family":"Lee","given":"Seon"},{"family":"Noriega","given":"Isabel Lopez"},{"family":"Lyal","given":"Christopher"},{"family":"Maharaj","given":"Gyanpriya"},{"family":"McCartney","given":"Ann M."},{"family":"Miano","given":"Douglas"},{"family":"Mulema","given":"Joseph"},{"family":"Oliveira","given":"Guilherme"},{"family":"Omesa","given":"Francis Osiemo"},{"family":"Orozco","given":"Pablo"},{"family":"Overmann","given":"Jörg"},{"family":"Poetsch","given":"Anna"},{"family":"Prat","given":"Christine"},{"family":"Raposo","given":"Débora S."},{"family":"Restrepo","given":"Silvia"},{"family":"Rhoden","given":"Fabian"},{"family":"Rouard","given":"Mathieu"},{"family":"Serepa-Dlamini","given":"Mahloro Hope"},{"family":"Aguilera","given":"María Alejandra Sierra"},{"family":"Suzuki","given":"Mutsuaki"},{"family":"Tiambo","given":"Christian Keambou"},{"family":"Wiemers","given":"Martin"},{"family":"Wong","given":"Linda"},{"family":"Yu","given":"Eizadora"},{"family":"Zambrano","given":"Maria Mercedes"},{"family":"Zhou","given":"Jinfeng"},{"family":"Scholz","given":"Amber Hartman"}],"accessed":{"date-parts":[["2026",2,1]]},"issued":{"date-parts":[["2025",3,14]]}}}],"schema":"https://github.com/citation-style-language/schema/raw/master/csl-citation.json"}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Georgia" w:hAnsiTheme="majorBidi" w:cstheme="majorBidi"/>
          <w:lang w:val="en-CA" w:eastAsia="en-GB"/>
        </w:rPr>
        <w:t xml:space="preserve">(Blom </w:t>
      </w:r>
      <w:r w:rsidRPr="005F0A67">
        <w:rPr>
          <w:rFonts w:asciiTheme="majorBidi" w:eastAsia="Georgia" w:hAnsiTheme="majorBidi" w:cstheme="majorBidi"/>
          <w:i/>
          <w:iCs/>
          <w:lang w:val="en-CA" w:eastAsia="en-GB"/>
        </w:rPr>
        <w:t>et al.</w:t>
      </w:r>
      <w:r w:rsidRPr="005F0A67">
        <w:rPr>
          <w:rFonts w:asciiTheme="majorBidi" w:eastAsia="Georgia" w:hAnsiTheme="majorBidi" w:cstheme="majorBidi"/>
          <w:lang w:val="en-CA" w:eastAsia="en-GB"/>
        </w:rPr>
        <w:t xml:space="preserve">, 2025; Muñoz-García </w:t>
      </w:r>
      <w:r w:rsidRPr="005F0A67">
        <w:rPr>
          <w:rFonts w:asciiTheme="majorBidi" w:eastAsia="Georgia" w:hAnsiTheme="majorBidi" w:cstheme="majorBidi"/>
          <w:i/>
          <w:iCs/>
          <w:lang w:val="en-CA" w:eastAsia="en-GB"/>
        </w:rPr>
        <w:t>et al.</w:t>
      </w:r>
      <w:r w:rsidRPr="005F0A67">
        <w:rPr>
          <w:rFonts w:asciiTheme="majorBidi" w:eastAsia="Georgia" w:hAnsiTheme="majorBidi" w:cstheme="majorBidi"/>
          <w:lang w:val="en-CA" w:eastAsia="en-GB"/>
        </w:rPr>
        <w:t>, 2025)</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As a result, the expected participation rate is the central factor in the overarching economic analysis. Section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_Ref229573832 \r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3</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shows mixed results across the two active analogous mechanisms, with the lesson learned that, under voluntary schemes, the funding gap may be driven primarily by low participation rather than contribution rate design, which becomes a secondary question</w:t>
      </w:r>
      <w:r w:rsidRPr="005F0A67">
        <w:rPr>
          <w:rFonts w:asciiTheme="majorBidi" w:eastAsia="Times New Roman" w:hAnsiTheme="majorBidi" w:cstheme="majorBidi"/>
          <w:vertAlign w:val="superscript"/>
          <w:lang w:val="en-CA" w:eastAsia="en-GB"/>
        </w:rPr>
        <w:footnoteReference w:id="30"/>
      </w:r>
      <w:r w:rsidRPr="005F0A67">
        <w:rPr>
          <w:rFonts w:asciiTheme="majorBidi" w:eastAsia="Times New Roman" w:hAnsiTheme="majorBidi" w:cstheme="majorBidi"/>
          <w:lang w:val="en-CA" w:eastAsia="en-GB"/>
        </w:rPr>
        <w:t xml:space="preserve">. The main scenario in Part II is based on these findings. </w:t>
      </w:r>
    </w:p>
    <w:p w14:paraId="44FD6C5A"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A number of elements influence whether eligible firms choose to participate. First, Decision 16/2 itself creates an expectation: once firms have determined they fall within its scope, they are expected to contribute, and opting out (though not prohibited) carries reputational and regulatory risk. Research on voluntary environmental programmes shows that firms respond to pressure from consumers, investors, communities, and civil society, as well as to the implicit threat of more stringent regulation if voluntary measures are judged insufficient. As a result, even when participation is formally voluntary, there can still be strong incentives for firms to take part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{"citationID":"dp9Ipm39","properties":{"unsorted":false,"formattedCitation":"(Arora and Cason, 1996; Segerson and Miceli, 1998; Maxwell, Lyon and Hackett, 2000; Khanna, 2001; Prakash and Potoski, 2012)","plainCitation":"(Arora and Cason, 1996; Segerson and Miceli, 1998; Maxwell, Lyon and Hackett, 2000; Khanna, 2001; Prakash and Potoski, 2012)","noteIndex":0},"citationItems":[{"id":268,"uris":["http://zotero.org/users/14977742/items/MP47KNBP"],"itemData":{"id":268,"type":"article-journal","abstract":"This paper examines participation in EPA's 33/50 program to assess the potential for voluntary environmental regulation to achieve improvements in environmental performance. The program's goal is to reduce the releases and transfers of 17 toxic chemicals by 50 percent between 1988 and 1995. The results indicate that the program has strong potential because large firms with the greatest toxic releases are most likely to participate. The results also identify a demand-based participation incentive, since participation rates are higher in industries with greater consumer contact. This suggests that public recognition is key to improving the success of voluntary environmental regulation.","citation-key":"aroraWhyFirmsVolunteer1996b","container-title":"Land Economics","DOI":"10.2307/3146906","ISSN":"0023-7639","issue":"4","page":"413-432","publisher":"[Board of Regents of the University of Wisconsin System, University of Wisconsin Press]","source":"JSTOR","title":"Why Do Firms Volunteer to Exceed Environmental Regulations? Understanding Participation in EPA's 33/50 Program","title-short":"Why Do Firms Volunteer to Exceed Environmental Regulations?","volume":"72","author":[{"family":"Arora","given":"Seema"},{"family":"Cason","given":"Timothy N."}],"issued":{"date-parts":[["1996"]]}}},{"id":265,"uris":["http://zotero.org/users/14977742/items/JSM4AI9I"],"itemData":{"id":265,"type":"article-journal","abstract":"There has been growing interest in the use of voluntary agreements (VAs) as an environmental policy tool. This article uses a simple model to determine whether VAs are likely to lead to efficient environmental protection. We consider cases where polluters are induced to participate either by a background threat of mandatory controls (the “stick” approach) or by cost-sharing subsidies (the “carrot” approach). The results suggest that the overall impact on environmental quality could be positive or negative, depending on a number of factors, including the allocation of bargaining power, the magnitude of the background threat, and the social cost of funds.","citation-key":"segersonVoluntaryEnvironmentalAgreements1998","container-title":"Journal of Environmental Economics and Management","DOI":"10.1006/jeem.1998.1040","ISSN":"0095-0696","issue":"2","journalAbbreviation":"Journal of Environmental Economics and Management","page":"109-130","source":"ScienceDirect","title":"Voluntary Environmental Agreements: Good or Bad News for Environmental Protection?","title-short":"Voluntary Environmental Agreements","volume":"36","author":[{"family":"Segerson","given":"Kathleen"},{"family":"Miceli","given":"Thomas J."}],"issued":{"date-parts":[["1998",9,1]]}}},{"id":267,"uris":["http://zotero.org/users/14977742/items/PMI8D5B2"],"itemData":{"id":267,"type":"article-journal","abstract":"We extend the economic theory of regulation to allow for strategic self‐regulation that preempts political action. When political “entry” is costly for consumers, firms can deter it through voluntary restraints. Unlike standard entry models, deterrence is achieved by overinvesting to raise the rival's welfare in the event of entry. Empirical evidence on releases of toxic chemicals shows that an increased threat of regulation (as proxied by increased membership in conservation groups) indeed induces firms to reduce toxic releases. We establish conditions under which self‐regulation, if it occurs, is a Pareto improvement once costs of influencing policy are included.","citation-key":"maxwellSelfRegulationSocialWelfare2000","container-title":"The Journal of Law and Economics","DOI":"10.1086/467466","issue":"2","page":"583-618","publisher":"The University of Chicago Press","source":"journals.uchicago.edu (Atypon)","title":"Self‐Regulation and Social Welfare: The Political Economy of Corporate Environmentalism*","title-short":"Self‐Regulation and Social Welfare","volume":"43","author":[{"family":"Maxwell","given":"John W."},{"family":"Lyon","given":"Thomas P."},{"family":"Hackett","given":"Steven C."}],"issued":{"date-parts":[["2000",10]]}}},{"id":266,"uris":["http://zotero.org/users/14977742/items/6J9WFW35"],"itemData":{"id":266,"type":"article-journal","abstract":"The approach to environmental protection has been evolving from a regulation-driven, adversarial ‘government-push’ approach to a more proactive approach involving voluntary and often ‘business-led’ initiatives to self-regulate their environmental performance. This has been accompanied by increasing provision of environmental information about firms and products to enlist market forces and communities in creating a demand for corporate environmental self-regulation by signaling their preferences for environmentally friendly firms. This paper provides an overview of the non-mandatory approaches being used for environmental protection and surveys the existing theoretical literature analyzing the economic efficiency of such approaches relative to mandatory approaches. It also discusses empirical findings on the factors motivating self-regulation by firms and its implications for their economic and environmental performance. It examines the existing evidence on the extent to which information disclosure is effective in generating pressures from investors and communities on firms to improve their environmental performance.","citation-key":"khannaNonMandatoryApproachesEnvironmental2001","container-title":"Journal of Economic Surveys","DOI":"10.1111/1467-6419.00141","ISSN":"1467-6419","issue":"3","language":"en","license":"Blackwell Publishers Ltd. 2001","note":"_eprint: https://onlinelibrary.wiley.com/doi/pdf/10.1111/1467-6419.00141","page":"291-324","source":"Wiley Online Library","title":"Non-Mandatory Approaches to Environmental Protection","volume":"15","author":[{"family":"Khanna","given":"Madhu"}],"issued":{"date-parts":[["2001"]]}}},{"id":369,"uris":["http://zotero.org/users/14977742/items/D6B73PSY"],"itemData":{"id":369,"type":"article-journal","abstract":"Voluntary environmental programs (VEPs) are institutions for inducing firms to produce environmental goods beyond legal requirements. A comparative perspective on VEPs shows how incentives to sponsor and participate in VEPs vary across countries in ways that reveal their potential and limitations. Our brief survey examines conditions under which VEPs emerge, attract participants, and improve participants' environmental performance. We focus on the costs and bene-fits for actors seeking to supply (or sponsor) these governance mechanisms as well as the costs and benefits for firms who are considering joining VEPs and adhering to their program obligations. © 2011 by the Association for Public Policy Analysis and Management.","citation-key":"prakashVoluntaryEnvironmentalPrograms2012","container-title":"Journal of Policy Analysis and Management","DOI":"10.1002/pam.20617","ISSN":"1520-6688","issue":"1","language":"en","note":"_eprint: https://onlinelibrary.wiley.com/doi/pdf/10.1002/pam.20617","page":"123-138","source":"Wiley Online Library","title":"Voluntary environmental programs: A comparative perspective","title-short":"Voluntary environmental programs","volume":"31","author":[{"family":"Prakash","given":"Aseem"},{"family":"Potoski","given":"Matthew"}],"issued":{"date-parts":[["2012"]]}}}],"schema":"https://github.com/citation-style-language/schema/raw/master/csl-citation.json"}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(Arora and Cason, 1996; Segerson and Miceli, 1998; Maxwell, Lyon and Hackett, 2000; Khanna, 2001; Prakash and Potoski, 2012)</w:t>
      </w:r>
      <w:r w:rsidRPr="005F0A67">
        <w:rPr>
          <w:rFonts w:asciiTheme="majorBidi" w:eastAsia="Times New Roman" w:hAnsiTheme="majorBidi" w:cstheme="majorBidi"/>
          <w:lang w:val="en-CA" w:eastAsia="en-GB"/>
        </w:rPr>
        <w:fldChar w:fldCharType="end"/>
      </w:r>
    </w:p>
    <w:p w14:paraId="4932954E"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Those incentives are linked to the second element: a net benefit assessment, comparing costs of non-participation to the benefits associated with compliance. Again, the evidence on this trade-off is well-established in the literature on private sector voluntary environmental programmes. It suggests that firms make a decision to participate if the expected benefits of joining, such as public recognition, brand and legitimacy gains, and potential regulatory relief, outweigh the compliance and administrative costs of participation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{"citationID":"GnuLnCrO","properties":{"unsorted":false,"formattedCitation":"(Arora and Cason, 1996; Khanna, 2001; Potoski and Prakash, 2005)","plainCitation":"(Arora and Cason, 1996; Khanna, 2001; Potoski and Prakash, 2005)","noteIndex":0},"citationItems":[{"id":268,"uris":["http://zotero.org/users/14977742/items/MP47KNBP"],"itemData":{"id":268,"type":"article-journal","abstract":"This paper examines participation in EPA's 33/50 program to assess the potential for voluntary environmental regulation to achieve improvements in environmental performance. The program's goal is to reduce the releases and transfers of 17 toxic chemicals by 50 percent between 1988 and 1995. The results indicate that the program has strong potential because large firms with the greatest toxic releases are most likely to participate. The results also identify a demand-based participation incentive, since participation rates are higher in industries with greater consumer contact. This suggests that public recognition is key to improving the success of voluntary environmental regulation.","citation-key":"aroraWhyFirmsVolunteer1996b","container-title":"Land Economics","DOI":"10.2307/3146906","ISSN":"0023-7639","issue":"4","page":"413-432","publisher":"[Board of Regents of the University of Wisconsin System, University of Wisconsin Press]","source":"JSTOR","title":"Why Do Firms Volunteer to Exceed Environmental Regulations? Understanding Participation in EPA's 33/50 Program","title-short":"Why Do Firms Volunteer to Exceed Environmental Regulations?","volume":"72","author":[{"family":"Arora","given":"Seema"},{"family":"Cason","given":"Timothy N."}],"issued":{"date-parts":[["1996"]]}}},{"id":266,"uris":["http://zotero.org/users/14977742/items/6J9WFW35"],"itemData":{"id":266,"type":"article-journal","abstract":"The approach to environmental protection has been evolving from a regulation-driven, adversarial ‘government-push’ approach to a more proactive approach involving voluntary and often ‘business-led’ initiatives to self-regulate their environmental performance. This has been accompanied by increasing provision of environmental information about firms and products to enlist market forces and communities in creating a demand for corporate environmental self-regulation by signaling their preferences for environmentally friendly firms. This paper provides an overview of the non-mandatory approaches being used for environmental protection and surveys the existing theoretical literature analyzing the economic efficiency of such approaches relative to mandatory approaches. It also discusses empirical findings on the factors motivating self-regulation by firms and its implications for their economic and environmental performance. It examines the existing evidence on the extent to which information disclosure is effective in generating pressures from investors and communities on firms to improve their environmental performance.","citation-key":"khannaNonMandatoryApproachesEnvironmental2001","container-title":"Journal of Economic Surveys","DOI":"10.1111/1467-6419.00141","ISSN":"1467-6419","issue":"3","language":"en","license":"Blackwell Publishers Ltd. 2001","note":"_eprint: https://onlinelibrary.wiley.com/doi/pdf/10.1111/1467-6419.00141","page":"291-324","source":"Wiley Online Library","title":"Non-Mandatory Approaches to Environmental Protection","volume":"15","author":[{"family":"Khanna","given":"Madhu"}],"issued":{"date-parts":[["2001"]]}}},{"id":264,"uris":["http://zotero.org/users/14977742/items/C59AP36E"],"itemData":{"id":264,"type":"article-journal","abstract":"Voluntary programs have become widespread tools for governments and nongovernmental actors looking to improve industry's environmental and regulatory performance. Voluntary programs can be conceptualized as club goods that provide nonrival but potentially excludable benefits to members. For firms, the value of joining a green club over taking the same actions unilaterally is to appropriate the club's positive brand reputation. Our analysis of about 3,700 U.S. facilities indicates that joining ISO 14001, an important nongovernmental voluntary program, improves facilities' compliance with government regulations. We conjecture that ISO 14001 is effective because its broad positive standing with external audiences provides a reputational benefit that helps induce facilities to take costly progressive environmental action they would not take unilaterally.","citation-key":"potoskiGreenClubsVoluntary2005","container-title":"American Journal of Political Science","DOI":"10.1111/j.0092-5853.2005.00120.x","ISSN":"1540-5907","issue":"2","language":"en","note":"_eprint: https://onlinelibrary.wiley.com/doi/pdf/10.1111/j.0092-5853.2005.00120.x","page":"235-248","source":"Wiley Online Library","title":"Green Clubs and Voluntary Governance: ISO 14001 and Firms' Regulatory Compliance","title-short":"Green Clubs and Voluntary Governance","volume":"49","author":[{"family":"Potoski","given":"Matthew"},{"family":"Prakash","given":"Aseem"}],"issued":{"date-parts":[["2005"]]}}}],"schema":"https://github.com/citation-style-language/schema/raw/master/csl-citation.json"}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(Arora and Cason, 1996; Khanna, 2001; Potoski and Prakash, 2005)</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Applying this to the Cali Fund implies that eligible firms face direct costs in the form of the contribution and indirect costs linked to participation, for instance administrative costs of compliance. On the other hand, those costs will be weighed against possible benefits such as obtaining a certificate of contribution, achieving greater legal clarity in relation to CBD ABS requirements, and securing reputational benefits from a visible commitment to biodiversity finance. However, even if those aspects were resolved, participation would also depend on a third factor, namely, what their competitors do.</w:t>
      </w:r>
    </w:p>
    <w:p w14:paraId="3496BEA8"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Because the mechanism is not legally binding, firms decide collectively and contributing when competitors do not create a cost disadvantage that affects participation decisions. The literature finds that engagement in voluntary environmental programmes is frequently driven by collective-action dynamics and peer behaviour rather than individual firm preferences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{"citationID":"yJkCHIDO","properties":{"unsorted":false,"formattedCitation":"(Prakash and Potoski, 2007; Contreras, Bos and Kleimeier, 2019; Han and Ito, 2024)","plainCitation":"(Prakash and Potoski, 2007; Contreras, Bos and Kleimeier, 2019; Han and Ito, 2024)","noteIndex":0},"citationItems":[{"id":263,"uris":["http://zotero.org/users/14977742/items/72E8F4FF"],"itemData":{"id":263,"type":"article-journal","abstract":"Voluntary environmental programs are institutions that seek to induce firms to produce positive environmental externalities beyond what government regulations require. Drawing on club theory, this paper outlines a theoretical perspective to study the relationship between program design and program effectiveness. Effective programs have rule structures that mitigate two central collective action problems inherent in producing positive environmental externalities: attracting firms to participate in the program and ensuring that participating firms adhere to program obligations. Because program efficacy can be undermined by collective action problems associated with free riding and shirking, effective voluntary clubs should be designed to mitigate these challenges.","citation-key":"prakashCollectiveActionVoluntary2007","container-title":"Policy Studies Journal","DOI":"10.1111/j.1541-0072.2007.00247.x","ISSN":"1541-0072","issue":"4","language":"en","note":"_eprint: https://onlinelibrary.wiley.com/doi/pdf/10.1111/j.1541-0072.2007.00247.x","page":"773-792","source":"Wiley Online Library","title":"Collective Action through Voluntary Environmental Programs: A Club Theory Perspective","title-short":"Collective Action through Voluntary Environmental Programs","volume":"35","author":[{"family":"Prakash","given":"Aseem"},{"family":"Potoski","given":"Matthew"}],"issued":{"date-parts":[["2007"]]}}},{"id":261,"uris":["http://zotero.org/users/14977742/items/ZHGPX6W3"],"itemData":{"id":261,"type":"article-journal","abstract":"Critical to the success of the Sustainable Development Goals is the extent to which financial institutions are willing to adopt voluntary regulation aimed at ensuring their actions contribute positively. We study the adoption of the most well-known set of rules, the Equator Principles, by applying a network approach to a unique data set containing 18,729 collaborations of financial institutions funding projects between 2003 and 2014 worldwide. We find that those exposed to the highest level of peer pressure by adopters are 33% more likely to also adopt, compared to those that face the lowest level of peer pressure. Even without this peer pressure institutions that already collaborate with adopters are more susceptible to become adopters themselves. Finally, external pressure applied through public campaigns increases adoption, although particularly large (and presumably powerful) institutions are immune to this external pressure. Our findings are particularly relevant for success of the recently launched Principles for Positive Impact Finance, that are heavily inspired by the Equator Principles.","citation-key":"contrerasSelfregulationSustainableFinance2019","container-title":"World Development","DOI":"10.1016/j.worlddev.2019.05.030","ISSN":"0305-750X","journalAbbreviation":"World Development","page":"306-324","source":"ScienceDirect","title":"Self-regulation in sustainable finance: The adoption of the Equator Principles","title-short":"Self-regulation in sustainable finance","volume":"122","author":[{"family":"Contreras","given":"Gabriela"},{"family":"Bos","given":"Jaap W. B."},{"family":"Kleimeier","given":"Stefanie"}],"issued":{"date-parts":[["2019",10,1]]}}},{"id":262,"uris":["http://zotero.org/users/14977742/items/UYPB6IZF"],"itemData":{"id":262,"type":"article-journal","abstract":"This study provides a new perspective on the determinants of the spread of voluntary corporate social responsibility (CSR) adoption by incorporating the potential role of its adoption by industry competitors. We find supportive evidence that firms make CSR adoption decisions in response to competitive pressure as well as institutional mimetic pressures. Based on an event history analysis of longitudinal data from a sample of 711 Korean publicly traded firms over a 12-year period, our findings suggest that the CSR behavior of competitors is positively associated with a focal firm's earlier adoption of CSR, leading to the diffusion of CSR across firms. Specifically, this study shows that the pure rivalry-driven pressure from non-leader competitors has a stronger positive relationship with earlier CSR adoption. The results also indicate that a firm's CSR adoption decision is accelerated by competitive rivalry as well as social pressures arising from institutional mimetic isomorphism.","citation-key":"hanWhatExplainsSpread2024","container-title":"Journal of Management &amp; Organization","DOI":"10.1017/jmo.2023.21","ISSN":"1833-3672, 1839-3527","issue":"3","language":"en","page":"765-786","source":"Cambridge University Press","title":"What explains the spread of corporate social responsibility? The role of competitive pressure and institutional isomorphism in the diffusion of voluntary adoption","title-short":"What explains the spread of corporate social responsibility?","volume":"30","author":[{"family":"Han","given":"Seungmin"},{"family":"Ito","given":"Kiyohiko"}],"issued":{"date-parts":[["2024",5]]}}}],"schema":"https://github.com/citation-style-language/schema/raw/master/csl-citation.json"}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(Prakash and Potoski, 2007; Contreras, Bos and Kleimeier, 2019; Han and Ito, 2024)</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competitive pressures, collaborative networks, and supply-chain requirements, meaning that participation is partly dependent on whether competitors, customers, and other market actors are likewise moving in this direction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{"citationID":"W4rIG5PY","properties":{"unsorted":false,"formattedCitation":"(Delmas and Montiel, 2009; Contreras, Bos and Kleimeier, 2019; Han and Ito, 2024)","plainCitation":"(Delmas and Montiel, 2009; Contreras, Bos and Kleimeier, 2019; Han and Ito, 2024)","noteIndex":0},"citationItems":[{"id":260,"uris":["http://zotero.org/users/14977742/items/MSWU554W"],"itemData":{"id":260,"type":"article-journal","abstract":"Suppliers face increasing pressure from their customers to improve their environmental performance. When firms downstream in the supply chain seek to achieve such improvements themselves, they frequently request that their suppliers adopt greener practices. This paper investigates the rationale for suppliers to comply with or resist the mandate of their customers to adopt the international environmental management standard ISO 14001 in the North American automotive industry. We argue that the effectiveness of such a mandate will vary according to the characteristics of the relationship between suppliers and customers. We contrast and test hypotheses based on both transaction cost and information theories to suggest that suppliers, whether in a dependent or distant relationship with their customers, have incentives to comply with the requests of their customers but through different mechanisms. Our study analyzed the characteristics of 3,152 automotive suppliers located in the United States, Canada, and Mexico over the 2000–2003 period. Findings indicate that suppliers with highly specialized assets, as well as younger suppliers, suppliers headquartered in Japan, and those reporting to the Toxic Release Inventory, are more likely to respond to their customers' pressures to adopt the certified management standard ISO 14001.","citation-key":"delmasGreeningSupplyChain2009","container-title":"Journal of Economics &amp; Management Strategy","DOI":"10.1111/j.1530-9134.2009.00211.x","ISSN":"1530-9134","issue":"1","language":"en","license":"© 2009, The Author(s) Journal Compilation © 2009 Wiley Periodicals, Inc.","note":"_eprint: https://onlinelibrary.wiley.com/doi/pdf/10.1111/j.1530-9134.2009.00211.x","page":"171-201","source":"Wiley Online Library","title":"Greening the Supply Chain: When Is Customer Pressure Effective?","title-short":"Greening the Supply Chain","volume":"18","author":[{"family":"Delmas","given":"Magali"},{"family":"Montiel","given":"Ivan"}],"issued":{"date-parts":[["2009"]]}}},{"id":261,"uris":["http://zotero.org/users/14977742/items/ZHGPX6W3"],"itemData":{"id":261,"type":"article-journal","abstract":"Critical to the success of the Sustainable Development Goals is the extent to which financial institutions are willing to adopt voluntary regulation aimed at ensuring their actions contribute positively. We study the adoption of the most well-known set of rules, the Equator Principles, by applying a network approach to a unique data set containing 18,729 collaborations of financial institutions funding projects between 2003 and 2014 worldwide. We find that those exposed to the highest level of peer pressure by adopters are 33% more likely to also adopt, compared to those that face the lowest level of peer pressure. Even without this peer pressure institutions that already collaborate with adopters are more susceptible to become adopters themselves. Finally, external pressure applied through public campaigns increases adoption, although particularly large (and presumably powerful) institutions are immune to this external pressure. Our findings are particularly relevant for success of the recently launched Principles for Positive Impact Finance, that are heavily inspired by the Equator Principles.","citation-key":"contrerasSelfregulationSustainableFinance2019","container-title":"World Development","DOI":"10.1016/j.worlddev.2019.05.030","ISSN":"0305-750X","journalAbbreviation":"World Development","page":"306-324","source":"ScienceDirect","title":"Self-regulation in sustainable finance: The adoption of the Equator Principles","title-short":"Self-regulation in sustainable finance","volume":"122","author":[{"family":"Contreras","given":"Gabriela"},{"family":"Bos","given":"Jaap W. B."},{"family":"Kleimeier","given":"Stefanie"}],"issued":{"date-parts":[["2019",10,1]]}}},{"id":262,"uris":["http://zotero.org/users/14977742/items/UYPB6IZF"],"itemData":{"id":262,"type":"article-journal","abstract":"This study provides a new perspective on the determinants of the spread of voluntary corporate social responsibility (CSR) adoption by incorporating the potential role of its adoption by industry competitors. We find supportive evidence that firms make CSR adoption decisions in response to competitive pressure as well as institutional mimetic pressures. Based on an event history analysis of longitudinal data from a sample of 711 Korean publicly traded firms over a 12-year period, our findings suggest that the CSR behavior of competitors is positively associated with a focal firm's earlier adoption of CSR, leading to the diffusion of CSR across firms. Specifically, this study shows that the pure rivalry-driven pressure from non-leader competitors has a stronger positive relationship with earlier CSR adoption. The results also indicate that a firm's CSR adoption decision is accelerated by competitive rivalry as well as social pressures arising from institutional mimetic isomorphism.","citation-key":"hanWhatExplainsSpread2024","container-title":"Journal of Management &amp; Organization","DOI":"10.1017/jmo.2023.21","ISSN":"1833-3672, 1839-3527","issue":"3","language":"en","page":"765-786","source":"Cambridge University Press","title":"What explains the spread of corporate social responsibility? The role of competitive pressure and institutional isomorphism in the diffusion of voluntary adoption","title-short":"What explains the spread of corporate social responsibility?","volume":"30","author":[{"family":"Han","given":"Seungmin"},{"family":"Ito","given":"Kiyohiko"}],"issued":{"date-parts":[["2024",5]]}}}],"schema":"https://github.com/citation-style-language/schema/raw/master/csl-citation.json"}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(Delmas and Montiel, 2009; Contreras, Bos and Kleimeier, 2019; Han and Ito, 2024)</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Evidence from comparable multilateral benefit-sharing mechanisms points in the same way. In examining the ITGPFRA, Halewood et al.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{"citationID":"RLg0dWWT","properties":{"unsorted":false,"formattedCitation":"(2023)","plainCitation":"(2023)","noteIndex":0},"citationItems":[{"id":258,"uris":["http://zotero.org/users/14977742/items/4QIQ4CC9"],"itemData":{"id":258,"type":"article-journal","abstract":"Benefit sharing should be decoupled from access\n          , \n            \n              Since 1992, international laws governing access and benefit sharing (ABS) have confirmed the principle that countries have sovereign rights over their nonhuman biological diversity and can regulate access to their genetic resources. These laws require the fair and equitable sharing of monetary (e.g., royalties) and nonmonetary (e.g., scientific training) benefits resulting from physical access to and utilization of those genetic resources (GRs). The Kunming-Montreal Global Biodiversity Framework, adopted by the Conference of the Parties to the Convention on Biological Diversity (CBD) at their 15th meeting (COP-15) in December 2022 (\n              \n                1\n              \n              ), includes a decision to establish a separate, multilateral benefit-sharing mechanism for the use of “digital sequence information” (DSI), i.e., biological data associated with, or derived from, genetic resources such as nucleotide sequences and epigenetic, protein, and metabolite data. The international community has a narrow window of opportunity to develop a DSI benefit-sharing framework that is simple, harmonized, effective, and transformational.","citation-key":"halewoodNewBenefitsharingPrinciples2023","container-title":"Science","DOI":"10.1126/science.adj1331","ISSN":"0036-8075, 1095-9203","issue":"6670","journalAbbreviation":"Science","language":"en","page":"520-522","source":"DOI.org (Crossref)","title":"New benefit-sharing principles for digital sequence information","volume":"382","author":[{"family":"Halewood","given":"Michael"},{"family":"Bagley","given":"Margo A."},{"family":"Wyss","given":"Markus"},{"family":"Scholz","given":"Amber Hartman"}],"issued":{"date-parts":[["2023",11,3]]}},"suppress-author":true}],"schema":"https://github.com/citation-style-language/schema/raw/master/csl-citation.json"}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Georgia" w:hAnsiTheme="majorBidi" w:cstheme="majorBidi"/>
          <w:lang w:val="en-CA" w:eastAsia="en-GB"/>
        </w:rPr>
        <w:t>(2023)</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observe that very few companies have been willing to make voluntary payments into the fund in the absence of a requirement for others to do so, citing concerns about competitive disadvantage. Notably, this reluctance appears specific to individual firm-level payments: the BSF has received </w:t>
      </w:r>
      <w:r w:rsidRPr="005F0A67">
        <w:rPr>
          <w:rFonts w:asciiTheme="majorBidi" w:eastAsia="Times New Roman" w:hAnsiTheme="majorBidi" w:cstheme="majorBidi"/>
          <w:lang w:val="en-CA" w:eastAsia="en-GB"/>
        </w:rPr>
        <w:lastRenderedPageBreak/>
        <w:t xml:space="preserve">voluntary contributions from industry associations, including the European Seed Association, SEMAE, the Federation of Seed Industry of India, and the International Seed Federation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{"citationID":"a12d1p7c8q0","properties":{"unsorted":false,"formattedCitation":"\\uldash{(FAO, 2025)}","plainCitation":"(FAO, 2025)","noteIndex":0},"citationItems":[{"id":334,"uris":["http://zotero.org/users/14977742/items/8F5W9REQ"],"itemData":{"id":334,"type":"book","citation-key":"itpgrfasecretariatBenefitsharingFund202020212022","language":"en","publisher":"FAO","publisher-place":"Rome","source":"DOI.org (Crossref)","title":"The Benefit-sharing Fund: 2024–2025 report","title-short":"The Benefit-sharing Fund","URL":"https://www.fao.org/3/cd6950en/cd6950en.pdf","author":[{"literal":"FAO"}],"accessed":{"date-parts":[["2026",5,9]]},"issued":{"date-parts":[["2025"]]}}}],"schema":"https://github.com/citation-style-language/schema/raw/master/csl-citation.json"}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Georgia" w:hAnsiTheme="majorBidi" w:cstheme="majorBidi"/>
          <w:u w:val="dash"/>
          <w:lang w:eastAsia="en-GB"/>
        </w:rPr>
        <w:t>(FAO, 2025)</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This suggests that collective, association-level contributions may offer one route around the first-mover disadvantage facing individual firms, since no single company bears a competitive cost relative to others within the same association. The analogy to the Cali Fund is clear: under a non-binding scheme, any given firm’s decision to participate depends on its expectations about how its competitors will behave. At the time of writing, no systematic data on participation intentions across eligible sectors is available, meaning that expectations about competitor behaviour must be treated as unobservable and are incorporated into the scenario range in Part II rather than as a point estimate. Those collective decisions are also assessed in detail in Part III. </w:t>
      </w:r>
    </w:p>
    <w:p w14:paraId="161D0D66"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These three factors affect firms differently depending on their size and market position. Large, publicly listed multinationals will likely face more reputational pressure and investor scrutiny than mid-sized firms that are just above the financial thresholds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{"citationID":"2ihZcK89","properties":{"unsorted":false,"formattedCitation":"(Lee, 2009; Luo, Lan and Tang, 2012; Rasche {\\i{}et al.}, 2022)","plainCitation":"(Lee, 2009; Luo, Lan and Tang, 2012; Rasche et al., 2022)","noteIndex":0},"citationItems":[{"id":439,"uris":["http://zotero.org/users/14977742/items/BU7LNY3Q"],"itemData":{"id":439,"type":"article-journal","abstract":"This study examines whether a firm's ownership form has any influence on its social performance. Conventional wisdom suggests that public (publicly traded) corporations are more susceptible to corruption and socially irresponsible behavior than privately owned corporations because of the intense short-term profit maximization pressure from shareholders and the lack of sufficient monitoring mechanisms. This study introduces an alternate perspective in thinking about the relationship between ownership form and corporate social responsibility. This study reasons that public corporations are more likely to become socially responsible because of their greater exposure to external influence and greater dependence on external actors with diverse interests. Using a panel data on the pollution management practices of 118 industrial facilities over a 13-year period, this study shows that public corporations were indeed subject to greater external pressure to reduce pollution, and the pressure led to consistently stronger environmental performance.","citation-key":"leeDoesOwnershipForm2009","container-title":"Business and Society Review","DOI":"10.1111/j.1467-8594.2009.00349.x","ISSN":"1467-8594","issue":"4","language":"en","license":"© 2009 Center for Business Ethics at Bentley University.","note":"_eprint: https://onlinelibrary.wiley.com/doi/pdf/10.1111/j.1467-8594.2009.00349.x","page":"435-456","source":"Wiley Online Library","title":"Does Ownership Form Matter for Corporate Social Responsibility? A Longitudinal Comparison of Environmental Performance between Public, Private, and Joint-venture Firms","title-short":"Does Ownership Form Matter for Corporate Social Responsibility?","volume":"114","author":[{"family":"Lee","given":"Min-Dong Paul"}],"issued":{"date-parts":[["2009"]]}}},{"id":442,"uris":["http://zotero.org/users/14977742/items/MFBB2I9F"],"itemData":{"id":442,"type":"article-journal","abstract":"We investigate how the Global 500 companies respond to the challenge of climate change with regard to their carbon disclosure strategies. This paper is motivated by a growing body of research that examines the role of large companies in carbon disclosure responsibility and practices. We consider the impact of social, financial market, economic, regulatory, and institutional factors on the motivation to voluntarily participate in the 2009 Carbon Disclosure Project. We find that economic pressure is significantly associated with the decision. That is, companies facing direct economic consequence are more likely to disclose. Companies in greenhouse gas (GHG) intensive sectors show the same tendency. In addition, big companies have a higher propensity for disclosing, suggesting that social pressure plays an important role. We also provide possible explanations as to why a large proportion of our sample firms refuse to disclose. Furthermore, our results suggest that the proxies for information needs of investors are not associated with a higher propensity to disclose the amount of their emission footprints. In sum, it appears that the major driving force for climate change disclosure comes from the general public and government rather than from the other major stakeholders such as shareholders and debtholders. Our results are robust after controlling for other influences.","citation-key":"luoCorporateIncentivesDisclose2012","container-title":"Journal of International Financial Management &amp; Accounting","DOI":"10.1111/j.1467-646X.2012.01055.x","ISSN":"1467-646X","issue":"2","language":"en","note":"_eprint: https://onlinelibrary.wiley.com/doi/pdf/10.1111/j.1467-646X.2012.01055.x","page":"93-120","source":"Wiley Online Library","title":"Corporate Incentives to Disclose Carbon Information: Evidence from the CDP Global 500 Report","title-short":"Corporate Incentives to Disclose Carbon Information","volume":"23","author":[{"family":"Luo","given":"Le"},{"family":"Lan","given":"Yi-Chen"},{"family":"Tang","given":"Qingliang"}],"issued":{"date-parts":[["2012"]]}}},{"id":441,"uris":["http://zotero.org/users/14977742/items/BM9LUFVX"],"itemData":{"id":441,"type":"article-journal","abstract":"This study analyzes which firms leave multi-stakeholder initiatives (MSIs) for corporate social responsibility. Based on an analysis of all active and delisted business participants from the United Nations Global Compact between 2000 and 2015 (n = 15,853), we find that small and medium-sized enterprises are more likely to leave than larger and publicly traded firms; that early adopters are less likely to leave than late adopters; and that the presence of a local network in a country reduces the likelihood of leaving. Based on these findings, we discuss theoretical implications related to MSIs' output legitimacy, the nature of organizational platforms supporting norm entrepreneurs within MSIs, and the occurrence of legitimacy spillover effects in local networks.","citation-key":"rascheWhichFirmsLeave2022","container-title":"Regulation &amp; Governance","DOI":"10.1111/rego.12322","ISSN":"1748-5991","issue":"1","language":"en","license":"© 2020 John Wiley &amp; Sons Australia, Ltd","note":"_eprint: https://onlinelibrary.wiley.com/doi/pdf/10.1111/rego.12322","page":"309-326","source":"Wiley Online Library","title":"Which firms leave multi-stakeholder initiatives? An analysis of delistings from the United Nations Global Compact","title-short":"Which firms leave multi-stakeholder initiatives?","volume":"16","author":[{"family":"Rasche","given":"Andreas"},{"family":"Gwozdz","given":"Wencke"},{"family":"Lund Larsen","given":"Mathias"},{"family":"Moon","given":"Jeremy"}],"issued":{"date-parts":[["2022"]]}}}],"schema":"https://github.com/citation-style-language/schema/raw/master/csl-citation.json"}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Georgia" w:hAnsiTheme="majorBidi" w:cstheme="majorBidi"/>
          <w:lang w:val="en-CA" w:eastAsia="en-GB"/>
        </w:rPr>
        <w:t xml:space="preserve">(Lee, 2009; Luo, Lan and Tang, 2012; Rasche </w:t>
      </w:r>
      <w:r w:rsidRPr="005F0A67">
        <w:rPr>
          <w:rFonts w:asciiTheme="majorBidi" w:eastAsia="Georgia" w:hAnsiTheme="majorBidi" w:cstheme="majorBidi"/>
          <w:i/>
          <w:iCs/>
          <w:lang w:val="en-CA" w:eastAsia="en-GB"/>
        </w:rPr>
        <w:t>et al.</w:t>
      </w:r>
      <w:r w:rsidRPr="005F0A67">
        <w:rPr>
          <w:rFonts w:asciiTheme="majorBidi" w:eastAsia="Georgia" w:hAnsiTheme="majorBidi" w:cstheme="majorBidi"/>
          <w:lang w:val="en-CA" w:eastAsia="en-GB"/>
        </w:rPr>
        <w:t>, 2022)</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For these mid-sized firms, the burden of contributing may seem larger compared to the expected benefits. Similarly, sectoral affiliation can determine each firm’s public scrutiny, regulatory exposure, and DSI use intensity, meaning that the three elements will carry different weights across listed sectors. This across-firms and across-sectors heterogeneity is accounted for throughout the three main parts of the study. </w:t>
      </w:r>
    </w:p>
    <w:p w14:paraId="7397B7C7" w14:textId="77777777" w:rsidR="005F0A67" w:rsidRPr="005F0A67" w:rsidRDefault="005F0A67" w:rsidP="00B54840">
      <w:pPr>
        <w:tabs>
          <w:tab w:val="clear" w:pos="567"/>
          <w:tab w:val="clear" w:pos="1134"/>
          <w:tab w:val="clear" w:pos="1701"/>
          <w:tab w:val="clear" w:pos="2268"/>
        </w:tabs>
        <w:spacing w:before="320" w:after="160"/>
        <w:ind w:left="720"/>
        <w:jc w:val="left"/>
        <w:outlineLvl w:val="2"/>
        <w:rPr>
          <w:rFonts w:asciiTheme="majorBidi" w:eastAsia="Arial" w:hAnsiTheme="majorBidi" w:cstheme="majorBidi"/>
          <w:b/>
          <w:bCs/>
          <w:color w:val="7F7F7F"/>
          <w:sz w:val="23"/>
          <w:szCs w:val="23"/>
          <w:lang w:val="en-CA" w:eastAsia="en-GB"/>
        </w:rPr>
      </w:pPr>
      <w:bookmarkStart w:id="59" w:name="_Toc234579550"/>
      <w:r w:rsidRPr="005F0A67">
        <w:rPr>
          <w:rFonts w:asciiTheme="majorBidi" w:eastAsia="Arial" w:hAnsiTheme="majorBidi" w:cstheme="majorBidi"/>
          <w:b/>
          <w:bCs/>
          <w:color w:val="7F7F7F"/>
          <w:sz w:val="23"/>
          <w:szCs w:val="23"/>
          <w:lang w:val="en-CA" w:eastAsia="en-GB"/>
        </w:rPr>
        <w:t>Information asymmetry and participation</w:t>
      </w:r>
      <w:bookmarkEnd w:id="59"/>
    </w:p>
    <w:p w14:paraId="1E723033"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A fundamental constraint on participation is that firm eligibility cannot be verified externally: there is no obligation for firms to disclose their (often commercially sensitive) DSI use. Currently, registration requirements for public DSI users varies greatly across the platforms. For instance, the INSDC, which is considered to be the core public DSI database, does not collect information about users or their institutions, making it impossible to tell commercial from non-commercial access at the database level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{"citationID":"gdnnK3zi","properties":{"unsorted":false,"formattedCitation":"(CBD, 2020a)","plainCitation":"(CBD, 2020a)","noteIndex":0},"citationItems":[{"id":273,"uris":["http://zotero.org/users/14977742/items/YGY7VD5E"],"itemData":{"id":273,"type":"report","citation-key":"zotero-item-2594","number":"CBD/DSI/AHTEG/2020/1/4","publisher-place":"Montreal, Canada","title":"Combined study on digital sequence information in public adnd private databases and traceability","URL":"https://www.cbd.int/doc/c/1f8f/d793/57cb114ca40cb6468f479584/dsi-ahteg-2020-01-04-en.pdf","author":[{"literal":"CBD"}],"issued":{"date-parts":[["2020",1,31]]}}}],"schema":"https://github.com/citation-style-language/schema/raw/master/csl-citation.json"}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(CBD, 2020a)</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On the contrary, platforms such as Aotearoa Genomic Data Repository</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{"citationID":"a25bs83ori0","properties":{"unsorted":false,"formattedCitation":"(Te Aika {\\i{}et al.}, 2025)","plainCitation":"(Te Aika et al., 2025)","noteIndex":0},"citationItems":[{"id":2996,"uris":["http://zotero.org/users/14977742/items/YSTTXASI"],"itemData":{"id":2996,"type":"article-journal","abstract":"Abstract\n            The Aotearoa Genomic Data Repository (AGDR) is an initiative to provide a secure within‐nation option for the storage, management and sharing of non‐human genomic data generated from biological and environmental samples originating in Aotearoa New Zealand. This resource has been developed to follow the principles of Māori Data Sovereignty, and to enable the right of kaitiakitanga (guardianship), so that iwi, hapū and whānau (tribes, kinship groups and families) can effectively exercise their responsibilities as guardians over biological entities that they regard as taonga (precious or treasured). While the repository is designed to facilitate the sharing of data—making it findable by researchers and interoperable with data held in other genomic repositories—the decision‐making process regarding who can access the data is entirely in the hands of those holding kaitiakitanga over each data set. No data are made available to the requesting researcher until the request has been approved, and the conditions for access (which can vary by data set) have been agreed to. Here we describe the development of the AGDR, from both a cultural perspective, and a technical one, and outline the processes that underpin its operation.","citation-key":"teaikaAotearoaGenomicData2025","container-title":"Molecular Ecology Resources","DOI":"10.1111/1755-0998.13866","ISSN":"1755-098X, 1755-0998","issue":"2","journalAbbreviation":"Molecular Ecology Resources","language":"en","page":"e13866","source":"DOI.org (Crossref)","title":"Aotearoa genomic data repository: An āhuru mōwai for taonga species sequencing data","title-short":"Aotearoa genomic data repository","volume":"25","author":[{"family":"Te Aika","given":"Ben"},{"family":"Liggins","given":"Libby"},{"family":"Rye","given":"Claire"},{"family":"Perkins","given":"E. Owen"},{"family":"Huh","given":"Jun"},{"family":"Brauning","given":"Rudiger"},{"family":"Godfery","given":"Tracey"},{"family":"Black","given":"Michael A."}],"issued":{"date-parts":[["2025",2]]}}}],"schema":"https://github.com/citation-style-language/schema/raw/master/csl-citation.json"}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Georgia" w:hAnsiTheme="majorBidi" w:cstheme="majorBidi"/>
          <w:lang w:eastAsia="en-GB"/>
        </w:rPr>
        <w:t xml:space="preserve">(Te Aika </w:t>
      </w:r>
      <w:r w:rsidRPr="005F0A67">
        <w:rPr>
          <w:rFonts w:asciiTheme="majorBidi" w:eastAsia="Georgia" w:hAnsiTheme="majorBidi" w:cstheme="majorBidi"/>
          <w:i/>
          <w:iCs/>
          <w:lang w:eastAsia="en-GB"/>
        </w:rPr>
        <w:t>et al.</w:t>
      </w:r>
      <w:r w:rsidRPr="005F0A67">
        <w:rPr>
          <w:rFonts w:asciiTheme="majorBidi" w:eastAsia="Georgia" w:hAnsiTheme="majorBidi" w:cstheme="majorBidi"/>
          <w:lang w:eastAsia="en-GB"/>
        </w:rPr>
        <w:t>, 2025)</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and GISAID</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{"citationID":"a1jn6mi0c23","properties":{"unsorted":false,"formattedCitation":"(Re3data.Org, 2012)","plainCitation":"(Re3data.Org, 2012)","noteIndex":0},"citationItems":[{"id":2997,"uris":["http://zotero.org/users/14977742/items/9USP46RY"],"itemData":{"id":2997,"type":"article","abstract":"The GISAID Initiative promotes the international sharing of all influenza virus sequences, related clinical and epidemiological data associated with human viruses, and geographical as well as species-specific data associated with avian and other animal viruses, to help researchers understand how the viruses evolve, spread and potentially become pandemics. *** GISAID does so by overcoming disincentives/hurdles or restrictions, which discourage or prevented sharing of influenza data prior to formal publication. *** The Initiative ensures that open access to data in GISAID is provided free-of-charge and to everyone, provided individuals identify themselves and agree to uphold the GISAID sharing mechanism governed through its Database Access Agreement. GISAID calls on all users to agree to the basic premise of upholding scientific etiquette, by acknowledging the originating laboratories providing the specimen and the submitting laboratories who generate the sequence data, ensuring fair exploitation of results derived from the data, and that all users agree that no restrictions shall be attached to data submitted to GISAID, to promote collaboration among researchers on the basis of open sharing of data and respect for all rights and interests.","citation-key":"re3data.orgGISAID2012","DOI":"10.17616/R3Q59F","language":"en","publisher":"re3data.org - Registry of Research Data Repositories","source":"DOI.org (Datacite)","title":"GISAID","URL":"https://www.re3data.org/repository/r3d100010126","author":[{"literal":"Re3data.Org"}],"accessed":{"date-parts":[["2026",6,6]]},"issued":{"date-parts":[["2012"]]}}}],"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Georgia" w:hAnsiTheme="majorBidi" w:cstheme="majorBidi"/>
          <w:lang w:eastAsia="en-GB"/>
        </w:rPr>
        <w:t>(Re3data.Org, 2012)</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make user registration mandatory. Those discrepancies in the degree of user information which can be retained from the public DSI databases makes any potential user verification challenging, though this reflects current database architecture rather than an inherent feature of DSI itself. Furthermore, Decision 16/2 also does not require databases to enforce benefit-sharing terms to grant access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{"citationID":"b4WS2F9s","properties":{"unsorted":false,"formattedCitation":"(Rouard, Scholz and Halewood, 2025)","plainCitation":"(Rouard, Scholz and Halewood, 2025)","noteIndex":0},"citationItems":[{"id":573,"uris":["http://zotero.org/users/14977742/items/TEBYCRE8"],"itemData":{"id":573,"type":"article-journal","citation-key":"rouardGeneticDatabasesEra2025","container-title":"Trends in Genetics","DOI":"10.1016/j.tig.2025.03.004","ISSN":"0168-9525","issue":"6","journalAbbreviation":"Trends in Genetics","language":"English","page":"451-455","PMID":"40251101","publisher":"Elsevier","source":"www.cell.com","title":"Genetic databases in the era of ‘DSI’ benefit-sharing","volume":"41","author":[{"family":"Rouard","given":"Mathieu"},{"family":"Scholz","given":"Amber Hartman"},{"family":"Halewood","given":"Michael"}],"issued":{"date-parts":[["2025",6,1]]}}}],"schema":"https://github.com/citation-style-language/schema/raw/master/csl-citation.json"}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(Rouard, Scholz and Halewood, 2025)</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This is a deliberate design choice rather than an oversight: gating access to DSI on proof of benefit-sharing compliance would function as a potential barrier to open research and innovation, in tension with Decision 15/9's own requirement that the mechanism be consistent with open data principles and not hinder research. This unobserved attribution problem can be further exacerbated by the large-scale use of artificial intelligence and the derivation of new, synthetic sequences. In their latest study, Sett et al.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{"citationID":"efNqYHbH","properties":{"unsorted":false,"formattedCitation":"(2024a)","plainCitation":"(2024a)","noteIndex":0},"citationItems":[{"id":635,"uris":["http://zotero.org/users/14977742/items/LQ39M86H"],"itemData":{"id":635,"type":"article-journal","abstract":"As multiple UN fora develop parallel rules for sharing benefits from digital sequence information, we urge better coordination. International policymakers should focus on harmonizing new benefit-sharing rules to ensure open access to data, database interoperability, and better benefit sharing outcomes.","citation-key":"settHarmonizeRulesDigital2024","container-title":"Nature Communications","DOI":"10.1038/s41467-024-52994-z","ISSN":"2041-1723","issue":"1","journalAbbreviation":"Nat Commun","language":"en","license":"2024 The Author(s)","page":"8745","publisher":"Nature Publishing Group","source":"www.nature.com","title":"Harmonize rules for digital sequence information benefit-sharing across UN frameworks","volume":"15","author":[{"family":"Sett","given":"Scarlett"},{"family":"Kress","given":"W. John"},{"family":"Halewood","given":"Michael"},{"family":"Nicholson","given":"David"},{"family":"Nuñez-Vega","given":"Genuar"},{"family":"Faggionato","given":"Davide"},{"family":"Rouard","given":"Mathieu"},{"family":"Jaspars","given":"Marcel"},{"family":"Silva","given":"Manuela","non-dropping-particle":"da"},{"family":"Prat","given":"Christine"},{"family":"Raposo","given":"Débora S."},{"family":"Klünker","given":"Irma"},{"family":"Freitag","given":"Jens"},{"family":"Tiambo","given":"Christian Keambou"},{"family":"Santos Ribeiro","given":"Carolina","non-dropping-particle":"dos"},{"family":"Wong","given":"Linda"},{"family":"Benbouza","given":"Halima"},{"family":"Overmann","given":"Jörg"},{"family":"Scholz","given":"Amber Hartman"}],"issued":{"date-parts":[["2024",10,9]]}},"suppress-author":true}],"schema":"https://github.com/citation-style-language/schema/raw/master/csl-citation.json"}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(2024a)</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warn that “synthesising new sequences could incentivise DSI mechanism avoidance”. Regardless of whether they are using DSI downloaded directly from public databases or its synthetic derivatives, firms that do not participate, or underreport, cannot be easily challenged by Parties or the CBD Secretariat. Equally, this asymmetry presents challenges for firms attempting to demonstrate compliance. In the absence of a standardised method for attributing commercial activity to specific DSI inputs, firms are unable to verify that their contributions accurately reflect their DSI use. </w:t>
      </w:r>
    </w:p>
    <w:p w14:paraId="1DAFE561"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Patent disclosure is a partial exception, as it may link DSI to specific commercial uses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{"citationID":"a8pujpmjrm","properties":{"unsorted":false,"formattedCitation":"(WIPO, 2025)","plainCitation":"(WIPO, 2025)","noteIndex":0},"citationItems":[{"id":3000,"uris":["http://zotero.org/users/14977742/items/VW4JIEDL"],"itemData":{"id":3000,"type":"article-journal","citation-key":"zotero-item-3000","title":"Recommended standard for the presentation of nucleotide and amino acid sequence listings using XML","URL":"https://www.wipo.int/documents/d/standards/docs-en-archives-03-25-01arc2009.pdf","author":[{"literal":"WIPO"}],"issued":{"date-parts":[["2025"]]}}}],"schema":"https://github.com/citation-style-language/schema/raw/master/csl-citation.json"}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Georgia" w:hAnsiTheme="majorBidi" w:cstheme="majorBidi"/>
          <w:lang w:eastAsia="en-GB"/>
        </w:rPr>
        <w:t>(WIPO, 2025)</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but this applies only to sectors and applications where DSI use leads to patentable inventions, such as in pharmaceuticals and biotechnology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{"citationID":"yNUbNoE9","properties":{"unsorted":false,"formattedCitation":"(CBD, 2020a)","plainCitation":"(CBD, 2020a)","dontUpdate":true,"noteIndex":0},"citationItems":[{"id":273,"uris":["http://zotero.org/users/14977742/items/YGY7VD5E"],"itemData":{"id":273,"type":"report","citation-key":"zotero-item-2594","number":"CBD/DSI/AHTEG/2020/1/4","publisher-place":"Montreal, Canada","title":"Combined study on digital sequence information in public adnd private databases and traceability","URL":"https://www.cbd.int/doc/c/1f8f/d793/57cb114ca40cb6468f479584/dsi-ahteg-2020-01-04-en.pdf","author":[{"literal":"CBD"}],"issued":{"date-parts":[["2020",1,31]]}}}],"schema":"https://github.com/citation-style-language/schema/raw/master/csl-citation.json"}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(Oldham, Hall and Forero, 2013)</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This information asymmetry implies that both the true </w:t>
      </w:r>
      <w:r w:rsidRPr="005F0A67">
        <w:rPr>
          <w:rFonts w:asciiTheme="majorBidi" w:eastAsia="Times New Roman" w:hAnsiTheme="majorBidi" w:cstheme="majorBidi"/>
          <w:lang w:val="en-CA" w:eastAsia="en-GB"/>
        </w:rPr>
        <w:lastRenderedPageBreak/>
        <w:t xml:space="preserve">population of eligible firms and any future observed participation rate are inherently uncertain. Firms that are genuinely eligible may not self-identify as such, and non-participation cannot be straightforwardly distinguished from ineligibility. This is arguably one of the principal sources of uncertainty in this study. </w:t>
      </w:r>
    </w:p>
    <w:p w14:paraId="7FFF6D56" w14:textId="77777777" w:rsidR="005F0A67" w:rsidRPr="005F0A67" w:rsidRDefault="005F0A67" w:rsidP="00B54840">
      <w:pPr>
        <w:tabs>
          <w:tab w:val="clear" w:pos="567"/>
          <w:tab w:val="clear" w:pos="1134"/>
          <w:tab w:val="clear" w:pos="1701"/>
          <w:tab w:val="clear" w:pos="2268"/>
        </w:tabs>
        <w:spacing w:before="320" w:after="160"/>
        <w:ind w:left="720"/>
        <w:jc w:val="left"/>
        <w:outlineLvl w:val="2"/>
        <w:rPr>
          <w:rFonts w:asciiTheme="majorBidi" w:eastAsia="Arial" w:hAnsiTheme="majorBidi" w:cstheme="majorBidi"/>
          <w:b/>
          <w:bCs/>
          <w:color w:val="7F7F7F"/>
          <w:sz w:val="23"/>
          <w:szCs w:val="23"/>
          <w:lang w:val="en-CA" w:eastAsia="en-GB"/>
        </w:rPr>
      </w:pPr>
      <w:bookmarkStart w:id="60" w:name="_Ref230184659"/>
      <w:bookmarkStart w:id="61" w:name="_Toc234579551"/>
      <w:r w:rsidRPr="005F0A67">
        <w:rPr>
          <w:rFonts w:asciiTheme="majorBidi" w:eastAsia="Arial" w:hAnsiTheme="majorBidi" w:cstheme="majorBidi"/>
          <w:b/>
          <w:bCs/>
          <w:color w:val="7F7F7F"/>
          <w:sz w:val="23"/>
          <w:szCs w:val="23"/>
          <w:lang w:val="en-CA" w:eastAsia="en-GB"/>
        </w:rPr>
        <w:t>Certificate regulatory value</w:t>
      </w:r>
      <w:bookmarkEnd w:id="60"/>
      <w:bookmarkEnd w:id="61"/>
      <w:r w:rsidRPr="005F0A67">
        <w:rPr>
          <w:rFonts w:asciiTheme="majorBidi" w:eastAsia="Arial" w:hAnsiTheme="majorBidi" w:cstheme="majorBidi"/>
          <w:b/>
          <w:bCs/>
          <w:color w:val="7F7F7F"/>
          <w:sz w:val="23"/>
          <w:szCs w:val="23"/>
          <w:lang w:val="en-CA" w:eastAsia="en-GB"/>
        </w:rPr>
        <w:t xml:space="preserve"> </w:t>
      </w:r>
    </w:p>
    <w:p w14:paraId="051277CE"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Private companies are more likely to join voluntary environmental schemes when membership provides a clear, externally validated benefit, particularly a credible certificate or comparable signal that communicates sound environmental practice to customers, regulators, and other stakeholders in situations where actual performance is otherwise difficult to observe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{"citationID":"o7k7sUpO","properties":{"unsorted":false,"formattedCitation":"(Khanna, 2001; Potoski and Prakash, 2005; Toffel, 2005)","plainCitation":"(Khanna, 2001; Potoski and Prakash, 2005; Toffel, 2005)","noteIndex":0},"citationItems":[{"id":266,"uris":["http://zotero.org/users/14977742/items/6J9WFW35"],"itemData":{"id":266,"type":"article-journal","abstract":"The approach to environmental protection has been evolving from a regulation-driven, adversarial ‘government-push’ approach to a more proactive approach involving voluntary and often ‘business-led’ initiatives to self-regulate their environmental performance. This has been accompanied by increasing provision of environmental information about firms and products to enlist market forces and communities in creating a demand for corporate environmental self-regulation by signaling their preferences for environmentally friendly firms. This paper provides an overview of the non-mandatory approaches being used for environmental protection and surveys the existing theoretical literature analyzing the economic efficiency of such approaches relative to mandatory approaches. It also discusses empirical findings on the factors motivating self-regulation by firms and its implications for their economic and environmental performance. It examines the existing evidence on the extent to which information disclosure is effective in generating pressures from investors and communities on firms to improve their environmental performance.","citation-key":"khannaNonMandatoryApproachesEnvironmental2001","container-title":"Journal of Economic Surveys","DOI":"10.1111/1467-6419.00141","ISSN":"1467-6419","issue":"3","language":"en","license":"Blackwell Publishers Ltd. 2001","note":"_eprint: https://onlinelibrary.wiley.com/doi/pdf/10.1111/1467-6419.00141","page":"291-324","source":"Wiley Online Library","title":"Non-Mandatory Approaches to Environmental Protection","volume":"15","author":[{"family":"Khanna","given":"Madhu"}],"issued":{"date-parts":[["2001"]]}}},{"id":264,"uris":["http://zotero.org/users/14977742/items/C59AP36E"],"itemData":{"id":264,"type":"article-journal","abstract":"Voluntary programs have become widespread tools for governments and nongovernmental actors looking to improve industry's environmental and regulatory performance. Voluntary programs can be conceptualized as club goods that provide nonrival but potentially excludable benefits to members. For firms, the value of joining a green club over taking the same actions unilaterally is to appropriate the club's positive brand reputation. Our analysis of about 3,700 U.S. facilities indicates that joining ISO 14001, an important nongovernmental voluntary program, improves facilities' compliance with government regulations. We conjecture that ISO 14001 is effective because its broad positive standing with external audiences provides a reputational benefit that helps induce facilities to take costly progressive environmental action they would not take unilaterally.","citation-key":"potoskiGreenClubsVoluntary2005","container-title":"American Journal of Political Science","DOI":"10.1111/j.0092-5853.2005.00120.x","ISSN":"1540-5907","issue":"2","language":"en","note":"_eprint: https://onlinelibrary.wiley.com/doi/pdf/10.1111/j.0092-5853.2005.00120.x","page":"235-248","source":"Wiley Online Library","title":"Green Clubs and Voluntary Governance: ISO 14001 and Firms' Regulatory Compliance","title-short":"Green Clubs and Voluntary Governance","volume":"49","author":[{"family":"Potoski","given":"Matthew"},{"family":"Prakash","given":"Aseem"}],"issued":{"date-parts":[["2005"]]}}},{"id":255,"uris":["http://zotero.org/users/14977742/items/QPRPAAGL"],"itemData":{"id":255,"type":"article","abstract":"In this paper, I conduct one of the first evaluations of a voluntary management program that features an independent verification mechanism to determine whether it is achieving its ultimate objectives. Using a sample of thousands of manufacturing facilities across the United States, I find evidence that the ISO 14001 Environmental Management System Standard has attracted companies with superior environmental performance, and that adoption leads to further performance improvement. This contrasts sharply with findings from prior evaluations of voluntary management programs that lacked verification mechanisms. This suggests that independent verification mechanisms such as certification may be necessary for voluntary management programs to mitigate information asymmetries surrounding difficult-to-observe management practices. Implications are discussed for the industry-associations, government agencies, and the non-governmental organizations that design these programs, the companies that are investing resources to adopt these programs, and those that are relying on them as a credible signal of superior management practices. The substantial variation in magnitude and significance of the results across comparison groups and performance metrics highlights the need for researchers to conduct robustness tests when evaluating voluntary management programs.","citation-key":"toffelResolvingInformationAsymmetries2005","DOI":"10.2139/ssrn.809406","genre":"SSRN Scholarly Paper","language":"en","number":"809406","publisher":"Social Science Research Network","publisher-place":"Rochester, NY","source":"papers.ssrn.com","title":"Resolving Information Asymmetries in Supply Chains: The Role of Certified Management Programs","title-short":"Resolving Information Asymmetries in Supply Chains","URL":"https://papers.ssrn.com/abstract=809406","author":[{"family":"Toffel","given":"Michael W."}],"accessed":{"date-parts":[["2026",5,15]]},"issued":{"date-parts":[["2005",9,13]]}}}],"schema":"https://github.com/citation-style-language/schema/raw/master/csl-citation.json"}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(Khanna, 2001; Potoski and Prakash, 2005; Toffel, 2005)</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Participation is also more appealing when these programs deliver reputational benefits such as public recognition, or tangible legal or regulatory advantages such as regulatory relief, reduced sanctions, lower likelihood of enforcement actions, or streamlined administrative procedures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{"citationID":"Hqu9QNhb","properties":{"unsorted":false,"formattedCitation":"(Khanna and Damon, 1999; Khanna, 2001; W\\uc0\\u228{}tzold {\\i{}et al.}, 2001; Stafford, 2007; Short and Toffel, 2008)","plainCitation":"(Khanna and Damon, 1999; Khanna, 2001; Wätzold et al., 2001; Stafford, 2007; Short and Toffel, 2008)","noteIndex":0},"citationItems":[{"id":252,"uris":["http://zotero.org/users/14977742/items/S49FUSUJ"],"itemData":{"id":252,"type":"article-journal","abstract":"This paper examines the motivations for participation in the voluntary 33/50 Program and the program's impact on the toxic releases and economic performance of firms in the U.S. chemical industry. It demonstrates that the benefits due to public recognition and the potentially avoided costs of liabilities and compliance under mandatory environmental regulations provide strong incentives for participation. After controlling for sample selection bias and the impact of other firm-specific characteristics, this paper shows that program participation led to a statistically significant decline in toxic releases over the period 1991–93. The program also had a statistically significant negative impact on the current return on investment of firms, but its impact on the expected long run profitability of firms was positive and statistically significant.","citation-key":"khannaEPAsVoluntary331999","container-title":"Journal of Environmental Economics and Management","DOI":"10.1006/jeem.1998.1057","ISSN":"0095-0696","issue":"1","journalAbbreviation":"Journal of Environmental Economics and Management","page":"1-25","source":"ScienceDirect","title":"EPA's Voluntary 33/50 Program: Impact on Toxic Releases and Economic Performance of Firms","title-short":"EPA's Voluntary 33/50 Program","volume":"37","author":[{"family":"Khanna","given":"Madhu"},{"family":"Damon","given":"Lisa A"}],"issued":{"date-parts":[["1999",1,1]]}}},{"id":266,"uris":["http://zotero.org/users/14977742/items/6J9WFW35"],"itemData":{"id":266,"type":"article-journal","abstract":"The approach to environmental protection has been evolving from a regulation-driven, adversarial ‘government-push’ approach to a more proactive approach involving voluntary and often ‘business-led’ initiatives to self-regulate their environmental performance. This has been accompanied by increasing provision of environmental information about firms and products to enlist market forces and communities in creating a demand for corporate environmental self-regulation by signaling their preferences for environmentally friendly firms. This paper provides an overview of the non-mandatory approaches being used for environmental protection and surveys the existing theoretical literature analyzing the economic efficiency of such approaches relative to mandatory approaches. It also discusses empirical findings on the factors motivating self-regulation by firms and its implications for their economic and environmental performance. It examines the existing evidence on the extent to which information disclosure is effective in generating pressures from investors and communities on firms to improve their environmental performance.","citation-key":"khannaNonMandatoryApproachesEnvironmental2001","container-title":"Journal of Economic Surveys","DOI":"10.1111/1467-6419.00141","ISSN":"1467-6419","issue":"3","language":"en","license":"Blackwell Publishers Ltd. 2001","note":"_eprint: https://onlinelibrary.wiley.com/doi/pdf/10.1111/1467-6419.00141","page":"291-324","source":"Wiley Online Library","title":"Non-Mandatory Approaches to Environmental Protection","volume":"15","author":[{"family":"Khanna","given":"Madhu"}],"issued":{"date-parts":[["2001"]]}}},{"id":253,"uris":["http://zotero.org/users/14977742/items/QNJZE6ZZ"],"itemData":{"id":253,"type":"article-journal","abstract":"Apart from in Germany and Austria, corporate participation in the European Eco-Management and Audit Scheme (EMAS) has remained sluggish and far behind involvement in ISO14001. Given the lack of response in most EU member states, the key issue for the current EMAS revision is to increase incentives for companies to join the scheme. One of the proposals in this respect is to encourage member states to consider a lighter regulatory touch for EMAS participants. The aim of this article is to assess the extent to which encouraging regulatory relief may contribute to an increase in the number of EMAS registered companies. For this purpose the regulatory relief already offered to EMAS registered (and ISO14001 certified) companies in France, Germany, The Netherlands and the United Kingdom is described and analysed. Based on this experience, the central conclusion of the article is that regulatory relief can increase participation in EMAS, but that to do so it must be granted exclusively to EMAS registered companies, and that ideally such relief should be substantial and integrated into a comprehensive voluntary policy approach aimed at altering the traditional relationship between government and industry. However, given that some countries treat EMAS registration and ISO14001 certification as equivalent, with respect to regulatory relief, even those deregulation measures that fulfil the above conditions may lead to an increase in ISO14001 certifications rather than EMAS registrations. Copyright © 2001 John Wiley &amp; Sons, Ltd and ERP Environment.","citation-key":"watzoldEMASRegulatoryRelief2001","container-title":"European Environment","DOI":"10.1002/eet.249","ISSN":"1099-0976","issue":"1","language":"en","license":"Copyright © 2001 John Wiley &amp; Sons, Ltd. and ERP Environment","note":"_eprint: https://onlinelibrary.wiley.com/doi/pdf/10.1002/eet.249","page":"37-48","source":"Wiley Online Library","title":"EMAS and regulatory relief in Europe: lessons from national experience","title-short":"EMAS and regulatory relief in Europe","volume":"11","author":[{"family":"Wätzold","given":"Frank"},{"family":"Bültmann","given":"Alexandra"},{"family":"Eames","given":"Malcolm"},{"family":"Lulofs","given":"Kris"},{"family":"Schucht","given":"Simone"}],"issued":{"date-parts":[["2001"]]}}},{"id":254,"uris":["http://zotero.org/users/14977742/items/3YPJ87JL"],"itemData":{"id":254,"type":"article-journal","abstract":"Facilities that self-police under the Environmental Protection Agency's Audit Policy are eligible for reduced penalties on disclosed violations. This paper investigates whether self-policing has additional consequences; in particular, whether self-policing reduces future enforcement activity. Using data on U.S. hazardous waste enforcement and disclosures, I find that facilities that self-police are rewarded with a lower probability of inspection in the future, although facilities with good compliance records receive a smaller benefit than facilities with poor records. Additionally, facilities that are inspected frequently are more likely to disclose than facilities that face a low probability of inspection. The results suggest that facilities may be able to strategically disclose in order to decrease future enforcement. © 2007 by the Association for Public Policy Analysis and Management","citation-key":"staffordShouldYouTurn2007","container-title":"Journal of Policy Analysis and Management","DOI":"10.1002/pam.20249","ISSN":"1520-6688","issue":"2","language":"en","license":"© 2007 by the Association for Public Policy Analysis and Management","note":"_eprint: https://onlinelibrary.wiley.com/doi/pdf/10.1002/pam.20249","page":"305-326","source":"Wiley Online Library","title":"Should you turn yourself in? The consequences of environmental self-policing","title-short":"Should you turn yourself in?","volume":"26","author":[{"family":"Stafford","given":"Sarah L."}],"issued":{"date-parts":[["2007"]]}}},{"id":251,"uris":["http://zotero.org/users/14977742/items/2FNA7Y68"],"itemData":{"id":251,"type":"article-journal","abstract":"As part of a recent trend toward more cooperative relations between regulators and industry, novel government programs are encouraging firms to monitor their own regulatory compliance and voluntarily report their own violations. In this study, we examine how regulatory enforcement activities influence organizations' decisions to self-police. We created a comprehensive data set for the “Audit Policy,” a United States Environmental Protection Agency program that encourages companies to self-disclose violations of environmental laws and regulations in exchange for reduced sanctions. We find that facilities are more likely to self-disclose if they were recently subjected to one of several different enforcement measures and if they were provided with immunity from prosecution for self-disclosed violations.","citation-key":"shortCoercedConfessionsSelfPolicing2008","container-title":"The Journal of Law, Economics, and Organization","DOI":"10.1093/jleo/ewm039","ISSN":"8756-6222","issue":"1","journalAbbreviation":"J Law Econ Organ","page":"45-71","source":"Silverchair","title":"Coerced Confessions: Self-Policing in the Shadow of the Regulator","title-short":"Coerced Confessions","volume":"24","author":[{"family":"Short","given":"Jodi L."},{"family":"Toffel","given":"Michael W."}],"issued":{"date-parts":[["2008",5,1]]}}}],"schema":"https://github.com/citation-style-language/schema/raw/master/csl-citation.json"}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Georgia" w:hAnsiTheme="majorBidi" w:cstheme="majorBidi"/>
          <w:lang w:val="en-CA" w:eastAsia="en-GB"/>
        </w:rPr>
        <w:t xml:space="preserve">(Khanna and Damon, 1999; Khanna, 2001; Wätzold </w:t>
      </w:r>
      <w:r w:rsidRPr="005F0A67">
        <w:rPr>
          <w:rFonts w:asciiTheme="majorBidi" w:eastAsia="Georgia" w:hAnsiTheme="majorBidi" w:cstheme="majorBidi"/>
          <w:i/>
          <w:iCs/>
          <w:lang w:val="en-CA" w:eastAsia="en-GB"/>
        </w:rPr>
        <w:t>et al.</w:t>
      </w:r>
      <w:r w:rsidRPr="005F0A67">
        <w:rPr>
          <w:rFonts w:asciiTheme="majorBidi" w:eastAsia="Georgia" w:hAnsiTheme="majorBidi" w:cstheme="majorBidi"/>
          <w:lang w:val="en-CA" w:eastAsia="en-GB"/>
        </w:rPr>
        <w:t>, 2001; Stafford, 2007; Short and Toffel, 2008)</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Firms with pre-existing public commitments on biodiversity or sustainability may also be more inclined to participate for reasons of reputational consistency with those commitments, independent of the certificate's own legal value.</w:t>
      </w:r>
    </w:p>
    <w:p w14:paraId="308ABB2E"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Decision 16/2 introduces a certificate of contribution as a benefit for participants</w:t>
      </w:r>
      <w:r w:rsidRPr="005F0A67">
        <w:rPr>
          <w:rFonts w:asciiTheme="majorBidi" w:eastAsia="Times New Roman" w:hAnsiTheme="majorBidi" w:cstheme="majorBidi"/>
          <w:vertAlign w:val="superscript"/>
          <w:lang w:val="en-CA" w:eastAsia="en-GB"/>
        </w:rPr>
        <w:footnoteReference w:id="31"/>
      </w:r>
      <w:r w:rsidRPr="005F0A67">
        <w:rPr>
          <w:rFonts w:asciiTheme="majorBidi" w:eastAsia="Times New Roman" w:hAnsiTheme="majorBidi" w:cstheme="majorBidi"/>
          <w:lang w:val="en-CA" w:eastAsia="en-GB"/>
        </w:rPr>
        <w:t xml:space="preserve">, but several design aspects remain unresolved. For instance, its legal status under domestic legal systems is still uncertain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{"citationID":"uUznvR53","properties":{"unsorted":false,"formattedCitation":"(Blom {\\i{}et al.}, 2025)","plainCitation":"(Blom et al., 2025)","noteIndex":0},"citationItems":[{"id":636,"uris":["http://zotero.org/users/14977742/items/JVHVP8XX"],"itemData":{"id":636,"type":"article-journal","abstract":"The COP16 decision established a multilateral mechanism for digital sequence information (DSI) benefit-sharing. This Comment brings together insights from academia and commercial DSI researchers to assess what has been accomplished so far, identify remaining challenges and describe elements under discussion to support collective goals.","citation-key":"blomFrameworksFinanceHow2025","container-title":"Nature Biotechnology","DOI":"10.1038/s41587-025-02820-8","ISSN":"1546-1696","issue":"10","journalAbbreviation":"Nat Biotechnol","language":"en","license":"2025 Springer Nature America, Inc.","page":"1599-1602","publisher":"Nature Publishing Group","source":"www.nature.com","title":"From frameworks to finance: how sharing benefits from the use of digital sequence information can evolve to contribute to biodiversity conservation","title-short":"From frameworks to finance","volume":"43","author":[{"family":"Blom","given":"Charlotte"},{"family":"Jaspars","given":"Marcel"},{"family":"Muminovic Rilak","given":"Jasmina"},{"family":"Scholz","given":"Amber Hartman"}],"issued":{"date-parts":[["2025",10]]}}}],"schema":"https://github.com/citation-style-language/schema/raw/master/csl-citation.json"}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Georgia" w:hAnsiTheme="majorBidi" w:cstheme="majorBidi"/>
          <w:lang w:val="en-CA" w:eastAsia="en-GB"/>
        </w:rPr>
        <w:t xml:space="preserve">(Blom </w:t>
      </w:r>
      <w:r w:rsidRPr="005F0A67">
        <w:rPr>
          <w:rFonts w:asciiTheme="majorBidi" w:eastAsia="Georgia" w:hAnsiTheme="majorBidi" w:cstheme="majorBidi"/>
          <w:i/>
          <w:iCs/>
          <w:lang w:val="en-CA" w:eastAsia="en-GB"/>
        </w:rPr>
        <w:t>et al.</w:t>
      </w:r>
      <w:r w:rsidRPr="005F0A67">
        <w:rPr>
          <w:rFonts w:asciiTheme="majorBidi" w:eastAsia="Georgia" w:hAnsiTheme="majorBidi" w:cstheme="majorBidi"/>
          <w:lang w:val="en-CA" w:eastAsia="en-GB"/>
        </w:rPr>
        <w:t>, 2025)</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Blom et al.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{"citationID":"Ng0pkQKK","properties":{"unsorted":false,"formattedCitation":"(2025)","plainCitation":"(2025)","noteIndex":0},"citationItems":[{"id":636,"uris":["http://zotero.org/users/14977742/items/JVHVP8XX"],"itemData":{"id":636,"type":"article-journal","abstract":"The COP16 decision established a multilateral mechanism for digital sequence information (DSI) benefit-sharing. This Comment brings together insights from academia and commercial DSI researchers to assess what has been accomplished so far, identify remaining challenges and describe elements under discussion to support collective goals.","citation-key":"blomFrameworksFinanceHow2025","container-title":"Nature Biotechnology","DOI":"10.1038/s41587-025-02820-8","ISSN":"1546-1696","issue":"10","journalAbbreviation":"Nat Biotechnol","language":"en","license":"2025 Springer Nature America, Inc.","page":"1599-1602","publisher":"Nature Publishing Group","source":"www.nature.com","title":"From frameworks to finance: how sharing benefits from the use of digital sequence information can evolve to contribute to biodiversity conservation","title-short":"From frameworks to finance","volume":"43","author":[{"family":"Blom","given":"Charlotte"},{"family":"Jaspars","given":"Marcel"},{"family":"Muminovic Rilak","given":"Jasmina"},{"family":"Scholz","given":"Amber Hartman"}],"issued":{"date-parts":[["2025",10]]}},"suppress-author":true}],"schema":"https://github.com/citation-style-language/schema/raw/master/csl-citation.json"}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Georgia" w:hAnsiTheme="majorBidi" w:cstheme="majorBidi"/>
          <w:lang w:val="en-CA" w:eastAsia="en-GB"/>
        </w:rPr>
        <w:t>(2025)</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suggest that the certificate will incentivise participation, but only if it provides genuine legal certainty in comparison with national ABS regulations. Beyond legal certainty over DSI use, the credibility of the Cali Fund's own governance and disbursement arrangements is itself a participation precondition rather than a downstream question. A firm weighing whether to contribute is likely to consider not only the rate and the certificate's legal value, but whether funds are disbursed transparently and traceably to their intended purpose; the ITPGRFA and WHO PIP comparators discussed above suggest this credibility, not the payment rate itself, is often the more decisive factor in whether voluntary contributions materialise. Where the certificate succeeds in providing this legal certainty, participation may also generate compliance cost savings for firms that would otherwise need to navigate separate bilateral or national ABS arrangements for the same genetic resources or DSI. This claim is consistent with several submissions to CBD Notification 2024-114 made by commercial actors, representing pharmaceutical, seed, biotech, and cosmetics sectors, who repeatedly emphasised that the capacity of certificates to incentivise firm participation relies on an explicit exemption from national ABS requirements, which in turn increases legal uncertainty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{"citationID":"SfhoiupQ","properties":{"unsorted":false,"formattedCitation":"(CBD, 2024b)","plainCitation":"(CBD, 2024b)","noteIndex":0},"citationItems":[{"id":278,"uris":["http://zotero.org/users/14977742/items/SDF3HC2R"],"itemData":{"id":278,"type":"webpage","citation-key":"ConventionBiologicalDiversitya","container-title":"Convention on Biological Diversity","language":"en","title":"Notification 2024-114. The multilateral mechanism for the fair and equitable sharing of benefits from the use of digital sequence information on genetic resources, including a global fund (\"The Cali Fund\"): Submission of views on possible additional modalities of the multilateral mechanism.","URL":"https://www.cbd.int/notifications/2024-114","author":[{"literal":"CBD"}],"accessed":{"date-parts":[["2026",5,13]]},"issued":{"date-parts":[["2024",12]]}}}],"schema":"https://github.com/citation-style-language/schema/raw/master/csl-citation.json"}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noProof/>
          <w:lang w:val="en-CA" w:eastAsia="en-GB"/>
        </w:rPr>
        <w:t>(CBD, 2024b)</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Responses from several Parties to CBD Notification 2026-019 also show that this equivalence has yet not been recognised at the national level. As a result, the value of the certificate is treated as an unresolved parameter throughout this analysis and is reflected in the scenario range in Part II.</w:t>
      </w:r>
    </w:p>
    <w:p w14:paraId="553BA708" w14:textId="77777777" w:rsidR="005F0A67" w:rsidRPr="005F0A67" w:rsidRDefault="005F0A67" w:rsidP="00B54840">
      <w:pPr>
        <w:tabs>
          <w:tab w:val="clear" w:pos="567"/>
          <w:tab w:val="clear" w:pos="1134"/>
          <w:tab w:val="clear" w:pos="1701"/>
          <w:tab w:val="clear" w:pos="2268"/>
        </w:tabs>
        <w:spacing w:before="320" w:after="160"/>
        <w:ind w:left="720"/>
        <w:jc w:val="left"/>
        <w:outlineLvl w:val="2"/>
        <w:rPr>
          <w:rFonts w:asciiTheme="majorBidi" w:eastAsia="Arial" w:hAnsiTheme="majorBidi" w:cstheme="majorBidi"/>
          <w:b/>
          <w:bCs/>
          <w:color w:val="7F7F7F"/>
          <w:sz w:val="23"/>
          <w:szCs w:val="23"/>
          <w:lang w:val="en-CA" w:eastAsia="en-GB"/>
        </w:rPr>
      </w:pPr>
      <w:bookmarkStart w:id="62" w:name="_Ref230171567"/>
      <w:bookmarkStart w:id="63" w:name="_Toc234579552"/>
      <w:r w:rsidRPr="005F0A67">
        <w:rPr>
          <w:rFonts w:asciiTheme="majorBidi" w:eastAsia="Arial" w:hAnsiTheme="majorBidi" w:cstheme="majorBidi"/>
          <w:b/>
          <w:bCs/>
          <w:color w:val="7F7F7F"/>
          <w:sz w:val="23"/>
          <w:szCs w:val="23"/>
          <w:lang w:val="en-CA" w:eastAsia="en-GB"/>
        </w:rPr>
        <w:t>Obligation stacking</w:t>
      </w:r>
      <w:bookmarkEnd w:id="62"/>
      <w:bookmarkEnd w:id="63"/>
    </w:p>
    <w:p w14:paraId="6C83B725"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Benefit-sharing under the Cali Fund applies only in cases where DSI (monetary) benefit-sharing is not already addressed by other international instruments</w:t>
      </w:r>
      <w:r w:rsidRPr="005F0A67">
        <w:rPr>
          <w:rFonts w:asciiTheme="majorBidi" w:eastAsia="Times New Roman" w:hAnsiTheme="majorBidi" w:cstheme="majorBidi"/>
          <w:vertAlign w:val="superscript"/>
          <w:lang w:val="en-CA" w:eastAsia="en-GB"/>
        </w:rPr>
        <w:footnoteReference w:id="32"/>
      </w:r>
      <w:r w:rsidRPr="005F0A67">
        <w:rPr>
          <w:rFonts w:asciiTheme="majorBidi" w:eastAsia="Times New Roman" w:hAnsiTheme="majorBidi" w:cstheme="majorBidi"/>
          <w:lang w:val="en-CA" w:eastAsia="en-GB"/>
        </w:rPr>
        <w:t xml:space="preserve">. This issue, referred to as ‘obligation stacking’, was identified as a challenge in the literature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{"citationID":"VgapE7Eq","properties":{"unsorted":false,"formattedCitation":"(Berman and Vooren, 2025; Blom {\\i{}et al.}, 2025)","plainCitation":"(Berman and Vooren, 2025; Blom et al., 2025)","noteIndex":0},"citationItems":[{"id":575,"uris":["http://zotero.org/users/14977742/items/I4F5YZHC"],"itemData":{"id":575,"type":"article-journal","abstract":"In November 2024, the state parties to the Convention on Biological Diversity (CBD) invited pharmaceutical companies utilising publicly available digital sequence information (DSI) from genetic resources to contribute 0.1% of their revenue or 1% of their profit to a global access and benefit-sharing (ABS) fund, known as the Cali Fund. Simultaneously, World Health Organisation (WHO) member states are negotiating a pandemic treaty, which includes a pathogen access and benefit sharing system (PABS). If adopted, PABS will require pharmaceutical companies to provide financial or in-kind contributions when using pathogen genetic sequence data (GSD). Given that both ABS frameworks would apply to the development of the same vaccines, therapeutics, and diagnostics, their overlap could create significant legal complexity and uncertainty, ultimately jeopardising equitable access to medical countermeasures. Therefore, we call on states to create a single, multilateral system that will govern the sharing of pathogen DSI and GSD. This will help ensure that a single ABS system applies to each health product, thereby reducing legal complexity and enhancing regulatory clarity. In turn, this will contribute to advancing global health equity.","citation-key":"bermanAccessBenefitSharing2025","container-title":"BMJ Public Health","DOI":"10.1136/bmjph-2025-002830","ISSN":"2753-4294","issue":"1","journalAbbreviation":"bmjph","language":"en","license":"This is an open access article distributed in accordance with the Creative Commons Attribution Non Commercial (CC BY-NC 4.0) license","PMID":"10.1136/bmjph-2025-002830","publisher":"BMJ Publishing Group Ltd","source":"bmjpublichealth.bmj.com","title":"Access and benefit sharing: streamlining legal frameworks for global health equity","title-short":"Access and benefit sharing","URL":"https://bmjpublichealth.bmj.com/content/3/1/e002830","volume":"3","author":[{"family":"Berman","given":"Ayelet"},{"family":"Vooren","given":"Bart Van"}],"accessed":{"date-parts":[["2026",1,21]]},"issued":{"date-parts":[["2025",3,28]]}}},{"id":636,"uris":["http://zotero.org/users/14977742/items/JVHVP8XX"],"itemData":{"id":636,"type":"article-journal","abstract":"The COP16 decision established a multilateral mechanism for digital sequence information (DSI) benefit-sharing. This Comment brings together insights from academia and commercial DSI researchers to assess what has been accomplished so far, identify remaining challenges and describe elements under discussion to support collective goals.","citation-key":"blomFrameworksFinanceHow2025","container-title":"Nature Biotechnology","DOI":"10.1038/s41587-025-02820-8","ISSN":"1546-1696","issue":"10","journalAbbreviation":"Nat Biotechnol","language":"en","license":"2025 Springer Nature America, Inc.","page":"1599-1602","publisher":"Nature Publishing Group","source":"www.nature.com","title":"From frameworks to finance: how sharing benefits from the use of digital sequence information can evolve to contribute to biodiversity conservation","title-short":"From frameworks to finance","volume":"43","author":[{"family":"Blom","given":"Charlotte"},{"family":"Jaspars","given":"Marcel"},{"family":"Muminovic Rilak","given":"Jasmina"},{"family":"Scholz","given":"Amber Hartman"}],"issued":{"date-parts":[["2025",10]]}}}],"schema":"https://github.com/citation-style-language/schema/raw/master/csl-citation.json"}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Georgia" w:hAnsiTheme="majorBidi" w:cstheme="majorBidi"/>
          <w:lang w:val="en-CA" w:eastAsia="en-GB"/>
        </w:rPr>
        <w:t xml:space="preserve">(Berman and Vooren, 2025; Blom </w:t>
      </w:r>
      <w:r w:rsidRPr="005F0A67">
        <w:rPr>
          <w:rFonts w:asciiTheme="majorBidi" w:eastAsia="Georgia" w:hAnsiTheme="majorBidi" w:cstheme="majorBidi"/>
          <w:i/>
          <w:iCs/>
          <w:lang w:val="en-CA" w:eastAsia="en-GB"/>
        </w:rPr>
        <w:t>et al.</w:t>
      </w:r>
      <w:r w:rsidRPr="005F0A67">
        <w:rPr>
          <w:rFonts w:asciiTheme="majorBidi" w:eastAsia="Georgia" w:hAnsiTheme="majorBidi" w:cstheme="majorBidi"/>
          <w:lang w:val="en-CA" w:eastAsia="en-GB"/>
        </w:rPr>
        <w:t>, 2025)</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by the pharmaceutical, seed, biotech, </w:t>
      </w:r>
      <w:r w:rsidRPr="005F0A67">
        <w:rPr>
          <w:rFonts w:asciiTheme="majorBidi" w:eastAsia="Times New Roman" w:hAnsiTheme="majorBidi" w:cstheme="majorBidi"/>
          <w:lang w:val="en-CA" w:eastAsia="en-GB"/>
        </w:rPr>
        <w:lastRenderedPageBreak/>
        <w:t>and cosmetics industries in submissions to the CBD</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{"citationID":"d8VIO4KP","properties":{"unsorted":false,"formattedCitation":"(CBD, 2024b)","plainCitation":"(CBD, 2024b)","noteIndex":0},"citationItems":[{"id":278,"uris":["http://zotero.org/users/14977742/items/SDF3HC2R"],"itemData":{"id":278,"type":"webpage","citation-key":"ConventionBiologicalDiversitya","container-title":"Convention on Biological Diversity","language":"en","title":"Notification 2024-114. The multilateral mechanism for the fair and equitable sharing of benefits from the use of digital sequence information on genetic resources, including a global fund (\"The Cali Fund\"): Submission of views on possible additional modalities of the multilateral mechanism.","URL":"https://www.cbd.int/notifications/2024-114","author":[{"literal":"CBD"}],"accessed":{"date-parts":[["2026",5,13]]},"issued":{"date-parts":[["2024",12]]}}}],"schema":"https://github.com/citation-style-language/schema/raw/master/csl-citation.json"}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(CBD, 2024b)</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and a concern of Parties in their implementation of the MLM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{"citationID":"ZPxfg2rn","properties":{"unsorted":false,"formattedCitation":"(CBD, 2026)","plainCitation":"(CBD, 2026)","noteIndex":0},"citationItems":[{"id":250,"uris":["http://zotero.org/users/14977742/items/8A5TE8K2"],"itemData":{"id":250,"type":"webpage","citation-key":"ConventionBiologicalDiversityb","container-title":"Convention on Biological Diversity","language":"en","title":"Notification 2026-019. Operationalizing the Multilateral Mechanism for the Fair and Equitable Sharing of Benefits from the Use of Digital Sequence Information on Genetic Resources, including the Cali Fund: Extension of deadline to submit relevant information and updates on actions to give effect to decision 16/2.","URL":"https://www.cbd.int/notifications/2026-019","author":[{"literal":"CBD"}],"accessed":{"date-parts":[["2026",5,15]]},"issued":{"date-parts":[["2026",2]]}}}],"schema":"https://github.com/citation-style-language/schema/raw/master/csl-citation.json"}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(CBD, 2026)</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w:t>
      </w:r>
    </w:p>
    <w:p w14:paraId="1415ED19"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In practice, firms may be subject to multiple overlapping international rules, such as the WHO PABS system or the ITPGRFA’ MLS as well as the Cali Fund and potential national legislation. The position with respect to the ITPGRFA is narrower than for WHO PABS: since the Multilateral System currently governs physical genetic material rather than DSI, the two instruments' obligations are generally distinct, and stacking would arise only where a firm accesses both physical material under the MLS and DSI relating to the same genetic resource under the Cali Fund. Should DSI be formally incorporated into the ITPGRFA's own scope in future reform, a clear interaction clause with the Cali Fund would be needed at that stage to avoid stacking. The overlap risk with WHO PABS is more direct, since pathogen DSI use could trigger both mechanisms simultaneously for the same activity.</w:t>
      </w:r>
    </w:p>
    <w:p w14:paraId="283585DD"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The composition of the INSDC database gives some indication of how publicly available DSI is distributed across international agreements: Sett et al.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{"citationID":"uaMa7RtU","properties":{"unsorted":false,"formattedCitation":"(2024a)","plainCitation":"(2024a)","noteIndex":0},"citationItems":[{"id":635,"uris":["http://zotero.org/users/14977742/items/LQ39M86H"],"itemData":{"id":635,"type":"article-journal","abstract":"As multiple UN fora develop parallel rules for sharing benefits from digital sequence information, we urge better coordination. International policymakers should focus on harmonizing new benefit-sharing rules to ensure open access to data, database interoperability, and better benefit sharing outcomes.","citation-key":"settHarmonizeRulesDigital2024","container-title":"Nature Communications","DOI":"10.1038/s41467-024-52994-z","ISSN":"2041-1723","issue":"1","journalAbbreviation":"Nat Commun","language":"en","license":"2024 The Author(s)","page":"8745","publisher":"Nature Publishing Group","source":"www.nature.com","title":"Harmonize rules for digital sequence information benefit-sharing across UN frameworks","volume":"15","author":[{"family":"Sett","given":"Scarlett"},{"family":"Kress","given":"W. John"},{"family":"Halewood","given":"Michael"},{"family":"Nicholson","given":"David"},{"family":"Nuñez-Vega","given":"Genuar"},{"family":"Faggionato","given":"Davide"},{"family":"Rouard","given":"Mathieu"},{"family":"Jaspars","given":"Marcel"},{"family":"Silva","given":"Manuela","non-dropping-particle":"da"},{"family":"Prat","given":"Christine"},{"family":"Raposo","given":"Débora S."},{"family":"Klünker","given":"Irma"},{"family":"Freitag","given":"Jens"},{"family":"Tiambo","given":"Christian Keambou"},{"family":"Santos Ribeiro","given":"Carolina","non-dropping-particle":"dos"},{"family":"Wong","given":"Linda"},{"family":"Benbouza","given":"Halima"},{"family":"Overmann","given":"Jörg"},{"family":"Scholz","given":"Amber Hartman"}],"issued":{"date-parts":[["2024",10,9]]}},"suppress-author":true}],"schema":"https://github.com/citation-style-language/schema/raw/master/csl-citation.json"}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Georgia" w:hAnsiTheme="majorBidi" w:cstheme="majorBidi"/>
          <w:lang w:val="en-CA" w:eastAsia="en-GB"/>
        </w:rPr>
        <w:t>(2024a)</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estimate that the genetic resources underlying 56% of INSDC sequences fall under CBD scope, 10% within ITPGRFA Annex I, and 3% within the WHO framework</w:t>
      </w:r>
      <w:r w:rsidRPr="005F0A67">
        <w:rPr>
          <w:rFonts w:asciiTheme="majorBidi" w:eastAsia="Times New Roman" w:hAnsiTheme="majorBidi" w:cstheme="majorBidi"/>
          <w:vertAlign w:val="superscript"/>
          <w:lang w:val="en-CA" w:eastAsia="en-GB"/>
        </w:rPr>
        <w:footnoteReference w:id="33"/>
      </w:r>
      <w:r w:rsidRPr="005F0A67">
        <w:rPr>
          <w:rFonts w:asciiTheme="majorBidi" w:eastAsia="Times New Roman" w:hAnsiTheme="majorBidi" w:cstheme="majorBidi"/>
          <w:lang w:val="en-CA" w:eastAsia="en-GB"/>
        </w:rPr>
        <w:t xml:space="preserve">; DSI-specific obligations under these instruments remain unresolved or absent. In practice, however, a single commercial activity may draw on sequences from multiple frameworks simultaneously. For instance, vaccine development, may require sequences governed by both WHO and CBD mechanisms within a single product development process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{"citationID":"6QNDEzyY","properties":{"unsorted":false,"formattedCitation":"(Berman and Vooren, 2025)","plainCitation":"(Berman and Vooren, 2025)","noteIndex":0},"citationItems":[{"id":575,"uris":["http://zotero.org/users/14977742/items/I4F5YZHC"],"itemData":{"id":575,"type":"article-journal","abstract":"In November 2024, the state parties to the Convention on Biological Diversity (CBD) invited pharmaceutical companies utilising publicly available digital sequence information (DSI) from genetic resources to contribute 0.1% of their revenue or 1% of their profit to a global access and benefit-sharing (ABS) fund, known as the Cali Fund. Simultaneously, World Health Organisation (WHO) member states are negotiating a pandemic treaty, which includes a pathogen access and benefit sharing system (PABS). If adopted, PABS will require pharmaceutical companies to provide financial or in-kind contributions when using pathogen genetic sequence data (GSD). Given that both ABS frameworks would apply to the development of the same vaccines, therapeutics, and diagnostics, their overlap could create significant legal complexity and uncertainty, ultimately jeopardising equitable access to medical countermeasures. Therefore, we call on states to create a single, multilateral system that will govern the sharing of pathogen DSI and GSD. This will help ensure that a single ABS system applies to each health product, thereby reducing legal complexity and enhancing regulatory clarity. In turn, this will contribute to advancing global health equity.","citation-key":"bermanAccessBenefitSharing2025","container-title":"BMJ Public Health","DOI":"10.1136/bmjph-2025-002830","ISSN":"2753-4294","issue":"1","journalAbbreviation":"bmjph","language":"en","license":"This is an open access article distributed in accordance with the Creative Commons Attribution Non Commercial (CC BY-NC 4.0) license","PMID":"10.1136/bmjph-2025-002830","publisher":"BMJ Publishing Group Ltd","source":"bmjpublichealth.bmj.com","title":"Access and benefit sharing: streamlining legal frameworks for global health equity","title-short":"Access and benefit sharing","URL":"https://bmjpublichealth.bmj.com/content/3/1/e002830","volume":"3","author":[{"family":"Berman","given":"Ayelet"},{"family":"Vooren","given":"Bart Van"}],"accessed":{"date-parts":[["2026",1,21]]},"issued":{"date-parts":[["2025",3,28]]}}}],"schema":"https://github.com/citation-style-language/schema/raw/master/csl-citation.json"}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noProof/>
          <w:lang w:val="en-CA" w:eastAsia="en-GB"/>
        </w:rPr>
        <w:t>(Berman and Vooren, 2025)</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w:t>
      </w:r>
    </w:p>
    <w:p w14:paraId="285D4874"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Decision 16/2 recognises this risk and calls for the establishment of a mechanism that avoids overlapping benefit-sharing obligations, while also encouraging cooperation with other relevant international frameworks</w:t>
      </w:r>
      <w:r w:rsidRPr="005F0A67">
        <w:rPr>
          <w:rFonts w:asciiTheme="majorBidi" w:eastAsia="Times New Roman" w:hAnsiTheme="majorBidi" w:cstheme="majorBidi"/>
          <w:vertAlign w:val="superscript"/>
          <w:lang w:val="en-CA" w:eastAsia="en-GB"/>
        </w:rPr>
        <w:footnoteReference w:id="34"/>
      </w:r>
      <w:r w:rsidRPr="005F0A67">
        <w:rPr>
          <w:rFonts w:asciiTheme="majorBidi" w:eastAsia="Times New Roman" w:hAnsiTheme="majorBidi" w:cstheme="majorBidi"/>
          <w:lang w:val="en-CA" w:eastAsia="en-GB"/>
        </w:rPr>
        <w:t xml:space="preserve">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{"citationID":"JeubTESB","properties":{"unsorted":false,"formattedCitation":"(Mu\\uc0\\u241{}oz-Garc\\uc0\\u237{}a {\\i{}et al.}, 2025)","plainCitation":"(Muñoz-García et al., 2025)","noteIndex":0},"citationItems":[{"id":554,"uris":["http://zotero.org/users/14977742/items/KG5IJPPY"],"itemData":{"id":554,"type":"article-journal","citation-key":"munoz-garciaNavigatingCOP16sDigital2025","container-title":"Patterns","DOI":"10.1016/j.patter.2025.101208","ISSN":"2666-3899","issue":"3","journalAbbreviation":"Patterns","language":"English","publisher":"Elsevier","source":"www.cell.com","title":"Navigating COP16’s digital sequence information outcomes: What researchers need to do in practice","title-short":"Navigating COP16’s digital sequence information outcomes","URL":"https://www.cell.com/patterns/abstract/S2666-3899(25)00056-X","volume":"6","author":[{"family":"Muñoz-García","given":"Melania"},{"family":"Bansal","given":"K. C."},{"family":"Bao","given":"Yiming"},{"family":"Brinkley","given":"Sarah C."},{"family":"Buzan","given":"Elena"},{"family":"Castle","given":"David"},{"family":"Cepeda-Hernández","given":"Martha Lucía"},{"family":"Correard","given":"Solenne"},{"family":"Crawford","given":"Andrew J."},{"family":"Silva","given":"Jessica M.","dropping-particle":"da"},{"family":"Silva","given":"Manuela","dropping-particle":"da"},{"family":"Ekpe","given":"Sonigitu"},{"family":"Fahime","given":"Elmostafa El"},{"family":"Engelhardt","given":"Annika"},{"family":"Faggionato","given":"Davide"},{"family":"Haas","given":"Aylin S."},{"family":"Hautea","given":"Desiree M."},{"family":"Hossaert-McKey","given":"Martine"},{"family":"Mazzoni","given":"Camila J."},{"family":"Jaspars","given":"Marcel"},{"family":"Katee","given":"Sally"},{"family":"Kress","given":"John"},{"family":"Kwarteng","given":"Alexander"},{"family":"Lijtmaer","given":"Darío A."},{"family":"Lee","given":"Seon"},{"family":"Noriega","given":"Isabel Lopez"},{"family":"Lyal","given":"Christopher"},{"family":"Maharaj","given":"Gyanpriya"},{"family":"McCartney","given":"Ann M."},{"family":"Miano","given":"Douglas"},{"family":"Mulema","given":"Joseph"},{"family":"Oliveira","given":"Guilherme"},{"family":"Omesa","given":"Francis Osiemo"},{"family":"Orozco","given":"Pablo"},{"family":"Overmann","given":"Jörg"},{"family":"Poetsch","given":"Anna"},{"family":"Prat","given":"Christine"},{"family":"Raposo","given":"Débora S."},{"family":"Restrepo","given":"Silvia"},{"family":"Rhoden","given":"Fabian"},{"family":"Rouard","given":"Mathieu"},{"family":"Serepa-Dlamini","given":"Mahloro Hope"},{"family":"Aguilera","given":"María Alejandra Sierra"},{"family":"Suzuki","given":"Mutsuaki"},{"family":"Tiambo","given":"Christian Keambou"},{"family":"Wiemers","given":"Martin"},{"family":"Wong","given":"Linda"},{"family":"Yu","given":"Eizadora"},{"family":"Zambrano","given":"Maria Mercedes"},{"family":"Zhou","given":"Jinfeng"},{"family":"Scholz","given":"Amber Hartman"}],"accessed":{"date-parts":[["2026",2,1]]},"issued":{"date-parts":[["2025",3,14]]}}}],"schema":"https://github.com/citation-style-language/schema/raw/master/csl-citation.json"}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Georgia" w:hAnsiTheme="majorBidi" w:cstheme="majorBidi"/>
          <w:lang w:val="en-CA" w:eastAsia="en-GB"/>
        </w:rPr>
        <w:t xml:space="preserve">(Muñoz-García </w:t>
      </w:r>
      <w:r w:rsidRPr="005F0A67">
        <w:rPr>
          <w:rFonts w:asciiTheme="majorBidi" w:eastAsia="Georgia" w:hAnsiTheme="majorBidi" w:cstheme="majorBidi"/>
          <w:i/>
          <w:iCs/>
          <w:lang w:val="en-CA" w:eastAsia="en-GB"/>
        </w:rPr>
        <w:t>et al.</w:t>
      </w:r>
      <w:r w:rsidRPr="005F0A67">
        <w:rPr>
          <w:rFonts w:asciiTheme="majorBidi" w:eastAsia="Georgia" w:hAnsiTheme="majorBidi" w:cstheme="majorBidi"/>
          <w:lang w:val="en-CA" w:eastAsia="en-GB"/>
        </w:rPr>
        <w:t>, 2025)</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This uncertainty is incorporated into the broad revenue uncertainty range presented in Part II. Parties should be encouraged to ensure coherence and interoperability between the multilateral mechanism and existing national access and benefit-sharing (ABS) frameworks, with a view to minimizing duplicative obligations, reducing compliance costs, and enhancing legal certainty for participating entities. A good example of such action is the pledge made in June 2026 by a coalition of governments, the 'Friends of the Cali Fund,' to work toward avoiding duplication of benefit-sharing expectations and the stacking of obligations across international instruments (UK Defra, 2026).</w:t>
      </w:r>
    </w:p>
    <w:p w14:paraId="1DB14377" w14:textId="77777777" w:rsidR="005F0A67" w:rsidRPr="005F0A67" w:rsidRDefault="005F0A67" w:rsidP="00B54840">
      <w:pPr>
        <w:tabs>
          <w:tab w:val="clear" w:pos="567"/>
          <w:tab w:val="clear" w:pos="1134"/>
          <w:tab w:val="clear" w:pos="1701"/>
          <w:tab w:val="clear" w:pos="2268"/>
        </w:tabs>
        <w:spacing w:before="320" w:after="160"/>
        <w:ind w:left="720"/>
        <w:jc w:val="left"/>
        <w:outlineLvl w:val="2"/>
        <w:rPr>
          <w:rFonts w:asciiTheme="majorBidi" w:eastAsia="Arial" w:hAnsiTheme="majorBidi" w:cstheme="majorBidi"/>
          <w:b/>
          <w:bCs/>
          <w:color w:val="7F7F7F"/>
          <w:sz w:val="23"/>
          <w:szCs w:val="23"/>
          <w:lang w:val="en-CA" w:eastAsia="en-GB"/>
        </w:rPr>
      </w:pPr>
      <w:bookmarkStart w:id="64" w:name="_Ref230179202"/>
      <w:bookmarkStart w:id="65" w:name="_Toc234579553"/>
      <w:r w:rsidRPr="005F0A67">
        <w:rPr>
          <w:rFonts w:asciiTheme="majorBidi" w:eastAsia="Arial" w:hAnsiTheme="majorBidi" w:cstheme="majorBidi"/>
          <w:b/>
          <w:bCs/>
          <w:color w:val="7F7F7F"/>
          <w:sz w:val="23"/>
          <w:szCs w:val="23"/>
          <w:lang w:val="en-CA" w:eastAsia="en-GB"/>
        </w:rPr>
        <w:t>National implementation divergence</w:t>
      </w:r>
      <w:bookmarkEnd w:id="64"/>
      <w:bookmarkEnd w:id="65"/>
    </w:p>
    <w:p w14:paraId="3475DDFC"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Decision 16/2 invites Parties to adopt measures that support contributions but does not prescribe a specific approach. The literature on the analogous Nagoya Protocol</w:t>
      </w:r>
      <w:r w:rsidRPr="005F0A67">
        <w:rPr>
          <w:rFonts w:asciiTheme="majorBidi" w:eastAsia="Times New Roman" w:hAnsiTheme="majorBidi" w:cstheme="majorBidi"/>
          <w:vertAlign w:val="superscript"/>
          <w:lang w:val="en-CA" w:eastAsia="en-GB"/>
        </w:rPr>
        <w:footnoteReference w:id="35"/>
      </w:r>
      <w:r w:rsidRPr="005F0A67">
        <w:rPr>
          <w:rFonts w:asciiTheme="majorBidi" w:eastAsia="Times New Roman" w:hAnsiTheme="majorBidi" w:cstheme="majorBidi"/>
          <w:lang w:val="en-CA" w:eastAsia="en-GB"/>
        </w:rPr>
        <w:t xml:space="preserve"> indicates that how countries implement ABS obligations</w:t>
      </w:r>
      <w:r w:rsidRPr="005F0A67">
        <w:rPr>
          <w:rFonts w:asciiTheme="majorBidi" w:eastAsia="Times New Roman" w:hAnsiTheme="majorBidi" w:cstheme="majorBidi"/>
          <w:vertAlign w:val="superscript"/>
          <w:lang w:val="en-CA" w:eastAsia="en-GB"/>
        </w:rPr>
        <w:footnoteReference w:id="36"/>
      </w:r>
      <w:r w:rsidRPr="005F0A67">
        <w:rPr>
          <w:rFonts w:asciiTheme="majorBidi" w:eastAsia="Times New Roman" w:hAnsiTheme="majorBidi" w:cstheme="majorBidi"/>
          <w:lang w:val="en-CA" w:eastAsia="en-GB"/>
        </w:rPr>
        <w:t xml:space="preserve"> can influence firm behaviour, because national laws determine how ABS principles are translated into regulatory mechanisms and, in many jurisdictions, link them to binding compliance procedures and sanctions </w:t>
      </w:r>
      <w:bookmarkStart w:id="66" w:name="_Hlk229777996"/>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{"citationID":"fvKY2d2R","properties":{"unsorted":false,"formattedCitation":"(Sirakaya, 2019; Michiels {\\i{}et al.}, 2022; Ljungqvist {\\i{}et al.}, 2025)","plainCitation":"(Sirakaya, 2019; Michiels et al., 2022; Ljungqvist et al., 2025)","noteIndex":0},"citationItems":[{"id":249,"uris":["http://zotero.org/users/14977742/items/AASW7QWL"],"itemData":{"id":249,"type":"article-journal","abstract":"The over-arching aim of the access and benefit-sharing (ABS) of genetic resources is to enable fair distribution of benefits between the users (such as universities and biotech companies) and providers (such as biodiversity rich countries) so as to both open the doors for innovation and create incentives for biodiversity conservation. Access to genetic resources is crucial for research related to conservation of plant genetic resources as well as R&amp;D for agricultural products and evolved crops that can attain to the new weather conditions climate change brings. Therefore, access to genetic resources in general as well as benefit-sharing from that access is a key element for sustainable development in order to secure research as well as environmental sustainability and resource availability.ABS is currently a rapidly developing and evolving field that is shaped by each and every implementation of the Parties. This means that the national implementation of the Parties determine how ABS goals are realised and how ABS principles find form within regulatory mechanisms. These principles are found in international legal documents such as the Convention on Biological Diversity (CBD) as well as Nagoya Protocol. Additionally, decisions and guidelines drafted by the Conference of the Parties to the Convention on Biological Diversity shape these principles that are then to be fulfilled by the Parties when drafting their ABS laws by means of implementing regulatory mechanisms that comply with the international law.This article reviews a portion of these national ABS laws, implemented by provider countries throughout the world with the aim of describing the different types of regulatory mechanisms provider countries use. This descriptive approach is then followed by an empirical comparative analysis through semi-structured stakeholder interviews in order to identify the most beneficial regulatory mechanisms according to ABS experts that belong in four different stakeholder groups (provider countries, academic users, industrial users and collections).","citation-key":"sirakayaBalancedOptionsAccess2019","container-title":"Frontiers in Plant Science","DOI":"10.3389/fpls.2019.01175","ISSN":"1664-462X","journalAbbreviation":"Front. Plant Sci.","language":"English","publisher":"Frontiers","source":"Frontiers","title":"Balanced Options for Access and Benefit-Sharing: Stakeholder Insights on Provider Country Legislation","title-short":"Balanced Options for Access and Benefit-Sharing","URL":"https://www.frontiersin.org/journals/plant-science/articles/10.3389/fpls.2019.01175/full","volume":"10","author":[{"family":"Sirakaya","given":"Aysegul"}],"accessed":{"date-parts":[["2026",5,15]]},"issued":{"date-parts":[["2019",10,1]]}}},{"id":248,"uris":["http://zotero.org/users/14977742/items/PVADKR33"],"itemData":{"id":248,"type":"article-journal","abstract":"Access and benefit sharing (ABS) is a framework which refers to a relatively recent type of legal requirements for access to and use of “genetic resources”. They are based on diverse national and regional laws and regulations, which mostly result from the implementation of the United Nations’ Convention on Biological Diversity (CBD) and its supplementary agreement, the Nagoya Protocol. Their ambition is to achieve fair and equitable sharing of benefits arising out of the use of genetic resources as an incentive to conserve and sustainably use them. This paper describes the experiences, practical constraints and complexities encountered by users of genetic resources when dealing with ABS legislation, with a focus on users from the private sector. We provide insights on how ABS laws have fundamentally changed the way of working with genetic resources, in the hope that it inspires re-thinking of the ABS framework, to better support the overall objectives of the CBD.","citation-key":"michielsFacingHarshReality2022a","container-title":"Sustainability","DOI":"10.3390/su14010277","ISSN":"2071-1050","issue":"1","language":"en","license":"http://creativecommons.org/licenses/by/3.0/","page":"277","publisher":"Multidisciplinary Digital Publishing Institute","source":"www.mdpi.com","title":"Facing the Harsh Reality of Access and Benefit Sharing (ABS) Legislation: An Industry Perspective","title-short":"Facing the Harsh Reality of Access and Benefit Sharing (ABS) Legislation","volume":"14","author":[{"family":"Michiels","given":"Frank"},{"family":"Feiter","given":"Ulrich"},{"family":"Paquin-Jaloux","given":"Stéphanie"},{"family":"Jungmann","given":"Diana"},{"family":"Braun","given":"Axel"},{"family":"Sayoc","given":"Mary Ann P."},{"family":"Armengol","given":"Ricard"},{"family":"Wyss","given":"Markus"},{"family":"David","given":"Bruno"}],"issued":{"date-parts":[["2022",1]]}}},{"id":247,"uris":["http://zotero.org/users/14977742/items/9MCM5HTX"],"itemData":{"id":247,"type":"article-journal","abstract":"Introduction The goal of access and benefit-sharing (ABS) in global health governance is to ensure that countries that provide access to genetic resources, including pathogens, receive equitable access to the benefits derived from their use. The increasing digitalisation of health data has brought this issue to the forefront of discussions on global health security and health equity. While originally conceptualised in supranational agreements, implementation of these treaties requires national-level legislation in each country. This descriptive analysis represents to our knowledge the first open-access comprehensive effort to map ABS policies in all 193 United Nations member states.Methods We conducted a standardised review of the legislation for 193 United Nations Member States across three global legal databases (ABS Clearing House, WIPOLEX and FAOLEX), national legal databases and a systematic Google search. Legally enforceable policies were identified, and data were extracted across the following eight aspects of ABS legislation: Scope of Legislation, Digital Sequence Information (DSI), Access to Resources, Prior Informed Consent, Contractual Terms, Benefit-Sharing, Compliance and Legal Sanctions.Results We found that 104 countries have legally enforceable policies on ABS, with 92 countries having ABS policies relevant to microorganisms. Of these, 74 countries have chosen to restrict access to their domestic pathogens, and 53 have chosen to link access to pathogenic resources with an obligation to share benefits. Altogether 22 countries have a codified position on DSI with regard to ABS in legally enforceable policy: 16 have explicitly included it, 2 have explicitly excluded it and 4 have ambiguous wording. WHO regional coverage of ABS policy on genetic resources ranged from 28% (3/11) of countries in the Eastern Mediterranean Region to 57% (21/35) in the Region of the Americas. Likewise, regional coverage of legally enforceable ABS policy related to DSI ranged from 0% in the Eastern Mediterranean and European Regions to 36% (4/11) of countries in the Southeast Asian Region.Conclusion These findings highlight the heterogeneity found in the global policy landscape as it pertains to ABS, and provide data to inform future agreements and research efforts related to ABS.","citation-key":"ljungqvistGlobalPatternsAccess2025b","container-title":"BMJ Public Health","DOI":"10.1136/bmjph-2024-001800","ISSN":"2753-4294","issue":"1","journalAbbreviation":"bmjph","language":"en","license":"This is an open access article distributed in accordance with the Creative Commons Attribution Non Commercial (CC BY-NC 4.0) license","PMID":"10.1136/bmjph-2024-001800","publisher":"BMJ Publishing Group Ltd","source":"bmjpublichealth.bmj.com","title":"Global patterns in access and benefit-sharing: a comprehensive review of national policies","title-short":"Global patterns in access and benefit-sharing","URL":"https://bmjpublichealth.bmj.com/content/3/1/e001800","volume":"3","author":[{"family":"Ljungqvist","given":"Gunnar V."},{"family":"Weets","given":"Ciara M."},{"family":"Stevens","given":"Tess"},{"family":"Robertson","given":"Hailey"},{"family":"Zimmerman","given":"Ryan"},{"family":"Graeden","given":"Ellie"},{"family":"Katz","given":"Rebecca"}],"accessed":{"date-parts":[["2026",5,15]]},"issued":{"date-parts":[["2025",3,4]]}}}],"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Georgia" w:hAnsiTheme="majorBidi" w:cstheme="majorBidi"/>
          <w:lang w:eastAsia="en-GB"/>
        </w:rPr>
        <w:t xml:space="preserve">(Sirakaya, 2019; Michiels </w:t>
      </w:r>
      <w:r w:rsidRPr="005F0A67">
        <w:rPr>
          <w:rFonts w:asciiTheme="majorBidi" w:eastAsia="Georgia" w:hAnsiTheme="majorBidi" w:cstheme="majorBidi"/>
          <w:i/>
          <w:iCs/>
          <w:lang w:eastAsia="en-GB"/>
        </w:rPr>
        <w:t>et al.</w:t>
      </w:r>
      <w:r w:rsidRPr="005F0A67">
        <w:rPr>
          <w:rFonts w:asciiTheme="majorBidi" w:eastAsia="Georgia" w:hAnsiTheme="majorBidi" w:cstheme="majorBidi"/>
          <w:lang w:eastAsia="en-GB"/>
        </w:rPr>
        <w:t xml:space="preserve">, 2022; Ljungqvist </w:t>
      </w:r>
      <w:r w:rsidRPr="005F0A67">
        <w:rPr>
          <w:rFonts w:asciiTheme="majorBidi" w:eastAsia="Georgia" w:hAnsiTheme="majorBidi" w:cstheme="majorBidi"/>
          <w:i/>
          <w:iCs/>
          <w:lang w:eastAsia="en-GB"/>
        </w:rPr>
        <w:t>et al.</w:t>
      </w:r>
      <w:r w:rsidRPr="005F0A67">
        <w:rPr>
          <w:rFonts w:asciiTheme="majorBidi" w:eastAsia="Georgia" w:hAnsiTheme="majorBidi" w:cstheme="majorBidi"/>
          <w:lang w:eastAsia="en-GB"/>
        </w:rPr>
        <w:t>, 2025)</w:t>
      </w:r>
      <w:r w:rsidRPr="005F0A67">
        <w:rPr>
          <w:rFonts w:asciiTheme="majorBidi" w:eastAsia="Times New Roman" w:hAnsiTheme="majorBidi" w:cstheme="majorBidi"/>
          <w:lang w:val="en-CA" w:eastAsia="en-GB"/>
        </w:rPr>
        <w:fldChar w:fldCharType="end"/>
      </w:r>
      <w:bookmarkEnd w:id="66"/>
      <w:r w:rsidRPr="005F0A67">
        <w:rPr>
          <w:rFonts w:asciiTheme="majorBidi" w:eastAsia="Times New Roman" w:hAnsiTheme="majorBidi" w:cstheme="majorBidi"/>
          <w:lang w:val="en-CA" w:eastAsia="en-GB"/>
        </w:rPr>
        <w:t xml:space="preserve">. The level of national ABS legislation </w:t>
      </w:r>
      <w:r w:rsidRPr="005F0A67">
        <w:rPr>
          <w:rFonts w:asciiTheme="majorBidi" w:eastAsia="Times New Roman" w:hAnsiTheme="majorBidi" w:cstheme="majorBidi"/>
          <w:lang w:val="en-CA" w:eastAsia="en-GB"/>
        </w:rPr>
        <w:lastRenderedPageBreak/>
        <w:t xml:space="preserve">varies across Parties, and this variation has been found to extend to DSI, where national laws diverge in their treatment of sequence data which can be problematic for users and affect their compliance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{"citationID":"g95tkklm","properties":{"unsorted":false,"formattedCitation":"(Sirakaya, 2019; Michiels {\\i{}et al.}, 2022; Ebert {\\i{}et al.}, 2023)","plainCitation":"(Sirakaya, 2019; Michiels et al., 2022; Ebert et al., 2023)","noteIndex":0},"citationItems":[{"id":249,"uris":["http://zotero.org/users/14977742/items/AASW7QWL"],"itemData":{"id":249,"type":"article-journal","abstract":"The over-arching aim of the access and benefit-sharing (ABS) of genetic resources is to enable fair distribution of benefits between the users (such as universities and biotech companies) and providers (such as biodiversity rich countries) so as to both open the doors for innovation and create incentives for biodiversity conservation. Access to genetic resources is crucial for research related to conservation of plant genetic resources as well as R&amp;D for agricultural products and evolved crops that can attain to the new weather conditions climate change brings. Therefore, access to genetic resources in general as well as benefit-sharing from that access is a key element for sustainable development in order to secure research as well as environmental sustainability and resource availability.ABS is currently a rapidly developing and evolving field that is shaped by each and every implementation of the Parties. This means that the national implementation of the Parties determine how ABS goals are realised and how ABS principles find form within regulatory mechanisms. These principles are found in international legal documents such as the Convention on Biological Diversity (CBD) as well as Nagoya Protocol. Additionally, decisions and guidelines drafted by the Conference of the Parties to the Convention on Biological Diversity shape these principles that are then to be fulfilled by the Parties when drafting their ABS laws by means of implementing regulatory mechanisms that comply with the international law.This article reviews a portion of these national ABS laws, implemented by provider countries throughout the world with the aim of describing the different types of regulatory mechanisms provider countries use. This descriptive approach is then followed by an empirical comparative analysis through semi-structured stakeholder interviews in order to identify the most beneficial regulatory mechanisms according to ABS experts that belong in four different stakeholder groups (provider countries, academic users, industrial users and collections).","citation-key":"sirakayaBalancedOptionsAccess2019","container-title":"Frontiers in Plant Science","DOI":"10.3389/fpls.2019.01175","ISSN":"1664-462X","journalAbbreviation":"Front. Plant Sci.","language":"English","publisher":"Frontiers","source":"Frontiers","title":"Balanced Options for Access and Benefit-Sharing: Stakeholder Insights on Provider Country Legislation","title-short":"Balanced Options for Access and Benefit-Sharing","URL":"https://www.frontiersin.org/journals/plant-science/articles/10.3389/fpls.2019.01175/full","volume":"10","author":[{"family":"Sirakaya","given":"Aysegul"}],"accessed":{"date-parts":[["2026",5,15]]},"issued":{"date-parts":[["2019",10,1]]}}},{"id":248,"uris":["http://zotero.org/users/14977742/items/PVADKR33"],"itemData":{"id":248,"type":"article-journal","abstract":"Access and benefit sharing (ABS) is a framework which refers to a relatively recent type of legal requirements for access to and use of “genetic resources”. They are based on diverse national and regional laws and regulations, which mostly result from the implementation of the United Nations’ Convention on Biological Diversity (CBD) and its supplementary agreement, the Nagoya Protocol. Their ambition is to achieve fair and equitable sharing of benefits arising out of the use of genetic resources as an incentive to conserve and sustainably use them. This paper describes the experiences, practical constraints and complexities encountered by users of genetic resources when dealing with ABS legislation, with a focus on users from the private sector. We provide insights on how ABS laws have fundamentally changed the way of working with genetic resources, in the hope that it inspires re-thinking of the ABS framework, to better support the overall objectives of the CBD.","citation-key":"michielsFacingHarshReality2022a","container-title":"Sustainability","DOI":"10.3390/su14010277","ISSN":"2071-1050","issue":"1","language":"en","license":"http://creativecommons.org/licenses/by/3.0/","page":"277","publisher":"Multidisciplinary Digital Publishing Institute","source":"www.mdpi.com","title":"Facing the Harsh Reality of Access and Benefit Sharing (ABS) Legislation: An Industry Perspective","title-short":"Facing the Harsh Reality of Access and Benefit Sharing (ABS) Legislation","volume":"14","author":[{"family":"Michiels","given":"Frank"},{"family":"Feiter","given":"Ulrich"},{"family":"Paquin-Jaloux","given":"Stéphanie"},{"family":"Jungmann","given":"Diana"},{"family":"Braun","given":"Axel"},{"family":"Sayoc","given":"Mary Ann P."},{"family":"Armengol","given":"Ricard"},{"family":"Wyss","given":"Markus"},{"family":"David","given":"Bruno"}],"issued":{"date-parts":[["2022",1]]}}},{"id":246,"uris":["http://zotero.org/users/14977742/items/ZGY33M9M"],"itemData":{"id":246,"type":"article-journal","abstract":"Plant breeders develop competitive, high-yielding, resistant crop varieties that can cope with the challenges of biotic stresses and tolerate abiotic stresses, resulting in nutritious food for consumers worldwide. To achieve this, plant breeders need continuous and easy access to plant genetic resources (PGR) for trait screening, to generate new diversity that can be built into newly improved varieties. International agreements such as the Convention on Biological Diversity (CBD), the International Treaty on Plant Genetic Resources for Food and Agriculture (ITPGRFA) and the Nagoya Protocol recognised the sovereign rights of countries over their genetic resources. Under the CBD/Nagoya Protocol, countries are free to establish specific national legislations regulating germplasm access and benefit-sharing to be negotiated bilaterally. Consequently, access to PGR became increasingly restricted and cumbersome, resulting in a decrease in germplasm exchange. The ITPGRFA attempted to ease this situation by establishing a globally harmonised multilateral system (MLS). Unfortunately, the MLS is (still) restricted to a limited number of food and forage crops, with very few vegetable crops. Easy and continuous access to genetic diversity combined with equitable and fair sharing of derived benefits is a prerequisite to breeding new varieties. Facilitated access contributes to sustainable crop production and food and nutrition security; therefore, access to and, consequently, use of PGRFA needs to be improved. Thus, the authors recommend, among others, expanding the scope of the ITPGRFA to include all PGRFA and making them and all related information accessible under a Standard Material Transfer Agreement (SMTA) combined, if necessary, with a subscription system or a seed sales tax. Such a transparent, functional and efficient system would erase legal uncertainties and minimise transaction costs for conservers, curators and users of genetic resources, thus aiding plant breeders to fulfil their mission.","citation-key":"ebertCriticalReviewIncreasing2023a","container-title":"Plants","DOI":"10.3390/plants12162992","ISSN":"2223-7747","issue":"16","language":"en","license":"http://creativecommons.org/licenses/by/3.0/","page":"2992","publisher":"Multidisciplinary Digital Publishing Institute","source":"www.mdpi.com","title":"Critical Review of the Increasing Complexity of Access and Benefit-Sharing Policies of Genetic Resources for Genebank Curators and Plant Breeders–A Public and Private Sector Perspective","volume":"12","author":[{"family":"Ebert","given":"Andreas W."},{"family":"Engels","given":"Johannes M. M."},{"family":"Schafleitner","given":"Roland"},{"family":"Hintum","given":"Theo","dropping-particle":"van"},{"family":"Mwila","given":"Godfrey"}],"issued":{"date-parts":[["2023",1]]}}}],"schema":"https://github.com/citation-style-language/schema/raw/master/csl-citation.json"}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Georgia" w:hAnsiTheme="majorBidi" w:cstheme="majorBidi"/>
          <w:lang w:val="en-CA" w:eastAsia="en-GB"/>
        </w:rPr>
        <w:t xml:space="preserve">(Sirakaya, 2019; Michiels </w:t>
      </w:r>
      <w:r w:rsidRPr="005F0A67">
        <w:rPr>
          <w:rFonts w:asciiTheme="majorBidi" w:eastAsia="Georgia" w:hAnsiTheme="majorBidi" w:cstheme="majorBidi"/>
          <w:i/>
          <w:iCs/>
          <w:lang w:val="en-CA" w:eastAsia="en-GB"/>
        </w:rPr>
        <w:t>et al.</w:t>
      </w:r>
      <w:r w:rsidRPr="005F0A67">
        <w:rPr>
          <w:rFonts w:asciiTheme="majorBidi" w:eastAsia="Georgia" w:hAnsiTheme="majorBidi" w:cstheme="majorBidi"/>
          <w:lang w:val="en-CA" w:eastAsia="en-GB"/>
        </w:rPr>
        <w:t xml:space="preserve">, 2022; Ebert </w:t>
      </w:r>
      <w:r w:rsidRPr="005F0A67">
        <w:rPr>
          <w:rFonts w:asciiTheme="majorBidi" w:eastAsia="Georgia" w:hAnsiTheme="majorBidi" w:cstheme="majorBidi"/>
          <w:i/>
          <w:iCs/>
          <w:lang w:val="en-CA" w:eastAsia="en-GB"/>
        </w:rPr>
        <w:t>et al.</w:t>
      </w:r>
      <w:r w:rsidRPr="005F0A67">
        <w:rPr>
          <w:rFonts w:asciiTheme="majorBidi" w:eastAsia="Georgia" w:hAnsiTheme="majorBidi" w:cstheme="majorBidi"/>
          <w:lang w:val="en-CA" w:eastAsia="en-GB"/>
        </w:rPr>
        <w:t>, 2023)</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This may lead to additional obligation stacking across jurisdictions capturing DSI under their ABS laws. with some already explicitly regulating DSI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{"citationID":"D2ppRXYH","properties":{"unsorted":false,"formattedCitation":"(Sirakaya, 2019; Michiels {\\i{}et al.}, 2022; Ebert {\\i{}et al.}, 2023)","plainCitation":"(Sirakaya, 2019; Michiels et al., 2022; Ebert et al., 2023)","dontUpdate":true,"noteIndex":0},"citationItems":[{"id":249,"uris":["http://zotero.org/users/14977742/items/AASW7QWL"],"itemData":{"id":249,"type":"article-journal","abstract":"The over-arching aim of the access and benefit-sharing (ABS) of genetic resources is to enable fair distribution of benefits between the users (such as universities and biotech companies) and providers (such as biodiversity rich countries) so as to both open the doors for innovation and create incentives for biodiversity conservation. Access to genetic resources is crucial for research related to conservation of plant genetic resources as well as R&amp;D for agricultural products and evolved crops that can attain to the new weather conditions climate change brings. Therefore, access to genetic resources in general as well as benefit-sharing from that access is a key element for sustainable development in order to secure research as well as environmental sustainability and resource availability.ABS is currently a rapidly developing and evolving field that is shaped by each and every implementation of the Parties. This means that the national implementation of the Parties determine how ABS goals are realised and how ABS principles find form within regulatory mechanisms. These principles are found in international legal documents such as the Convention on Biological Diversity (CBD) as well as Nagoya Protocol. Additionally, decisions and guidelines drafted by the Conference of the Parties to the Convention on Biological Diversity shape these principles that are then to be fulfilled by the Parties when drafting their ABS laws by means of implementing regulatory mechanisms that comply with the international law.This article reviews a portion of these national ABS laws, implemented by provider countries throughout the world with the aim of describing the different types of regulatory mechanisms provider countries use. This descriptive approach is then followed by an empirical comparative analysis through semi-structured stakeholder interviews in order to identify the most beneficial regulatory mechanisms according to ABS experts that belong in four different stakeholder groups (provider countries, academic users, industrial users and collections).","citation-key":"sirakayaBalancedOptionsAccess2019","container-title":"Frontiers in Plant Science","DOI":"10.3389/fpls.2019.01175","ISSN":"1664-462X","journalAbbreviation":"Front. Plant Sci.","language":"English","publisher":"Frontiers","source":"Frontiers","title":"Balanced Options for Access and Benefit-Sharing: Stakeholder Insights on Provider Country Legislation","title-short":"Balanced Options for Access and Benefit-Sharing","URL":"https://www.frontiersin.org/journals/plant-science/articles/10.3389/fpls.2019.01175/full","volume":"10","author":[{"family":"Sirakaya","given":"Aysegul"}],"accessed":{"date-parts":[["2026",5,15]]},"issued":{"date-parts":[["2019",10,1]]}}},{"id":248,"uris":["http://zotero.org/users/14977742/items/PVADKR33"],"itemData":{"id":248,"type":"article-journal","abstract":"Access and benefit sharing (ABS) is a framework which refers to a relatively recent type of legal requirements for access to and use of “genetic resources”. They are based on diverse national and regional laws and regulations, which mostly result from the implementation of the United Nations’ Convention on Biological Diversity (CBD) and its supplementary agreement, the Nagoya Protocol. Their ambition is to achieve fair and equitable sharing of benefits arising out of the use of genetic resources as an incentive to conserve and sustainably use them. This paper describes the experiences, practical constraints and complexities encountered by users of genetic resources when dealing with ABS legislation, with a focus on users from the private sector. We provide insights on how ABS laws have fundamentally changed the way of working with genetic resources, in the hope that it inspires re-thinking of the ABS framework, to better support the overall objectives of the CBD.","citation-key":"michielsFacingHarshReality2022a","container-title":"Sustainability","DOI":"10.3390/su14010277","ISSN":"2071-1050","issue":"1","language":"en","license":"http://creativecommons.org/licenses/by/3.0/","page":"277","publisher":"Multidisciplinary Digital Publishing Institute","source":"www.mdpi.com","title":"Facing the Harsh Reality of Access and Benefit Sharing (ABS) Legislation: An Industry Perspective","title-short":"Facing the Harsh Reality of Access and Benefit Sharing (ABS) Legislation","volume":"14","author":[{"family":"Michiels","given":"Frank"},{"family":"Feiter","given":"Ulrich"},{"family":"Paquin-Jaloux","given":"Stéphanie"},{"family":"Jungmann","given":"Diana"},{"family":"Braun","given":"Axel"},{"family":"Sayoc","given":"Mary Ann P."},{"family":"Armengol","given":"Ricard"},{"family":"Wyss","given":"Markus"},{"family":"David","given":"Bruno"}],"issued":{"date-parts":[["2022",1]]}}},{"id":246,"uris":["http://zotero.org/users/14977742/items/ZGY33M9M"],"itemData":{"id":246,"type":"article-journal","abstract":"Plant breeders develop competitive, high-yielding, resistant crop varieties that can cope with the challenges of biotic stresses and tolerate abiotic stresses, resulting in nutritious food for consumers worldwide. To achieve this, plant breeders need continuous and easy access to plant genetic resources (PGR) for trait screening, to generate new diversity that can be built into newly improved varieties. International agreements such as the Convention on Biological Diversity (CBD), the International Treaty on Plant Genetic Resources for Food and Agriculture (ITPGRFA) and the Nagoya Protocol recognised the sovereign rights of countries over their genetic resources. Under the CBD/Nagoya Protocol, countries are free to establish specific national legislations regulating germplasm access and benefit-sharing to be negotiated bilaterally. Consequently, access to PGR became increasingly restricted and cumbersome, resulting in a decrease in germplasm exchange. The ITPGRFA attempted to ease this situation by establishing a globally harmonised multilateral system (MLS). Unfortunately, the MLS is (still) restricted to a limited number of food and forage crops, with very few vegetable crops. Easy and continuous access to genetic diversity combined with equitable and fair sharing of derived benefits is a prerequisite to breeding new varieties. Facilitated access contributes to sustainable crop production and food and nutrition security; therefore, access to and, consequently, use of PGRFA needs to be improved. Thus, the authors recommend, among others, expanding the scope of the ITPGRFA to include all PGRFA and making them and all related information accessible under a Standard Material Transfer Agreement (SMTA) combined, if necessary, with a subscription system or a seed sales tax. Such a transparent, functional and efficient system would erase legal uncertainties and minimise transaction costs for conservers, curators and users of genetic resources, thus aiding plant breeders to fulfil their mission.","citation-key":"ebertCriticalReviewIncreasing2023a","container-title":"Plants","DOI":"10.3390/plants12162992","ISSN":"2223-7747","issue":"16","language":"en","license":"http://creativecommons.org/licenses/by/3.0/","page":"2992","publisher":"Multidisciplinary Digital Publishing Institute","source":"www.mdpi.com","title":"Critical Review of the Increasing Complexity of Access and Benefit-Sharing Policies of Genetic Resources for Genebank Curators and Plant Breeders–A Public and Private Sector Perspective","volume":"12","author":[{"family":"Ebert","given":"Andreas W."},{"family":"Engels","given":"Johannes M. M."},{"family":"Schafleitner","given":"Roland"},{"family":"Hintum","given":"Theo","dropping-particle":"van"},{"family":"Mwila","given":"Godfrey"}],"issued":{"date-parts":[["2023",1]]}}}],"schema":"https://github.com/citation-style-language/schema/raw/master/csl-citation.json"}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Georgia" w:hAnsiTheme="majorBidi" w:cstheme="majorBidi"/>
          <w:lang w:val="en-CA" w:eastAsia="en-GB"/>
        </w:rPr>
        <w:t xml:space="preserve">(Gunnar V Ljungqvist </w:t>
      </w:r>
      <w:r w:rsidRPr="005F0A67">
        <w:rPr>
          <w:rFonts w:asciiTheme="majorBidi" w:eastAsia="Georgia" w:hAnsiTheme="majorBidi" w:cstheme="majorBidi"/>
          <w:i/>
          <w:iCs/>
          <w:lang w:val="en-CA" w:eastAsia="en-GB"/>
        </w:rPr>
        <w:t>et al.</w:t>
      </w:r>
      <w:r w:rsidRPr="005F0A67">
        <w:rPr>
          <w:rFonts w:asciiTheme="majorBidi" w:eastAsia="Georgia" w:hAnsiTheme="majorBidi" w:cstheme="majorBidi"/>
          <w:lang w:val="en-CA" w:eastAsia="en-GB"/>
        </w:rPr>
        <w:t>, 2025)</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When such national rules apply to the same uses of DSI, companies contributing to the Cali Fund may be subject to obligations under both systems at the same time.</w:t>
      </w:r>
    </w:p>
    <w:p w14:paraId="28D1D767"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Applied to Decision 16/2, national implementation is therefore likely to affect participation in two directions: jurisdictions with active domestic regulatory frameworks may give firms stronger incentives to engage with the Fund, while significant divergence across jurisdictions could create uneven competitive conditions for firms operating in one or the other jurisdiction, or across them.</w:t>
      </w:r>
    </w:p>
    <w:p w14:paraId="15414F81"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Submissions to CBD Notification 2026-019 confirm that implementation of Decision 16/2 remains at an early stage, with most responding Parties being in awareness-raising or exploratory phases, and with no legislative measures targeting the Cali Fund contributions specifically having been adopted at the time of submission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{"citationID":"6T8Qa1U5","properties":{"unsorted":false,"formattedCitation":"(CBD, 2026)","plainCitation":"(CBD, 2026)","noteIndex":0},"citationItems":[{"id":250,"uris":["http://zotero.org/users/14977742/items/8A5TE8K2"],"itemData":{"id":250,"type":"webpage","citation-key":"ConventionBiologicalDiversityb","container-title":"Convention on Biological Diversity","language":"en","title":"Notification 2026-019. Operationalizing the Multilateral Mechanism for the Fair and Equitable Sharing of Benefits from the Use of Digital Sequence Information on Genetic Resources, including the Cali Fund: Extension of deadline to submit relevant information and updates on actions to give effect to decision 16/2.","URL":"https://www.cbd.int/notifications/2026-019","author":[{"literal":"CBD"}],"accessed":{"date-parts":[["2026",5,15]]},"issued":{"date-parts":[["2026",2]]}}}],"schema":"https://github.com/citation-style-language/schema/raw/master/csl-citation.json"}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(CBD, 2026)</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Cross-jurisdictional variation in implementation has therefore not yet materialised in practice. The analytical implications, for participation rate uncertainty in Part II and for cross-border competitive asymmetries in Part III, are noted here as potential channels should national measures diverge ahead of or following COP17.</w:t>
      </w:r>
    </w:p>
    <w:p w14:paraId="0593CD7A"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This dynamic is already visible in practice: the United Kingdom's Biodiversity Beyond National Jurisdiction Act 2026 (Meaning of "Digital Sequence Information") Regulations 2026 define DSI, for the purposes of implementing the BBNJ Agreement nationally, as "DNA or ribonucleic acid (RNA) sequences in digital form" (SI 2026 No. 521)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ZOTERO_TEMP </w:instrText>
      </w:r>
      <w:r w:rsidRPr="005F0A67">
        <w:rPr>
          <w:rFonts w:asciiTheme="majorBidi" w:eastAsia="Times New Roman" w:hAnsiTheme="majorBidi" w:cstheme="majorBidi"/>
          <w:lang w:val="en-CA" w:eastAsia="en-GB"/>
        </w:rPr>
        <w:fldChar w:fldCharType="separate"/>
      </w:r>
      <w:r w:rsidRPr="005F0A67">
        <w:rPr>
          <w:rFonts w:asciiTheme="majorBidi" w:eastAsia="Georgia" w:hAnsiTheme="majorBidi" w:cstheme="majorBidi"/>
          <w:u w:val="dash"/>
          <w:lang w:eastAsia="en-GB"/>
        </w:rPr>
        <w:t>(UK, 2026)</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This is a useful early reference point, and illustrates the more general risk that, absent a shared definition at the multilateral level, Parties are likely to develop national definitions independently and potentially divergently, which is the same fragmentation risk this section identifies for the Cali Fund's own undefined terms.</w:t>
      </w:r>
    </w:p>
    <w:p w14:paraId="123E6AFC" w14:textId="77777777" w:rsidR="005F0A67" w:rsidRPr="005F0A67" w:rsidRDefault="005F0A67" w:rsidP="00B54840">
      <w:pPr>
        <w:tabs>
          <w:tab w:val="clear" w:pos="567"/>
          <w:tab w:val="clear" w:pos="1134"/>
          <w:tab w:val="clear" w:pos="1701"/>
          <w:tab w:val="clear" w:pos="2268"/>
        </w:tabs>
        <w:spacing w:before="320" w:after="160"/>
        <w:ind w:left="720"/>
        <w:jc w:val="left"/>
        <w:outlineLvl w:val="2"/>
        <w:rPr>
          <w:rFonts w:asciiTheme="majorBidi" w:eastAsia="Arial" w:hAnsiTheme="majorBidi" w:cstheme="majorBidi"/>
          <w:b/>
          <w:bCs/>
          <w:color w:val="7F7F7F"/>
          <w:sz w:val="23"/>
          <w:szCs w:val="23"/>
          <w:lang w:val="en-CA" w:eastAsia="en-GB"/>
        </w:rPr>
      </w:pPr>
      <w:bookmarkStart w:id="67" w:name="_Toc234579554"/>
      <w:r w:rsidRPr="005F0A67">
        <w:rPr>
          <w:rFonts w:asciiTheme="majorBidi" w:eastAsia="Arial" w:hAnsiTheme="majorBidi" w:cstheme="majorBidi"/>
          <w:b/>
          <w:bCs/>
          <w:color w:val="7F7F7F"/>
          <w:sz w:val="23"/>
          <w:szCs w:val="23"/>
          <w:lang w:val="en-CA" w:eastAsia="en-GB"/>
        </w:rPr>
        <w:t>Allocation formula</w:t>
      </w:r>
      <w:bookmarkEnd w:id="67"/>
    </w:p>
    <w:p w14:paraId="7F9AF8B8"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A fourth unresolved issue is the allocation formula. Decision 16/2 established an Ad Hoc Technical Expert Group (AHTEG) to develop allocation options ahead of COP17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{"citationID":"E9cECjD6","properties":{"unsorted":false,"formattedCitation":"(CBD, 2025)","plainCitation":"(CBD, 2025)","noteIndex":0},"citationItems":[{"id":604,"uris":["http://zotero.org/users/14977742/items/GUT5MDZG"],"itemData":{"id":604,"type":"report","citation-key":"cbdNotificationOperationalizationCali2025","title":"Notification: Operationalization of the Cali Fund for the Fair and Equitable Sharing of Benefits from the Use of Digital Sequence Information on Genetic Resources: Composition of the Ad Hoc Technical Expert Group on Allocation Methodology (SCBD/OES/TS/CGA/KB/NF/91971)","URL":"https://www.cbd.int/doc/notifications/2025/ntf-2025-073-dsi-ahteg-en.pdf","author":[{"literal":"CBD"}],"issued":{"date-parts":[["2025",5]]}}}],"schema":"https://github.com/citation-style-language/schema/raw/master/csl-citation.json"}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noProof/>
          <w:lang w:val="en-CA" w:eastAsia="en-GB"/>
        </w:rPr>
        <w:t>(CBD, 2025)</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The AHTEG is still developing the method for distributing Cali Fund resources among Parties, and it has not yet been finalised at the time of writing. Participation assumptions in Part II do not depend on a specific formula, but the scenario range implicitly captures differences in how potential contributors view its potential distributional impacts. This sensitivity has a basis in the wider literature; research on voluntary collective efforts shows that people are more likely to contribute when they perceive the benefits as shared fairly (Persson and Remling, 2014; Droste et al., 2019), suggesting that how the allocation formula is ultimately designed could materially affect participation, independent of the certificate's legal value discussed above.</w:t>
      </w:r>
    </w:p>
    <w:p w14:paraId="7744AD5E"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Private sector contributions are treated as the Fund's sole revenue source; although Decision 16/2 encourages contributions from other sources</w:t>
      </w:r>
      <w:r w:rsidRPr="005F0A67">
        <w:rPr>
          <w:rFonts w:asciiTheme="majorBidi" w:eastAsia="Times New Roman" w:hAnsiTheme="majorBidi" w:cstheme="majorBidi"/>
          <w:vertAlign w:val="superscript"/>
          <w:lang w:val="en-CA" w:eastAsia="en-GB"/>
        </w:rPr>
        <w:footnoteReference w:id="37"/>
      </w:r>
      <w:r w:rsidRPr="005F0A67">
        <w:rPr>
          <w:rFonts w:asciiTheme="majorBidi" w:eastAsia="Times New Roman" w:hAnsiTheme="majorBidi" w:cstheme="majorBidi"/>
          <w:lang w:val="en-CA" w:eastAsia="en-GB"/>
        </w:rPr>
        <w:t xml:space="preserve">, which could entail public sector contributions, none had been made at the time of writing. No additional sources of funding have been captured in the revenue modelling. </w:t>
      </w:r>
    </w:p>
    <w:p w14:paraId="20BBD92D" w14:textId="77777777" w:rsidR="005F0A67" w:rsidRPr="005F0A67" w:rsidRDefault="005F0A67" w:rsidP="005F0A67">
      <w:pPr>
        <w:numPr>
          <w:ilvl w:val="1"/>
          <w:numId w:val="12"/>
        </w:numPr>
        <w:tabs>
          <w:tab w:val="clear" w:pos="567"/>
          <w:tab w:val="clear" w:pos="1134"/>
          <w:tab w:val="clear" w:pos="1701"/>
          <w:tab w:val="clear" w:pos="2268"/>
        </w:tabs>
        <w:spacing w:before="320" w:after="160"/>
        <w:ind w:left="576" w:hanging="576"/>
        <w:jc w:val="left"/>
        <w:outlineLvl w:val="1"/>
        <w:rPr>
          <w:rFonts w:asciiTheme="majorBidi" w:eastAsia="Arial" w:hAnsiTheme="majorBidi" w:cstheme="majorBidi"/>
          <w:b/>
          <w:bCs/>
          <w:color w:val="1A1A1A"/>
          <w:sz w:val="23"/>
          <w:szCs w:val="23"/>
          <w:lang w:val="en-CA" w:eastAsia="en-GB"/>
        </w:rPr>
      </w:pPr>
      <w:bookmarkStart w:id="68" w:name="_Ref229587197"/>
      <w:bookmarkStart w:id="69" w:name="_Toc234579555"/>
      <w:r w:rsidRPr="005F0A67">
        <w:rPr>
          <w:rFonts w:asciiTheme="majorBidi" w:eastAsia="Arial" w:hAnsiTheme="majorBidi" w:cstheme="majorBidi"/>
          <w:b/>
          <w:bCs/>
          <w:color w:val="1A1A1A"/>
          <w:sz w:val="23"/>
          <w:szCs w:val="23"/>
          <w:lang w:val="en-CA" w:eastAsia="en-GB"/>
        </w:rPr>
        <w:lastRenderedPageBreak/>
        <w:t>How much do they contribute?</w:t>
      </w:r>
      <w:bookmarkEnd w:id="68"/>
      <w:bookmarkEnd w:id="69"/>
      <w:r w:rsidRPr="005F0A67">
        <w:rPr>
          <w:rFonts w:asciiTheme="majorBidi" w:eastAsia="Arial" w:hAnsiTheme="majorBidi" w:cstheme="majorBidi"/>
          <w:b/>
          <w:bCs/>
          <w:color w:val="1A1A1A"/>
          <w:sz w:val="23"/>
          <w:szCs w:val="23"/>
          <w:lang w:val="en-CA" w:eastAsia="en-GB"/>
        </w:rPr>
        <w:t xml:space="preserve"> </w:t>
      </w:r>
    </w:p>
    <w:p w14:paraId="618747B9"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For firms that fall within the scope and participate, the contribution amount is determined by the indicative rates specified in Decision 16/2 and by how the contribution base is chosen. This study calculates contributions as a proportion of total financials, consistent with the language of Decision 16/2 (i.e. applying the indicative rates directly to revenue or profit). Two elements of the current design create uncertainty about the total contribution and its allocation among firms, each affecting the revenue analysis in Part II and the competitiveness assessment in Part III.</w:t>
      </w:r>
    </w:p>
    <w:p w14:paraId="1DD75CC6" w14:textId="77777777" w:rsidR="005F0A67" w:rsidRPr="005F0A67" w:rsidRDefault="005F0A67" w:rsidP="00B54840">
      <w:pPr>
        <w:tabs>
          <w:tab w:val="clear" w:pos="567"/>
          <w:tab w:val="clear" w:pos="1134"/>
          <w:tab w:val="clear" w:pos="1701"/>
          <w:tab w:val="clear" w:pos="2268"/>
        </w:tabs>
        <w:spacing w:before="320" w:after="160"/>
        <w:ind w:left="720"/>
        <w:jc w:val="left"/>
        <w:outlineLvl w:val="2"/>
        <w:rPr>
          <w:rFonts w:asciiTheme="majorBidi" w:eastAsia="Arial" w:hAnsiTheme="majorBidi" w:cstheme="majorBidi"/>
          <w:b/>
          <w:bCs/>
          <w:color w:val="7F7F7F"/>
          <w:sz w:val="23"/>
          <w:szCs w:val="23"/>
          <w:lang w:val="en-CA" w:eastAsia="en-GB"/>
        </w:rPr>
      </w:pPr>
      <w:bookmarkStart w:id="70" w:name="_Ref231062741"/>
      <w:bookmarkStart w:id="71" w:name="_Toc234579556"/>
      <w:r w:rsidRPr="005F0A67">
        <w:rPr>
          <w:rFonts w:asciiTheme="majorBidi" w:eastAsia="Arial" w:hAnsiTheme="majorBidi" w:cstheme="majorBidi"/>
          <w:b/>
          <w:bCs/>
          <w:color w:val="7F7F7F"/>
          <w:sz w:val="23"/>
          <w:szCs w:val="23"/>
          <w:lang w:val="en-CA" w:eastAsia="en-GB"/>
        </w:rPr>
        <w:t>Indicative rates and contribution base</w:t>
      </w:r>
      <w:bookmarkEnd w:id="70"/>
      <w:bookmarkEnd w:id="71"/>
    </w:p>
    <w:p w14:paraId="6A0EE63A"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Decision 16/2 sets indicative contribution rates of 1% of profit or 0.1% of revenue and it does not specify how these two rates relate to one another, or which applies in a given case. One assumption, and the one adopted in this study, is that entities contribute whichever of the two amounts is lower in order to minimise their cost burden. The rates are explicitly described as indicative and subject to revision at COP17; this study takes them as given for the baseline analysis, while Part II also presents results under alternative rate assumptions. </w:t>
      </w:r>
    </w:p>
    <w:p w14:paraId="58A33827"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The profit and revenue bases generate structurally different contribution profiles. For firms earning profit margins below 10%, the mechanism in practice functions as a profit levy; once that level is exceeded, it effectively turns into an ad valorem charge on revenue. </w:t>
      </w:r>
      <w:bookmarkStart w:id="72" w:name="OLE_LINK2"/>
      <w:r w:rsidRPr="005F0A67">
        <w:rPr>
          <w:rFonts w:asciiTheme="majorBidi" w:eastAsia="Times New Roman" w:hAnsiTheme="majorBidi" w:cstheme="majorBidi"/>
          <w:lang w:val="en-CA" w:eastAsia="en-GB"/>
        </w:rPr>
        <w:t xml:space="preserve">Two implications follow. The Fund's income will be more sensitive to earnings cycles than a uniform ad valorem system would be, since firms reporting losses contribute nothing under the profit base regardless of their revenue or DSI activity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{"citationID":"IcZr3Nyv","properties":{"unsorted":false,"formattedCitation":"(Kirchain {\\i{}et al.}, 2019)","plainCitation":"(Kirchain et al., 2019)","noteIndex":0},"citationItems":[{"id":281,"uris":["http://zotero.org/users/14977742/items/IMMMMMD9"],"itemData":{"id":281,"type":"report","citation-key":"zotero-item-2579","publisher":"MIT Materials Systems Laboratory","publisher-place":"Cambridge, MA USA","title":"Report to the International Seabed Authority on the Development of an Economic Model and System of Payments for the Exploitation of Polymetallic Nodules in the Area","URL":"https://isa.org.jm/wp-content/uploads/2022/12/paysysmodel-3jun.pdf","author":[{"family":"Kirchain","given":"Randolph"},{"family":"Roth","given":"Richard"},{"family":"Field III","given":"Frank R."},{"family":"Muñoz-Royo","given":"Carlos"},{"literal":"Thomas Peacock"}],"issued":{"date-parts":[["2019"]]}}}],"schema":"https://github.com/citation-style-language/schema/raw/master/csl-citation.json"}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Georgia" w:hAnsiTheme="majorBidi" w:cstheme="majorBidi"/>
          <w:lang w:val="en-CA" w:eastAsia="en-GB"/>
        </w:rPr>
        <w:t xml:space="preserve">(Kirchain </w:t>
      </w:r>
      <w:r w:rsidRPr="005F0A67">
        <w:rPr>
          <w:rFonts w:asciiTheme="majorBidi" w:eastAsia="Georgia" w:hAnsiTheme="majorBidi" w:cstheme="majorBidi"/>
          <w:i/>
          <w:iCs/>
          <w:lang w:val="en-CA" w:eastAsia="en-GB"/>
        </w:rPr>
        <w:t>et al.</w:t>
      </w:r>
      <w:r w:rsidRPr="005F0A67">
        <w:rPr>
          <w:rFonts w:asciiTheme="majorBidi" w:eastAsia="Georgia" w:hAnsiTheme="majorBidi" w:cstheme="majorBidi"/>
          <w:lang w:val="en-CA" w:eastAsia="en-GB"/>
        </w:rPr>
        <w:t>, 2019)</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Second, using profit as the base creates incentives for earnings management, meaning that reported profits may only imperfectly reflect the firm’s underlying economic performance. </w:t>
      </w:r>
      <w:bookmarkEnd w:id="72"/>
      <w:r w:rsidRPr="005F0A67">
        <w:rPr>
          <w:rFonts w:asciiTheme="majorBidi" w:eastAsia="Times New Roman" w:hAnsiTheme="majorBidi" w:cstheme="majorBidi"/>
          <w:lang w:val="en-CA" w:eastAsia="en-GB"/>
        </w:rPr>
        <w:t xml:space="preserve">This phenomenon is widely documented for profit taxation, to which the contribution levy is structurally similar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{"citationID":"kazEtJ2Y","properties":{"unsorted":false,"formattedCitation":"(Sahay, 2013; Choi, Furusawa and Ishikawa, 2020; Sebele-Mpofu, Mashiri and Schwartz, 2021)","plainCitation":"(Sahay, 2013; Choi, Furusawa and Ishikawa, 2020; Sebele-Mpofu, Mashiri and Schwartz, 2021)","noteIndex":0},"citationItems":[{"id":245,"uris":["http://zotero.org/users/14977742/items/78D5UAIM"],"itemData":{"id":245,"type":"chapter","abstract":"This paper intends to explore transfer pricing and some popular transfer pricing methods. Since transfer prices are used to assess the incomes of the firm&amp;#8217;s divisions, choice of a transfer pricing policy can influence many important operational and strategic...","citation-key":"sahayFinancialControlTransfer2013","container-title":"Encyclopedia of Finance","DOI":"10.1007/978-1-4614-5360-4_67","ISBN":"978-1-4614-5360-4","language":"en","note":"DOI: 10.1007/978-1-4614-5360-4_67","page":"783-794","publisher":"Springer, Boston, MA","source":"link.springer.com","title":"Financial Control and Transfer Pricing","URL":"https://link.springer.com/rwe/10.1007/978-1-4614-5360-4_67","author":[{"family":"Sahay","given":"Savita A."}],"accessed":{"date-parts":[["2026",5,16]]},"issued":{"date-parts":[["2013"]]}}},{"id":243,"uris":["http://zotero.org/users/14977742/items/UQV7D2LK"],"itemData":{"id":243,"type":"article-journal","abstract":"The paper analyzes multinational enterprises' incentives to manipulate internal transfer prices to take advantage of tax differences across countries, and implications of transfer-pricing regulations as a countermeasure against such profit shifting. We find that tax-motivated foreign direct investment (FDI) may entail inefficient internal production but may benefit consumers. Thus, encouraging transfer-pricing behavior to some extent can enhance social welfare. Furthermore, we consider tax competition between two countries to explore its interplay with transfer-pricing regulations. We show that the FDI source country will be willing to set a higher tax rate and tolerate some profit shifting to a tax haven country if the regulation is tight enough. We also indicate a novel mechanism through which it is the larger country that undertakes tax-motivated FDI, the pattern we often observe in reality.","citation-key":"choiTransferPricingRegulation2020","container-title":"Journal of International Economics","DOI":"10.1016/j.jinteco.2020.103367","ISSN":"0022-1996","journalAbbreviation":"Journal of International Economics","page":"103367","source":"ScienceDirect","title":"Transfer pricing regulation and tax competition","volume":"127","author":[{"family":"Choi","given":"Jay Pil"},{"family":"Furusawa","given":"Taiji"},{"family":"Ishikawa","given":"Jota"}],"issued":{"date-parts":[["2020",11,1]]}}},{"id":244,"uris":["http://zotero.org/users/14977742/items/A4X3Y2UF"],"itemData":{"id":244,"type":"article-journal","abstract":"The abuse of transfer pricing by multinational enterprises (MNEs) is a topical issue the world over. Abusive transfer pricing results in the erosion of tax bases and profit shifting from countries with high tax rates to those with lower tax rates, thus enabling tax avoidance and evasion. Developing countries are argued to suffer most under the negative impacts of transfer pricing manipulation. This study investigates the strategies employed by MNEs to minimise their tax burden in developing countries. An understanding of the motives and strategies is fundamental in tax policy crafting and improvements that effectively respond to transfer pricing. Adopting the interpretivist research philosophy with the use of in-depth interviews with tax officers, tax consultants and Ministry of Finance Officials, the study established that amongst the transfer pricing schemes used by MNEs in Zimbabwe, the predominant one was the use of service fees. The most notable being management fees, this was a contribution to knowledge as this strategy was found to be scarcely discussed in literature and there was very little empirical evidence to back its existence. The study recommended use of targeted approaches by the revenue authority to minimise revenue losses through intragroup services. The findings serve as vital information for policymakers, revenue authorities and tax auditors.","citation-key":"sebele-mpofuExpositionTransferPricing2021","container-title":"Cogent Business &amp; Management","DOI":"10.1080/23311975.2021.1944007","ISSN":"null","issue":"1","note":"_eprint: https://doi.org/10.1080/23311975.2021.1944007","page":"1944007","publisher":"Cogent OA","source":"Taylor and Francis+NEJM","title":"An exposition of transfer pricing motives, strategies and their implementation in tax avoidance by MNEs in developing countries","volume":"8","author":[{"family":"Sebele-Mpofu","given":"Favourate"},{"family":"Mashiri","given":"Eukeria"},{"family":"Schwartz","given":"Samantha Chantelle"}],"editor":[{"family":"Ntim","given":"Collins G."}],"issued":{"date-parts":[["2021",1,1]]}}}],"schema":"https://github.com/citation-style-language/schema/raw/master/csl-citation.json"}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(Sahay, 2013; Choi, Furusawa and Ishikawa, 2020; Sebele-Mpofu, Mashiri and Schwartz, 2021)</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whether it materialises here depends partly on how firms respond to a mechanism that sets an expectation rather than a legal requirement. Both questions are examined in Part II.</w:t>
      </w:r>
    </w:p>
    <w:p w14:paraId="08AE1E64" w14:textId="77777777" w:rsidR="005F0A67" w:rsidRPr="005F0A67" w:rsidRDefault="005F0A67" w:rsidP="00B54840">
      <w:pPr>
        <w:tabs>
          <w:tab w:val="clear" w:pos="567"/>
          <w:tab w:val="clear" w:pos="1134"/>
          <w:tab w:val="clear" w:pos="1701"/>
          <w:tab w:val="clear" w:pos="2268"/>
        </w:tabs>
        <w:spacing w:before="320" w:after="160"/>
        <w:ind w:left="720"/>
        <w:jc w:val="left"/>
        <w:outlineLvl w:val="2"/>
        <w:rPr>
          <w:rFonts w:asciiTheme="majorBidi" w:eastAsia="Arial" w:hAnsiTheme="majorBidi" w:cstheme="majorBidi"/>
          <w:b/>
          <w:bCs/>
          <w:color w:val="7F7F7F"/>
          <w:sz w:val="23"/>
          <w:szCs w:val="23"/>
          <w:lang w:val="en-CA" w:eastAsia="en-GB"/>
        </w:rPr>
      </w:pPr>
      <w:bookmarkStart w:id="73" w:name="_Ref229848377"/>
      <w:bookmarkStart w:id="74" w:name="_Toc234579557"/>
      <w:r w:rsidRPr="005F0A67">
        <w:rPr>
          <w:rFonts w:asciiTheme="majorBidi" w:eastAsia="Arial" w:hAnsiTheme="majorBidi" w:cstheme="majorBidi"/>
          <w:b/>
          <w:bCs/>
          <w:color w:val="7F7F7F"/>
          <w:sz w:val="23"/>
          <w:szCs w:val="23"/>
          <w:lang w:val="en-CA" w:eastAsia="en-GB"/>
        </w:rPr>
        <w:t>Partial DSI use</w:t>
      </w:r>
      <w:bookmarkEnd w:id="73"/>
      <w:r w:rsidRPr="005F0A67">
        <w:rPr>
          <w:rFonts w:asciiTheme="majorBidi" w:eastAsia="Arial" w:hAnsiTheme="majorBidi" w:cstheme="majorBidi"/>
          <w:b/>
          <w:bCs/>
          <w:color w:val="7F7F7F"/>
          <w:sz w:val="23"/>
          <w:szCs w:val="23"/>
          <w:lang w:val="en-CA" w:eastAsia="en-GB"/>
        </w:rPr>
        <w:t xml:space="preserve"> and proportionality</w:t>
      </w:r>
      <w:bookmarkEnd w:id="74"/>
      <w:r w:rsidRPr="005F0A67">
        <w:rPr>
          <w:rFonts w:asciiTheme="majorBidi" w:eastAsia="Arial" w:hAnsiTheme="majorBidi" w:cstheme="majorBidi"/>
          <w:b/>
          <w:bCs/>
          <w:color w:val="7F7F7F"/>
          <w:sz w:val="23"/>
          <w:szCs w:val="23"/>
          <w:lang w:val="en-CA" w:eastAsia="en-GB"/>
        </w:rPr>
        <w:t xml:space="preserve"> </w:t>
      </w:r>
    </w:p>
    <w:p w14:paraId="1AD09D39" w14:textId="08CEFF15"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Decision 16/2 ties both eligibility and the contribution amount to financial metrics, namely assets, sales and profit, rather than to digital sequence information use itself. No data source currently observes how much of a firm's financial activity is attributable to DSI use, and this is a limitation of the underlying data landscape rather than of any single study. In the absence of such a measure, the analysis in Part II approximates DSI use through sector membership under the Enclosure I list, combined with assumed participation rates and DSI intensity multipliers; these are proxies for DSI use, not measurements of it, and this distinction should be borne in mind in using the results as a basis for policy. Decision 16/2 explicitly excludes entities that do not use DSI, however, it does not specify the treatment of entities whose commercial activities depend on public DSI only partially. The Decision, as currently written, can be interpreted as applying contribution rates to the overall financial figures. This interpretation creates a proportionality issue that commercial users from various sectors have repeatedly highlighted in their submissions to CBD Notification 2024-114: companies that rely on DSI for only a portion of their products or services are subject to the same contribution base as those that employ it across all of their operations. While this ‘all-in’ approach partially helps address the issue of unobservable public DSI use (as explained in Section </w:t>
      </w:r>
      <w:r w:rsidRPr="005F0A67">
        <w:rPr>
          <w:rFonts w:asciiTheme="majorBidi" w:eastAsia="Times New Roman" w:hAnsiTheme="majorBidi" w:cstheme="majorBidi"/>
          <w:lang w:val="en-CA" w:eastAsia="en-GB"/>
        </w:rPr>
        <w:fldChar w:fldCharType="begin"/>
      </w:r>
      <w:r w:rsidRPr="005F0A67" w:rsidDel="009E08A3">
        <w:rPr>
          <w:rFonts w:asciiTheme="majorBidi" w:eastAsia="Times New Roman" w:hAnsiTheme="majorBidi" w:cstheme="majorBidi"/>
          <w:lang w:val="en-CA" w:eastAsia="en-GB"/>
        </w:rPr>
        <w:instrText xml:space="preserve"> REF _Ref229760691 \r \h </w:instrText>
      </w:r>
      <w:r>
        <w:rPr>
          <w:rFonts w:asciiTheme="majorBidi" w:eastAsia="Times New Roman" w:hAnsiTheme="majorBidi" w:cstheme="majorBidi"/>
          <w:lang w:val="en-CA" w:eastAsia="en-GB"/>
        </w:rPr>
        <w:instrText xml:space="preserve">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sidDel="005E028F">
        <w:rPr>
          <w:rFonts w:asciiTheme="majorBidi" w:eastAsia="Times New Roman" w:hAnsiTheme="majorBidi" w:cstheme="majorBidi"/>
          <w:lang w:val="en-CA" w:eastAsia="en-GB"/>
        </w:rPr>
        <w:t>0</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it is reasonably easier to observe public DSI use compared to the </w:t>
      </w:r>
      <w:r w:rsidRPr="005F0A67">
        <w:rPr>
          <w:rFonts w:asciiTheme="majorBidi" w:eastAsia="Times New Roman" w:hAnsiTheme="majorBidi" w:cstheme="majorBidi"/>
          <w:i/>
          <w:iCs/>
          <w:lang w:val="en-CA" w:eastAsia="en-GB"/>
        </w:rPr>
        <w:t xml:space="preserve">extent </w:t>
      </w:r>
      <w:r w:rsidRPr="005F0A67">
        <w:rPr>
          <w:rFonts w:asciiTheme="majorBidi" w:eastAsia="Times New Roman" w:hAnsiTheme="majorBidi" w:cstheme="majorBidi"/>
          <w:lang w:val="en-CA" w:eastAsia="en-GB"/>
        </w:rPr>
        <w:t xml:space="preserve">and </w:t>
      </w:r>
      <w:r w:rsidRPr="005F0A67">
        <w:rPr>
          <w:rFonts w:asciiTheme="majorBidi" w:eastAsia="Times New Roman" w:hAnsiTheme="majorBidi" w:cstheme="majorBidi"/>
          <w:i/>
          <w:iCs/>
          <w:lang w:val="en-CA" w:eastAsia="en-GB"/>
        </w:rPr>
        <w:lastRenderedPageBreak/>
        <w:t>effect</w:t>
      </w:r>
      <w:r w:rsidRPr="005F0A67">
        <w:rPr>
          <w:rFonts w:asciiTheme="majorBidi" w:eastAsia="Times New Roman" w:hAnsiTheme="majorBidi" w:cstheme="majorBidi"/>
          <w:i/>
          <w:iCs/>
          <w:vertAlign w:val="superscript"/>
          <w:lang w:val="en-CA" w:eastAsia="en-GB"/>
        </w:rPr>
        <w:footnoteReference w:id="38"/>
      </w:r>
      <w:r w:rsidRPr="005F0A67">
        <w:rPr>
          <w:rFonts w:asciiTheme="majorBidi" w:eastAsia="Times New Roman" w:hAnsiTheme="majorBidi" w:cstheme="majorBidi"/>
          <w:lang w:val="en-CA" w:eastAsia="en-GB"/>
        </w:rPr>
        <w:t xml:space="preserve"> of that use), it can impose a disproportionate burden on firms for which DSI constitutes only a marginal input compared to their overall business activity. While this ‘all-in’ approach partially helps address the issue of unobservable public DSI use (as explained in Section 4.1, it is reasonably easier to observe public DSI use compared to the </w:t>
      </w:r>
      <w:r w:rsidRPr="005F0A67">
        <w:rPr>
          <w:rFonts w:asciiTheme="majorBidi" w:eastAsia="Times New Roman" w:hAnsiTheme="majorBidi" w:cstheme="majorBidi"/>
          <w:i/>
          <w:iCs/>
          <w:lang w:val="en-CA" w:eastAsia="en-GB"/>
        </w:rPr>
        <w:t xml:space="preserve">extent </w:t>
      </w:r>
      <w:r w:rsidRPr="005F0A67">
        <w:rPr>
          <w:rFonts w:asciiTheme="majorBidi" w:eastAsia="Times New Roman" w:hAnsiTheme="majorBidi" w:cstheme="majorBidi"/>
          <w:lang w:val="en-CA" w:eastAsia="en-GB"/>
        </w:rPr>
        <w:t xml:space="preserve">and </w:t>
      </w:r>
      <w:r w:rsidRPr="005F0A67">
        <w:rPr>
          <w:rFonts w:asciiTheme="majorBidi" w:eastAsia="Times New Roman" w:hAnsiTheme="majorBidi" w:cstheme="majorBidi"/>
          <w:i/>
          <w:iCs/>
          <w:lang w:val="en-CA" w:eastAsia="en-GB"/>
        </w:rPr>
        <w:t>effect</w:t>
      </w:r>
      <w:r w:rsidRPr="005F0A67">
        <w:rPr>
          <w:rFonts w:asciiTheme="majorBidi" w:eastAsia="Times New Roman" w:hAnsiTheme="majorBidi" w:cstheme="majorBidi"/>
          <w:i/>
          <w:iCs/>
          <w:vertAlign w:val="superscript"/>
          <w:lang w:val="en-CA" w:eastAsia="en-GB"/>
        </w:rPr>
        <w:footnoteReference w:id="39"/>
      </w:r>
      <w:r w:rsidRPr="005F0A67">
        <w:rPr>
          <w:rFonts w:asciiTheme="majorBidi" w:eastAsia="Times New Roman" w:hAnsiTheme="majorBidi" w:cstheme="majorBidi"/>
          <w:lang w:val="en-CA" w:eastAsia="en-GB"/>
        </w:rPr>
        <w:t xml:space="preserve"> of that use), it can impose a disproportionate burden on firms for which DSI constitutes only a marginal input compared to their overall business activity. This reasoning can be easily illustrated with an example: a pharmaceutical company deriving one product from genomic screening and ninety-nine from conventional chemistry would contribute on the same total revenue or profit base as one whose entire portfolio is DSI-dependent, despite fundamentally different levels of DSI reliance. </w:t>
      </w:r>
    </w:p>
    <w:p w14:paraId="502C64B4"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This study bases its calculations on contributions as a share of total financials, in line with the wording of Decision 16/2. Part II analyses how sensitive revenues are to the DSI attribution issue, presenting a lower-bound scenario that uses sector-level DSI intensity adjustments alongside the total-financials reference estimate</w:t>
      </w:r>
      <w:r w:rsidRPr="005F0A67">
        <w:rPr>
          <w:rFonts w:asciiTheme="majorBidi" w:eastAsia="Times New Roman" w:hAnsiTheme="majorBidi" w:cstheme="majorBidi"/>
          <w:vertAlign w:val="superscript"/>
          <w:lang w:val="en-CA" w:eastAsia="en-GB"/>
        </w:rPr>
        <w:footnoteReference w:id="40"/>
      </w:r>
      <w:r w:rsidRPr="005F0A67">
        <w:rPr>
          <w:rFonts w:asciiTheme="majorBidi" w:eastAsia="Times New Roman" w:hAnsiTheme="majorBidi" w:cstheme="majorBidi"/>
          <w:lang w:val="en-CA" w:eastAsia="en-GB"/>
        </w:rPr>
        <w:t>. Beyond this, any additional, unobserved DSI-use uncertainty is captured within the broad estimated revenue bounds. Part III explores the implications for proportionality, including how the all-in approach affects the allocation of contribution obligations among firms with varying degrees of DSI reliance, and what this implies for competitive dynamics within listed sectors.</w:t>
      </w:r>
    </w:p>
    <w:p w14:paraId="522034CA" w14:textId="77777777" w:rsidR="005F0A67" w:rsidRPr="005F0A67" w:rsidRDefault="005F0A67" w:rsidP="005F0A67">
      <w:pPr>
        <w:numPr>
          <w:ilvl w:val="1"/>
          <w:numId w:val="12"/>
        </w:numPr>
        <w:tabs>
          <w:tab w:val="clear" w:pos="567"/>
          <w:tab w:val="clear" w:pos="1134"/>
          <w:tab w:val="clear" w:pos="1701"/>
          <w:tab w:val="clear" w:pos="2268"/>
        </w:tabs>
        <w:spacing w:before="320" w:after="160"/>
        <w:ind w:left="576" w:hanging="576"/>
        <w:jc w:val="left"/>
        <w:outlineLvl w:val="1"/>
        <w:rPr>
          <w:rFonts w:asciiTheme="majorBidi" w:eastAsia="Arial" w:hAnsiTheme="majorBidi" w:cstheme="majorBidi"/>
          <w:b/>
          <w:bCs/>
          <w:color w:val="1A1A1A"/>
          <w:sz w:val="23"/>
          <w:szCs w:val="23"/>
          <w:lang w:val="en-CA" w:eastAsia="en-GB"/>
        </w:rPr>
      </w:pPr>
      <w:bookmarkStart w:id="75" w:name="_Ref230181464"/>
      <w:bookmarkStart w:id="76" w:name="_Toc234579558"/>
      <w:r w:rsidRPr="005F0A67">
        <w:rPr>
          <w:rFonts w:asciiTheme="majorBidi" w:eastAsia="Arial" w:hAnsiTheme="majorBidi" w:cstheme="majorBidi"/>
          <w:b/>
          <w:bCs/>
          <w:color w:val="1A1A1A"/>
          <w:sz w:val="23"/>
          <w:szCs w:val="23"/>
          <w:lang w:val="en-CA" w:eastAsia="en-GB"/>
        </w:rPr>
        <w:t>Summary of analytical parameters and uncertainties</w:t>
      </w:r>
      <w:bookmarkEnd w:id="75"/>
      <w:bookmarkEnd w:id="76"/>
    </w:p>
    <w:p w14:paraId="38961CB3"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Sections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_Ref229587181 \r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4.1</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to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_Ref229587197 \r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4.3</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highlight several parameters that require methodological decisions before starting the analysis in the parts that follow. These parameters are treated here as given inputs for analytical purposes only, not as a judgement that they are settled; several are explicitly indicative and subject to revision by the Conference of the Parties. In this study, the main choices are as follows:</w:t>
      </w:r>
    </w:p>
    <w:p w14:paraId="71D7C768" w14:textId="77777777" w:rsidR="005F0A67" w:rsidRPr="005F0A67" w:rsidRDefault="005F0A67" w:rsidP="005F0A67">
      <w:pPr>
        <w:numPr>
          <w:ilvl w:val="0"/>
          <w:numId w:val="35"/>
        </w:numPr>
        <w:tabs>
          <w:tab w:val="clear" w:pos="567"/>
          <w:tab w:val="clear" w:pos="1134"/>
          <w:tab w:val="clear" w:pos="1701"/>
          <w:tab w:val="clear" w:pos="2268"/>
        </w:tabs>
        <w:spacing w:after="180" w:line="292" w:lineRule="auto"/>
        <w:jc w:val="left"/>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All indicative Enclosure I sectors are included in the reference scenario, with detailed mapping to official industrial classifications as explained in Part II;</w:t>
      </w:r>
    </w:p>
    <w:p w14:paraId="7E09CC73" w14:textId="77777777" w:rsidR="005F0A67" w:rsidRPr="005F0A67" w:rsidRDefault="005F0A67" w:rsidP="005F0A67">
      <w:pPr>
        <w:numPr>
          <w:ilvl w:val="0"/>
          <w:numId w:val="35"/>
        </w:numPr>
        <w:tabs>
          <w:tab w:val="clear" w:pos="567"/>
          <w:tab w:val="clear" w:pos="1134"/>
          <w:tab w:val="clear" w:pos="1701"/>
          <w:tab w:val="clear" w:pos="2268"/>
        </w:tabs>
        <w:spacing w:after="180" w:line="292" w:lineRule="auto"/>
        <w:jc w:val="left"/>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Entities operating in several Indicative Enclosure I sectors are identified based on their primary sectoral activity;</w:t>
      </w:r>
    </w:p>
    <w:p w14:paraId="58F558BA" w14:textId="77777777" w:rsidR="005F0A67" w:rsidRPr="005F0A67" w:rsidRDefault="005F0A67" w:rsidP="005F0A67">
      <w:pPr>
        <w:numPr>
          <w:ilvl w:val="0"/>
          <w:numId w:val="35"/>
        </w:numPr>
        <w:tabs>
          <w:tab w:val="clear" w:pos="567"/>
          <w:tab w:val="clear" w:pos="1134"/>
          <w:tab w:val="clear" w:pos="1701"/>
          <w:tab w:val="clear" w:pos="2268"/>
        </w:tabs>
        <w:spacing w:after="180" w:line="292" w:lineRule="auto"/>
        <w:jc w:val="left"/>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Financial thresholds from Decision 16/2 are set at the subsidiary level using a three-year reference average;</w:t>
      </w:r>
    </w:p>
    <w:p w14:paraId="5759C8A3" w14:textId="77777777" w:rsidR="005F0A67" w:rsidRPr="005F0A67" w:rsidRDefault="005F0A67" w:rsidP="005F0A67">
      <w:pPr>
        <w:numPr>
          <w:ilvl w:val="0"/>
          <w:numId w:val="35"/>
        </w:numPr>
        <w:tabs>
          <w:tab w:val="clear" w:pos="567"/>
          <w:tab w:val="clear" w:pos="1134"/>
          <w:tab w:val="clear" w:pos="1701"/>
          <w:tab w:val="clear" w:pos="2268"/>
        </w:tabs>
        <w:spacing w:after="180" w:line="292" w:lineRule="auto"/>
        <w:jc w:val="left"/>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Contributions are based on total financials, matching the wording of Decision 16/2; </w:t>
      </w:r>
    </w:p>
    <w:p w14:paraId="2A72F2BA" w14:textId="77777777" w:rsidR="005F0A67" w:rsidRPr="005F0A67" w:rsidRDefault="005F0A67" w:rsidP="005F0A67">
      <w:pPr>
        <w:numPr>
          <w:ilvl w:val="0"/>
          <w:numId w:val="35"/>
        </w:numPr>
        <w:tabs>
          <w:tab w:val="clear" w:pos="567"/>
          <w:tab w:val="clear" w:pos="1134"/>
          <w:tab w:val="clear" w:pos="1701"/>
          <w:tab w:val="clear" w:pos="2268"/>
        </w:tabs>
        <w:spacing w:after="180" w:line="292" w:lineRule="auto"/>
        <w:jc w:val="left"/>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The reference scenario provides a theoretical maximum revenue assuming full participation;</w:t>
      </w:r>
    </w:p>
    <w:p w14:paraId="16D6976C" w14:textId="77777777" w:rsidR="005F0A67" w:rsidRPr="005F0A67" w:rsidRDefault="005F0A67" w:rsidP="005F0A67">
      <w:pPr>
        <w:numPr>
          <w:ilvl w:val="0"/>
          <w:numId w:val="35"/>
        </w:numPr>
        <w:tabs>
          <w:tab w:val="clear" w:pos="567"/>
          <w:tab w:val="clear" w:pos="1134"/>
          <w:tab w:val="clear" w:pos="1701"/>
          <w:tab w:val="clear" w:pos="2268"/>
        </w:tabs>
        <w:spacing w:after="180" w:line="292" w:lineRule="auto"/>
        <w:jc w:val="left"/>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For the baseline analysis, the indicative rates are used as given, while alternative rate assumptions are explored in Part II; and,</w:t>
      </w:r>
    </w:p>
    <w:p w14:paraId="417BD982" w14:textId="77777777" w:rsidR="005F0A67" w:rsidRPr="005F0A67" w:rsidRDefault="005F0A67" w:rsidP="005F0A67">
      <w:pPr>
        <w:numPr>
          <w:ilvl w:val="0"/>
          <w:numId w:val="35"/>
        </w:numPr>
        <w:tabs>
          <w:tab w:val="clear" w:pos="567"/>
          <w:tab w:val="clear" w:pos="1134"/>
          <w:tab w:val="clear" w:pos="1701"/>
          <w:tab w:val="clear" w:pos="2268"/>
        </w:tabs>
        <w:spacing w:after="180" w:line="292" w:lineRule="auto"/>
        <w:jc w:val="left"/>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lastRenderedPageBreak/>
        <w:t xml:space="preserve">Entities are assumed to pay the contribution on the base which leads to lower costs (choose profit </w:t>
      </w:r>
      <w:r w:rsidRPr="005F0A67">
        <w:rPr>
          <w:rFonts w:asciiTheme="majorBidi" w:eastAsia="Times New Roman" w:hAnsiTheme="majorBidi" w:cstheme="majorBidi"/>
          <w:i/>
          <w:iCs/>
          <w:lang w:val="en-CA" w:eastAsia="en-GB"/>
        </w:rPr>
        <w:t xml:space="preserve">or </w:t>
      </w:r>
      <w:r w:rsidRPr="005F0A67">
        <w:rPr>
          <w:rFonts w:asciiTheme="majorBidi" w:eastAsia="Times New Roman" w:hAnsiTheme="majorBidi" w:cstheme="majorBidi"/>
          <w:lang w:val="en-CA" w:eastAsia="en-GB"/>
        </w:rPr>
        <w:t xml:space="preserve">revenue). </w:t>
      </w:r>
    </w:p>
    <w:p w14:paraId="475430CF"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These choices are made when the Decision's text provides a basis for a clear methodological choice</w:t>
      </w:r>
      <w:r w:rsidRPr="005F0A67">
        <w:rPr>
          <w:rFonts w:asciiTheme="majorBidi" w:eastAsia="Times New Roman" w:hAnsiTheme="majorBidi" w:cstheme="majorBidi"/>
          <w:vertAlign w:val="superscript"/>
          <w:lang w:val="en-CA" w:eastAsia="en-GB"/>
        </w:rPr>
        <w:footnoteReference w:id="41"/>
      </w:r>
      <w:r w:rsidRPr="005F0A67">
        <w:rPr>
          <w:rFonts w:asciiTheme="majorBidi" w:eastAsia="Times New Roman" w:hAnsiTheme="majorBidi" w:cstheme="majorBidi"/>
          <w:lang w:val="en-CA" w:eastAsia="en-GB"/>
        </w:rPr>
        <w:t xml:space="preserve">. When it does not, the underlying features create uncertainty about revenue potential and company burden, which cannot be resolved ex ante.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_Ref229844376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Table 1</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outlines these uncertainties, their likely impact on the Fund’s revenue, and how each is addressed in the analysis. Most of these factors lower the realistic revenue estimate compared to the theoretical maximum. Their combined effect is highly uncertain, and hence, shown in the scenario range in Part II, rather than being modelled separately. Their effects at the firm and sector levels are discussed in Part III. </w:t>
      </w:r>
    </w:p>
    <w:p w14:paraId="03E15436" w14:textId="77777777" w:rsidR="005F0A67" w:rsidRPr="005F0A67" w:rsidRDefault="005F0A67" w:rsidP="005F0A67">
      <w:pPr>
        <w:tabs>
          <w:tab w:val="clear" w:pos="567"/>
          <w:tab w:val="clear" w:pos="1134"/>
          <w:tab w:val="clear" w:pos="1701"/>
          <w:tab w:val="clear" w:pos="2268"/>
        </w:tabs>
        <w:spacing w:after="200" w:line="312" w:lineRule="auto"/>
        <w:contextualSpacing/>
        <w:rPr>
          <w:rFonts w:asciiTheme="majorBidi" w:eastAsia="Georgia" w:hAnsiTheme="majorBidi" w:cstheme="majorBidi"/>
          <w:b/>
          <w:bCs/>
          <w:color w:val="419844"/>
          <w:lang w:eastAsia="en-GB"/>
        </w:rPr>
      </w:pPr>
      <w:bookmarkStart w:id="77" w:name="_Ref229844376"/>
      <w:r w:rsidRPr="005F0A67">
        <w:rPr>
          <w:rFonts w:asciiTheme="majorBidi" w:eastAsia="Georgia" w:hAnsiTheme="majorBidi" w:cstheme="majorBidi"/>
          <w:b/>
          <w:bCs/>
          <w:color w:val="419844"/>
          <w:lang w:val="en-US" w:eastAsia="ja-JP"/>
        </w:rPr>
        <w:t xml:space="preserve">Table </w:t>
      </w:r>
      <w:r w:rsidRPr="005F0A67">
        <w:rPr>
          <w:rFonts w:asciiTheme="majorBidi" w:eastAsia="Georgia" w:hAnsiTheme="majorBidi" w:cstheme="majorBidi"/>
          <w:b/>
          <w:bCs/>
          <w:color w:val="419844"/>
          <w:lang w:eastAsia="en-GB"/>
        </w:rPr>
        <w:fldChar w:fldCharType="begin"/>
      </w:r>
      <w:r w:rsidRPr="005F0A67">
        <w:rPr>
          <w:rFonts w:asciiTheme="majorBidi" w:eastAsia="Georgia" w:hAnsiTheme="majorBidi" w:cstheme="majorBidi"/>
          <w:b/>
          <w:bCs/>
          <w:color w:val="419844"/>
          <w:lang w:eastAsia="en-GB"/>
        </w:rPr>
        <w:instrText xml:space="preserve"> SEQ Table \* ARABIC </w:instrText>
      </w:r>
      <w:r w:rsidRPr="005F0A67">
        <w:rPr>
          <w:rFonts w:asciiTheme="majorBidi" w:eastAsia="Georgia" w:hAnsiTheme="majorBidi" w:cstheme="majorBidi"/>
          <w:b/>
          <w:bCs/>
          <w:color w:val="419844"/>
          <w:lang w:eastAsia="en-GB"/>
        </w:rPr>
        <w:fldChar w:fldCharType="separate"/>
      </w:r>
      <w:r w:rsidRPr="005F0A67">
        <w:rPr>
          <w:rFonts w:asciiTheme="majorBidi" w:eastAsia="Georgia" w:hAnsiTheme="majorBidi" w:cstheme="majorBidi"/>
          <w:b/>
          <w:bCs/>
          <w:noProof/>
          <w:color w:val="419844"/>
          <w:lang w:eastAsia="en-GB"/>
        </w:rPr>
        <w:t>1</w:t>
      </w:r>
      <w:r w:rsidRPr="005F0A67">
        <w:rPr>
          <w:rFonts w:asciiTheme="majorBidi" w:eastAsia="Georgia" w:hAnsiTheme="majorBidi" w:cstheme="majorBidi"/>
          <w:b/>
          <w:bCs/>
          <w:color w:val="419844"/>
          <w:lang w:eastAsia="en-GB"/>
        </w:rPr>
        <w:fldChar w:fldCharType="end"/>
      </w:r>
      <w:bookmarkEnd w:id="77"/>
      <w:r w:rsidRPr="005F0A67">
        <w:rPr>
          <w:rFonts w:asciiTheme="majorBidi" w:eastAsia="Georgia" w:hAnsiTheme="majorBidi" w:cstheme="majorBidi"/>
          <w:b/>
          <w:bCs/>
          <w:color w:val="419844"/>
          <w:lang w:val="en-US" w:eastAsia="ja-JP"/>
        </w:rPr>
        <w:t xml:space="preserve"> Uncertainty register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537"/>
        <w:gridCol w:w="1552"/>
        <w:gridCol w:w="1204"/>
        <w:gridCol w:w="2510"/>
        <w:gridCol w:w="1825"/>
        <w:gridCol w:w="2090"/>
      </w:tblGrid>
      <w:tr w:rsidR="005F0A67" w:rsidRPr="005F0A67" w14:paraId="76D7DD70" w14:textId="77777777" w:rsidTr="00FB671B">
        <w:trPr>
          <w:tblHeader/>
        </w:trPr>
        <w:tc>
          <w:tcPr>
            <w:tcW w:w="0" w:type="auto"/>
            <w:tcBorders>
              <w:top w:val="single" w:sz="1" w:space="0" w:color="AAAAAA"/>
              <w:left w:val="single" w:sz="1" w:space="0" w:color="AAAAAA"/>
              <w:bottom w:val="single" w:sz="1" w:space="0" w:color="AAAAAA"/>
              <w:right w:val="single" w:sz="1" w:space="0" w:color="AAAAAA"/>
            </w:tcBorders>
            <w:shd w:val="clear" w:color="auto" w:fill="1F4E6B"/>
            <w:vAlign w:val="center"/>
          </w:tcPr>
          <w:p w14:paraId="76685B61"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FFFFFF"/>
                <w:sz w:val="18"/>
                <w:szCs w:val="18"/>
                <w:lang w:val="en-CA" w:eastAsia="en-GB"/>
              </w:rPr>
            </w:pPr>
            <w:r w:rsidRPr="005F0A67">
              <w:rPr>
                <w:rFonts w:asciiTheme="majorBidi" w:eastAsia="Tahoma" w:hAnsiTheme="majorBidi" w:cstheme="majorBidi"/>
                <w:b/>
                <w:bCs/>
                <w:color w:val="FFFFFF"/>
                <w:sz w:val="18"/>
                <w:szCs w:val="18"/>
                <w:lang w:val="en-CA" w:eastAsia="en-GB"/>
              </w:rPr>
              <w:t>ID</w:t>
            </w:r>
          </w:p>
        </w:tc>
        <w:tc>
          <w:tcPr>
            <w:tcW w:w="0" w:type="auto"/>
            <w:tcBorders>
              <w:top w:val="single" w:sz="1" w:space="0" w:color="AAAAAA"/>
              <w:left w:val="single" w:sz="1" w:space="0" w:color="AAAAAA"/>
              <w:bottom w:val="single" w:sz="1" w:space="0" w:color="AAAAAA"/>
              <w:right w:val="single" w:sz="1" w:space="0" w:color="AAAAAA"/>
            </w:tcBorders>
            <w:shd w:val="clear" w:color="auto" w:fill="1F4E6B"/>
            <w:tcMar>
              <w:top w:w="60" w:type="dxa"/>
              <w:left w:w="100" w:type="dxa"/>
              <w:bottom w:w="60" w:type="dxa"/>
              <w:right w:w="100" w:type="dxa"/>
            </w:tcMar>
            <w:vAlign w:val="center"/>
          </w:tcPr>
          <w:p w14:paraId="1C86882F"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ahoma" w:hAnsiTheme="majorBidi" w:cstheme="majorBidi"/>
                <w:b/>
                <w:bCs/>
                <w:color w:val="FFFFFF"/>
                <w:sz w:val="18"/>
                <w:szCs w:val="18"/>
                <w:lang w:val="en-CA" w:eastAsia="en-GB"/>
              </w:rPr>
              <w:t>Factor</w:t>
            </w:r>
          </w:p>
        </w:tc>
        <w:tc>
          <w:tcPr>
            <w:tcW w:w="0" w:type="auto"/>
            <w:tcBorders>
              <w:top w:val="single" w:sz="1" w:space="0" w:color="AAAAAA"/>
              <w:left w:val="single" w:sz="1" w:space="0" w:color="AAAAAA"/>
              <w:bottom w:val="single" w:sz="1" w:space="0" w:color="AAAAAA"/>
              <w:right w:val="single" w:sz="1" w:space="0" w:color="AAAAAA"/>
            </w:tcBorders>
            <w:shd w:val="clear" w:color="auto" w:fill="1F4E6B"/>
            <w:tcMar>
              <w:top w:w="60" w:type="dxa"/>
              <w:left w:w="100" w:type="dxa"/>
              <w:bottom w:w="60" w:type="dxa"/>
              <w:right w:w="100" w:type="dxa"/>
            </w:tcMar>
            <w:vAlign w:val="center"/>
          </w:tcPr>
          <w:p w14:paraId="702334EF"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FFFFFF"/>
                <w:sz w:val="18"/>
                <w:szCs w:val="18"/>
                <w:lang w:val="en-CA" w:eastAsia="en-GB"/>
              </w:rPr>
            </w:pPr>
            <w:r w:rsidRPr="005F0A67">
              <w:rPr>
                <w:rFonts w:asciiTheme="majorBidi" w:eastAsia="Tahoma" w:hAnsiTheme="majorBidi" w:cstheme="majorBidi"/>
                <w:b/>
                <w:bCs/>
                <w:color w:val="FFFFFF"/>
                <w:sz w:val="18"/>
                <w:szCs w:val="18"/>
                <w:lang w:val="en-CA" w:eastAsia="en-GB"/>
              </w:rPr>
              <w:t>Direction of effect on revenue</w:t>
            </w:r>
          </w:p>
        </w:tc>
        <w:tc>
          <w:tcPr>
            <w:tcW w:w="0" w:type="auto"/>
            <w:tcBorders>
              <w:top w:val="single" w:sz="1" w:space="0" w:color="AAAAAA"/>
              <w:left w:val="single" w:sz="1" w:space="0" w:color="AAAAAA"/>
              <w:bottom w:val="single" w:sz="1" w:space="0" w:color="AAAAAA"/>
              <w:right w:val="single" w:sz="1" w:space="0" w:color="AAAAAA"/>
            </w:tcBorders>
            <w:shd w:val="clear" w:color="auto" w:fill="1F4E6B"/>
            <w:vAlign w:val="center"/>
          </w:tcPr>
          <w:p w14:paraId="11B2A811"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FFFFFF"/>
                <w:sz w:val="18"/>
                <w:szCs w:val="18"/>
                <w:lang w:val="en-CA" w:eastAsia="en-GB"/>
              </w:rPr>
            </w:pPr>
            <w:r w:rsidRPr="005F0A67">
              <w:rPr>
                <w:rFonts w:asciiTheme="majorBidi" w:eastAsia="Tahoma" w:hAnsiTheme="majorBidi" w:cstheme="majorBidi"/>
                <w:b/>
                <w:bCs/>
                <w:color w:val="FFFFFF"/>
                <w:sz w:val="18"/>
                <w:szCs w:val="18"/>
                <w:lang w:val="en-CA" w:eastAsia="en-GB"/>
              </w:rPr>
              <w:t xml:space="preserve"> Mechanism</w:t>
            </w:r>
          </w:p>
        </w:tc>
        <w:tc>
          <w:tcPr>
            <w:tcW w:w="0" w:type="auto"/>
            <w:tcBorders>
              <w:top w:val="single" w:sz="1" w:space="0" w:color="AAAAAA"/>
              <w:left w:val="single" w:sz="1" w:space="0" w:color="AAAAAA"/>
              <w:bottom w:val="single" w:sz="1" w:space="0" w:color="AAAAAA"/>
              <w:right w:val="single" w:sz="1" w:space="0" w:color="AAAAAA"/>
            </w:tcBorders>
            <w:shd w:val="clear" w:color="auto" w:fill="1F4E6B"/>
            <w:tcMar>
              <w:top w:w="60" w:type="dxa"/>
              <w:left w:w="100" w:type="dxa"/>
              <w:bottom w:w="60" w:type="dxa"/>
              <w:right w:w="100" w:type="dxa"/>
            </w:tcMar>
            <w:vAlign w:val="center"/>
          </w:tcPr>
          <w:p w14:paraId="0DE655BE"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ahoma" w:hAnsiTheme="majorBidi" w:cstheme="majorBidi"/>
                <w:b/>
                <w:bCs/>
                <w:color w:val="FFFFFF"/>
                <w:sz w:val="18"/>
                <w:szCs w:val="18"/>
                <w:lang w:val="en-CA" w:eastAsia="en-GB"/>
              </w:rPr>
              <w:t>Basis for inclusion</w:t>
            </w:r>
          </w:p>
        </w:tc>
        <w:tc>
          <w:tcPr>
            <w:tcW w:w="0" w:type="auto"/>
            <w:tcBorders>
              <w:top w:val="single" w:sz="1" w:space="0" w:color="AAAAAA"/>
              <w:left w:val="single" w:sz="1" w:space="0" w:color="AAAAAA"/>
              <w:bottom w:val="single" w:sz="1" w:space="0" w:color="AAAAAA"/>
              <w:right w:val="single" w:sz="1" w:space="0" w:color="AAAAAA"/>
            </w:tcBorders>
            <w:shd w:val="clear" w:color="auto" w:fill="1F4E6B"/>
            <w:tcMar>
              <w:top w:w="60" w:type="dxa"/>
              <w:left w:w="100" w:type="dxa"/>
              <w:bottom w:w="60" w:type="dxa"/>
              <w:right w:w="100" w:type="dxa"/>
            </w:tcMar>
            <w:vAlign w:val="center"/>
          </w:tcPr>
          <w:p w14:paraId="58740B06"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ahoma" w:hAnsiTheme="majorBidi" w:cstheme="majorBidi"/>
                <w:b/>
                <w:bCs/>
                <w:color w:val="FFFFFF"/>
                <w:sz w:val="18"/>
                <w:szCs w:val="18"/>
                <w:lang w:val="en-CA" w:eastAsia="en-GB"/>
              </w:rPr>
              <w:t>Treatment in analysis</w:t>
            </w:r>
          </w:p>
        </w:tc>
      </w:tr>
      <w:tr w:rsidR="005F0A67" w:rsidRPr="005F0A67" w14:paraId="6EA72868" w14:textId="77777777" w:rsidTr="005F0A67">
        <w:trPr>
          <w:trHeight w:val="365"/>
        </w:trPr>
        <w:tc>
          <w:tcPr>
            <w:tcW w:w="0" w:type="auto"/>
            <w:gridSpan w:val="6"/>
            <w:tcBorders>
              <w:top w:val="single" w:sz="1" w:space="0" w:color="AAAAAA"/>
              <w:left w:val="single" w:sz="1" w:space="0" w:color="AAAAAA"/>
              <w:bottom w:val="single" w:sz="1" w:space="0" w:color="AAAAAA"/>
              <w:right w:val="single" w:sz="1" w:space="0" w:color="AAAAAA"/>
            </w:tcBorders>
            <w:shd w:val="clear" w:color="auto" w:fill="D9F2D0"/>
            <w:vAlign w:val="center"/>
          </w:tcPr>
          <w:p w14:paraId="5256FFFB"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000000"/>
                <w:sz w:val="18"/>
                <w:szCs w:val="18"/>
                <w:lang w:val="en-CA" w:eastAsia="en-GB"/>
              </w:rPr>
            </w:pPr>
            <w:r w:rsidRPr="005F0A67">
              <w:rPr>
                <w:rFonts w:asciiTheme="majorBidi" w:eastAsia="Tahoma" w:hAnsiTheme="majorBidi" w:cstheme="majorBidi"/>
                <w:b/>
                <w:bCs/>
                <w:color w:val="000000"/>
                <w:sz w:val="18"/>
                <w:szCs w:val="18"/>
                <w:lang w:val="en-CA" w:eastAsia="en-GB"/>
              </w:rPr>
              <w:t>Stage 1: Who is eligible?</w:t>
            </w:r>
          </w:p>
        </w:tc>
      </w:tr>
      <w:tr w:rsidR="005F0A67" w:rsidRPr="005F0A67" w14:paraId="543B60F2" w14:textId="77777777" w:rsidTr="005F0A67">
        <w:tc>
          <w:tcPr>
            <w:tcW w:w="0" w:type="auto"/>
            <w:tcBorders>
              <w:top w:val="single" w:sz="1" w:space="0" w:color="AAAAAA"/>
              <w:left w:val="single" w:sz="1" w:space="0" w:color="AAAAAA"/>
              <w:bottom w:val="single" w:sz="1" w:space="0" w:color="AAAAAA"/>
              <w:right w:val="single" w:sz="1" w:space="0" w:color="AAAAAA"/>
            </w:tcBorders>
            <w:shd w:val="clear" w:color="auto" w:fill="FFFFFF"/>
            <w:vAlign w:val="center"/>
          </w:tcPr>
          <w:p w14:paraId="1DC61106"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U1</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5287D4BE"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Sector list boundary</w:t>
            </w:r>
          </w:p>
        </w:tc>
        <w:tc>
          <w:tcPr>
            <w:tcW w:w="0" w:type="auto"/>
            <w:tcBorders>
              <w:top w:val="single" w:sz="1" w:space="0" w:color="AAAAAA"/>
              <w:left w:val="single" w:sz="1" w:space="0" w:color="AAAAAA"/>
              <w:bottom w:val="single" w:sz="1" w:space="0" w:color="AAAAAA"/>
              <w:right w:val="single" w:sz="1" w:space="0" w:color="AAAAAA"/>
            </w:tcBorders>
            <w:shd w:val="clear" w:color="auto" w:fill="F4CCCC"/>
            <w:tcMar>
              <w:top w:w="60" w:type="dxa"/>
              <w:left w:w="100" w:type="dxa"/>
              <w:bottom w:w="60" w:type="dxa"/>
              <w:right w:w="100" w:type="dxa"/>
            </w:tcMar>
            <w:vAlign w:val="center"/>
          </w:tcPr>
          <w:p w14:paraId="3FF95464" w14:textId="77777777" w:rsidR="005F0A67" w:rsidRPr="005F0A67" w:rsidRDefault="005F0A67" w:rsidP="005F0A67">
            <w:pPr>
              <w:tabs>
                <w:tab w:val="clear" w:pos="567"/>
                <w:tab w:val="clear" w:pos="1134"/>
                <w:tab w:val="clear" w:pos="1701"/>
                <w:tab w:val="clear" w:pos="2268"/>
              </w:tabs>
              <w:jc w:val="center"/>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Compresses</w:t>
            </w:r>
          </w:p>
        </w:tc>
        <w:tc>
          <w:tcPr>
            <w:tcW w:w="0" w:type="auto"/>
            <w:tcBorders>
              <w:top w:val="single" w:sz="1" w:space="0" w:color="AAAAAA"/>
              <w:left w:val="single" w:sz="1" w:space="0" w:color="AAAAAA"/>
              <w:bottom w:val="single" w:sz="1" w:space="0" w:color="AAAAAA"/>
              <w:right w:val="single" w:sz="1" w:space="0" w:color="AAAAAA"/>
            </w:tcBorders>
            <w:shd w:val="clear" w:color="auto" w:fill="FFFFFF"/>
            <w:vAlign w:val="center"/>
          </w:tcPr>
          <w:p w14:paraId="5B275239"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Narrower interpretation reduces eligible population</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0E8A4301"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Literature + submissions</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69393F39"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All indicative sector reference scenario, additionally broken down by sector in Part II</w:t>
            </w:r>
          </w:p>
        </w:tc>
      </w:tr>
      <w:tr w:rsidR="005F0A67" w:rsidRPr="005F0A67" w14:paraId="25A33CD3" w14:textId="77777777" w:rsidTr="005F0A67">
        <w:tc>
          <w:tcPr>
            <w:tcW w:w="0" w:type="auto"/>
            <w:tcBorders>
              <w:top w:val="single" w:sz="1" w:space="0" w:color="AAAAAA"/>
              <w:left w:val="single" w:sz="1" w:space="0" w:color="AAAAAA"/>
              <w:bottom w:val="single" w:sz="1" w:space="0" w:color="AAAAAA"/>
              <w:right w:val="single" w:sz="1" w:space="0" w:color="AAAAAA"/>
            </w:tcBorders>
            <w:shd w:val="clear" w:color="auto" w:fill="FFFFFF"/>
            <w:vAlign w:val="center"/>
          </w:tcPr>
          <w:p w14:paraId="05030BB2"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U2</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60E44EBB"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Threshold volatility over time</w:t>
            </w:r>
          </w:p>
        </w:tc>
        <w:tc>
          <w:tcPr>
            <w:tcW w:w="0" w:type="auto"/>
            <w:tcBorders>
              <w:top w:val="single" w:sz="1" w:space="0" w:color="AAAAAA"/>
              <w:left w:val="single" w:sz="1" w:space="0" w:color="AAAAAA"/>
              <w:bottom w:val="single" w:sz="1" w:space="0" w:color="AAAAAA"/>
              <w:right w:val="single" w:sz="1" w:space="0" w:color="AAAAAA"/>
            </w:tcBorders>
            <w:shd w:val="clear" w:color="auto" w:fill="FFF2CC"/>
            <w:tcMar>
              <w:top w:w="60" w:type="dxa"/>
              <w:left w:w="100" w:type="dxa"/>
              <w:bottom w:w="60" w:type="dxa"/>
              <w:right w:w="100" w:type="dxa"/>
            </w:tcMar>
            <w:vAlign w:val="center"/>
          </w:tcPr>
          <w:p w14:paraId="31AD3613" w14:textId="77777777" w:rsidR="005F0A67" w:rsidRPr="005F0A67" w:rsidRDefault="005F0A67" w:rsidP="005F0A67">
            <w:pPr>
              <w:tabs>
                <w:tab w:val="clear" w:pos="567"/>
                <w:tab w:val="clear" w:pos="1134"/>
                <w:tab w:val="clear" w:pos="1701"/>
                <w:tab w:val="clear" w:pos="2268"/>
              </w:tabs>
              <w:jc w:val="center"/>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Ambiguous</w:t>
            </w:r>
          </w:p>
        </w:tc>
        <w:tc>
          <w:tcPr>
            <w:tcW w:w="0" w:type="auto"/>
            <w:tcBorders>
              <w:top w:val="single" w:sz="1" w:space="0" w:color="AAAAAA"/>
              <w:left w:val="single" w:sz="1" w:space="0" w:color="AAAAAA"/>
              <w:bottom w:val="single" w:sz="1" w:space="0" w:color="AAAAAA"/>
              <w:right w:val="single" w:sz="1" w:space="0" w:color="AAAAAA"/>
            </w:tcBorders>
            <w:shd w:val="clear" w:color="auto" w:fill="FFFFFF"/>
            <w:vAlign w:val="center"/>
          </w:tcPr>
          <w:p w14:paraId="5D003E15"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Firms near boundary move in and out of eligibility</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6D5A9AE5"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Literature</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47F53947"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Explicit sensitivity in Part II</w:t>
            </w:r>
          </w:p>
        </w:tc>
      </w:tr>
      <w:tr w:rsidR="005F0A67" w:rsidRPr="005F0A67" w14:paraId="64CB5E7C" w14:textId="77777777" w:rsidTr="005F0A67">
        <w:tc>
          <w:tcPr>
            <w:tcW w:w="0" w:type="auto"/>
            <w:tcBorders>
              <w:top w:val="single" w:sz="1" w:space="0" w:color="AAAAAA"/>
              <w:left w:val="single" w:sz="1" w:space="0" w:color="AAAAAA"/>
              <w:bottom w:val="single" w:sz="1" w:space="0" w:color="AAAAAA"/>
              <w:right w:val="single" w:sz="1" w:space="0" w:color="AAAAAA"/>
            </w:tcBorders>
            <w:shd w:val="clear" w:color="auto" w:fill="FFFFFF"/>
            <w:vAlign w:val="center"/>
          </w:tcPr>
          <w:p w14:paraId="026130F0"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U3</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659F2933"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Entity definition: subsidiary vs. group</w:t>
            </w:r>
          </w:p>
        </w:tc>
        <w:tc>
          <w:tcPr>
            <w:tcW w:w="0" w:type="auto"/>
            <w:tcBorders>
              <w:top w:val="single" w:sz="1" w:space="0" w:color="AAAAAA"/>
              <w:left w:val="single" w:sz="1" w:space="0" w:color="AAAAAA"/>
              <w:bottom w:val="single" w:sz="1" w:space="0" w:color="AAAAAA"/>
              <w:right w:val="single" w:sz="1" w:space="0" w:color="AAAAAA"/>
            </w:tcBorders>
            <w:shd w:val="clear" w:color="auto" w:fill="FFF2CC"/>
            <w:tcMar>
              <w:top w:w="60" w:type="dxa"/>
              <w:left w:w="100" w:type="dxa"/>
              <w:bottom w:w="60" w:type="dxa"/>
              <w:right w:w="100" w:type="dxa"/>
            </w:tcMar>
            <w:vAlign w:val="center"/>
          </w:tcPr>
          <w:p w14:paraId="25FC6458" w14:textId="77777777" w:rsidR="005F0A67" w:rsidRPr="005F0A67" w:rsidRDefault="005F0A67" w:rsidP="005F0A67">
            <w:pPr>
              <w:tabs>
                <w:tab w:val="clear" w:pos="567"/>
                <w:tab w:val="clear" w:pos="1134"/>
                <w:tab w:val="clear" w:pos="1701"/>
                <w:tab w:val="clear" w:pos="2268"/>
              </w:tabs>
              <w:jc w:val="center"/>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Ambiguous</w:t>
            </w:r>
          </w:p>
        </w:tc>
        <w:tc>
          <w:tcPr>
            <w:tcW w:w="0" w:type="auto"/>
            <w:tcBorders>
              <w:top w:val="single" w:sz="1" w:space="0" w:color="AAAAAA"/>
              <w:left w:val="single" w:sz="1" w:space="0" w:color="AAAAAA"/>
              <w:bottom w:val="single" w:sz="1" w:space="0" w:color="AAAAAA"/>
              <w:right w:val="single" w:sz="1" w:space="0" w:color="AAAAAA"/>
            </w:tcBorders>
            <w:shd w:val="clear" w:color="auto" w:fill="FFFFFF"/>
            <w:vAlign w:val="center"/>
          </w:tcPr>
          <w:p w14:paraId="5EA25424"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 xml:space="preserve">Subsidiary branch vs group level affects count and the level of contributions </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1482D08F"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Literature</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7987AB81"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Subsidiary-level assessment adopted throughout; subsidiary vs. group-level contribution implications discussed in Part III</w:t>
            </w:r>
          </w:p>
        </w:tc>
      </w:tr>
      <w:tr w:rsidR="005F0A67" w:rsidRPr="005F0A67" w14:paraId="326707F9" w14:textId="77777777" w:rsidTr="005F0A67">
        <w:tc>
          <w:tcPr>
            <w:tcW w:w="0" w:type="auto"/>
            <w:tcBorders>
              <w:top w:val="single" w:sz="1" w:space="0" w:color="AAAAAA"/>
              <w:left w:val="single" w:sz="1" w:space="0" w:color="AAAAAA"/>
              <w:bottom w:val="single" w:sz="1" w:space="0" w:color="AAAAAA"/>
              <w:right w:val="single" w:sz="1" w:space="0" w:color="AAAAAA"/>
            </w:tcBorders>
            <w:shd w:val="clear" w:color="auto" w:fill="FFFFFF"/>
            <w:vAlign w:val="center"/>
          </w:tcPr>
          <w:p w14:paraId="68F4A72B"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U4</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0CBDFA96"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Direct vs. indirect use boundary</w:t>
            </w:r>
          </w:p>
        </w:tc>
        <w:tc>
          <w:tcPr>
            <w:tcW w:w="0" w:type="auto"/>
            <w:tcBorders>
              <w:top w:val="single" w:sz="1" w:space="0" w:color="AAAAAA"/>
              <w:left w:val="single" w:sz="1" w:space="0" w:color="AAAAAA"/>
              <w:bottom w:val="single" w:sz="1" w:space="0" w:color="AAAAAA"/>
              <w:right w:val="single" w:sz="1" w:space="0" w:color="AAAAAA"/>
            </w:tcBorders>
            <w:shd w:val="clear" w:color="auto" w:fill="FFF2CC"/>
            <w:tcMar>
              <w:top w:w="60" w:type="dxa"/>
              <w:left w:w="100" w:type="dxa"/>
              <w:bottom w:w="60" w:type="dxa"/>
              <w:right w:w="100" w:type="dxa"/>
            </w:tcMar>
            <w:vAlign w:val="center"/>
          </w:tcPr>
          <w:p w14:paraId="6F42F76C" w14:textId="77777777" w:rsidR="005F0A67" w:rsidRPr="005F0A67" w:rsidRDefault="005F0A67" w:rsidP="005F0A67">
            <w:pPr>
              <w:tabs>
                <w:tab w:val="clear" w:pos="567"/>
                <w:tab w:val="clear" w:pos="1134"/>
                <w:tab w:val="clear" w:pos="1701"/>
                <w:tab w:val="clear" w:pos="2268"/>
              </w:tabs>
              <w:jc w:val="center"/>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Ambiguous</w:t>
            </w:r>
          </w:p>
        </w:tc>
        <w:tc>
          <w:tcPr>
            <w:tcW w:w="0" w:type="auto"/>
            <w:tcBorders>
              <w:top w:val="single" w:sz="1" w:space="0" w:color="AAAAAA"/>
              <w:left w:val="single" w:sz="1" w:space="0" w:color="AAAAAA"/>
              <w:bottom w:val="single" w:sz="1" w:space="0" w:color="AAAAAA"/>
              <w:right w:val="single" w:sz="1" w:space="0" w:color="AAAAAA"/>
            </w:tcBorders>
            <w:shd w:val="clear" w:color="auto" w:fill="FFFFFF"/>
            <w:vAlign w:val="center"/>
          </w:tcPr>
          <w:p w14:paraId="771AED81"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Broader interpretation expands scope; value chain double-counting possible</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5F16770E"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Literature + submissions</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7BE24466"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Supply chain implications in Part III</w:t>
            </w:r>
          </w:p>
        </w:tc>
      </w:tr>
      <w:tr w:rsidR="005F0A67" w:rsidRPr="005F0A67" w14:paraId="494405CD" w14:textId="77777777" w:rsidTr="005F0A67">
        <w:trPr>
          <w:trHeight w:val="354"/>
        </w:trPr>
        <w:tc>
          <w:tcPr>
            <w:tcW w:w="0" w:type="auto"/>
            <w:gridSpan w:val="6"/>
            <w:tcBorders>
              <w:top w:val="single" w:sz="1" w:space="0" w:color="AAAAAA"/>
              <w:left w:val="single" w:sz="1" w:space="0" w:color="AAAAAA"/>
              <w:bottom w:val="single" w:sz="1" w:space="0" w:color="AAAAAA"/>
              <w:right w:val="single" w:sz="1" w:space="0" w:color="AAAAAA"/>
            </w:tcBorders>
            <w:shd w:val="clear" w:color="auto" w:fill="DAE9F7"/>
            <w:vAlign w:val="center"/>
          </w:tcPr>
          <w:p w14:paraId="35A9AC4E"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000000"/>
                <w:sz w:val="18"/>
                <w:szCs w:val="18"/>
                <w:lang w:val="en-CA" w:eastAsia="en-GB"/>
              </w:rPr>
            </w:pPr>
            <w:r w:rsidRPr="005F0A67">
              <w:rPr>
                <w:rFonts w:asciiTheme="majorBidi" w:eastAsia="Tahoma" w:hAnsiTheme="majorBidi" w:cstheme="majorBidi"/>
                <w:b/>
                <w:bCs/>
                <w:color w:val="000000"/>
                <w:sz w:val="18"/>
                <w:szCs w:val="18"/>
                <w:lang w:val="en-CA" w:eastAsia="en-GB"/>
              </w:rPr>
              <w:t>Stage 2: Who participates?</w:t>
            </w:r>
          </w:p>
        </w:tc>
      </w:tr>
      <w:tr w:rsidR="005F0A67" w:rsidRPr="005F0A67" w14:paraId="2E9E317C" w14:textId="77777777" w:rsidTr="005F0A67">
        <w:tc>
          <w:tcPr>
            <w:tcW w:w="0" w:type="auto"/>
            <w:tcBorders>
              <w:top w:val="single" w:sz="1" w:space="0" w:color="AAAAAA"/>
              <w:left w:val="single" w:sz="1" w:space="0" w:color="AAAAAA"/>
              <w:bottom w:val="single" w:sz="1" w:space="0" w:color="AAAAAA"/>
              <w:right w:val="single" w:sz="1" w:space="0" w:color="AAAAAA"/>
            </w:tcBorders>
            <w:shd w:val="clear" w:color="auto" w:fill="FFFFFF"/>
            <w:vAlign w:val="center"/>
          </w:tcPr>
          <w:p w14:paraId="519F5EAA"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U5</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69FF8DC0"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Information asymmetry and participation</w:t>
            </w:r>
          </w:p>
        </w:tc>
        <w:tc>
          <w:tcPr>
            <w:tcW w:w="0" w:type="auto"/>
            <w:tcBorders>
              <w:top w:val="single" w:sz="1" w:space="0" w:color="AAAAAA"/>
              <w:left w:val="single" w:sz="1" w:space="0" w:color="AAAAAA"/>
              <w:bottom w:val="single" w:sz="1" w:space="0" w:color="AAAAAA"/>
              <w:right w:val="single" w:sz="1" w:space="0" w:color="AAAAAA"/>
            </w:tcBorders>
            <w:shd w:val="clear" w:color="auto" w:fill="F4CCCC"/>
            <w:tcMar>
              <w:top w:w="60" w:type="dxa"/>
              <w:left w:w="100" w:type="dxa"/>
              <w:bottom w:w="60" w:type="dxa"/>
              <w:right w:w="100" w:type="dxa"/>
            </w:tcMar>
            <w:vAlign w:val="center"/>
          </w:tcPr>
          <w:p w14:paraId="0BEDF178" w14:textId="77777777" w:rsidR="005F0A67" w:rsidRPr="005F0A67" w:rsidRDefault="005F0A67" w:rsidP="005F0A67">
            <w:pPr>
              <w:tabs>
                <w:tab w:val="clear" w:pos="567"/>
                <w:tab w:val="clear" w:pos="1134"/>
                <w:tab w:val="clear" w:pos="1701"/>
                <w:tab w:val="clear" w:pos="2268"/>
              </w:tabs>
              <w:jc w:val="center"/>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Compresses</w:t>
            </w:r>
          </w:p>
        </w:tc>
        <w:tc>
          <w:tcPr>
            <w:tcW w:w="0" w:type="auto"/>
            <w:tcBorders>
              <w:top w:val="single" w:sz="1" w:space="0" w:color="AAAAAA"/>
              <w:left w:val="single" w:sz="1" w:space="0" w:color="AAAAAA"/>
              <w:bottom w:val="single" w:sz="1" w:space="0" w:color="AAAAAA"/>
              <w:right w:val="single" w:sz="1" w:space="0" w:color="AAAAAA"/>
            </w:tcBorders>
            <w:shd w:val="clear" w:color="auto" w:fill="FFFFFF"/>
            <w:vAlign w:val="center"/>
          </w:tcPr>
          <w:p w14:paraId="42553F97"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Eligible firms may not self-identify; non-participation unverifiable</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5B756A22"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Literature + submissions + analogous mechanisms</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427571DE"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Reflected in scenario range in Part II</w:t>
            </w:r>
          </w:p>
        </w:tc>
      </w:tr>
      <w:tr w:rsidR="005F0A67" w:rsidRPr="005F0A67" w14:paraId="34BB5B82" w14:textId="77777777" w:rsidTr="005F0A67">
        <w:tc>
          <w:tcPr>
            <w:tcW w:w="0" w:type="auto"/>
            <w:tcBorders>
              <w:top w:val="single" w:sz="1" w:space="0" w:color="AAAAAA"/>
              <w:left w:val="single" w:sz="1" w:space="0" w:color="AAAAAA"/>
              <w:bottom w:val="single" w:sz="1" w:space="0" w:color="AAAAAA"/>
              <w:right w:val="single" w:sz="1" w:space="0" w:color="AAAAAA"/>
            </w:tcBorders>
            <w:shd w:val="clear" w:color="auto" w:fill="FFFFFF"/>
            <w:vAlign w:val="center"/>
          </w:tcPr>
          <w:p w14:paraId="05DD21BD"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U6</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0F641246"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ahoma" w:hAnsiTheme="majorBidi" w:cstheme="majorBidi"/>
                <w:color w:val="000000"/>
                <w:sz w:val="18"/>
                <w:szCs w:val="18"/>
                <w:lang w:val="en-CA" w:eastAsia="en-GB"/>
              </w:rPr>
              <w:t>Certificate regulatory value</w:t>
            </w:r>
          </w:p>
        </w:tc>
        <w:tc>
          <w:tcPr>
            <w:tcW w:w="0" w:type="auto"/>
            <w:tcBorders>
              <w:top w:val="single" w:sz="1" w:space="0" w:color="AAAAAA"/>
              <w:left w:val="single" w:sz="1" w:space="0" w:color="AAAAAA"/>
              <w:bottom w:val="single" w:sz="1" w:space="0" w:color="AAAAAA"/>
              <w:right w:val="single" w:sz="1" w:space="0" w:color="AAAAAA"/>
            </w:tcBorders>
            <w:shd w:val="clear" w:color="auto" w:fill="F4CCCC"/>
            <w:tcMar>
              <w:top w:w="60" w:type="dxa"/>
              <w:left w:w="100" w:type="dxa"/>
              <w:bottom w:w="60" w:type="dxa"/>
              <w:right w:w="100" w:type="dxa"/>
            </w:tcMar>
            <w:vAlign w:val="center"/>
          </w:tcPr>
          <w:p w14:paraId="0D1DCD44" w14:textId="77777777" w:rsidR="005F0A67" w:rsidRPr="005F0A67" w:rsidRDefault="005F0A67" w:rsidP="005F0A67">
            <w:pPr>
              <w:tabs>
                <w:tab w:val="clear" w:pos="567"/>
                <w:tab w:val="clear" w:pos="1134"/>
                <w:tab w:val="clear" w:pos="1701"/>
                <w:tab w:val="clear" w:pos="2268"/>
              </w:tabs>
              <w:jc w:val="center"/>
              <w:rPr>
                <w:rFonts w:asciiTheme="majorBidi" w:eastAsia="Times New Roman" w:hAnsiTheme="majorBidi" w:cstheme="majorBidi"/>
                <w:sz w:val="24"/>
                <w:szCs w:val="24"/>
                <w:lang w:val="en-CA" w:eastAsia="en-GB"/>
              </w:rPr>
            </w:pPr>
            <w:r w:rsidRPr="005F0A67">
              <w:rPr>
                <w:rFonts w:asciiTheme="majorBidi" w:eastAsia="Tahoma" w:hAnsiTheme="majorBidi" w:cstheme="majorBidi"/>
                <w:color w:val="000000"/>
                <w:sz w:val="18"/>
                <w:szCs w:val="18"/>
                <w:lang w:val="en-CA" w:eastAsia="en-GB"/>
              </w:rPr>
              <w:t>Compresses</w:t>
            </w:r>
          </w:p>
        </w:tc>
        <w:tc>
          <w:tcPr>
            <w:tcW w:w="0" w:type="auto"/>
            <w:tcBorders>
              <w:top w:val="single" w:sz="1" w:space="0" w:color="AAAAAA"/>
              <w:left w:val="single" w:sz="1" w:space="0" w:color="AAAAAA"/>
              <w:bottom w:val="single" w:sz="1" w:space="0" w:color="AAAAAA"/>
              <w:right w:val="single" w:sz="1" w:space="0" w:color="AAAAAA"/>
            </w:tcBorders>
            <w:shd w:val="clear" w:color="auto" w:fill="FFFFFF"/>
            <w:vAlign w:val="center"/>
          </w:tcPr>
          <w:p w14:paraId="4B586845"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Low regulatory value reduces participation incentive</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19A4EC3F"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ahoma" w:hAnsiTheme="majorBidi" w:cstheme="majorBidi"/>
                <w:color w:val="000000"/>
                <w:sz w:val="18"/>
                <w:szCs w:val="18"/>
                <w:lang w:val="en-CA" w:eastAsia="en-GB"/>
              </w:rPr>
              <w:t>Literature + submissions</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6707E3CF"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ahoma" w:hAnsiTheme="majorBidi" w:cstheme="majorBidi"/>
                <w:color w:val="000000"/>
                <w:sz w:val="18"/>
                <w:szCs w:val="18"/>
                <w:lang w:val="en-CA" w:eastAsia="en-GB"/>
              </w:rPr>
              <w:t>Reflected in scenario range in Part II; impact on competitiveness effects in Part III</w:t>
            </w:r>
          </w:p>
        </w:tc>
      </w:tr>
      <w:tr w:rsidR="005F0A67" w:rsidRPr="005F0A67" w14:paraId="0353A1C4" w14:textId="77777777" w:rsidTr="005F0A67">
        <w:tc>
          <w:tcPr>
            <w:tcW w:w="0" w:type="auto"/>
            <w:tcBorders>
              <w:top w:val="single" w:sz="1" w:space="0" w:color="AAAAAA"/>
              <w:left w:val="single" w:sz="1" w:space="0" w:color="AAAAAA"/>
              <w:bottom w:val="single" w:sz="1" w:space="0" w:color="AAAAAA"/>
              <w:right w:val="single" w:sz="1" w:space="0" w:color="AAAAAA"/>
            </w:tcBorders>
            <w:shd w:val="clear" w:color="auto" w:fill="FFFFFF"/>
            <w:vAlign w:val="center"/>
          </w:tcPr>
          <w:p w14:paraId="12B265DE"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U7</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60FAAEBE"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ahoma" w:hAnsiTheme="majorBidi" w:cstheme="majorBidi"/>
                <w:color w:val="000000"/>
                <w:sz w:val="18"/>
                <w:szCs w:val="18"/>
                <w:lang w:val="en-CA" w:eastAsia="en-GB"/>
              </w:rPr>
              <w:t>Obligation stacking</w:t>
            </w:r>
          </w:p>
        </w:tc>
        <w:tc>
          <w:tcPr>
            <w:tcW w:w="0" w:type="auto"/>
            <w:tcBorders>
              <w:top w:val="single" w:sz="1" w:space="0" w:color="AAAAAA"/>
              <w:left w:val="single" w:sz="1" w:space="0" w:color="AAAAAA"/>
              <w:bottom w:val="single" w:sz="1" w:space="0" w:color="AAAAAA"/>
              <w:right w:val="single" w:sz="1" w:space="0" w:color="AAAAAA"/>
            </w:tcBorders>
            <w:shd w:val="clear" w:color="auto" w:fill="F4CCCC"/>
            <w:tcMar>
              <w:top w:w="60" w:type="dxa"/>
              <w:left w:w="100" w:type="dxa"/>
              <w:bottom w:w="60" w:type="dxa"/>
              <w:right w:w="100" w:type="dxa"/>
            </w:tcMar>
            <w:vAlign w:val="center"/>
          </w:tcPr>
          <w:p w14:paraId="0C0E989A" w14:textId="77777777" w:rsidR="005F0A67" w:rsidRPr="005F0A67" w:rsidRDefault="005F0A67" w:rsidP="005F0A67">
            <w:pPr>
              <w:tabs>
                <w:tab w:val="clear" w:pos="567"/>
                <w:tab w:val="clear" w:pos="1134"/>
                <w:tab w:val="clear" w:pos="1701"/>
                <w:tab w:val="clear" w:pos="2268"/>
              </w:tabs>
              <w:jc w:val="center"/>
              <w:rPr>
                <w:rFonts w:asciiTheme="majorBidi" w:eastAsia="Times New Roman" w:hAnsiTheme="majorBidi" w:cstheme="majorBidi"/>
                <w:sz w:val="24"/>
                <w:szCs w:val="24"/>
                <w:lang w:val="en-CA" w:eastAsia="en-GB"/>
              </w:rPr>
            </w:pPr>
            <w:r w:rsidRPr="005F0A67">
              <w:rPr>
                <w:rFonts w:asciiTheme="majorBidi" w:eastAsia="Tahoma" w:hAnsiTheme="majorBidi" w:cstheme="majorBidi"/>
                <w:color w:val="000000"/>
                <w:sz w:val="18"/>
                <w:szCs w:val="18"/>
                <w:lang w:val="en-CA" w:eastAsia="en-GB"/>
              </w:rPr>
              <w:t>Compresses</w:t>
            </w:r>
          </w:p>
        </w:tc>
        <w:tc>
          <w:tcPr>
            <w:tcW w:w="0" w:type="auto"/>
            <w:tcBorders>
              <w:top w:val="single" w:sz="1" w:space="0" w:color="AAAAAA"/>
              <w:left w:val="single" w:sz="1" w:space="0" w:color="AAAAAA"/>
              <w:bottom w:val="single" w:sz="1" w:space="0" w:color="AAAAAA"/>
              <w:right w:val="single" w:sz="1" w:space="0" w:color="AAAAAA"/>
            </w:tcBorders>
            <w:shd w:val="clear" w:color="auto" w:fill="FFFFFF"/>
            <w:vAlign w:val="center"/>
          </w:tcPr>
          <w:p w14:paraId="2700FCCD"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Unresolved overlap with national/international instruments deters participation</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6BEF086E"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ahoma" w:hAnsiTheme="majorBidi" w:cstheme="majorBidi"/>
                <w:color w:val="000000"/>
                <w:sz w:val="18"/>
                <w:szCs w:val="18"/>
                <w:lang w:val="en-CA" w:eastAsia="en-GB"/>
              </w:rPr>
              <w:t>Literature + submissions (identified as the most frequently cited barrier in submissions to CBD Notification 2024-114)</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4C235A7F"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ahoma" w:hAnsiTheme="majorBidi" w:cstheme="majorBidi"/>
                <w:color w:val="000000"/>
                <w:sz w:val="18"/>
                <w:szCs w:val="18"/>
                <w:lang w:val="en-CA" w:eastAsia="en-GB"/>
              </w:rPr>
              <w:t>Reflected in scenario range in Part II; impact on competitiveness effects in Part III</w:t>
            </w:r>
          </w:p>
        </w:tc>
      </w:tr>
      <w:tr w:rsidR="005F0A67" w:rsidRPr="005F0A67" w14:paraId="579C070C" w14:textId="77777777" w:rsidTr="005F0A67">
        <w:trPr>
          <w:trHeight w:val="513"/>
        </w:trPr>
        <w:tc>
          <w:tcPr>
            <w:tcW w:w="0" w:type="auto"/>
            <w:tcBorders>
              <w:top w:val="single" w:sz="1" w:space="0" w:color="AAAAAA"/>
              <w:left w:val="single" w:sz="1" w:space="0" w:color="AAAAAA"/>
              <w:bottom w:val="single" w:sz="1" w:space="0" w:color="AAAAAA"/>
              <w:right w:val="single" w:sz="1" w:space="0" w:color="AAAAAA"/>
            </w:tcBorders>
            <w:shd w:val="clear" w:color="auto" w:fill="FFFFFF"/>
            <w:vAlign w:val="center"/>
          </w:tcPr>
          <w:p w14:paraId="3A7197B2"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U8</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32D56A0C"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ahoma" w:hAnsiTheme="majorBidi" w:cstheme="majorBidi"/>
                <w:color w:val="000000"/>
                <w:sz w:val="18"/>
                <w:szCs w:val="18"/>
                <w:lang w:val="en-CA" w:eastAsia="en-GB"/>
              </w:rPr>
              <w:t>National implementation divergence</w:t>
            </w:r>
          </w:p>
        </w:tc>
        <w:tc>
          <w:tcPr>
            <w:tcW w:w="0" w:type="auto"/>
            <w:tcBorders>
              <w:top w:val="single" w:sz="1" w:space="0" w:color="AAAAAA"/>
              <w:left w:val="single" w:sz="1" w:space="0" w:color="AAAAAA"/>
              <w:bottom w:val="single" w:sz="1" w:space="0" w:color="AAAAAA"/>
              <w:right w:val="single" w:sz="1" w:space="0" w:color="AAAAAA"/>
            </w:tcBorders>
            <w:shd w:val="clear" w:color="auto" w:fill="FFF2CC"/>
            <w:tcMar>
              <w:top w:w="60" w:type="dxa"/>
              <w:left w:w="100" w:type="dxa"/>
              <w:bottom w:w="60" w:type="dxa"/>
              <w:right w:w="100" w:type="dxa"/>
            </w:tcMar>
            <w:vAlign w:val="center"/>
          </w:tcPr>
          <w:p w14:paraId="40522BCC" w14:textId="77777777" w:rsidR="005F0A67" w:rsidRPr="005F0A67" w:rsidRDefault="005F0A67" w:rsidP="005F0A67">
            <w:pPr>
              <w:tabs>
                <w:tab w:val="clear" w:pos="567"/>
                <w:tab w:val="clear" w:pos="1134"/>
                <w:tab w:val="clear" w:pos="1701"/>
                <w:tab w:val="clear" w:pos="2268"/>
              </w:tabs>
              <w:jc w:val="center"/>
              <w:rPr>
                <w:rFonts w:asciiTheme="majorBidi" w:eastAsia="Times New Roman" w:hAnsiTheme="majorBidi" w:cstheme="majorBidi"/>
                <w:sz w:val="24"/>
                <w:szCs w:val="24"/>
                <w:lang w:val="en-CA" w:eastAsia="en-GB"/>
              </w:rPr>
            </w:pPr>
            <w:r w:rsidRPr="005F0A67">
              <w:rPr>
                <w:rFonts w:asciiTheme="majorBidi" w:eastAsia="Tahoma" w:hAnsiTheme="majorBidi" w:cstheme="majorBidi"/>
                <w:color w:val="000000"/>
                <w:sz w:val="18"/>
                <w:szCs w:val="18"/>
                <w:lang w:val="en-CA" w:eastAsia="en-GB"/>
              </w:rPr>
              <w:t>Ambiguous</w:t>
            </w:r>
          </w:p>
        </w:tc>
        <w:tc>
          <w:tcPr>
            <w:tcW w:w="0" w:type="auto"/>
            <w:tcBorders>
              <w:top w:val="single" w:sz="1" w:space="0" w:color="AAAAAA"/>
              <w:left w:val="single" w:sz="1" w:space="0" w:color="AAAAAA"/>
              <w:bottom w:val="single" w:sz="1" w:space="0" w:color="AAAAAA"/>
              <w:right w:val="single" w:sz="1" w:space="0" w:color="AAAAAA"/>
            </w:tcBorders>
            <w:shd w:val="clear" w:color="auto" w:fill="FFFFFF"/>
            <w:vAlign w:val="center"/>
          </w:tcPr>
          <w:p w14:paraId="2B66F7FE"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More implementation increases participation; divergence creates asymmetries</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28449EAC"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ahoma" w:hAnsiTheme="majorBidi" w:cstheme="majorBidi"/>
                <w:color w:val="000000"/>
                <w:sz w:val="18"/>
                <w:szCs w:val="18"/>
                <w:lang w:val="en-CA" w:eastAsia="en-GB"/>
              </w:rPr>
              <w:t>Literature + submissions</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6B87E654"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ahoma" w:hAnsiTheme="majorBidi" w:cstheme="majorBidi"/>
                <w:color w:val="000000"/>
                <w:sz w:val="18"/>
                <w:szCs w:val="18"/>
                <w:lang w:val="en-CA" w:eastAsia="en-GB"/>
              </w:rPr>
              <w:t>Not yet materialised; flagged as potential channel for scenario range in Part II and cross-</w:t>
            </w:r>
            <w:r w:rsidRPr="005F0A67">
              <w:rPr>
                <w:rFonts w:asciiTheme="majorBidi" w:eastAsia="Tahoma" w:hAnsiTheme="majorBidi" w:cstheme="majorBidi"/>
                <w:color w:val="000000"/>
                <w:sz w:val="18"/>
                <w:szCs w:val="18"/>
                <w:lang w:val="en-CA" w:eastAsia="en-GB"/>
              </w:rPr>
              <w:lastRenderedPageBreak/>
              <w:t>border asymmetry in Part III</w:t>
            </w:r>
          </w:p>
        </w:tc>
      </w:tr>
      <w:tr w:rsidR="005F0A67" w:rsidRPr="005F0A67" w14:paraId="6BEC1AF9" w14:textId="77777777" w:rsidTr="005F0A67">
        <w:trPr>
          <w:trHeight w:val="408"/>
        </w:trPr>
        <w:tc>
          <w:tcPr>
            <w:tcW w:w="0" w:type="auto"/>
            <w:tcBorders>
              <w:top w:val="single" w:sz="1" w:space="0" w:color="AAAAAA"/>
              <w:left w:val="single" w:sz="1" w:space="0" w:color="AAAAAA"/>
              <w:bottom w:val="single" w:sz="1" w:space="0" w:color="AAAAAA"/>
              <w:right w:val="single" w:sz="1" w:space="0" w:color="AAAAAA"/>
            </w:tcBorders>
            <w:shd w:val="clear" w:color="auto" w:fill="FFFFFF"/>
            <w:vAlign w:val="center"/>
          </w:tcPr>
          <w:p w14:paraId="17C72BCE"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lastRenderedPageBreak/>
              <w:t>U9</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4EE84C83"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Allocation formula</w:t>
            </w:r>
          </w:p>
        </w:tc>
        <w:tc>
          <w:tcPr>
            <w:tcW w:w="0" w:type="auto"/>
            <w:tcBorders>
              <w:top w:val="single" w:sz="1" w:space="0" w:color="AAAAAA"/>
              <w:left w:val="single" w:sz="1" w:space="0" w:color="AAAAAA"/>
              <w:bottom w:val="single" w:sz="1" w:space="0" w:color="AAAAAA"/>
              <w:right w:val="single" w:sz="1" w:space="0" w:color="AAAAAA"/>
            </w:tcBorders>
            <w:shd w:val="clear" w:color="auto" w:fill="FFF2CC"/>
            <w:tcMar>
              <w:top w:w="60" w:type="dxa"/>
              <w:left w:w="100" w:type="dxa"/>
              <w:bottom w:w="60" w:type="dxa"/>
              <w:right w:w="100" w:type="dxa"/>
            </w:tcMar>
            <w:vAlign w:val="center"/>
          </w:tcPr>
          <w:p w14:paraId="40CC0CCA" w14:textId="77777777" w:rsidR="005F0A67" w:rsidRPr="005F0A67" w:rsidRDefault="005F0A67" w:rsidP="005F0A67">
            <w:pPr>
              <w:tabs>
                <w:tab w:val="clear" w:pos="567"/>
                <w:tab w:val="clear" w:pos="1134"/>
                <w:tab w:val="clear" w:pos="1701"/>
                <w:tab w:val="clear" w:pos="2268"/>
              </w:tabs>
              <w:jc w:val="center"/>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Ambiguous</w:t>
            </w:r>
          </w:p>
        </w:tc>
        <w:tc>
          <w:tcPr>
            <w:tcW w:w="0" w:type="auto"/>
            <w:tcBorders>
              <w:top w:val="single" w:sz="1" w:space="0" w:color="AAAAAA"/>
              <w:left w:val="single" w:sz="1" w:space="0" w:color="AAAAAA"/>
              <w:bottom w:val="single" w:sz="1" w:space="0" w:color="AAAAAA"/>
              <w:right w:val="single" w:sz="1" w:space="0" w:color="AAAAAA"/>
            </w:tcBorders>
            <w:shd w:val="clear" w:color="auto" w:fill="FFFFFF"/>
            <w:vAlign w:val="center"/>
          </w:tcPr>
          <w:p w14:paraId="6F137AFF"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Perceived distributional outcomes may affect participation</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59626BC4"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Analogous mechanisms</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2FCD2408"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Reflected in scenario range in Part II</w:t>
            </w:r>
          </w:p>
        </w:tc>
      </w:tr>
      <w:tr w:rsidR="005F0A67" w:rsidRPr="005F0A67" w14:paraId="3D990DE7" w14:textId="77777777" w:rsidTr="005F0A67">
        <w:tc>
          <w:tcPr>
            <w:tcW w:w="0" w:type="auto"/>
            <w:tcBorders>
              <w:top w:val="single" w:sz="1" w:space="0" w:color="AAAAAA"/>
              <w:left w:val="single" w:sz="1" w:space="0" w:color="AAAAAA"/>
              <w:bottom w:val="single" w:sz="1" w:space="0" w:color="AAAAAA"/>
              <w:right w:val="single" w:sz="1" w:space="0" w:color="AAAAAA"/>
            </w:tcBorders>
            <w:shd w:val="clear" w:color="auto" w:fill="FFFFFF"/>
            <w:vAlign w:val="center"/>
          </w:tcPr>
          <w:p w14:paraId="5BD3BB04"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U10</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64BA6C55"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ahoma" w:hAnsiTheme="majorBidi" w:cstheme="majorBidi"/>
                <w:color w:val="000000"/>
                <w:sz w:val="18"/>
                <w:szCs w:val="18"/>
                <w:lang w:val="en-CA" w:eastAsia="en-GB"/>
              </w:rPr>
              <w:t>Competitor participation</w:t>
            </w:r>
          </w:p>
        </w:tc>
        <w:tc>
          <w:tcPr>
            <w:tcW w:w="0" w:type="auto"/>
            <w:tcBorders>
              <w:top w:val="single" w:sz="1" w:space="0" w:color="AAAAAA"/>
              <w:left w:val="single" w:sz="1" w:space="0" w:color="AAAAAA"/>
              <w:bottom w:val="single" w:sz="1" w:space="0" w:color="AAAAAA"/>
              <w:right w:val="single" w:sz="1" w:space="0" w:color="AAAAAA"/>
            </w:tcBorders>
            <w:shd w:val="clear" w:color="auto" w:fill="FFF2CC"/>
            <w:tcMar>
              <w:top w:w="60" w:type="dxa"/>
              <w:left w:w="100" w:type="dxa"/>
              <w:bottom w:w="60" w:type="dxa"/>
              <w:right w:w="100" w:type="dxa"/>
            </w:tcMar>
            <w:vAlign w:val="center"/>
          </w:tcPr>
          <w:p w14:paraId="5EDAD796" w14:textId="77777777" w:rsidR="005F0A67" w:rsidRPr="005F0A67" w:rsidRDefault="005F0A67" w:rsidP="005F0A67">
            <w:pPr>
              <w:tabs>
                <w:tab w:val="clear" w:pos="567"/>
                <w:tab w:val="clear" w:pos="1134"/>
                <w:tab w:val="clear" w:pos="1701"/>
                <w:tab w:val="clear" w:pos="2268"/>
              </w:tabs>
              <w:jc w:val="center"/>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 xml:space="preserve">Ambiguous </w:t>
            </w:r>
          </w:p>
        </w:tc>
        <w:tc>
          <w:tcPr>
            <w:tcW w:w="0" w:type="auto"/>
            <w:tcBorders>
              <w:top w:val="single" w:sz="1" w:space="0" w:color="AAAAAA"/>
              <w:left w:val="single" w:sz="1" w:space="0" w:color="AAAAAA"/>
              <w:bottom w:val="single" w:sz="1" w:space="0" w:color="AAAAAA"/>
              <w:right w:val="single" w:sz="1" w:space="0" w:color="AAAAAA"/>
            </w:tcBorders>
            <w:shd w:val="clear" w:color="auto" w:fill="FFFFFF"/>
            <w:vAlign w:val="center"/>
          </w:tcPr>
          <w:p w14:paraId="0C8D861D"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Low sector uptake deters individual participation; high uptake encourages it</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2C5EBA3D"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ahoma" w:hAnsiTheme="majorBidi" w:cstheme="majorBidi"/>
                <w:color w:val="000000"/>
                <w:sz w:val="18"/>
                <w:szCs w:val="18"/>
                <w:lang w:val="en-CA" w:eastAsia="en-GB"/>
              </w:rPr>
              <w:t>Literature + analogous mechanisms</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491B7660"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ahoma" w:hAnsiTheme="majorBidi" w:cstheme="majorBidi"/>
                <w:color w:val="000000"/>
                <w:sz w:val="18"/>
                <w:szCs w:val="18"/>
                <w:lang w:val="en-CA" w:eastAsia="en-GB"/>
              </w:rPr>
              <w:t>Scenario range in Part II; competitive asymmetry analysis in Part III</w:t>
            </w:r>
          </w:p>
        </w:tc>
      </w:tr>
      <w:tr w:rsidR="005F0A67" w:rsidRPr="005F0A67" w14:paraId="1443E642" w14:textId="77777777" w:rsidTr="005F0A67">
        <w:trPr>
          <w:trHeight w:val="433"/>
        </w:trPr>
        <w:tc>
          <w:tcPr>
            <w:tcW w:w="0" w:type="auto"/>
            <w:gridSpan w:val="6"/>
            <w:tcBorders>
              <w:top w:val="single" w:sz="1" w:space="0" w:color="AAAAAA"/>
              <w:left w:val="single" w:sz="1" w:space="0" w:color="AAAAAA"/>
              <w:bottom w:val="single" w:sz="1" w:space="0" w:color="AAAAAA"/>
              <w:right w:val="single" w:sz="1" w:space="0" w:color="AAAAAA"/>
            </w:tcBorders>
            <w:shd w:val="clear" w:color="auto" w:fill="FAE2D5"/>
            <w:vAlign w:val="center"/>
          </w:tcPr>
          <w:p w14:paraId="33B72645"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b/>
                <w:bCs/>
                <w:color w:val="000000"/>
                <w:sz w:val="18"/>
                <w:szCs w:val="18"/>
                <w:lang w:val="en-CA" w:eastAsia="en-GB"/>
              </w:rPr>
              <w:t>Stage 3: How much do they contribute?</w:t>
            </w:r>
          </w:p>
        </w:tc>
      </w:tr>
      <w:tr w:rsidR="005F0A67" w:rsidRPr="005F0A67" w14:paraId="2754C2F1" w14:textId="77777777" w:rsidTr="005F0A67">
        <w:tc>
          <w:tcPr>
            <w:tcW w:w="0" w:type="auto"/>
            <w:tcBorders>
              <w:top w:val="single" w:sz="1" w:space="0" w:color="AAAAAA"/>
              <w:left w:val="single" w:sz="1" w:space="0" w:color="AAAAAA"/>
              <w:bottom w:val="single" w:sz="1" w:space="0" w:color="AAAAAA"/>
              <w:right w:val="single" w:sz="1" w:space="0" w:color="AAAAAA"/>
            </w:tcBorders>
            <w:shd w:val="clear" w:color="auto" w:fill="FFFFFF"/>
            <w:vAlign w:val="center"/>
          </w:tcPr>
          <w:p w14:paraId="0BE52681"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U11</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7102E300"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ahoma" w:hAnsiTheme="majorBidi" w:cstheme="majorBidi"/>
                <w:color w:val="000000"/>
                <w:sz w:val="18"/>
                <w:szCs w:val="18"/>
                <w:lang w:val="en-CA" w:eastAsia="en-GB"/>
              </w:rPr>
              <w:t>Profit base: earnings volatility and management</w:t>
            </w:r>
          </w:p>
        </w:tc>
        <w:tc>
          <w:tcPr>
            <w:tcW w:w="0" w:type="auto"/>
            <w:tcBorders>
              <w:top w:val="single" w:sz="1" w:space="0" w:color="AAAAAA"/>
              <w:left w:val="single" w:sz="1" w:space="0" w:color="AAAAAA"/>
              <w:bottom w:val="single" w:sz="1" w:space="0" w:color="AAAAAA"/>
              <w:right w:val="single" w:sz="1" w:space="0" w:color="AAAAAA"/>
            </w:tcBorders>
            <w:shd w:val="clear" w:color="auto" w:fill="F4CCCC"/>
            <w:tcMar>
              <w:top w:w="60" w:type="dxa"/>
              <w:left w:w="100" w:type="dxa"/>
              <w:bottom w:w="60" w:type="dxa"/>
              <w:right w:w="100" w:type="dxa"/>
            </w:tcMar>
            <w:vAlign w:val="center"/>
          </w:tcPr>
          <w:p w14:paraId="16CB636D" w14:textId="77777777" w:rsidR="005F0A67" w:rsidRPr="005F0A67" w:rsidRDefault="005F0A67" w:rsidP="005F0A67">
            <w:pPr>
              <w:tabs>
                <w:tab w:val="clear" w:pos="567"/>
                <w:tab w:val="clear" w:pos="1134"/>
                <w:tab w:val="clear" w:pos="1701"/>
                <w:tab w:val="clear" w:pos="2268"/>
              </w:tabs>
              <w:jc w:val="center"/>
              <w:rPr>
                <w:rFonts w:asciiTheme="majorBidi" w:eastAsia="Times New Roman" w:hAnsiTheme="majorBidi" w:cstheme="majorBidi"/>
                <w:sz w:val="24"/>
                <w:szCs w:val="24"/>
                <w:lang w:val="en-CA" w:eastAsia="en-GB"/>
              </w:rPr>
            </w:pPr>
            <w:r w:rsidRPr="005F0A67">
              <w:rPr>
                <w:rFonts w:asciiTheme="majorBidi" w:eastAsia="Tahoma" w:hAnsiTheme="majorBidi" w:cstheme="majorBidi"/>
                <w:color w:val="000000"/>
                <w:sz w:val="18"/>
                <w:szCs w:val="18"/>
                <w:lang w:val="en-CA" w:eastAsia="en-GB"/>
              </w:rPr>
              <w:t>Compresses</w:t>
            </w:r>
          </w:p>
        </w:tc>
        <w:tc>
          <w:tcPr>
            <w:tcW w:w="0" w:type="auto"/>
            <w:tcBorders>
              <w:top w:val="single" w:sz="1" w:space="0" w:color="AAAAAA"/>
              <w:left w:val="single" w:sz="1" w:space="0" w:color="AAAAAA"/>
              <w:bottom w:val="single" w:sz="1" w:space="0" w:color="AAAAAA"/>
              <w:right w:val="single" w:sz="1" w:space="0" w:color="AAAAAA"/>
            </w:tcBorders>
            <w:shd w:val="clear" w:color="auto" w:fill="FFFFFF"/>
            <w:vAlign w:val="center"/>
          </w:tcPr>
          <w:p w14:paraId="13B1F9C8"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Loss-making firms contribute nothing; earnings management possible</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2DC83570"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ahoma" w:hAnsiTheme="majorBidi" w:cstheme="majorBidi"/>
                <w:color w:val="000000"/>
                <w:sz w:val="18"/>
                <w:szCs w:val="18"/>
                <w:lang w:val="en-CA" w:eastAsia="en-GB"/>
              </w:rPr>
              <w:t>Literature</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74B6E3F9"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Empirical distribution documented in Part II; management risk reflected in scenario range</w:t>
            </w:r>
          </w:p>
        </w:tc>
      </w:tr>
      <w:tr w:rsidR="005F0A67" w:rsidRPr="005F0A67" w14:paraId="3E269E5A" w14:textId="77777777" w:rsidTr="005F0A67">
        <w:tc>
          <w:tcPr>
            <w:tcW w:w="0" w:type="auto"/>
            <w:tcBorders>
              <w:top w:val="single" w:sz="1" w:space="0" w:color="AAAAAA"/>
              <w:left w:val="single" w:sz="1" w:space="0" w:color="AAAAAA"/>
              <w:bottom w:val="single" w:sz="1" w:space="0" w:color="AAAAAA"/>
              <w:right w:val="single" w:sz="1" w:space="0" w:color="AAAAAA"/>
            </w:tcBorders>
            <w:shd w:val="clear" w:color="auto" w:fill="FFFFFF"/>
            <w:vAlign w:val="center"/>
          </w:tcPr>
          <w:p w14:paraId="79C75836"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U12</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6F900673"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Partial DSI use and proportionality</w:t>
            </w:r>
          </w:p>
        </w:tc>
        <w:tc>
          <w:tcPr>
            <w:tcW w:w="0" w:type="auto"/>
            <w:tcBorders>
              <w:top w:val="single" w:sz="1" w:space="0" w:color="AAAAAA"/>
              <w:left w:val="single" w:sz="1" w:space="0" w:color="AAAAAA"/>
              <w:bottom w:val="single" w:sz="1" w:space="0" w:color="AAAAAA"/>
              <w:right w:val="single" w:sz="1" w:space="0" w:color="AAAAAA"/>
            </w:tcBorders>
            <w:shd w:val="clear" w:color="auto" w:fill="F4CCCC"/>
            <w:tcMar>
              <w:top w:w="60" w:type="dxa"/>
              <w:left w:w="100" w:type="dxa"/>
              <w:bottom w:w="60" w:type="dxa"/>
              <w:right w:w="100" w:type="dxa"/>
            </w:tcMar>
            <w:vAlign w:val="center"/>
          </w:tcPr>
          <w:p w14:paraId="03546D48" w14:textId="77777777" w:rsidR="005F0A67" w:rsidRPr="005F0A67" w:rsidRDefault="005F0A67" w:rsidP="005F0A67">
            <w:pPr>
              <w:tabs>
                <w:tab w:val="clear" w:pos="567"/>
                <w:tab w:val="clear" w:pos="1134"/>
                <w:tab w:val="clear" w:pos="1701"/>
                <w:tab w:val="clear" w:pos="2268"/>
              </w:tabs>
              <w:jc w:val="center"/>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Compresses</w:t>
            </w:r>
          </w:p>
        </w:tc>
        <w:tc>
          <w:tcPr>
            <w:tcW w:w="0" w:type="auto"/>
            <w:tcBorders>
              <w:top w:val="single" w:sz="1" w:space="0" w:color="AAAAAA"/>
              <w:left w:val="single" w:sz="1" w:space="0" w:color="AAAAAA"/>
              <w:bottom w:val="single" w:sz="1" w:space="0" w:color="AAAAAA"/>
              <w:right w:val="single" w:sz="1" w:space="0" w:color="AAAAAA"/>
            </w:tcBorders>
            <w:shd w:val="clear" w:color="auto" w:fill="FFFFFF"/>
            <w:vAlign w:val="center"/>
          </w:tcPr>
          <w:p w14:paraId="58F10E3D"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Same contribution base regardless of DSI intensity; low-DSI firms face disproportionate burden, reducing participation incentive</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32BC2503"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Literature + submissions</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76E4AF51"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Explicit sensitivity: DSI intensity lower bound in Part II; proportionality in Part III</w:t>
            </w:r>
          </w:p>
        </w:tc>
      </w:tr>
      <w:tr w:rsidR="005F0A67" w:rsidRPr="005F0A67" w14:paraId="0D12A995" w14:textId="77777777" w:rsidTr="005F0A67">
        <w:trPr>
          <w:trHeight w:val="698"/>
        </w:trPr>
        <w:tc>
          <w:tcPr>
            <w:tcW w:w="0" w:type="auto"/>
            <w:gridSpan w:val="6"/>
            <w:tcBorders>
              <w:top w:val="single" w:sz="1" w:space="0" w:color="AAAAAA"/>
              <w:left w:val="single" w:sz="1" w:space="0" w:color="AAAAAA"/>
              <w:bottom w:val="single" w:sz="1" w:space="0" w:color="AAAAAA"/>
              <w:right w:val="single" w:sz="1" w:space="0" w:color="AAAAAA"/>
            </w:tcBorders>
            <w:shd w:val="clear" w:color="auto" w:fill="D9D9D9"/>
            <w:vAlign w:val="center"/>
          </w:tcPr>
          <w:p w14:paraId="6A95BA22" w14:textId="77777777" w:rsidR="005F0A67" w:rsidRPr="005F0A67" w:rsidRDefault="005F0A67" w:rsidP="005F0A67">
            <w:pPr>
              <w:tabs>
                <w:tab w:val="clear" w:pos="567"/>
                <w:tab w:val="clear" w:pos="1134"/>
                <w:tab w:val="clear" w:pos="1701"/>
                <w:tab w:val="clear" w:pos="2268"/>
              </w:tabs>
              <w:rPr>
                <w:rFonts w:asciiTheme="majorBidi" w:eastAsia="Tahoma" w:hAnsiTheme="majorBidi" w:cstheme="majorBidi"/>
                <w:sz w:val="18"/>
                <w:szCs w:val="18"/>
                <w:lang w:val="en-CA" w:eastAsia="en-GB"/>
              </w:rPr>
            </w:pPr>
            <w:r w:rsidRPr="005F0A67">
              <w:rPr>
                <w:rFonts w:asciiTheme="majorBidi" w:eastAsia="Tahoma" w:hAnsiTheme="majorBidi" w:cstheme="majorBidi"/>
                <w:b/>
                <w:bCs/>
                <w:i/>
                <w:iCs/>
                <w:color w:val="000000"/>
                <w:sz w:val="18"/>
                <w:szCs w:val="18"/>
                <w:lang w:val="en-CA" w:eastAsia="en-GB"/>
              </w:rPr>
              <w:t xml:space="preserve">Note: </w:t>
            </w:r>
            <w:r w:rsidRPr="005F0A67">
              <w:rPr>
                <w:rFonts w:asciiTheme="majorBidi" w:eastAsia="Tahoma" w:hAnsiTheme="majorBidi" w:cstheme="majorBidi"/>
                <w:sz w:val="18"/>
                <w:szCs w:val="18"/>
                <w:lang w:val="en-CA" w:eastAsia="en-GB"/>
              </w:rPr>
              <w:t>'Compresses' indicates the factor is expected to reduce Fund revenue below the theoretical maximum under full compliance</w:t>
            </w:r>
            <w:r w:rsidRPr="005F0A67">
              <w:rPr>
                <w:rFonts w:asciiTheme="majorBidi" w:eastAsia="Tahoma" w:hAnsiTheme="majorBidi" w:cstheme="majorBidi"/>
                <w:sz w:val="18"/>
                <w:szCs w:val="18"/>
                <w:vertAlign w:val="superscript"/>
                <w:lang w:val="en-CA" w:eastAsia="en-GB"/>
              </w:rPr>
              <w:footnoteReference w:id="42"/>
            </w:r>
            <w:r w:rsidRPr="005F0A67">
              <w:rPr>
                <w:rFonts w:asciiTheme="majorBidi" w:eastAsia="Tahoma" w:hAnsiTheme="majorBidi" w:cstheme="majorBidi"/>
                <w:sz w:val="18"/>
                <w:szCs w:val="18"/>
                <w:lang w:val="en-CA" w:eastAsia="en-GB"/>
              </w:rPr>
              <w:t xml:space="preserve">. 'Ambiguous' indicates the direction depends on how the parameter resolves. The basis for inclusion column indicates the type of evidence supporting each factor: peer-reviewed literature, official submissions to CBD intersessional consultations, analogous mechanisms, or a combination. No formal ranking of factors by importance is assigned. </w:t>
            </w:r>
            <w:r w:rsidRPr="005F0A67">
              <w:rPr>
                <w:rFonts w:asciiTheme="majorBidi" w:eastAsia="Tahoma" w:hAnsiTheme="majorBidi" w:cstheme="majorBidi"/>
                <w:color w:val="000000"/>
                <w:sz w:val="18"/>
                <w:szCs w:val="18"/>
                <w:lang w:val="en-CA" w:eastAsia="en-GB"/>
              </w:rPr>
              <w:t xml:space="preserve">Factors marked 'reflected in scenario range' contribute to the cumulative downward adjustment from the theoretical maximum documented in Part II but are not modelled separately. Factors marked 'explicit sensitivity' are tested through specific alternative assumptions in Part II. </w:t>
            </w:r>
          </w:p>
        </w:tc>
      </w:tr>
    </w:tbl>
    <w:p w14:paraId="20007CF1"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p>
    <w:p w14:paraId="4DC5EBC9"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lang w:val="en-CA" w:eastAsia="en-GB"/>
        </w:rPr>
      </w:pPr>
      <w:r w:rsidRPr="005F0A67">
        <w:rPr>
          <w:rFonts w:asciiTheme="majorBidi" w:eastAsia="Times New Roman" w:hAnsiTheme="majorBidi" w:cstheme="majorBidi"/>
          <w:sz w:val="24"/>
          <w:szCs w:val="24"/>
          <w:lang w:val="en-CA" w:eastAsia="en-GB"/>
        </w:rPr>
        <w:br w:type="page"/>
      </w:r>
    </w:p>
    <w:p w14:paraId="3CF36DBD" w14:textId="77777777" w:rsidR="005F0A67" w:rsidRPr="005F0A67" w:rsidRDefault="005F0A67" w:rsidP="005F0A67">
      <w:pPr>
        <w:numPr>
          <w:ilvl w:val="0"/>
          <w:numId w:val="12"/>
        </w:numPr>
        <w:pBdr>
          <w:bottom w:val="single" w:sz="2" w:space="6" w:color="D9D9D9"/>
        </w:pBdr>
        <w:tabs>
          <w:tab w:val="clear" w:pos="567"/>
          <w:tab w:val="clear" w:pos="1134"/>
          <w:tab w:val="clear" w:pos="1701"/>
          <w:tab w:val="clear" w:pos="2268"/>
        </w:tabs>
        <w:spacing w:before="400" w:after="60"/>
        <w:ind w:left="432" w:hanging="432"/>
        <w:jc w:val="left"/>
        <w:outlineLvl w:val="0"/>
        <w:rPr>
          <w:rFonts w:asciiTheme="majorBidi" w:eastAsia="Arial" w:hAnsiTheme="majorBidi" w:cstheme="majorBidi"/>
          <w:b/>
          <w:bCs/>
          <w:color w:val="1A1A1A"/>
          <w:sz w:val="28"/>
          <w:szCs w:val="28"/>
          <w:lang w:val="en-CA" w:eastAsia="en-GB"/>
        </w:rPr>
      </w:pPr>
      <w:bookmarkStart w:id="78" w:name="_Toc234579559"/>
      <w:bookmarkStart w:id="79" w:name="_Toc234579786"/>
      <w:r w:rsidRPr="005F0A67">
        <w:rPr>
          <w:rFonts w:asciiTheme="majorBidi" w:eastAsia="Arial" w:hAnsiTheme="majorBidi" w:cstheme="majorBidi"/>
          <w:b/>
          <w:bCs/>
          <w:color w:val="1A1A1A"/>
          <w:sz w:val="28"/>
          <w:szCs w:val="28"/>
          <w:lang w:val="en-CA" w:eastAsia="en-GB"/>
        </w:rPr>
        <w:lastRenderedPageBreak/>
        <w:t>Part I: Eligibility thresholds</w:t>
      </w:r>
      <w:bookmarkEnd w:id="78"/>
      <w:bookmarkEnd w:id="79"/>
    </w:p>
    <w:tbl>
      <w:tblPr>
        <w:tblW w:w="99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43"/>
      </w:tblGrid>
      <w:tr w:rsidR="005F0A67" w:rsidRPr="005F0A67" w14:paraId="39E48400" w14:textId="77777777" w:rsidTr="00FB671B">
        <w:trPr>
          <w:trHeight w:val="6210"/>
        </w:trPr>
        <w:tc>
          <w:tcPr>
            <w:tcW w:w="9943" w:type="dxa"/>
            <w:shd w:val="clear" w:color="auto" w:fill="E0F3E3"/>
            <w:tcMar>
              <w:top w:w="200" w:type="dxa"/>
              <w:left w:w="280" w:type="dxa"/>
              <w:bottom w:w="0" w:type="dxa"/>
              <w:right w:w="280" w:type="dxa"/>
            </w:tcMar>
            <w:vAlign w:val="center"/>
          </w:tcPr>
          <w:p w14:paraId="61C5BED4"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ahoma" w:hAnsiTheme="majorBidi" w:cstheme="majorBidi"/>
                <w:lang w:val="en-CA" w:eastAsia="en-GB"/>
              </w:rPr>
              <w:t xml:space="preserve">This part responds to paragraph 6(d) of Decision 16/2, which requested the </w:t>
            </w:r>
            <w:r w:rsidRPr="005F0A67">
              <w:rPr>
                <w:rFonts w:asciiTheme="majorBidi" w:eastAsia="Times New Roman" w:hAnsiTheme="majorBidi" w:cstheme="majorBidi"/>
                <w:lang w:val="en-CA" w:eastAsia="en-GB"/>
              </w:rPr>
              <w:t xml:space="preserve">CBD </w:t>
            </w:r>
            <w:r w:rsidRPr="005F0A67">
              <w:rPr>
                <w:rFonts w:asciiTheme="majorBidi" w:eastAsia="Tahoma" w:hAnsiTheme="majorBidi" w:cstheme="majorBidi"/>
                <w:lang w:val="en-CA" w:eastAsia="en-GB"/>
              </w:rPr>
              <w:t xml:space="preserve">Executive Secretary to commission a study on national and international standards for identifying small, medium, and large entities. </w:t>
            </w:r>
            <w:r w:rsidRPr="005F0A67">
              <w:rPr>
                <w:rFonts w:asciiTheme="majorBidi" w:eastAsia="Times New Roman" w:hAnsiTheme="majorBidi" w:cstheme="majorBidi"/>
                <w:lang w:val="en-CA" w:eastAsia="en-GB"/>
              </w:rPr>
              <w:t xml:space="preserve">To support this process, the Secretariat issued notification 2024-116 to call for submissions from Parties, other Governments, indigenous peoples and local communities and relevant organizations, to submit on outstanding design elements of the DSI Multilateral Mechanism (MLM), including how company size should be defined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{"citationID":"tSKdTFnk","properties":{"unsorted":false,"formattedCitation":"(CBD, 2024c)","plainCitation":"(CBD, 2024c)","noteIndex":0},"citationItems":[{"id":345,"uris":["http://zotero.org/users/14977742/items/SQ8KAZWT"],"itemData":{"id":345,"type":"webpage","citation-key":"ConventionBiologicalDiversity","container-title":"Convention on Biological Diversity","language":"en","title":"Notification 2024-116. The multilateral mechanism for the fair and equitable sharing of benefits from the use of digital sequence information on genetic resources, including a global fund (\"The Cali Fund\"): Submission of information on national, regional or international standards on thresholds determining small, medium and large entities.","URL":"https://www.cbd.int/notifications/2024-116","author":[{"literal":"CBD"}],"accessed":{"date-parts":[["2026",5,6]]},"issued":{"date-parts":[["2024"]]}}}],"schema":"https://github.com/citation-style-language/schema/raw/master/csl-citation.json"}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(CBD, 2024c)</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w:t>
            </w:r>
          </w:p>
          <w:p w14:paraId="7A36BCAE"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ahoma" w:hAnsiTheme="majorBidi" w:cstheme="majorBidi"/>
                <w:lang w:val="en-CA" w:eastAsia="en-GB"/>
              </w:rPr>
              <w:t>The analysis draws on submissions received and a desk-based review of existing international frameworks for firm size classification</w:t>
            </w:r>
            <w:r w:rsidRPr="005F0A67">
              <w:rPr>
                <w:rFonts w:asciiTheme="majorBidi" w:eastAsia="Times New Roman" w:hAnsiTheme="majorBidi" w:cstheme="majorBidi"/>
                <w:lang w:val="en-CA" w:eastAsia="en-GB"/>
              </w:rPr>
              <w:t xml:space="preserve"> to present:</w:t>
            </w:r>
          </w:p>
          <w:p w14:paraId="20F14E1B" w14:textId="77777777" w:rsidR="005F0A67" w:rsidRPr="005F0A67" w:rsidRDefault="005F0A67" w:rsidP="005F0A67">
            <w:pPr>
              <w:numPr>
                <w:ilvl w:val="0"/>
                <w:numId w:val="36"/>
              </w:numPr>
              <w:tabs>
                <w:tab w:val="clear" w:pos="567"/>
                <w:tab w:val="clear" w:pos="1134"/>
                <w:tab w:val="clear" w:pos="1701"/>
                <w:tab w:val="clear" w:pos="2268"/>
              </w:tabs>
              <w:spacing w:after="180" w:line="292" w:lineRule="auto"/>
              <w:jc w:val="left"/>
              <w:rPr>
                <w:rFonts w:asciiTheme="majorBidi" w:eastAsia="Times New Roman" w:hAnsiTheme="majorBidi" w:cstheme="majorBidi"/>
                <w:bCs/>
                <w:lang w:val="en-CA" w:eastAsia="en-GB"/>
              </w:rPr>
            </w:pPr>
            <w:r w:rsidRPr="005F0A67">
              <w:rPr>
                <w:rFonts w:asciiTheme="majorBidi" w:eastAsia="Times New Roman" w:hAnsiTheme="majorBidi" w:cstheme="majorBidi"/>
                <w:bCs/>
                <w:lang w:val="en-CA" w:eastAsia="en-GB"/>
              </w:rPr>
              <w:t>the rationale for defining entity size for the Cali Fund;</w:t>
            </w:r>
          </w:p>
          <w:p w14:paraId="644E350D" w14:textId="77777777" w:rsidR="005F0A67" w:rsidRPr="005F0A67" w:rsidRDefault="005F0A67" w:rsidP="005F0A67">
            <w:pPr>
              <w:numPr>
                <w:ilvl w:val="0"/>
                <w:numId w:val="36"/>
              </w:numPr>
              <w:tabs>
                <w:tab w:val="clear" w:pos="567"/>
                <w:tab w:val="clear" w:pos="1134"/>
                <w:tab w:val="clear" w:pos="1701"/>
                <w:tab w:val="clear" w:pos="2268"/>
              </w:tabs>
              <w:spacing w:after="180" w:line="292" w:lineRule="auto"/>
              <w:jc w:val="left"/>
              <w:rPr>
                <w:rFonts w:asciiTheme="majorBidi" w:eastAsia="Times New Roman" w:hAnsiTheme="majorBidi" w:cstheme="majorBidi"/>
                <w:bCs/>
                <w:lang w:val="en-CA" w:eastAsia="en-GB"/>
              </w:rPr>
            </w:pPr>
            <w:r w:rsidRPr="005F0A67">
              <w:rPr>
                <w:rFonts w:asciiTheme="majorBidi" w:eastAsia="Times New Roman" w:hAnsiTheme="majorBidi" w:cstheme="majorBidi"/>
                <w:bCs/>
                <w:lang w:val="en-CA" w:eastAsia="en-GB"/>
              </w:rPr>
              <w:t>common themes across submissions on this definition; and,</w:t>
            </w:r>
          </w:p>
          <w:p w14:paraId="27562C5C" w14:textId="77777777" w:rsidR="005F0A67" w:rsidRPr="005F0A67" w:rsidRDefault="005F0A67" w:rsidP="005F0A67">
            <w:pPr>
              <w:numPr>
                <w:ilvl w:val="0"/>
                <w:numId w:val="36"/>
              </w:numPr>
              <w:tabs>
                <w:tab w:val="clear" w:pos="567"/>
                <w:tab w:val="clear" w:pos="1134"/>
                <w:tab w:val="clear" w:pos="1701"/>
                <w:tab w:val="clear" w:pos="2268"/>
              </w:tabs>
              <w:spacing w:after="180" w:line="292" w:lineRule="auto"/>
              <w:jc w:val="left"/>
              <w:rPr>
                <w:rFonts w:asciiTheme="majorBidi" w:eastAsia="Times New Roman" w:hAnsiTheme="majorBidi" w:cstheme="majorBidi"/>
                <w:bCs/>
                <w:lang w:val="en-CA" w:eastAsia="en-GB"/>
              </w:rPr>
            </w:pPr>
            <w:r w:rsidRPr="005F0A67">
              <w:rPr>
                <w:rFonts w:asciiTheme="majorBidi" w:eastAsia="Times New Roman" w:hAnsiTheme="majorBidi" w:cstheme="majorBidi"/>
                <w:bCs/>
                <w:lang w:val="en-CA" w:eastAsia="en-GB"/>
              </w:rPr>
              <w:t xml:space="preserve">international standards on defining company size and comparing that against the submissions. </w:t>
            </w:r>
          </w:p>
          <w:p w14:paraId="2FF089D5"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ahoma" w:hAnsiTheme="majorBidi" w:cstheme="majorBidi"/>
                <w:lang w:val="en-CA" w:eastAsia="en-GB"/>
              </w:rPr>
            </w:pPr>
            <w:r w:rsidRPr="005F0A67">
              <w:rPr>
                <w:rFonts w:asciiTheme="majorBidi" w:eastAsia="Tahoma" w:hAnsiTheme="majorBidi" w:cstheme="majorBidi"/>
                <w:lang w:val="en-CA" w:eastAsia="en-GB"/>
              </w:rPr>
              <w:t xml:space="preserve">Its purpose is to assess whether the current financial thresholds in Decision 16/2 are appropriately calibrated for a global benefit-sharing mechanism and to identify options for consideration by the Conference of the Parties. </w:t>
            </w:r>
          </w:p>
        </w:tc>
      </w:tr>
      <w:tr w:rsidR="005F0A67" w:rsidRPr="005F0A67" w14:paraId="7B4415EA" w14:textId="77777777" w:rsidTr="00FB671B">
        <w:trPr>
          <w:trHeight w:hRule="exact" w:val="224"/>
        </w:trPr>
        <w:tc>
          <w:tcPr>
            <w:tcW w:w="9943" w:type="dxa"/>
            <w:shd w:val="clear" w:color="auto" w:fill="2C5F2E"/>
          </w:tcPr>
          <w:p w14:paraId="0EA8C2C1"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ahoma" w:hAnsiTheme="majorBidi" w:cstheme="majorBidi"/>
                <w:lang w:val="en-CA" w:eastAsia="en-GB"/>
              </w:rPr>
            </w:pPr>
          </w:p>
        </w:tc>
      </w:tr>
    </w:tbl>
    <w:p w14:paraId="7E09ADDC" w14:textId="77777777" w:rsidR="005F0A67" w:rsidRPr="005F0A67" w:rsidRDefault="005F0A67" w:rsidP="005F0A67">
      <w:pPr>
        <w:numPr>
          <w:ilvl w:val="1"/>
          <w:numId w:val="12"/>
        </w:numPr>
        <w:tabs>
          <w:tab w:val="clear" w:pos="567"/>
          <w:tab w:val="clear" w:pos="1134"/>
          <w:tab w:val="clear" w:pos="1701"/>
          <w:tab w:val="clear" w:pos="2268"/>
        </w:tabs>
        <w:spacing w:before="320" w:after="160"/>
        <w:ind w:left="576" w:hanging="576"/>
        <w:jc w:val="left"/>
        <w:outlineLvl w:val="1"/>
        <w:rPr>
          <w:rFonts w:asciiTheme="majorBidi" w:eastAsia="Arial" w:hAnsiTheme="majorBidi" w:cstheme="majorBidi"/>
          <w:b/>
          <w:bCs/>
          <w:color w:val="1A1A1A"/>
          <w:sz w:val="23"/>
          <w:szCs w:val="23"/>
          <w:lang w:val="en-CA" w:eastAsia="en-GB"/>
        </w:rPr>
      </w:pPr>
      <w:bookmarkStart w:id="80" w:name="_Toc234579560"/>
      <w:r w:rsidRPr="005F0A67">
        <w:rPr>
          <w:rFonts w:asciiTheme="majorBidi" w:eastAsia="Arial" w:hAnsiTheme="majorBidi" w:cstheme="majorBidi"/>
          <w:b/>
          <w:bCs/>
          <w:color w:val="1A1A1A"/>
          <w:sz w:val="23"/>
          <w:szCs w:val="23"/>
          <w:lang w:val="en-CA" w:eastAsia="en-GB"/>
        </w:rPr>
        <w:t>Rationale for defining company size</w:t>
      </w:r>
      <w:bookmarkEnd w:id="80"/>
    </w:p>
    <w:p w14:paraId="545FDADD"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The Cali Fund applies a "two-out-of-three" financial threshold model based on total assets, sales, and profits, to clarify which commercial users of DSI are expected to contribute a proportion of their profits or revenue to the Cali Fund</w:t>
      </w:r>
      <w:r w:rsidRPr="005F0A67">
        <w:rPr>
          <w:rFonts w:asciiTheme="majorBidi" w:eastAsia="Times New Roman" w:hAnsiTheme="majorBidi" w:cstheme="majorBidi"/>
          <w:vertAlign w:val="superscript"/>
          <w:lang w:val="en-CA" w:eastAsia="en-GB"/>
        </w:rPr>
        <w:footnoteReference w:id="43"/>
      </w:r>
      <w:r w:rsidRPr="005F0A67">
        <w:rPr>
          <w:rFonts w:asciiTheme="majorBidi" w:eastAsia="Times New Roman" w:hAnsiTheme="majorBidi" w:cstheme="majorBidi"/>
          <w:lang w:val="en-CA" w:eastAsia="en-GB"/>
        </w:rPr>
        <w:t>. Under this model, an entity is in scope, if it exceeds at least two of the following:</w:t>
      </w:r>
    </w:p>
    <w:p w14:paraId="7C5C398E" w14:textId="77777777" w:rsidR="005F0A67" w:rsidRPr="005F0A67" w:rsidRDefault="005F0A67" w:rsidP="005F0A67">
      <w:pPr>
        <w:numPr>
          <w:ilvl w:val="0"/>
          <w:numId w:val="37"/>
        </w:numPr>
        <w:tabs>
          <w:tab w:val="clear" w:pos="567"/>
          <w:tab w:val="clear" w:pos="1134"/>
          <w:tab w:val="clear" w:pos="1701"/>
          <w:tab w:val="clear" w:pos="2268"/>
        </w:tabs>
        <w:spacing w:after="180" w:line="292" w:lineRule="auto"/>
        <w:jc w:val="left"/>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Total assets: more than USD 20 million</w:t>
      </w:r>
    </w:p>
    <w:p w14:paraId="791904A7" w14:textId="77777777" w:rsidR="005F0A67" w:rsidRPr="005F0A67" w:rsidRDefault="005F0A67" w:rsidP="005F0A67">
      <w:pPr>
        <w:numPr>
          <w:ilvl w:val="0"/>
          <w:numId w:val="37"/>
        </w:numPr>
        <w:tabs>
          <w:tab w:val="clear" w:pos="567"/>
          <w:tab w:val="clear" w:pos="1134"/>
          <w:tab w:val="clear" w:pos="1701"/>
          <w:tab w:val="clear" w:pos="2268"/>
        </w:tabs>
        <w:spacing w:after="180" w:line="292" w:lineRule="auto"/>
        <w:jc w:val="left"/>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Annual sales (revenue): more than USD 50 million</w:t>
      </w:r>
    </w:p>
    <w:p w14:paraId="4FD4757A" w14:textId="77777777" w:rsidR="005F0A67" w:rsidRPr="005F0A67" w:rsidRDefault="005F0A67" w:rsidP="005F0A67">
      <w:pPr>
        <w:numPr>
          <w:ilvl w:val="0"/>
          <w:numId w:val="37"/>
        </w:numPr>
        <w:tabs>
          <w:tab w:val="clear" w:pos="567"/>
          <w:tab w:val="clear" w:pos="1134"/>
          <w:tab w:val="clear" w:pos="1701"/>
          <w:tab w:val="clear" w:pos="2268"/>
        </w:tabs>
        <w:spacing w:after="180" w:line="292" w:lineRule="auto"/>
        <w:jc w:val="left"/>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Profit: more than USD 5 million</w:t>
      </w:r>
    </w:p>
    <w:p w14:paraId="24AB9812"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These values are assessed as an average over the preceding three years.</w:t>
      </w:r>
    </w:p>
    <w:p w14:paraId="65F5C0B4"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How entity size is defined is therefore central to the Cali Fund's design. Understanding company scope is essential to ensure that contributions to the mechanism are proportionate to the scale of benefits companies derive from biodiversity. Submissions to Notification 2024-116 demonstrated broad agreement that company size differentiation is necessary but diverged on how best to define the actual size of small, medium, and large companies. Existing SME frameworks offer tested, administratively workable benchmarks, yet they were not </w:t>
      </w:r>
      <w:r w:rsidRPr="005F0A67">
        <w:rPr>
          <w:rFonts w:asciiTheme="majorBidi" w:eastAsia="Times New Roman" w:hAnsiTheme="majorBidi" w:cstheme="majorBidi"/>
          <w:lang w:val="en-CA" w:eastAsia="en-GB"/>
        </w:rPr>
        <w:lastRenderedPageBreak/>
        <w:t>designed for benefit-sharing or biodiversity governance. Submissions identified the need for thresholds that balance:</w:t>
      </w:r>
    </w:p>
    <w:p w14:paraId="1FEEB540" w14:textId="77777777" w:rsidR="005F0A67" w:rsidRPr="005F0A67" w:rsidRDefault="005F0A67" w:rsidP="005F0A67">
      <w:pPr>
        <w:numPr>
          <w:ilvl w:val="0"/>
          <w:numId w:val="38"/>
        </w:numPr>
        <w:tabs>
          <w:tab w:val="clear" w:pos="567"/>
          <w:tab w:val="clear" w:pos="1134"/>
          <w:tab w:val="clear" w:pos="1701"/>
          <w:tab w:val="clear" w:pos="2268"/>
        </w:tabs>
        <w:spacing w:after="180" w:line="292" w:lineRule="auto"/>
        <w:jc w:val="left"/>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simplicity in implementation;</w:t>
      </w:r>
    </w:p>
    <w:p w14:paraId="23AC1565" w14:textId="77777777" w:rsidR="005F0A67" w:rsidRPr="005F0A67" w:rsidRDefault="005F0A67" w:rsidP="005F0A67">
      <w:pPr>
        <w:numPr>
          <w:ilvl w:val="0"/>
          <w:numId w:val="38"/>
        </w:numPr>
        <w:tabs>
          <w:tab w:val="clear" w:pos="567"/>
          <w:tab w:val="clear" w:pos="1134"/>
          <w:tab w:val="clear" w:pos="1701"/>
          <w:tab w:val="clear" w:pos="2268"/>
        </w:tabs>
        <w:spacing w:after="180" w:line="292" w:lineRule="auto"/>
        <w:jc w:val="left"/>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sufficient robustness to ensure funds are raised; and,</w:t>
      </w:r>
    </w:p>
    <w:p w14:paraId="1BBD7F90" w14:textId="77777777" w:rsidR="005F0A67" w:rsidRPr="005F0A67" w:rsidRDefault="005F0A67" w:rsidP="005F0A67">
      <w:pPr>
        <w:numPr>
          <w:ilvl w:val="0"/>
          <w:numId w:val="38"/>
        </w:numPr>
        <w:tabs>
          <w:tab w:val="clear" w:pos="567"/>
          <w:tab w:val="clear" w:pos="1134"/>
          <w:tab w:val="clear" w:pos="1701"/>
          <w:tab w:val="clear" w:pos="2268"/>
        </w:tabs>
        <w:spacing w:after="180" w:line="292" w:lineRule="auto"/>
        <w:jc w:val="left"/>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sufficient flexibility not to deter innovation or undermine equity.</w:t>
      </w:r>
    </w:p>
    <w:p w14:paraId="4FD36FCF" w14:textId="77777777" w:rsidR="005F0A67" w:rsidRPr="005F0A67" w:rsidRDefault="005F0A67" w:rsidP="005F0A67">
      <w:pPr>
        <w:numPr>
          <w:ilvl w:val="1"/>
          <w:numId w:val="12"/>
        </w:numPr>
        <w:tabs>
          <w:tab w:val="clear" w:pos="567"/>
          <w:tab w:val="clear" w:pos="1134"/>
          <w:tab w:val="clear" w:pos="1701"/>
          <w:tab w:val="clear" w:pos="2268"/>
        </w:tabs>
        <w:spacing w:before="320" w:after="160"/>
        <w:ind w:left="576" w:hanging="576"/>
        <w:jc w:val="left"/>
        <w:outlineLvl w:val="1"/>
        <w:rPr>
          <w:rFonts w:asciiTheme="majorBidi" w:eastAsia="Arial" w:hAnsiTheme="majorBidi" w:cstheme="majorBidi"/>
          <w:b/>
          <w:bCs/>
          <w:color w:val="1A1A1A"/>
          <w:sz w:val="23"/>
          <w:szCs w:val="23"/>
          <w:lang w:val="en-CA" w:eastAsia="en-GB"/>
        </w:rPr>
      </w:pPr>
      <w:bookmarkStart w:id="81" w:name="_Ref229929388"/>
      <w:bookmarkStart w:id="82" w:name="_Toc234579561"/>
      <w:r w:rsidRPr="005F0A67">
        <w:rPr>
          <w:rFonts w:asciiTheme="majorBidi" w:eastAsia="Arial" w:hAnsiTheme="majorBidi" w:cstheme="majorBidi"/>
          <w:b/>
          <w:bCs/>
          <w:color w:val="1A1A1A"/>
          <w:sz w:val="23"/>
          <w:szCs w:val="23"/>
          <w:lang w:val="en-CA" w:eastAsia="en-GB"/>
        </w:rPr>
        <w:t>Common themes in submissions on defining company size</w:t>
      </w:r>
      <w:bookmarkEnd w:id="81"/>
      <w:bookmarkEnd w:id="82"/>
      <w:r w:rsidRPr="005F0A67">
        <w:rPr>
          <w:rFonts w:asciiTheme="majorBidi" w:eastAsia="Arial" w:hAnsiTheme="majorBidi" w:cstheme="majorBidi"/>
          <w:b/>
          <w:bCs/>
          <w:color w:val="1A1A1A"/>
          <w:sz w:val="23"/>
          <w:szCs w:val="23"/>
          <w:lang w:val="en-CA" w:eastAsia="en-GB"/>
        </w:rPr>
        <w:t xml:space="preserve"> </w:t>
      </w:r>
    </w:p>
    <w:p w14:paraId="7D753063"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The following section synthesises submissions received in respond to CBD Notification 2024-116, covering Party submissions first, followed by those from observers. </w:t>
      </w:r>
    </w:p>
    <w:p w14:paraId="13CE3E27" w14:textId="77777777" w:rsidR="005F0A67" w:rsidRPr="005F0A67" w:rsidRDefault="005F0A67" w:rsidP="00B54840">
      <w:pPr>
        <w:tabs>
          <w:tab w:val="clear" w:pos="567"/>
          <w:tab w:val="clear" w:pos="1134"/>
          <w:tab w:val="clear" w:pos="1701"/>
          <w:tab w:val="clear" w:pos="2268"/>
        </w:tabs>
        <w:spacing w:before="320" w:after="160"/>
        <w:ind w:left="720"/>
        <w:jc w:val="left"/>
        <w:outlineLvl w:val="2"/>
        <w:rPr>
          <w:rFonts w:asciiTheme="majorBidi" w:eastAsia="Arial" w:hAnsiTheme="majorBidi" w:cstheme="majorBidi"/>
          <w:b/>
          <w:bCs/>
          <w:color w:val="7F7F7F"/>
          <w:sz w:val="23"/>
          <w:szCs w:val="23"/>
          <w:lang w:val="en-CA" w:eastAsia="en-GB"/>
        </w:rPr>
      </w:pPr>
      <w:bookmarkStart w:id="83" w:name="_Toc234579562"/>
      <w:r w:rsidRPr="005F0A67">
        <w:rPr>
          <w:rFonts w:asciiTheme="majorBidi" w:eastAsia="Arial" w:hAnsiTheme="majorBidi" w:cstheme="majorBidi"/>
          <w:b/>
          <w:bCs/>
          <w:color w:val="7F7F7F"/>
          <w:sz w:val="23"/>
          <w:szCs w:val="23"/>
          <w:lang w:val="en-CA" w:eastAsia="en-GB"/>
        </w:rPr>
        <w:t>Main themes emerging from submissions</w:t>
      </w:r>
      <w:bookmarkEnd w:id="83"/>
      <w:r w:rsidRPr="005F0A67">
        <w:rPr>
          <w:rFonts w:asciiTheme="majorBidi" w:eastAsia="Arial" w:hAnsiTheme="majorBidi" w:cstheme="majorBidi"/>
          <w:b/>
          <w:bCs/>
          <w:color w:val="7F7F7F"/>
          <w:sz w:val="23"/>
          <w:szCs w:val="23"/>
          <w:lang w:val="en-CA" w:eastAsia="en-GB"/>
        </w:rPr>
        <w:t xml:space="preserve"> </w:t>
      </w:r>
    </w:p>
    <w:p w14:paraId="6A331F21"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Parties and observers generally favoured the use of already-established frameworks, such as the EU SME definition or national business classification systems. There was broad agreement that a CBD-specific system was unnecessary, as it would add administrative burden and reduce compatibility with existing tax and accounting frameworks.</w:t>
      </w:r>
    </w:p>
    <w:p w14:paraId="463E2156"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A dominant position across submissions was a preference for financial thresholds over employee-based thresholds, which target revenue and/or profit as the primary determinant of company size. The rationale was that the Cali Fund contribution is a financial commitment, so ability to pay is the most relevant metric; an employee count in isolation was claimed to be misleading in this context. Parties stated that financial metrics are auditable and internationally comparable and correlate more directly with DSI-related commercial activity, whereas employee figures do not adequately reflect digital or IP-intensive business models. Some observers proposed a simplified, single-metric approach, such as annual revenue alone, to avoid frequent reclassification and unnecessary administrative complexity. Overall, financial metrics should therefore be prioritised, though some submissions noted that both systems could be combined.</w:t>
      </w:r>
    </w:p>
    <w:p w14:paraId="5891ACBE"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Several Parties stressed that company size cannot be defined uniformly across sectors, noting significant differences between the biotechnology and pharmaceutical sectors and others such as cosmetics, food, AI, and life-science service providers. Proposals included sector-adjusted thresholds or tiered expectations to reflect these structural differences.</w:t>
      </w:r>
    </w:p>
    <w:p w14:paraId="679CE052"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Private sector observers consistently warned against overly broad or rigid definitions of company size. The primary concern was that many companies use DSI only indirectly, and not across all their revenue streams or product lines. It was argued that rigid definitions could capture firms with limited biodiversity dependence, and that the resulting legal uncertainty could negatively affect R&amp;D investment, particularly in emerging economies.</w:t>
      </w:r>
    </w:p>
    <w:p w14:paraId="085687D4"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Non-governmental and academic observers expressed a preference for activity-based criteria, suggesting measures such as the value derived from DSI, the degree of dependence on biodiversity, and profit margins rather than absolute turnover.</w:t>
      </w:r>
    </w:p>
    <w:p w14:paraId="7AA581EA"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A recurring theme was the need for flexibility and adaptation to national economic contexts, including the size and share of SMEs in Indicative Enclosure I sectors, with recognition of the differences between developed and </w:t>
      </w:r>
      <w:r w:rsidRPr="005F0A67">
        <w:rPr>
          <w:rFonts w:asciiTheme="majorBidi" w:eastAsia="Times New Roman" w:hAnsiTheme="majorBidi" w:cstheme="majorBidi"/>
          <w:lang w:val="en-CA" w:eastAsia="en-GB"/>
        </w:rPr>
        <w:lastRenderedPageBreak/>
        <w:t>developing countries. Submitters consistently raised the need to avoid excessive burdens on SMEs, calling for either full exemption or simplified and reduced contribution modalities. This was seen by Parties as essential so as not to stifle innovation through additional compliance costs, particularly in the biotech and research sectors, and similarly by observers as a way of preserving innovation systems and sustaining opportunities for North-South research collaboration. Hence, special consideration may be given to start-ups, research institutions, and early-stage biotechnology firms, including transitional arrangements, deferred contribution schemes, or innovation-sensitive thresholds, particularly where such entities demonstrate high levels of DSI use but limited financial capacity.</w:t>
      </w:r>
    </w:p>
    <w:p w14:paraId="3A75ED29" w14:textId="77777777" w:rsidR="005F0A67" w:rsidRPr="005F0A67" w:rsidRDefault="005F0A67" w:rsidP="005F0A67">
      <w:pPr>
        <w:numPr>
          <w:ilvl w:val="1"/>
          <w:numId w:val="12"/>
        </w:numPr>
        <w:tabs>
          <w:tab w:val="clear" w:pos="567"/>
          <w:tab w:val="clear" w:pos="1134"/>
          <w:tab w:val="clear" w:pos="1701"/>
          <w:tab w:val="clear" w:pos="2268"/>
        </w:tabs>
        <w:spacing w:before="320" w:after="160"/>
        <w:ind w:left="576" w:hanging="576"/>
        <w:jc w:val="left"/>
        <w:outlineLvl w:val="1"/>
        <w:rPr>
          <w:rFonts w:asciiTheme="majorBidi" w:eastAsia="Arial" w:hAnsiTheme="majorBidi" w:cstheme="majorBidi"/>
          <w:b/>
          <w:bCs/>
          <w:color w:val="1A1A1A"/>
          <w:sz w:val="23"/>
          <w:szCs w:val="23"/>
          <w:lang w:val="en-CA" w:eastAsia="en-GB"/>
        </w:rPr>
      </w:pPr>
      <w:bookmarkStart w:id="84" w:name="_Ref229929402"/>
      <w:bookmarkStart w:id="85" w:name="_Toc234579563"/>
      <w:r w:rsidRPr="005F0A67">
        <w:rPr>
          <w:rFonts w:asciiTheme="majorBidi" w:eastAsia="Arial" w:hAnsiTheme="majorBidi" w:cstheme="majorBidi"/>
          <w:b/>
          <w:bCs/>
          <w:color w:val="1A1A1A"/>
          <w:sz w:val="23"/>
          <w:szCs w:val="23"/>
          <w:lang w:val="en-CA" w:eastAsia="en-GB"/>
        </w:rPr>
        <w:t>International standards of company size</w:t>
      </w:r>
      <w:bookmarkEnd w:id="84"/>
      <w:bookmarkEnd w:id="85"/>
      <w:r w:rsidRPr="005F0A67">
        <w:rPr>
          <w:rFonts w:asciiTheme="majorBidi" w:eastAsia="Arial" w:hAnsiTheme="majorBidi" w:cstheme="majorBidi"/>
          <w:b/>
          <w:bCs/>
          <w:color w:val="1A1A1A"/>
          <w:sz w:val="23"/>
          <w:szCs w:val="23"/>
          <w:lang w:val="en-CA" w:eastAsia="en-GB"/>
        </w:rPr>
        <w:t xml:space="preserve"> </w:t>
      </w:r>
    </w:p>
    <w:p w14:paraId="5918212C"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Submissions to Notification 2024-116 reflect broad agreement that company size differentiation is necessary, but they show some divergence on how to define it. Existing SME global frameworks offer tested, administratively workable benchmarks, yet they were not designed for benefit-sharing or biodiversity governance. The frameworks most commonly referenced in submissions are reviewed below, supplemented by additional examples to illustrate the range of approaches adopted across different economic and regional contexts. The review is not exhaustive but aims to provide useful benchmarks for the assessment of the existing eligibility thresholds indicated in Decision 16/2. </w:t>
      </w:r>
    </w:p>
    <w:p w14:paraId="0DBD88AD" w14:textId="77777777" w:rsidR="005F0A67" w:rsidRPr="005F0A67" w:rsidRDefault="005F0A67" w:rsidP="00B54840">
      <w:pPr>
        <w:tabs>
          <w:tab w:val="clear" w:pos="567"/>
          <w:tab w:val="clear" w:pos="1134"/>
          <w:tab w:val="clear" w:pos="1701"/>
          <w:tab w:val="clear" w:pos="2268"/>
        </w:tabs>
        <w:spacing w:before="320" w:after="160"/>
        <w:ind w:left="720"/>
        <w:jc w:val="left"/>
        <w:outlineLvl w:val="2"/>
        <w:rPr>
          <w:rFonts w:asciiTheme="majorBidi" w:eastAsia="Arial" w:hAnsiTheme="majorBidi" w:cstheme="majorBidi"/>
          <w:b/>
          <w:bCs/>
          <w:color w:val="7F7F7F"/>
          <w:sz w:val="23"/>
          <w:szCs w:val="23"/>
          <w:lang w:val="en-CA" w:eastAsia="en-GB"/>
        </w:rPr>
      </w:pPr>
      <w:bookmarkStart w:id="86" w:name="_Toc234579564"/>
      <w:r w:rsidRPr="005F0A67">
        <w:rPr>
          <w:rFonts w:asciiTheme="majorBidi" w:eastAsia="Arial" w:hAnsiTheme="majorBidi" w:cstheme="majorBidi"/>
          <w:b/>
          <w:bCs/>
          <w:color w:val="7F7F7F"/>
          <w:sz w:val="23"/>
          <w:szCs w:val="23"/>
          <w:lang w:val="en-CA" w:eastAsia="en-GB"/>
        </w:rPr>
        <w:t>European Union</w:t>
      </w:r>
      <w:bookmarkEnd w:id="86"/>
    </w:p>
    <w:p w14:paraId="3B3119B5"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This widely referenced international standard, drawn from Commission Recommendation 2003/361/EC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{"citationID":"8JwCgBWE","properties":{"unsorted":false,"formattedCitation":"(European Commission, 2003)","plainCitation":"(European Commission, 2003)","noteIndex":0},"citationItems":[{"id":237,"uris":["http://zotero.org/users/14977742/items/LMN34LFW"],"itemData":{"id":237,"type":"report","citation-key":"CommissionRecommendation62003","language":"en","note":"volume: 124\ncontainer-title: OJ L\nLegislative Body: COM","source":"EUR-Lex","title":"Commission Recommendation of 6 May 2003 concerning the definition of micro, small and medium-sized enterprises (Text with EEA relevance) (notified under document number C(2003) 1422)","URL":"http://data.europa.eu/eli/reco/2003/361/oj","author":[{"literal":"European Commission"}],"accessed":{"date-parts":[["2026",5,17]]},"issued":{"date-parts":[["2003",5,6]]}}}],"schema":"https://github.com/citation-style-language/schema/raw/master/csl-citation.json"}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Georgia" w:hAnsiTheme="majorBidi" w:cstheme="majorBidi"/>
          <w:lang w:val="en-CA" w:eastAsia="en-GB"/>
        </w:rPr>
        <w:t>(European Commission, 2003)</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applies a dual criterion covering both an employee threshold and a financial threshold (see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_Ref230997308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Table 2</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It is also used by the United Kingdom and several non-EU international organisations. </w:t>
      </w:r>
    </w:p>
    <w:p w14:paraId="65B40BD2"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The Cali Fund uses three indicators - annual sales, total assets, and annual profit - with a two-out-of-three threshold. Annual sales and turnover refer to the same concept, namely total revenue generated from business operations in a given year. Total assets and balance sheet total are also equivalent. Unlike the EU SME framework, which relies only on turnover and balance sheet total, the Cali Fund adds profit as a third criterion, making its indicator set closely related but slightly broader by capturing financial performance as well as scale.</w:t>
      </w:r>
    </w:p>
    <w:p w14:paraId="473653AD"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i/>
          <w:iCs/>
          <w:lang w:val="en-CA" w:eastAsia="en-GB"/>
        </w:rPr>
      </w:pPr>
      <w:bookmarkStart w:id="87" w:name="_Ref229917237"/>
      <w:r w:rsidRPr="005F0A67">
        <w:rPr>
          <w:rFonts w:asciiTheme="majorBidi" w:eastAsia="Times New Roman" w:hAnsiTheme="majorBidi" w:cstheme="majorBidi"/>
          <w:lang w:val="en-CA" w:eastAsia="en-GB"/>
        </w:rPr>
        <w:t>A key element is the independence requirement: companies in which a larger enterprise holds 25% or more of the capital or voting rights are typically not considered SMEs, no matter their individual financial size</w:t>
      </w:r>
      <w:r w:rsidRPr="005F0A67">
        <w:rPr>
          <w:rFonts w:asciiTheme="majorBidi" w:eastAsia="Times New Roman" w:hAnsiTheme="majorBidi" w:cstheme="majorBidi"/>
          <w:vertAlign w:val="superscript"/>
          <w:lang w:val="en-CA" w:eastAsia="en-GB"/>
        </w:rPr>
        <w:footnoteReference w:id="44"/>
      </w:r>
      <w:r w:rsidRPr="005F0A67">
        <w:rPr>
          <w:rFonts w:asciiTheme="majorBidi" w:eastAsia="Times New Roman" w:hAnsiTheme="majorBidi" w:cstheme="majorBidi"/>
          <w:lang w:val="en-CA" w:eastAsia="en-GB"/>
        </w:rPr>
        <w:t>. This rule is designed to stop large corporate groups from reorganising their subsidiaries in order to obtain SME advantages.</w:t>
      </w:r>
    </w:p>
    <w:p w14:paraId="0A34EC44" w14:textId="77777777" w:rsidR="005F0A67" w:rsidRPr="005F0A67" w:rsidRDefault="005F0A67" w:rsidP="005F0A67">
      <w:pPr>
        <w:tabs>
          <w:tab w:val="clear" w:pos="567"/>
          <w:tab w:val="clear" w:pos="1134"/>
          <w:tab w:val="clear" w:pos="1701"/>
          <w:tab w:val="clear" w:pos="2268"/>
        </w:tabs>
        <w:spacing w:after="200" w:line="312" w:lineRule="auto"/>
        <w:contextualSpacing/>
        <w:rPr>
          <w:rFonts w:asciiTheme="majorBidi" w:eastAsia="Georgia" w:hAnsiTheme="majorBidi" w:cstheme="majorBidi"/>
          <w:b/>
          <w:bCs/>
          <w:color w:val="419844"/>
          <w:lang w:eastAsia="en-GB"/>
        </w:rPr>
      </w:pPr>
      <w:bookmarkStart w:id="88" w:name="_Ref230997308"/>
      <w:r w:rsidRPr="005F0A67">
        <w:rPr>
          <w:rFonts w:asciiTheme="majorBidi" w:eastAsia="Georgia" w:hAnsiTheme="majorBidi" w:cstheme="majorBidi"/>
          <w:b/>
          <w:bCs/>
          <w:color w:val="419844"/>
          <w:lang w:val="en-US" w:eastAsia="ja-JP"/>
        </w:rPr>
        <w:t xml:space="preserve">Table </w:t>
      </w:r>
      <w:r w:rsidRPr="005F0A67">
        <w:rPr>
          <w:rFonts w:asciiTheme="majorBidi" w:eastAsia="Georgia" w:hAnsiTheme="majorBidi" w:cstheme="majorBidi"/>
          <w:b/>
          <w:bCs/>
          <w:color w:val="419844"/>
          <w:lang w:eastAsia="en-GB"/>
        </w:rPr>
        <w:fldChar w:fldCharType="begin"/>
      </w:r>
      <w:r w:rsidRPr="005F0A67">
        <w:rPr>
          <w:rFonts w:asciiTheme="majorBidi" w:eastAsia="Georgia" w:hAnsiTheme="majorBidi" w:cstheme="majorBidi"/>
          <w:b/>
          <w:bCs/>
          <w:color w:val="419844"/>
          <w:lang w:eastAsia="en-GB"/>
        </w:rPr>
        <w:instrText xml:space="preserve"> SEQ Table \* ARABIC </w:instrText>
      </w:r>
      <w:r w:rsidRPr="005F0A67">
        <w:rPr>
          <w:rFonts w:asciiTheme="majorBidi" w:eastAsia="Georgia" w:hAnsiTheme="majorBidi" w:cstheme="majorBidi"/>
          <w:b/>
          <w:bCs/>
          <w:color w:val="419844"/>
          <w:lang w:eastAsia="en-GB"/>
        </w:rPr>
        <w:fldChar w:fldCharType="separate"/>
      </w:r>
      <w:r w:rsidRPr="005F0A67">
        <w:rPr>
          <w:rFonts w:asciiTheme="majorBidi" w:eastAsia="Georgia" w:hAnsiTheme="majorBidi" w:cstheme="majorBidi"/>
          <w:b/>
          <w:bCs/>
          <w:noProof/>
          <w:color w:val="419844"/>
          <w:lang w:eastAsia="en-GB"/>
        </w:rPr>
        <w:t>2</w:t>
      </w:r>
      <w:r w:rsidRPr="005F0A67">
        <w:rPr>
          <w:rFonts w:asciiTheme="majorBidi" w:eastAsia="Georgia" w:hAnsiTheme="majorBidi" w:cstheme="majorBidi"/>
          <w:b/>
          <w:bCs/>
          <w:color w:val="419844"/>
          <w:lang w:eastAsia="en-GB"/>
        </w:rPr>
        <w:fldChar w:fldCharType="end"/>
      </w:r>
      <w:bookmarkEnd w:id="87"/>
      <w:bookmarkEnd w:id="88"/>
      <w:r w:rsidRPr="005F0A67">
        <w:rPr>
          <w:rFonts w:asciiTheme="majorBidi" w:eastAsia="Georgia" w:hAnsiTheme="majorBidi" w:cstheme="majorBidi"/>
          <w:b/>
          <w:bCs/>
          <w:color w:val="419844"/>
          <w:lang w:val="en-US" w:eastAsia="ja-JP"/>
        </w:rPr>
        <w:t xml:space="preserve"> EU definition of small and medium-sized enterprises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1874"/>
        <w:gridCol w:w="2549"/>
        <w:gridCol w:w="2860"/>
        <w:gridCol w:w="2435"/>
      </w:tblGrid>
      <w:tr w:rsidR="005F0A67" w:rsidRPr="005F0A67" w14:paraId="0CF249B9" w14:textId="77777777" w:rsidTr="00FB671B">
        <w:trPr>
          <w:trHeight w:val="323"/>
          <w:tblHeader/>
        </w:trPr>
        <w:tc>
          <w:tcPr>
            <w:tcW w:w="1874" w:type="dxa"/>
            <w:tcBorders>
              <w:top w:val="single" w:sz="1" w:space="0" w:color="AAAAAA"/>
              <w:left w:val="single" w:sz="1" w:space="0" w:color="AAAAAA"/>
              <w:bottom w:val="single" w:sz="1" w:space="0" w:color="AAAAAA"/>
              <w:right w:val="single" w:sz="1" w:space="0" w:color="AAAAAA"/>
            </w:tcBorders>
            <w:shd w:val="clear" w:color="auto" w:fill="1F4E6B"/>
            <w:tcMar>
              <w:top w:w="60" w:type="dxa"/>
              <w:left w:w="100" w:type="dxa"/>
              <w:bottom w:w="60" w:type="dxa"/>
              <w:right w:w="100" w:type="dxa"/>
            </w:tcMar>
          </w:tcPr>
          <w:p w14:paraId="2B58AD11"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FFFFFF"/>
                <w:sz w:val="18"/>
                <w:szCs w:val="18"/>
                <w:lang w:val="en-CA" w:eastAsia="en-GB"/>
              </w:rPr>
            </w:pPr>
            <w:r w:rsidRPr="005F0A67">
              <w:rPr>
                <w:rFonts w:asciiTheme="majorBidi" w:eastAsia="Tahoma" w:hAnsiTheme="majorBidi" w:cstheme="majorBidi"/>
                <w:b/>
                <w:bCs/>
                <w:color w:val="FFFFFF"/>
                <w:sz w:val="18"/>
                <w:szCs w:val="18"/>
                <w:lang w:val="en-CA" w:eastAsia="en-GB"/>
              </w:rPr>
              <w:t>Category</w:t>
            </w:r>
          </w:p>
        </w:tc>
        <w:tc>
          <w:tcPr>
            <w:tcW w:w="2549" w:type="dxa"/>
            <w:tcBorders>
              <w:top w:val="single" w:sz="1" w:space="0" w:color="AAAAAA"/>
              <w:left w:val="single" w:sz="1" w:space="0" w:color="AAAAAA"/>
              <w:bottom w:val="single" w:sz="1" w:space="0" w:color="AAAAAA"/>
              <w:right w:val="single" w:sz="1" w:space="0" w:color="AAAAAA"/>
            </w:tcBorders>
            <w:shd w:val="clear" w:color="auto" w:fill="1F4E6B"/>
            <w:tcMar>
              <w:top w:w="60" w:type="dxa"/>
              <w:left w:w="100" w:type="dxa"/>
              <w:bottom w:w="60" w:type="dxa"/>
              <w:right w:w="100" w:type="dxa"/>
            </w:tcMar>
          </w:tcPr>
          <w:p w14:paraId="03F44025"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FFFFFF"/>
                <w:sz w:val="18"/>
                <w:szCs w:val="18"/>
                <w:lang w:val="en-CA" w:eastAsia="en-GB"/>
              </w:rPr>
            </w:pPr>
            <w:r w:rsidRPr="005F0A67">
              <w:rPr>
                <w:rFonts w:asciiTheme="majorBidi" w:eastAsia="Tahoma" w:hAnsiTheme="majorBidi" w:cstheme="majorBidi"/>
                <w:b/>
                <w:bCs/>
                <w:color w:val="FFFFFF"/>
                <w:sz w:val="18"/>
                <w:szCs w:val="18"/>
                <w:lang w:val="en-CA" w:eastAsia="en-GB"/>
              </w:rPr>
              <w:t>Employees</w:t>
            </w:r>
          </w:p>
        </w:tc>
        <w:tc>
          <w:tcPr>
            <w:tcW w:w="2860" w:type="dxa"/>
            <w:tcBorders>
              <w:top w:val="single" w:sz="1" w:space="0" w:color="AAAAAA"/>
              <w:left w:val="single" w:sz="1" w:space="0" w:color="AAAAAA"/>
              <w:bottom w:val="single" w:sz="1" w:space="0" w:color="AAAAAA"/>
              <w:right w:val="single" w:sz="1" w:space="0" w:color="AAAAAA"/>
            </w:tcBorders>
            <w:shd w:val="clear" w:color="auto" w:fill="1F4E6B"/>
          </w:tcPr>
          <w:p w14:paraId="4C4D6C2F"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FFFFFF"/>
                <w:sz w:val="18"/>
                <w:szCs w:val="18"/>
                <w:lang w:val="en-CA" w:eastAsia="en-GB"/>
              </w:rPr>
            </w:pPr>
            <w:r w:rsidRPr="005F0A67">
              <w:rPr>
                <w:rFonts w:asciiTheme="majorBidi" w:eastAsia="Tahoma" w:hAnsiTheme="majorBidi" w:cstheme="majorBidi"/>
                <w:b/>
                <w:bCs/>
                <w:color w:val="FFFFFF"/>
                <w:sz w:val="18"/>
                <w:szCs w:val="18"/>
                <w:lang w:val="en-CA" w:eastAsia="en-GB"/>
              </w:rPr>
              <w:t>Turnover</w:t>
            </w:r>
          </w:p>
        </w:tc>
        <w:tc>
          <w:tcPr>
            <w:tcW w:w="2435" w:type="dxa"/>
            <w:tcBorders>
              <w:top w:val="single" w:sz="1" w:space="0" w:color="AAAAAA"/>
              <w:left w:val="single" w:sz="1" w:space="0" w:color="AAAAAA"/>
              <w:bottom w:val="single" w:sz="1" w:space="0" w:color="AAAAAA"/>
              <w:right w:val="single" w:sz="1" w:space="0" w:color="AAAAAA"/>
            </w:tcBorders>
            <w:shd w:val="clear" w:color="auto" w:fill="1F4E6B"/>
          </w:tcPr>
          <w:p w14:paraId="513C2F60"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FFFFFF"/>
                <w:sz w:val="18"/>
                <w:szCs w:val="18"/>
                <w:lang w:val="en-CA" w:eastAsia="en-GB"/>
              </w:rPr>
            </w:pPr>
            <w:r w:rsidRPr="005F0A67">
              <w:rPr>
                <w:rFonts w:asciiTheme="majorBidi" w:eastAsia="Tahoma" w:hAnsiTheme="majorBidi" w:cstheme="majorBidi"/>
                <w:b/>
                <w:bCs/>
                <w:color w:val="FFFFFF"/>
                <w:sz w:val="18"/>
                <w:szCs w:val="18"/>
                <w:lang w:val="en-CA" w:eastAsia="en-GB"/>
              </w:rPr>
              <w:t>Balance sheet</w:t>
            </w:r>
          </w:p>
        </w:tc>
      </w:tr>
      <w:tr w:rsidR="005F0A67" w:rsidRPr="005F0A67" w14:paraId="51A73CE8" w14:textId="77777777" w:rsidTr="005F0A67">
        <w:trPr>
          <w:trHeight w:val="424"/>
        </w:trPr>
        <w:tc>
          <w:tcPr>
            <w:tcW w:w="1874" w:type="dxa"/>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4602FB80"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b/>
                <w:bCs/>
                <w:sz w:val="18"/>
                <w:szCs w:val="18"/>
                <w:lang w:eastAsia="en-GB"/>
              </w:rPr>
            </w:pPr>
            <w:r w:rsidRPr="005F0A67">
              <w:rPr>
                <w:rFonts w:asciiTheme="majorBidi" w:eastAsia="Times New Roman" w:hAnsiTheme="majorBidi" w:cstheme="majorBidi"/>
                <w:b/>
                <w:bCs/>
                <w:sz w:val="18"/>
                <w:szCs w:val="18"/>
                <w:lang w:eastAsia="en-GB"/>
              </w:rPr>
              <w:t>Micro</w:t>
            </w:r>
          </w:p>
        </w:tc>
        <w:tc>
          <w:tcPr>
            <w:tcW w:w="2549" w:type="dxa"/>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vAlign w:val="center"/>
          </w:tcPr>
          <w:p w14:paraId="7B77274D"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&lt; 10</w:t>
            </w:r>
          </w:p>
        </w:tc>
        <w:tc>
          <w:tcPr>
            <w:tcW w:w="2860" w:type="dxa"/>
            <w:tcBorders>
              <w:top w:val="single" w:sz="1" w:space="0" w:color="AAAAAA"/>
              <w:left w:val="single" w:sz="1" w:space="0" w:color="AAAAAA"/>
              <w:bottom w:val="single" w:sz="1" w:space="0" w:color="AAAAAA"/>
              <w:right w:val="single" w:sz="1" w:space="0" w:color="AAAAAA"/>
            </w:tcBorders>
            <w:shd w:val="clear" w:color="auto" w:fill="FFFFFF"/>
            <w:vAlign w:val="center"/>
          </w:tcPr>
          <w:p w14:paraId="252BB1F4"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 €2M (~$2.3M)</w:t>
            </w:r>
          </w:p>
        </w:tc>
        <w:tc>
          <w:tcPr>
            <w:tcW w:w="2435" w:type="dxa"/>
            <w:tcBorders>
              <w:top w:val="single" w:sz="1" w:space="0" w:color="AAAAAA"/>
              <w:left w:val="single" w:sz="1" w:space="0" w:color="AAAAAA"/>
              <w:bottom w:val="single" w:sz="1" w:space="0" w:color="AAAAAA"/>
              <w:right w:val="single" w:sz="1" w:space="0" w:color="AAAAAA"/>
            </w:tcBorders>
            <w:shd w:val="clear" w:color="auto" w:fill="FFFFFF"/>
            <w:vAlign w:val="center"/>
          </w:tcPr>
          <w:p w14:paraId="1856B695"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 €2M (~$2.3M)</w:t>
            </w:r>
          </w:p>
        </w:tc>
      </w:tr>
      <w:tr w:rsidR="005F0A67" w:rsidRPr="005F0A67" w14:paraId="134CE168" w14:textId="77777777" w:rsidTr="005F0A67">
        <w:trPr>
          <w:trHeight w:val="424"/>
        </w:trPr>
        <w:tc>
          <w:tcPr>
            <w:tcW w:w="1874" w:type="dxa"/>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17D874C3"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b/>
                <w:bCs/>
                <w:sz w:val="18"/>
                <w:szCs w:val="18"/>
                <w:lang w:eastAsia="en-GB"/>
              </w:rPr>
            </w:pPr>
            <w:r w:rsidRPr="005F0A67">
              <w:rPr>
                <w:rFonts w:asciiTheme="majorBidi" w:eastAsia="Times New Roman" w:hAnsiTheme="majorBidi" w:cstheme="majorBidi"/>
                <w:b/>
                <w:bCs/>
                <w:sz w:val="18"/>
                <w:szCs w:val="18"/>
                <w:lang w:eastAsia="en-GB"/>
              </w:rPr>
              <w:t>Small</w:t>
            </w:r>
          </w:p>
        </w:tc>
        <w:tc>
          <w:tcPr>
            <w:tcW w:w="2549" w:type="dxa"/>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vAlign w:val="center"/>
          </w:tcPr>
          <w:p w14:paraId="66042691"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&lt; 50</w:t>
            </w:r>
          </w:p>
        </w:tc>
        <w:tc>
          <w:tcPr>
            <w:tcW w:w="2860" w:type="dxa"/>
            <w:tcBorders>
              <w:top w:val="single" w:sz="1" w:space="0" w:color="AAAAAA"/>
              <w:left w:val="single" w:sz="1" w:space="0" w:color="AAAAAA"/>
              <w:bottom w:val="single" w:sz="1" w:space="0" w:color="AAAAAA"/>
              <w:right w:val="single" w:sz="1" w:space="0" w:color="AAAAAA"/>
            </w:tcBorders>
            <w:shd w:val="clear" w:color="auto" w:fill="FFFFFF"/>
            <w:vAlign w:val="center"/>
          </w:tcPr>
          <w:p w14:paraId="48487EB0"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 €10M (~$11.6M)</w:t>
            </w:r>
          </w:p>
        </w:tc>
        <w:tc>
          <w:tcPr>
            <w:tcW w:w="2435" w:type="dxa"/>
            <w:tcBorders>
              <w:top w:val="single" w:sz="1" w:space="0" w:color="AAAAAA"/>
              <w:left w:val="single" w:sz="1" w:space="0" w:color="AAAAAA"/>
              <w:bottom w:val="single" w:sz="1" w:space="0" w:color="AAAAAA"/>
              <w:right w:val="single" w:sz="1" w:space="0" w:color="AAAAAA"/>
            </w:tcBorders>
            <w:shd w:val="clear" w:color="auto" w:fill="FFFFFF"/>
            <w:vAlign w:val="center"/>
          </w:tcPr>
          <w:p w14:paraId="20310300"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 €10M (~$11.6M)</w:t>
            </w:r>
          </w:p>
        </w:tc>
      </w:tr>
      <w:tr w:rsidR="005F0A67" w:rsidRPr="005F0A67" w14:paraId="4352B910" w14:textId="77777777" w:rsidTr="005F0A67">
        <w:trPr>
          <w:trHeight w:val="424"/>
        </w:trPr>
        <w:tc>
          <w:tcPr>
            <w:tcW w:w="1874" w:type="dxa"/>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0770146C"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b/>
                <w:bCs/>
                <w:sz w:val="18"/>
                <w:szCs w:val="18"/>
                <w:lang w:eastAsia="en-GB"/>
              </w:rPr>
            </w:pPr>
            <w:r w:rsidRPr="005F0A67">
              <w:rPr>
                <w:rFonts w:asciiTheme="majorBidi" w:eastAsia="Times New Roman" w:hAnsiTheme="majorBidi" w:cstheme="majorBidi"/>
                <w:b/>
                <w:bCs/>
                <w:sz w:val="18"/>
                <w:szCs w:val="18"/>
                <w:lang w:eastAsia="en-GB"/>
              </w:rPr>
              <w:t>Medium</w:t>
            </w:r>
          </w:p>
        </w:tc>
        <w:tc>
          <w:tcPr>
            <w:tcW w:w="2549" w:type="dxa"/>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vAlign w:val="center"/>
          </w:tcPr>
          <w:p w14:paraId="71CC2B34"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&lt; 250</w:t>
            </w:r>
          </w:p>
        </w:tc>
        <w:tc>
          <w:tcPr>
            <w:tcW w:w="2860" w:type="dxa"/>
            <w:tcBorders>
              <w:top w:val="single" w:sz="1" w:space="0" w:color="AAAAAA"/>
              <w:left w:val="single" w:sz="1" w:space="0" w:color="AAAAAA"/>
              <w:bottom w:val="single" w:sz="1" w:space="0" w:color="AAAAAA"/>
              <w:right w:val="single" w:sz="1" w:space="0" w:color="AAAAAA"/>
            </w:tcBorders>
            <w:shd w:val="clear" w:color="auto" w:fill="FFFFFF"/>
            <w:vAlign w:val="center"/>
          </w:tcPr>
          <w:p w14:paraId="40A25E08"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 €50M (~$58.1M)</w:t>
            </w:r>
          </w:p>
        </w:tc>
        <w:tc>
          <w:tcPr>
            <w:tcW w:w="2435" w:type="dxa"/>
            <w:tcBorders>
              <w:top w:val="single" w:sz="1" w:space="0" w:color="AAAAAA"/>
              <w:left w:val="single" w:sz="1" w:space="0" w:color="AAAAAA"/>
              <w:bottom w:val="single" w:sz="1" w:space="0" w:color="AAAAAA"/>
              <w:right w:val="single" w:sz="1" w:space="0" w:color="AAAAAA"/>
            </w:tcBorders>
            <w:shd w:val="clear" w:color="auto" w:fill="FFFFFF"/>
            <w:vAlign w:val="center"/>
          </w:tcPr>
          <w:p w14:paraId="2FFE215D"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 €43M (~$50.0M)</w:t>
            </w:r>
          </w:p>
        </w:tc>
      </w:tr>
    </w:tbl>
    <w:p w14:paraId="57927134" w14:textId="77777777" w:rsidR="005F0A67" w:rsidRPr="005F0A67" w:rsidRDefault="005F0A67" w:rsidP="005F0A67">
      <w:pPr>
        <w:tabs>
          <w:tab w:val="clear" w:pos="567"/>
          <w:tab w:val="clear" w:pos="1134"/>
          <w:tab w:val="clear" w:pos="1701"/>
          <w:tab w:val="clear" w:pos="2268"/>
        </w:tabs>
        <w:spacing w:line="293" w:lineRule="auto"/>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lastRenderedPageBreak/>
        <w:t xml:space="preserve">Note: EUR thresholds converted to USD at €1 = $1.162, spot rate mid-May 2026 </w:t>
      </w:r>
      <w:r w:rsidRPr="005F0A67">
        <w:rPr>
          <w:rFonts w:asciiTheme="majorBidi" w:eastAsia="Times New Roman" w:hAnsiTheme="majorBidi" w:cstheme="majorBidi"/>
          <w:sz w:val="18"/>
          <w:szCs w:val="18"/>
          <w:lang w:val="en-CA" w:eastAsia="en-GB"/>
        </w:rPr>
        <w:fldChar w:fldCharType="begin"/>
      </w:r>
      <w:r w:rsidRPr="005F0A67">
        <w:rPr>
          <w:rFonts w:asciiTheme="majorBidi" w:eastAsia="Times New Roman" w:hAnsiTheme="majorBidi" w:cstheme="majorBidi"/>
          <w:sz w:val="18"/>
          <w:szCs w:val="18"/>
          <w:lang w:val="en-CA" w:eastAsia="en-GB"/>
        </w:rPr>
        <w:instrText xml:space="preserve"> ADDIN ZOTERO_ITEM CSL_CITATION {"citationID":"6mHzywgB","properties":{"unsorted":false,"formattedCitation":"(Trading Economics, 2026c)","plainCitation":"(Trading Economics, 2026c)","noteIndex":0},"citationItems":[{"id":220,"uris":["http://zotero.org/users/14977742/items/V54W6NVP"],"itemData":{"id":220,"type":"webpage","citation-key":"EuroUSDollar","title":"Euro US Dollar Exchange Rate","URL":"https://tradingeconomics.com/euro-area/currency","author":[{"literal":"Trading Economics"}],"accessed":{"date-parts":[["2026",5,17]]},"issued":{"date-parts":[["2026",5]]}}}],"schema":"https://github.com/citation-style-language/schema/raw/master/csl-citation.json"} </w:instrText>
      </w:r>
      <w:r w:rsidRPr="005F0A67">
        <w:rPr>
          <w:rFonts w:asciiTheme="majorBidi" w:eastAsia="Times New Roman" w:hAnsiTheme="majorBidi" w:cstheme="majorBidi"/>
          <w:sz w:val="18"/>
          <w:szCs w:val="18"/>
          <w:lang w:val="en-CA" w:eastAsia="en-GB"/>
        </w:rPr>
        <w:fldChar w:fldCharType="separate"/>
      </w:r>
      <w:r w:rsidRPr="005F0A67">
        <w:rPr>
          <w:rFonts w:asciiTheme="majorBidi" w:eastAsia="Times New Roman" w:hAnsiTheme="majorBidi" w:cstheme="majorBidi"/>
          <w:sz w:val="18"/>
          <w:szCs w:val="18"/>
          <w:lang w:val="en-CA" w:eastAsia="en-GB"/>
        </w:rPr>
        <w:t>(Trading Economics, 2026c)</w:t>
      </w:r>
      <w:r w:rsidRPr="005F0A67">
        <w:rPr>
          <w:rFonts w:asciiTheme="majorBidi" w:eastAsia="Times New Roman" w:hAnsiTheme="majorBidi" w:cstheme="majorBidi"/>
          <w:sz w:val="18"/>
          <w:szCs w:val="18"/>
          <w:lang w:val="en-CA" w:eastAsia="en-GB"/>
        </w:rPr>
        <w:fldChar w:fldCharType="end"/>
      </w:r>
      <w:r w:rsidRPr="005F0A67">
        <w:rPr>
          <w:rFonts w:asciiTheme="majorBidi" w:eastAsia="Times New Roman" w:hAnsiTheme="majorBidi" w:cstheme="majorBidi"/>
          <w:sz w:val="18"/>
          <w:szCs w:val="18"/>
          <w:lang w:val="en-CA" w:eastAsia="en-GB"/>
        </w:rPr>
        <w:t>. To be classified as an SME, a business must remain below the employee limit and satisfy at least one of the two financial criteria. Businesses where 25% or more of the capital or voting rights are owned by a larger company are typically not eligible for SME status, no matter what their individual size is.</w:t>
      </w:r>
    </w:p>
    <w:p w14:paraId="280DC24A" w14:textId="77777777" w:rsidR="005F0A67" w:rsidRPr="005F0A67" w:rsidRDefault="005F0A67" w:rsidP="005F0A67">
      <w:pPr>
        <w:tabs>
          <w:tab w:val="clear" w:pos="567"/>
          <w:tab w:val="clear" w:pos="1134"/>
          <w:tab w:val="clear" w:pos="1701"/>
          <w:tab w:val="clear" w:pos="2268"/>
        </w:tabs>
        <w:spacing w:line="293" w:lineRule="auto"/>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Source:</w:t>
      </w:r>
      <w:r w:rsidRPr="005F0A67">
        <w:rPr>
          <w:rFonts w:asciiTheme="majorBidi" w:eastAsia="Times New Roman" w:hAnsiTheme="majorBidi" w:cstheme="majorBidi"/>
          <w:i/>
          <w:iCs/>
          <w:sz w:val="18"/>
          <w:szCs w:val="18"/>
          <w:lang w:val="en-CA" w:eastAsia="en-GB"/>
        </w:rPr>
        <w:t xml:space="preserve"> </w:t>
      </w:r>
      <w:r w:rsidRPr="005F0A67">
        <w:rPr>
          <w:rFonts w:asciiTheme="majorBidi" w:eastAsia="Times New Roman" w:hAnsiTheme="majorBidi" w:cstheme="majorBidi"/>
          <w:sz w:val="18"/>
          <w:szCs w:val="18"/>
          <w:lang w:val="en-CA" w:eastAsia="en-GB"/>
        </w:rPr>
        <w:fldChar w:fldCharType="begin"/>
      </w:r>
      <w:r w:rsidRPr="005F0A67">
        <w:rPr>
          <w:rFonts w:asciiTheme="majorBidi" w:eastAsia="Times New Roman" w:hAnsiTheme="majorBidi" w:cstheme="majorBidi"/>
          <w:sz w:val="18"/>
          <w:szCs w:val="18"/>
          <w:lang w:val="en-CA" w:eastAsia="en-GB"/>
        </w:rPr>
        <w:instrText xml:space="preserve"> ADDIN ZOTERO_ITEM CSL_CITATION {"citationID":"RXLvb9bb","properties":{"unsorted":false,"formattedCitation":"(European Commission, no date)","plainCitation":"(European Commission, no date)","noteIndex":0},"citationItems":[{"id":236,"uris":["http://zotero.org/users/14977742/items/43DWYCU7"],"itemData":{"id":236,"type":"webpage","abstract":"The definition of small and medium-sized enterprises (SMEs) is important for access to finance and EU support programmes targeted specifically at these enterprises.","citation-key":"SMEDefinitionInternal","language":"en","title":"SME definition. Internal Market, Industry, Entrepreneurship and SMEs","URL":"https://single-market-economy.ec.europa.eu/smes/sme-fundamentals/sme-definition_en","author":[{"literal":"European Commission"}],"accessed":{"date-parts":[["2026",5,17]]}}}],"schema":"https://github.com/citation-style-language/schema/raw/master/csl-citation.json"} </w:instrText>
      </w:r>
      <w:r w:rsidRPr="005F0A67">
        <w:rPr>
          <w:rFonts w:asciiTheme="majorBidi" w:eastAsia="Times New Roman" w:hAnsiTheme="majorBidi" w:cstheme="majorBidi"/>
          <w:sz w:val="18"/>
          <w:szCs w:val="18"/>
          <w:lang w:val="en-CA" w:eastAsia="en-GB"/>
        </w:rPr>
        <w:fldChar w:fldCharType="separate"/>
      </w:r>
      <w:r w:rsidRPr="005F0A67">
        <w:rPr>
          <w:rFonts w:asciiTheme="majorBidi" w:eastAsia="Times New Roman" w:hAnsiTheme="majorBidi" w:cstheme="majorBidi"/>
          <w:sz w:val="18"/>
          <w:szCs w:val="18"/>
          <w:lang w:val="en-CA" w:eastAsia="en-GB"/>
        </w:rPr>
        <w:t>(European Commission, no date)</w:t>
      </w:r>
      <w:r w:rsidRPr="005F0A67">
        <w:rPr>
          <w:rFonts w:asciiTheme="majorBidi" w:eastAsia="Times New Roman" w:hAnsiTheme="majorBidi" w:cstheme="majorBidi"/>
          <w:sz w:val="18"/>
          <w:szCs w:val="18"/>
          <w:lang w:val="en-CA" w:eastAsia="en-GB"/>
        </w:rPr>
        <w:fldChar w:fldCharType="end"/>
      </w:r>
      <w:r w:rsidRPr="005F0A67">
        <w:rPr>
          <w:rFonts w:asciiTheme="majorBidi" w:eastAsia="Times New Roman" w:hAnsiTheme="majorBidi" w:cstheme="majorBidi"/>
          <w:sz w:val="18"/>
          <w:szCs w:val="18"/>
          <w:lang w:val="en-CA" w:eastAsia="en-GB"/>
        </w:rPr>
        <w:t>.</w:t>
      </w:r>
    </w:p>
    <w:p w14:paraId="32E36807" w14:textId="77777777" w:rsidR="005F0A67" w:rsidRPr="005F0A67" w:rsidRDefault="005F0A67" w:rsidP="00B54840">
      <w:pPr>
        <w:tabs>
          <w:tab w:val="clear" w:pos="567"/>
          <w:tab w:val="clear" w:pos="1134"/>
          <w:tab w:val="clear" w:pos="1701"/>
          <w:tab w:val="clear" w:pos="2268"/>
        </w:tabs>
        <w:spacing w:before="320" w:after="160"/>
        <w:ind w:left="720"/>
        <w:jc w:val="left"/>
        <w:outlineLvl w:val="2"/>
        <w:rPr>
          <w:rFonts w:asciiTheme="majorBidi" w:eastAsia="Arial" w:hAnsiTheme="majorBidi" w:cstheme="majorBidi"/>
          <w:b/>
          <w:bCs/>
          <w:color w:val="7F7F7F"/>
          <w:sz w:val="23"/>
          <w:szCs w:val="23"/>
          <w:lang w:val="en-CA" w:eastAsia="en-GB"/>
        </w:rPr>
      </w:pPr>
      <w:bookmarkStart w:id="89" w:name="_Toc234579565"/>
      <w:r w:rsidRPr="005F0A67">
        <w:rPr>
          <w:rFonts w:asciiTheme="majorBidi" w:eastAsia="Arial" w:hAnsiTheme="majorBidi" w:cstheme="majorBidi"/>
          <w:b/>
          <w:bCs/>
          <w:color w:val="7F7F7F"/>
          <w:sz w:val="23"/>
          <w:szCs w:val="23"/>
          <w:lang w:val="en-CA" w:eastAsia="en-GB"/>
        </w:rPr>
        <w:t>China</w:t>
      </w:r>
      <w:bookmarkEnd w:id="89"/>
    </w:p>
    <w:p w14:paraId="591A9189"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China's definition of SMEs is detailed, sector-specific, and multi-criteria, making it more complex than most systems globally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{"citationID":"bfpn0SOb","properties":{"unsorted":false,"formattedCitation":"(Ecovis, 2021)","plainCitation":"(Ecovis, 2021)","noteIndex":0},"citationItems":[{"id":232,"uris":["http://zotero.org/users/14977742/items/XIMNNTYD"],"itemData":{"id":232,"type":"post-weblog","abstract":"Small and medium enterprises (SMEs) are the driving force of China’s economic growth. Since the economic opening of China in the 1980s and the possibility for private enterprises to enter the market, they have continued to thrive, currently making up about 97% of all enterprises in China.   The Chinese market is also becoming increasingly […]","citation-key":"akammritzRiseSMEsChina2021","container-title":"Ecovis Heidelberg","language":"en-GB","title":"The Rise of SMEs in China","URL":"https://www.ecovis.com/heidelberg-en/the-rise-of-smes-in-china/","author":[{"literal":"Ecovis"}],"accessed":{"date-parts":[["2026",5,17]]},"issued":{"date-parts":[["2021",11,24]]}}}],"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noProof/>
          <w:lang w:val="en-CA" w:eastAsia="en-GB"/>
        </w:rPr>
        <w:t>(Ecovis, 2021)</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It is based on the amended China's SME Promotion Law (2017)</w:t>
      </w:r>
      <w:r w:rsidRPr="005F0A67">
        <w:rPr>
          <w:rFonts w:asciiTheme="majorBidi" w:eastAsia="Times New Roman" w:hAnsiTheme="majorBidi" w:cstheme="majorBidi"/>
          <w:vertAlign w:val="superscript"/>
          <w:lang w:val="en-CA" w:eastAsia="en-GB"/>
        </w:rPr>
        <w:footnoteReference w:id="45"/>
      </w:r>
      <w:r w:rsidRPr="005F0A67">
        <w:rPr>
          <w:rFonts w:asciiTheme="majorBidi" w:eastAsia="Times New Roman" w:hAnsiTheme="majorBidi" w:cstheme="majorBidi"/>
          <w:lang w:val="en-CA" w:eastAsia="en-GB"/>
        </w:rPr>
        <w:t xml:space="preserve">. Enterprises are classified using a combination of three indicators: number of employees, annual business revenue, and total assets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{"citationID":"iMhiR7tN","properties":{"unsorted":false,"formattedCitation":"(EU SME Centre, 2021; Chen, 2023)","plainCitation":"(EU SME Centre, 2021; Chen, 2023)","noteIndex":0},"citationItems":[{"id":227,"uris":["http://zotero.org/users/14977742/items/366RGPB8"],"itemData":{"id":227,"type":"report","citation-key":"zotero-item-2676","title":"SMEs in China: Policy Environment Report","URL":"https://www.eusmecentre.org.cn/sites/default/files/attach/SME%20Policy%20Environment%20Report%202021_FINAL_Jan2022.pdf","author":[{"literal":"EU SME Centre"}],"issued":{"date-parts":[["2021"]]}}},{"id":229,"uris":["http://zotero.org/users/14977742/items/SL6IUZNM"],"itemData":{"id":229,"type":"book","citation-key":"RoleSMEsChinas2023a","collection-title":"Issue Nb. 5","ISBN":"978-87-94507-09-7","language":"dan","note":"OCLC: 1396268646","publisher":"Circular Innovation Lab","publisher-place":"Copenhagen, Denmark","source":"Open WorldCat","title":"The role of SMEs in China's circular economy transition","URL":"https://circulareconomy.europa.eu/platform/sites/default/files/2023-08/The%20Role%20of%20SMEs%20in%20China%27s%20Circular%20Economy%20Transition.pdf","author":[{"family":"Chen","given":"Ru"}],"issued":{"date-parts":[["2023"]]}}}],"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noProof/>
          <w:lang w:val="en-CA" w:eastAsia="en-GB"/>
        </w:rPr>
        <w:t>(EU SME Centre, 2021; Chen, 2023)</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However, the relevance of each indicator varies by sector (e.g. total assets feature only in construction, real estate and leasing). </w:t>
      </w:r>
    </w:p>
    <w:p w14:paraId="6B4E0910"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Unlike many countries, China's thresholds vary significantly by industry to reflect differences in labour intensity and capital requirements. For instance, in manufacturing, a firm may be considered small with fewer than 300 employees, while in retail the equivalent ceiling can be as low as 50 to 100 employees. Another distinctive feature is the qualification logic: medium and small enterprises must typically meet all relevant thresholds, while micro enterprises generally need to satisfy only one. Agriculture is an exception, being classified by revenue alone with no employment criterion.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_Ref229926481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Table 3</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also reports SME ceilings, above which companies are classified as large. </w:t>
      </w:r>
    </w:p>
    <w:p w14:paraId="2BBE91EA" w14:textId="77777777" w:rsidR="005F0A67" w:rsidRPr="005F0A67" w:rsidRDefault="005F0A67" w:rsidP="005F0A67">
      <w:pPr>
        <w:tabs>
          <w:tab w:val="clear" w:pos="567"/>
          <w:tab w:val="clear" w:pos="1134"/>
          <w:tab w:val="clear" w:pos="1701"/>
          <w:tab w:val="clear" w:pos="2268"/>
        </w:tabs>
        <w:spacing w:after="200" w:line="312" w:lineRule="auto"/>
        <w:contextualSpacing/>
        <w:rPr>
          <w:rFonts w:asciiTheme="majorBidi" w:eastAsia="Georgia" w:hAnsiTheme="majorBidi" w:cstheme="majorBidi"/>
          <w:b/>
          <w:bCs/>
          <w:color w:val="419844"/>
          <w:lang w:eastAsia="en-GB"/>
        </w:rPr>
      </w:pPr>
      <w:bookmarkStart w:id="90" w:name="_Ref229926481"/>
      <w:r w:rsidRPr="005F0A67">
        <w:rPr>
          <w:rFonts w:asciiTheme="majorBidi" w:eastAsia="Georgia" w:hAnsiTheme="majorBidi" w:cstheme="majorBidi"/>
          <w:b/>
          <w:bCs/>
          <w:color w:val="419844"/>
          <w:lang w:val="en-US" w:eastAsia="ja-JP"/>
        </w:rPr>
        <w:t xml:space="preserve">Table </w:t>
      </w:r>
      <w:r w:rsidRPr="005F0A67">
        <w:rPr>
          <w:rFonts w:asciiTheme="majorBidi" w:eastAsia="Georgia" w:hAnsiTheme="majorBidi" w:cstheme="majorBidi"/>
          <w:b/>
          <w:bCs/>
          <w:color w:val="419844"/>
          <w:lang w:eastAsia="en-GB"/>
        </w:rPr>
        <w:fldChar w:fldCharType="begin"/>
      </w:r>
      <w:r w:rsidRPr="005F0A67">
        <w:rPr>
          <w:rFonts w:asciiTheme="majorBidi" w:eastAsia="Georgia" w:hAnsiTheme="majorBidi" w:cstheme="majorBidi"/>
          <w:b/>
          <w:bCs/>
          <w:color w:val="419844"/>
          <w:lang w:eastAsia="en-GB"/>
        </w:rPr>
        <w:instrText xml:space="preserve"> SEQ Table \* ARABIC </w:instrText>
      </w:r>
      <w:r w:rsidRPr="005F0A67">
        <w:rPr>
          <w:rFonts w:asciiTheme="majorBidi" w:eastAsia="Georgia" w:hAnsiTheme="majorBidi" w:cstheme="majorBidi"/>
          <w:b/>
          <w:bCs/>
          <w:color w:val="419844"/>
          <w:lang w:eastAsia="en-GB"/>
        </w:rPr>
        <w:fldChar w:fldCharType="separate"/>
      </w:r>
      <w:r w:rsidRPr="005F0A67">
        <w:rPr>
          <w:rFonts w:asciiTheme="majorBidi" w:eastAsia="Georgia" w:hAnsiTheme="majorBidi" w:cstheme="majorBidi"/>
          <w:b/>
          <w:bCs/>
          <w:noProof/>
          <w:color w:val="419844"/>
          <w:lang w:eastAsia="en-GB"/>
        </w:rPr>
        <w:t>3</w:t>
      </w:r>
      <w:r w:rsidRPr="005F0A67">
        <w:rPr>
          <w:rFonts w:asciiTheme="majorBidi" w:eastAsia="Georgia" w:hAnsiTheme="majorBidi" w:cstheme="majorBidi"/>
          <w:b/>
          <w:bCs/>
          <w:color w:val="419844"/>
          <w:lang w:eastAsia="en-GB"/>
        </w:rPr>
        <w:fldChar w:fldCharType="end"/>
      </w:r>
      <w:bookmarkEnd w:id="90"/>
      <w:r w:rsidRPr="005F0A67">
        <w:rPr>
          <w:rFonts w:asciiTheme="majorBidi" w:eastAsia="Georgia" w:hAnsiTheme="majorBidi" w:cstheme="majorBidi"/>
          <w:b/>
          <w:bCs/>
          <w:color w:val="419844"/>
          <w:lang w:val="en-US" w:eastAsia="ja-JP"/>
        </w:rPr>
        <w:t xml:space="preserve"> China’s definition of small and medium-sized enterprises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1164"/>
        <w:gridCol w:w="1069"/>
        <w:gridCol w:w="1069"/>
        <w:gridCol w:w="1069"/>
        <w:gridCol w:w="1071"/>
        <w:gridCol w:w="1069"/>
        <w:gridCol w:w="1069"/>
        <w:gridCol w:w="1069"/>
        <w:gridCol w:w="1069"/>
      </w:tblGrid>
      <w:tr w:rsidR="005F0A67" w:rsidRPr="005F0A67" w14:paraId="555187E4" w14:textId="77777777" w:rsidTr="00FB671B">
        <w:trPr>
          <w:trHeight w:val="323"/>
          <w:tblHeader/>
        </w:trPr>
        <w:tc>
          <w:tcPr>
            <w:tcW w:w="599" w:type="pct"/>
            <w:vMerge w:val="restart"/>
            <w:tcBorders>
              <w:top w:val="single" w:sz="1" w:space="0" w:color="AAAAAA"/>
              <w:left w:val="single" w:sz="1" w:space="0" w:color="AAAAAA"/>
              <w:right w:val="single" w:sz="1" w:space="0" w:color="AAAAAA"/>
            </w:tcBorders>
            <w:shd w:val="clear" w:color="auto" w:fill="1F4E6B"/>
            <w:tcMar>
              <w:top w:w="60" w:type="dxa"/>
              <w:left w:w="100" w:type="dxa"/>
              <w:bottom w:w="60" w:type="dxa"/>
              <w:right w:w="100" w:type="dxa"/>
            </w:tcMar>
          </w:tcPr>
          <w:p w14:paraId="48F09573"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FFFFFF"/>
                <w:sz w:val="18"/>
                <w:szCs w:val="18"/>
                <w:lang w:val="en-CA" w:eastAsia="en-GB"/>
              </w:rPr>
            </w:pPr>
            <w:r w:rsidRPr="005F0A67">
              <w:rPr>
                <w:rFonts w:asciiTheme="majorBidi" w:eastAsia="Tahoma" w:hAnsiTheme="majorBidi" w:cstheme="majorBidi"/>
                <w:b/>
                <w:bCs/>
                <w:color w:val="FFFFFF"/>
                <w:sz w:val="18"/>
                <w:szCs w:val="18"/>
                <w:lang w:val="en-CA" w:eastAsia="en-GB"/>
              </w:rPr>
              <w:t>Category</w:t>
            </w:r>
          </w:p>
        </w:tc>
        <w:tc>
          <w:tcPr>
            <w:tcW w:w="1100" w:type="pct"/>
            <w:gridSpan w:val="2"/>
            <w:tcBorders>
              <w:top w:val="single" w:sz="1" w:space="0" w:color="AAAAAA"/>
              <w:left w:val="single" w:sz="1" w:space="0" w:color="AAAAAA"/>
              <w:bottom w:val="single" w:sz="1" w:space="0" w:color="AAAAAA"/>
              <w:right w:val="single" w:sz="1" w:space="0" w:color="AAAAAA"/>
            </w:tcBorders>
            <w:shd w:val="clear" w:color="auto" w:fill="1F4E6B"/>
            <w:tcMar>
              <w:top w:w="60" w:type="dxa"/>
              <w:left w:w="100" w:type="dxa"/>
              <w:bottom w:w="60" w:type="dxa"/>
              <w:right w:w="100" w:type="dxa"/>
            </w:tcMar>
          </w:tcPr>
          <w:p w14:paraId="50A235A4" w14:textId="77777777" w:rsidR="005F0A67" w:rsidRPr="005F0A67" w:rsidRDefault="005F0A67" w:rsidP="005F0A67">
            <w:pPr>
              <w:tabs>
                <w:tab w:val="clear" w:pos="567"/>
                <w:tab w:val="clear" w:pos="1134"/>
                <w:tab w:val="clear" w:pos="1701"/>
                <w:tab w:val="clear" w:pos="2268"/>
              </w:tabs>
              <w:jc w:val="center"/>
              <w:rPr>
                <w:rFonts w:asciiTheme="majorBidi" w:eastAsia="Tahoma" w:hAnsiTheme="majorBidi" w:cstheme="majorBidi"/>
                <w:b/>
                <w:bCs/>
                <w:color w:val="FFFFFF"/>
                <w:sz w:val="18"/>
                <w:szCs w:val="18"/>
                <w:lang w:val="en-CA" w:eastAsia="en-GB"/>
              </w:rPr>
            </w:pPr>
            <w:r w:rsidRPr="005F0A67">
              <w:rPr>
                <w:rFonts w:asciiTheme="majorBidi" w:eastAsia="Tahoma" w:hAnsiTheme="majorBidi" w:cstheme="majorBidi"/>
                <w:b/>
                <w:bCs/>
                <w:color w:val="FFFFFF"/>
                <w:sz w:val="18"/>
                <w:szCs w:val="18"/>
                <w:lang w:val="en-CA" w:eastAsia="en-GB"/>
              </w:rPr>
              <w:t>Industry</w:t>
            </w:r>
          </w:p>
        </w:tc>
        <w:tc>
          <w:tcPr>
            <w:tcW w:w="1101" w:type="pct"/>
            <w:gridSpan w:val="2"/>
            <w:tcBorders>
              <w:top w:val="single" w:sz="1" w:space="0" w:color="AAAAAA"/>
              <w:left w:val="single" w:sz="1" w:space="0" w:color="AAAAAA"/>
              <w:bottom w:val="single" w:sz="1" w:space="0" w:color="AAAAAA"/>
              <w:right w:val="single" w:sz="1" w:space="0" w:color="AAAAAA"/>
            </w:tcBorders>
            <w:shd w:val="clear" w:color="auto" w:fill="1F4E6B"/>
          </w:tcPr>
          <w:p w14:paraId="79F0BEC0" w14:textId="77777777" w:rsidR="005F0A67" w:rsidRPr="005F0A67" w:rsidRDefault="005F0A67" w:rsidP="005F0A67">
            <w:pPr>
              <w:tabs>
                <w:tab w:val="clear" w:pos="567"/>
                <w:tab w:val="clear" w:pos="1134"/>
                <w:tab w:val="clear" w:pos="1701"/>
                <w:tab w:val="clear" w:pos="2268"/>
              </w:tabs>
              <w:jc w:val="center"/>
              <w:rPr>
                <w:rFonts w:asciiTheme="majorBidi" w:eastAsia="Tahoma" w:hAnsiTheme="majorBidi" w:cstheme="majorBidi"/>
                <w:b/>
                <w:bCs/>
                <w:color w:val="FFFFFF"/>
                <w:sz w:val="18"/>
                <w:szCs w:val="18"/>
                <w:lang w:val="en-CA" w:eastAsia="en-GB"/>
              </w:rPr>
            </w:pPr>
            <w:r w:rsidRPr="005F0A67">
              <w:rPr>
                <w:rFonts w:asciiTheme="majorBidi" w:eastAsia="Tahoma" w:hAnsiTheme="majorBidi" w:cstheme="majorBidi"/>
                <w:b/>
                <w:bCs/>
                <w:color w:val="FFFFFF"/>
                <w:sz w:val="18"/>
                <w:szCs w:val="18"/>
                <w:lang w:val="en-CA" w:eastAsia="en-GB"/>
              </w:rPr>
              <w:t>Agriculture</w:t>
            </w:r>
          </w:p>
        </w:tc>
        <w:tc>
          <w:tcPr>
            <w:tcW w:w="1100" w:type="pct"/>
            <w:gridSpan w:val="2"/>
            <w:tcBorders>
              <w:top w:val="single" w:sz="1" w:space="0" w:color="AAAAAA"/>
              <w:left w:val="single" w:sz="1" w:space="0" w:color="AAAAAA"/>
              <w:bottom w:val="single" w:sz="1" w:space="0" w:color="AAAAAA"/>
              <w:right w:val="single" w:sz="1" w:space="0" w:color="AAAAAA"/>
            </w:tcBorders>
            <w:shd w:val="clear" w:color="auto" w:fill="1F4E6B"/>
          </w:tcPr>
          <w:p w14:paraId="23D2B45A" w14:textId="77777777" w:rsidR="005F0A67" w:rsidRPr="005F0A67" w:rsidRDefault="005F0A67" w:rsidP="005F0A67">
            <w:pPr>
              <w:tabs>
                <w:tab w:val="clear" w:pos="567"/>
                <w:tab w:val="clear" w:pos="1134"/>
                <w:tab w:val="clear" w:pos="1701"/>
                <w:tab w:val="clear" w:pos="2268"/>
              </w:tabs>
              <w:jc w:val="center"/>
              <w:rPr>
                <w:rFonts w:asciiTheme="majorBidi" w:eastAsia="Tahoma" w:hAnsiTheme="majorBidi" w:cstheme="majorBidi"/>
                <w:b/>
                <w:bCs/>
                <w:color w:val="FFFFFF"/>
                <w:sz w:val="18"/>
                <w:szCs w:val="18"/>
                <w:lang w:val="en-CA" w:eastAsia="en-GB"/>
              </w:rPr>
            </w:pPr>
            <w:r w:rsidRPr="005F0A67">
              <w:rPr>
                <w:rFonts w:asciiTheme="majorBidi" w:eastAsia="Tahoma" w:hAnsiTheme="majorBidi" w:cstheme="majorBidi"/>
                <w:b/>
                <w:bCs/>
                <w:color w:val="FFFFFF"/>
                <w:sz w:val="18"/>
                <w:szCs w:val="18"/>
                <w:lang w:val="en-CA" w:eastAsia="en-GB"/>
              </w:rPr>
              <w:t>Information transmission</w:t>
            </w:r>
          </w:p>
        </w:tc>
        <w:tc>
          <w:tcPr>
            <w:tcW w:w="1101" w:type="pct"/>
            <w:gridSpan w:val="2"/>
            <w:tcBorders>
              <w:top w:val="single" w:sz="1" w:space="0" w:color="AAAAAA"/>
              <w:left w:val="single" w:sz="1" w:space="0" w:color="AAAAAA"/>
              <w:bottom w:val="single" w:sz="1" w:space="0" w:color="AAAAAA"/>
              <w:right w:val="single" w:sz="1" w:space="0" w:color="AAAAAA"/>
            </w:tcBorders>
            <w:shd w:val="clear" w:color="auto" w:fill="1F4E6B"/>
          </w:tcPr>
          <w:p w14:paraId="655DAA0C" w14:textId="77777777" w:rsidR="005F0A67" w:rsidRPr="005F0A67" w:rsidRDefault="005F0A67" w:rsidP="005F0A67">
            <w:pPr>
              <w:tabs>
                <w:tab w:val="clear" w:pos="567"/>
                <w:tab w:val="clear" w:pos="1134"/>
                <w:tab w:val="clear" w:pos="1701"/>
                <w:tab w:val="clear" w:pos="2268"/>
              </w:tabs>
              <w:jc w:val="center"/>
              <w:rPr>
                <w:rFonts w:asciiTheme="majorBidi" w:eastAsia="Tahoma" w:hAnsiTheme="majorBidi" w:cstheme="majorBidi"/>
                <w:b/>
                <w:bCs/>
                <w:color w:val="FFFFFF"/>
                <w:sz w:val="18"/>
                <w:szCs w:val="18"/>
                <w:lang w:val="en-CA" w:eastAsia="en-GB"/>
              </w:rPr>
            </w:pPr>
            <w:r w:rsidRPr="005F0A67">
              <w:rPr>
                <w:rFonts w:asciiTheme="majorBidi" w:eastAsia="Tahoma" w:hAnsiTheme="majorBidi" w:cstheme="majorBidi"/>
                <w:b/>
                <w:bCs/>
                <w:color w:val="FFFFFF"/>
                <w:sz w:val="18"/>
                <w:szCs w:val="18"/>
                <w:lang w:val="en-CA" w:eastAsia="en-GB"/>
              </w:rPr>
              <w:t>Software &amp; IT</w:t>
            </w:r>
          </w:p>
        </w:tc>
      </w:tr>
      <w:tr w:rsidR="005F0A67" w:rsidRPr="005F0A67" w14:paraId="3A0F826E" w14:textId="77777777" w:rsidTr="00FB671B">
        <w:trPr>
          <w:trHeight w:val="323"/>
          <w:tblHeader/>
        </w:trPr>
        <w:tc>
          <w:tcPr>
            <w:tcW w:w="599" w:type="pct"/>
            <w:vMerge/>
            <w:tcMar>
              <w:top w:w="60" w:type="dxa"/>
              <w:left w:w="100" w:type="dxa"/>
              <w:bottom w:w="60" w:type="dxa"/>
              <w:right w:w="100" w:type="dxa"/>
            </w:tcMar>
          </w:tcPr>
          <w:p w14:paraId="33D7277F"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FFFFFF"/>
                <w:sz w:val="18"/>
                <w:szCs w:val="18"/>
                <w:lang w:val="en-CA" w:eastAsia="en-GB"/>
              </w:rPr>
            </w:pPr>
          </w:p>
        </w:tc>
        <w:tc>
          <w:tcPr>
            <w:tcW w:w="550" w:type="pct"/>
            <w:tcBorders>
              <w:top w:val="single" w:sz="1" w:space="0" w:color="AAAAAA"/>
              <w:left w:val="single" w:sz="1" w:space="0" w:color="AAAAAA"/>
              <w:bottom w:val="single" w:sz="1" w:space="0" w:color="AAAAAA"/>
              <w:right w:val="single" w:sz="1" w:space="0" w:color="AAAAAA"/>
            </w:tcBorders>
            <w:shd w:val="clear" w:color="auto" w:fill="1F4E6B"/>
            <w:tcMar>
              <w:top w:w="60" w:type="dxa"/>
              <w:left w:w="100" w:type="dxa"/>
              <w:bottom w:w="60" w:type="dxa"/>
              <w:right w:w="100" w:type="dxa"/>
            </w:tcMar>
          </w:tcPr>
          <w:p w14:paraId="6012FBAA"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FFFFFF"/>
                <w:sz w:val="18"/>
                <w:szCs w:val="18"/>
                <w:lang w:val="en-CA" w:eastAsia="en-GB"/>
              </w:rPr>
            </w:pPr>
            <w:r w:rsidRPr="005F0A67">
              <w:rPr>
                <w:rFonts w:asciiTheme="majorBidi" w:eastAsia="Tahoma" w:hAnsiTheme="majorBidi" w:cstheme="majorBidi"/>
                <w:b/>
                <w:bCs/>
                <w:color w:val="FFFFFF"/>
                <w:sz w:val="18"/>
                <w:szCs w:val="18"/>
                <w:lang w:val="en-CA" w:eastAsia="en-GB"/>
              </w:rPr>
              <w:t>Emp.</w:t>
            </w:r>
          </w:p>
        </w:tc>
        <w:tc>
          <w:tcPr>
            <w:tcW w:w="550" w:type="pct"/>
            <w:tcBorders>
              <w:top w:val="single" w:sz="1" w:space="0" w:color="AAAAAA"/>
              <w:left w:val="single" w:sz="1" w:space="0" w:color="AAAAAA"/>
              <w:bottom w:val="single" w:sz="1" w:space="0" w:color="AAAAAA"/>
              <w:right w:val="single" w:sz="1" w:space="0" w:color="AAAAAA"/>
            </w:tcBorders>
            <w:shd w:val="clear" w:color="auto" w:fill="1F4E6B"/>
          </w:tcPr>
          <w:p w14:paraId="534DA25E"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FFFFFF"/>
                <w:sz w:val="18"/>
                <w:szCs w:val="18"/>
                <w:lang w:val="en-CA" w:eastAsia="en-GB"/>
              </w:rPr>
            </w:pPr>
            <w:r w:rsidRPr="005F0A67">
              <w:rPr>
                <w:rFonts w:asciiTheme="majorBidi" w:eastAsia="Tahoma" w:hAnsiTheme="majorBidi" w:cstheme="majorBidi"/>
                <w:b/>
                <w:bCs/>
                <w:color w:val="FFFFFF"/>
                <w:sz w:val="18"/>
                <w:szCs w:val="18"/>
                <w:lang w:val="en-CA" w:eastAsia="en-GB"/>
              </w:rPr>
              <w:t>Rev.</w:t>
            </w:r>
          </w:p>
        </w:tc>
        <w:tc>
          <w:tcPr>
            <w:tcW w:w="550" w:type="pct"/>
            <w:tcBorders>
              <w:top w:val="single" w:sz="1" w:space="0" w:color="AAAAAA"/>
              <w:left w:val="single" w:sz="1" w:space="0" w:color="AAAAAA"/>
              <w:bottom w:val="single" w:sz="1" w:space="0" w:color="AAAAAA"/>
              <w:right w:val="single" w:sz="1" w:space="0" w:color="AAAAAA"/>
            </w:tcBorders>
            <w:shd w:val="clear" w:color="auto" w:fill="1F4E6B"/>
          </w:tcPr>
          <w:p w14:paraId="645AC26B"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FFFFFF"/>
                <w:sz w:val="18"/>
                <w:szCs w:val="18"/>
                <w:lang w:val="en-CA" w:eastAsia="en-GB"/>
              </w:rPr>
            </w:pPr>
            <w:r w:rsidRPr="005F0A67">
              <w:rPr>
                <w:rFonts w:asciiTheme="majorBidi" w:eastAsia="Tahoma" w:hAnsiTheme="majorBidi" w:cstheme="majorBidi"/>
                <w:b/>
                <w:bCs/>
                <w:color w:val="FFFFFF"/>
                <w:sz w:val="18"/>
                <w:szCs w:val="18"/>
                <w:lang w:val="en-CA" w:eastAsia="en-GB"/>
              </w:rPr>
              <w:t>Emp.</w:t>
            </w:r>
          </w:p>
        </w:tc>
        <w:tc>
          <w:tcPr>
            <w:tcW w:w="551" w:type="pct"/>
            <w:tcBorders>
              <w:top w:val="single" w:sz="1" w:space="0" w:color="AAAAAA"/>
              <w:left w:val="single" w:sz="1" w:space="0" w:color="AAAAAA"/>
              <w:bottom w:val="single" w:sz="1" w:space="0" w:color="AAAAAA"/>
              <w:right w:val="single" w:sz="1" w:space="0" w:color="AAAAAA"/>
            </w:tcBorders>
            <w:shd w:val="clear" w:color="auto" w:fill="1F4E6B"/>
          </w:tcPr>
          <w:p w14:paraId="08E16DA6"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FFFFFF"/>
                <w:sz w:val="18"/>
                <w:szCs w:val="18"/>
                <w:lang w:val="en-CA" w:eastAsia="en-GB"/>
              </w:rPr>
            </w:pPr>
            <w:r w:rsidRPr="005F0A67">
              <w:rPr>
                <w:rFonts w:asciiTheme="majorBidi" w:eastAsia="Tahoma" w:hAnsiTheme="majorBidi" w:cstheme="majorBidi"/>
                <w:b/>
                <w:bCs/>
                <w:color w:val="FFFFFF"/>
                <w:sz w:val="18"/>
                <w:szCs w:val="18"/>
                <w:lang w:val="en-CA" w:eastAsia="en-GB"/>
              </w:rPr>
              <w:t>Rev.</w:t>
            </w:r>
          </w:p>
        </w:tc>
        <w:tc>
          <w:tcPr>
            <w:tcW w:w="550" w:type="pct"/>
            <w:tcBorders>
              <w:top w:val="single" w:sz="1" w:space="0" w:color="AAAAAA"/>
              <w:left w:val="single" w:sz="1" w:space="0" w:color="AAAAAA"/>
              <w:bottom w:val="single" w:sz="1" w:space="0" w:color="AAAAAA"/>
              <w:right w:val="single" w:sz="1" w:space="0" w:color="AAAAAA"/>
            </w:tcBorders>
            <w:shd w:val="clear" w:color="auto" w:fill="1F4E6B"/>
          </w:tcPr>
          <w:p w14:paraId="4B382690"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FFFFFF"/>
                <w:sz w:val="18"/>
                <w:szCs w:val="18"/>
                <w:lang w:val="en-CA" w:eastAsia="en-GB"/>
              </w:rPr>
            </w:pPr>
            <w:r w:rsidRPr="005F0A67">
              <w:rPr>
                <w:rFonts w:asciiTheme="majorBidi" w:eastAsia="Tahoma" w:hAnsiTheme="majorBidi" w:cstheme="majorBidi"/>
                <w:b/>
                <w:bCs/>
                <w:color w:val="FFFFFF"/>
                <w:sz w:val="18"/>
                <w:szCs w:val="18"/>
                <w:lang w:val="en-CA" w:eastAsia="en-GB"/>
              </w:rPr>
              <w:t>Emp.</w:t>
            </w:r>
          </w:p>
        </w:tc>
        <w:tc>
          <w:tcPr>
            <w:tcW w:w="550" w:type="pct"/>
            <w:tcBorders>
              <w:top w:val="single" w:sz="1" w:space="0" w:color="AAAAAA"/>
              <w:left w:val="single" w:sz="1" w:space="0" w:color="AAAAAA"/>
              <w:bottom w:val="single" w:sz="1" w:space="0" w:color="AAAAAA"/>
              <w:right w:val="single" w:sz="1" w:space="0" w:color="AAAAAA"/>
            </w:tcBorders>
            <w:shd w:val="clear" w:color="auto" w:fill="1F4E6B"/>
          </w:tcPr>
          <w:p w14:paraId="442C3110"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FFFFFF"/>
                <w:sz w:val="18"/>
                <w:szCs w:val="18"/>
                <w:lang w:val="en-CA" w:eastAsia="en-GB"/>
              </w:rPr>
            </w:pPr>
            <w:r w:rsidRPr="005F0A67">
              <w:rPr>
                <w:rFonts w:asciiTheme="majorBidi" w:eastAsia="Tahoma" w:hAnsiTheme="majorBidi" w:cstheme="majorBidi"/>
                <w:b/>
                <w:bCs/>
                <w:color w:val="FFFFFF"/>
                <w:sz w:val="18"/>
                <w:szCs w:val="18"/>
                <w:lang w:val="en-CA" w:eastAsia="en-GB"/>
              </w:rPr>
              <w:t>Rev.</w:t>
            </w:r>
          </w:p>
        </w:tc>
        <w:tc>
          <w:tcPr>
            <w:tcW w:w="550" w:type="pct"/>
            <w:tcBorders>
              <w:top w:val="single" w:sz="1" w:space="0" w:color="AAAAAA"/>
              <w:left w:val="single" w:sz="1" w:space="0" w:color="AAAAAA"/>
              <w:bottom w:val="single" w:sz="1" w:space="0" w:color="AAAAAA"/>
              <w:right w:val="single" w:sz="1" w:space="0" w:color="AAAAAA"/>
            </w:tcBorders>
            <w:shd w:val="clear" w:color="auto" w:fill="1F4E6B"/>
          </w:tcPr>
          <w:p w14:paraId="6E6308FA"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FFFFFF"/>
                <w:sz w:val="18"/>
                <w:szCs w:val="18"/>
                <w:lang w:val="en-CA" w:eastAsia="en-GB"/>
              </w:rPr>
            </w:pPr>
            <w:r w:rsidRPr="005F0A67">
              <w:rPr>
                <w:rFonts w:asciiTheme="majorBidi" w:eastAsia="Tahoma" w:hAnsiTheme="majorBidi" w:cstheme="majorBidi"/>
                <w:b/>
                <w:bCs/>
                <w:color w:val="FFFFFF"/>
                <w:sz w:val="18"/>
                <w:szCs w:val="18"/>
                <w:lang w:val="en-CA" w:eastAsia="en-GB"/>
              </w:rPr>
              <w:t>Emp.</w:t>
            </w:r>
          </w:p>
        </w:tc>
        <w:tc>
          <w:tcPr>
            <w:tcW w:w="551" w:type="pct"/>
            <w:tcBorders>
              <w:top w:val="single" w:sz="1" w:space="0" w:color="AAAAAA"/>
              <w:left w:val="single" w:sz="1" w:space="0" w:color="AAAAAA"/>
              <w:bottom w:val="single" w:sz="1" w:space="0" w:color="AAAAAA"/>
              <w:right w:val="single" w:sz="1" w:space="0" w:color="AAAAAA"/>
            </w:tcBorders>
            <w:shd w:val="clear" w:color="auto" w:fill="1F4E6B"/>
          </w:tcPr>
          <w:p w14:paraId="685C5AAD"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FFFFFF"/>
                <w:sz w:val="18"/>
                <w:szCs w:val="18"/>
                <w:lang w:val="en-CA" w:eastAsia="en-GB"/>
              </w:rPr>
            </w:pPr>
            <w:r w:rsidRPr="005F0A67">
              <w:rPr>
                <w:rFonts w:asciiTheme="majorBidi" w:eastAsia="Tahoma" w:hAnsiTheme="majorBidi" w:cstheme="majorBidi"/>
                <w:b/>
                <w:bCs/>
                <w:color w:val="FFFFFF"/>
                <w:sz w:val="18"/>
                <w:szCs w:val="18"/>
                <w:lang w:val="en-CA" w:eastAsia="en-GB"/>
              </w:rPr>
              <w:t>Rev.</w:t>
            </w:r>
          </w:p>
        </w:tc>
      </w:tr>
      <w:tr w:rsidR="005F0A67" w:rsidRPr="005F0A67" w14:paraId="0CDD8D40" w14:textId="77777777" w:rsidTr="005F0A67">
        <w:trPr>
          <w:trHeight w:val="424"/>
        </w:trPr>
        <w:tc>
          <w:tcPr>
            <w:tcW w:w="599"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000B78CD"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b/>
                <w:bCs/>
                <w:sz w:val="18"/>
                <w:szCs w:val="18"/>
                <w:lang w:eastAsia="en-GB"/>
              </w:rPr>
            </w:pPr>
            <w:r w:rsidRPr="005F0A67">
              <w:rPr>
                <w:rFonts w:asciiTheme="majorBidi" w:eastAsia="Times New Roman" w:hAnsiTheme="majorBidi" w:cstheme="majorBidi"/>
                <w:b/>
                <w:bCs/>
                <w:sz w:val="18"/>
                <w:szCs w:val="18"/>
                <w:lang w:eastAsia="en-GB"/>
              </w:rPr>
              <w:t>Micro</w:t>
            </w:r>
          </w:p>
        </w:tc>
        <w:tc>
          <w:tcPr>
            <w:tcW w:w="550" w:type="pct"/>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vAlign w:val="center"/>
          </w:tcPr>
          <w:p w14:paraId="532604D9"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&lt; 20</w:t>
            </w:r>
          </w:p>
        </w:tc>
        <w:tc>
          <w:tcPr>
            <w:tcW w:w="550" w:type="pct"/>
            <w:tcBorders>
              <w:top w:val="single" w:sz="1" w:space="0" w:color="AAAAAA"/>
              <w:left w:val="single" w:sz="1" w:space="0" w:color="AAAAAA"/>
              <w:bottom w:val="single" w:sz="1" w:space="0" w:color="AAAAAA"/>
              <w:right w:val="single" w:sz="1" w:space="0" w:color="AAAAAA"/>
            </w:tcBorders>
            <w:vAlign w:val="center"/>
          </w:tcPr>
          <w:p w14:paraId="7494D165"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or &lt; $440K</w:t>
            </w:r>
          </w:p>
        </w:tc>
        <w:tc>
          <w:tcPr>
            <w:tcW w:w="550" w:type="pct"/>
            <w:tcBorders>
              <w:top w:val="single" w:sz="1" w:space="0" w:color="AAAAAA"/>
              <w:left w:val="single" w:sz="1" w:space="0" w:color="AAAAAA"/>
              <w:bottom w:val="single" w:sz="1" w:space="0" w:color="AAAAAA"/>
              <w:right w:val="single" w:sz="1" w:space="0" w:color="AAAAAA"/>
            </w:tcBorders>
            <w:vAlign w:val="center"/>
          </w:tcPr>
          <w:p w14:paraId="0C3211FF"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w:t>
            </w:r>
          </w:p>
        </w:tc>
        <w:tc>
          <w:tcPr>
            <w:tcW w:w="551" w:type="pct"/>
            <w:tcBorders>
              <w:top w:val="single" w:sz="1" w:space="0" w:color="AAAAAA"/>
              <w:left w:val="single" w:sz="1" w:space="0" w:color="AAAAAA"/>
              <w:bottom w:val="single" w:sz="1" w:space="0" w:color="AAAAAA"/>
              <w:right w:val="single" w:sz="1" w:space="0" w:color="AAAAAA"/>
            </w:tcBorders>
            <w:vAlign w:val="center"/>
          </w:tcPr>
          <w:p w14:paraId="77E91250"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&lt; $73K</w:t>
            </w:r>
          </w:p>
        </w:tc>
        <w:tc>
          <w:tcPr>
            <w:tcW w:w="550" w:type="pct"/>
            <w:tcBorders>
              <w:top w:val="single" w:sz="1" w:space="0" w:color="AAAAAA"/>
              <w:left w:val="single" w:sz="1" w:space="0" w:color="AAAAAA"/>
              <w:bottom w:val="single" w:sz="1" w:space="0" w:color="AAAAAA"/>
              <w:right w:val="single" w:sz="1" w:space="0" w:color="AAAAAA"/>
            </w:tcBorders>
            <w:vAlign w:val="center"/>
          </w:tcPr>
          <w:p w14:paraId="43708D7C"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&lt; 10</w:t>
            </w:r>
          </w:p>
        </w:tc>
        <w:tc>
          <w:tcPr>
            <w:tcW w:w="550" w:type="pct"/>
            <w:tcBorders>
              <w:top w:val="single" w:sz="1" w:space="0" w:color="AAAAAA"/>
              <w:left w:val="single" w:sz="1" w:space="0" w:color="AAAAAA"/>
              <w:bottom w:val="single" w:sz="1" w:space="0" w:color="AAAAAA"/>
              <w:right w:val="single" w:sz="1" w:space="0" w:color="AAAAAA"/>
            </w:tcBorders>
            <w:vAlign w:val="center"/>
          </w:tcPr>
          <w:p w14:paraId="4FF0A2CA"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or &lt; $147K</w:t>
            </w:r>
          </w:p>
        </w:tc>
        <w:tc>
          <w:tcPr>
            <w:tcW w:w="550" w:type="pct"/>
            <w:tcBorders>
              <w:top w:val="single" w:sz="1" w:space="0" w:color="AAAAAA"/>
              <w:left w:val="single" w:sz="1" w:space="0" w:color="AAAAAA"/>
              <w:bottom w:val="single" w:sz="1" w:space="0" w:color="AAAAAA"/>
              <w:right w:val="single" w:sz="1" w:space="0" w:color="AAAAAA"/>
            </w:tcBorders>
            <w:vAlign w:val="center"/>
          </w:tcPr>
          <w:p w14:paraId="5DA209EE"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&lt; 10</w:t>
            </w:r>
          </w:p>
        </w:tc>
        <w:tc>
          <w:tcPr>
            <w:tcW w:w="551" w:type="pct"/>
            <w:tcBorders>
              <w:top w:val="single" w:sz="1" w:space="0" w:color="AAAAAA"/>
              <w:left w:val="single" w:sz="1" w:space="0" w:color="AAAAAA"/>
              <w:bottom w:val="single" w:sz="1" w:space="0" w:color="AAAAAA"/>
              <w:right w:val="single" w:sz="1" w:space="0" w:color="AAAAAA"/>
            </w:tcBorders>
            <w:vAlign w:val="center"/>
          </w:tcPr>
          <w:p w14:paraId="2C63D48A"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or &lt; $73K</w:t>
            </w:r>
          </w:p>
        </w:tc>
      </w:tr>
      <w:tr w:rsidR="005F0A67" w:rsidRPr="005F0A67" w14:paraId="249FF812" w14:textId="77777777" w:rsidTr="005F0A67">
        <w:trPr>
          <w:trHeight w:val="424"/>
        </w:trPr>
        <w:tc>
          <w:tcPr>
            <w:tcW w:w="599"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2A807EEF"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b/>
                <w:bCs/>
                <w:sz w:val="18"/>
                <w:szCs w:val="18"/>
                <w:lang w:eastAsia="en-GB"/>
              </w:rPr>
            </w:pPr>
            <w:r w:rsidRPr="005F0A67">
              <w:rPr>
                <w:rFonts w:asciiTheme="majorBidi" w:eastAsia="Times New Roman" w:hAnsiTheme="majorBidi" w:cstheme="majorBidi"/>
                <w:b/>
                <w:bCs/>
                <w:sz w:val="18"/>
                <w:szCs w:val="18"/>
                <w:lang w:eastAsia="en-GB"/>
              </w:rPr>
              <w:t>Small</w:t>
            </w:r>
          </w:p>
        </w:tc>
        <w:tc>
          <w:tcPr>
            <w:tcW w:w="550" w:type="pct"/>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vAlign w:val="center"/>
          </w:tcPr>
          <w:p w14:paraId="1E925085"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 20</w:t>
            </w:r>
          </w:p>
        </w:tc>
        <w:tc>
          <w:tcPr>
            <w:tcW w:w="550" w:type="pct"/>
            <w:tcBorders>
              <w:top w:val="single" w:sz="1" w:space="0" w:color="AAAAAA"/>
              <w:left w:val="single" w:sz="1" w:space="0" w:color="AAAAAA"/>
              <w:bottom w:val="single" w:sz="1" w:space="0" w:color="AAAAAA"/>
              <w:right w:val="single" w:sz="1" w:space="0" w:color="AAAAAA"/>
            </w:tcBorders>
            <w:vAlign w:val="center"/>
          </w:tcPr>
          <w:p w14:paraId="6E27D2E8"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and ≥ $440K</w:t>
            </w:r>
          </w:p>
        </w:tc>
        <w:tc>
          <w:tcPr>
            <w:tcW w:w="550" w:type="pct"/>
            <w:tcBorders>
              <w:top w:val="single" w:sz="1" w:space="0" w:color="AAAAAA"/>
              <w:left w:val="single" w:sz="1" w:space="0" w:color="AAAAAA"/>
              <w:bottom w:val="single" w:sz="1" w:space="0" w:color="AAAAAA"/>
              <w:right w:val="single" w:sz="1" w:space="0" w:color="AAAAAA"/>
            </w:tcBorders>
            <w:vAlign w:val="center"/>
          </w:tcPr>
          <w:p w14:paraId="08D31142"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w:t>
            </w:r>
          </w:p>
        </w:tc>
        <w:tc>
          <w:tcPr>
            <w:tcW w:w="551" w:type="pct"/>
            <w:tcBorders>
              <w:top w:val="single" w:sz="1" w:space="0" w:color="AAAAAA"/>
              <w:left w:val="single" w:sz="1" w:space="0" w:color="AAAAAA"/>
              <w:bottom w:val="single" w:sz="1" w:space="0" w:color="AAAAAA"/>
              <w:right w:val="single" w:sz="1" w:space="0" w:color="AAAAAA"/>
            </w:tcBorders>
            <w:vAlign w:val="center"/>
          </w:tcPr>
          <w:p w14:paraId="2449D7F0"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 $73K</w:t>
            </w:r>
          </w:p>
        </w:tc>
        <w:tc>
          <w:tcPr>
            <w:tcW w:w="550" w:type="pct"/>
            <w:tcBorders>
              <w:top w:val="single" w:sz="1" w:space="0" w:color="AAAAAA"/>
              <w:left w:val="single" w:sz="1" w:space="0" w:color="AAAAAA"/>
              <w:bottom w:val="single" w:sz="1" w:space="0" w:color="AAAAAA"/>
              <w:right w:val="single" w:sz="1" w:space="0" w:color="AAAAAA"/>
            </w:tcBorders>
            <w:vAlign w:val="center"/>
          </w:tcPr>
          <w:p w14:paraId="3FEDC630"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 10</w:t>
            </w:r>
          </w:p>
        </w:tc>
        <w:tc>
          <w:tcPr>
            <w:tcW w:w="550" w:type="pct"/>
            <w:tcBorders>
              <w:top w:val="single" w:sz="1" w:space="0" w:color="AAAAAA"/>
              <w:left w:val="single" w:sz="1" w:space="0" w:color="AAAAAA"/>
              <w:bottom w:val="single" w:sz="1" w:space="0" w:color="AAAAAA"/>
              <w:right w:val="single" w:sz="1" w:space="0" w:color="AAAAAA"/>
            </w:tcBorders>
            <w:vAlign w:val="center"/>
          </w:tcPr>
          <w:p w14:paraId="1FD8FB87"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and ≥ $147K</w:t>
            </w:r>
          </w:p>
        </w:tc>
        <w:tc>
          <w:tcPr>
            <w:tcW w:w="550" w:type="pct"/>
            <w:tcBorders>
              <w:top w:val="single" w:sz="1" w:space="0" w:color="AAAAAA"/>
              <w:left w:val="single" w:sz="1" w:space="0" w:color="AAAAAA"/>
              <w:bottom w:val="single" w:sz="1" w:space="0" w:color="AAAAAA"/>
              <w:right w:val="single" w:sz="1" w:space="0" w:color="AAAAAA"/>
            </w:tcBorders>
            <w:vAlign w:val="center"/>
          </w:tcPr>
          <w:p w14:paraId="62362695"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 10</w:t>
            </w:r>
          </w:p>
        </w:tc>
        <w:tc>
          <w:tcPr>
            <w:tcW w:w="551" w:type="pct"/>
            <w:tcBorders>
              <w:top w:val="single" w:sz="1" w:space="0" w:color="AAAAAA"/>
              <w:left w:val="single" w:sz="1" w:space="0" w:color="AAAAAA"/>
              <w:bottom w:val="single" w:sz="1" w:space="0" w:color="AAAAAA"/>
              <w:right w:val="single" w:sz="1" w:space="0" w:color="AAAAAA"/>
            </w:tcBorders>
            <w:vAlign w:val="center"/>
          </w:tcPr>
          <w:p w14:paraId="52731957"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and ≥ $73K</w:t>
            </w:r>
          </w:p>
        </w:tc>
      </w:tr>
      <w:tr w:rsidR="005F0A67" w:rsidRPr="005F0A67" w14:paraId="78C3AA8F" w14:textId="77777777" w:rsidTr="005F0A67">
        <w:trPr>
          <w:trHeight w:val="424"/>
        </w:trPr>
        <w:tc>
          <w:tcPr>
            <w:tcW w:w="599"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27FC9FBC"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b/>
                <w:bCs/>
                <w:sz w:val="18"/>
                <w:szCs w:val="18"/>
                <w:lang w:eastAsia="en-GB"/>
              </w:rPr>
            </w:pPr>
            <w:r w:rsidRPr="005F0A67">
              <w:rPr>
                <w:rFonts w:asciiTheme="majorBidi" w:eastAsia="Times New Roman" w:hAnsiTheme="majorBidi" w:cstheme="majorBidi"/>
                <w:b/>
                <w:bCs/>
                <w:sz w:val="18"/>
                <w:szCs w:val="18"/>
                <w:lang w:eastAsia="en-GB"/>
              </w:rPr>
              <w:t>Medium</w:t>
            </w:r>
          </w:p>
        </w:tc>
        <w:tc>
          <w:tcPr>
            <w:tcW w:w="550" w:type="pct"/>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vAlign w:val="center"/>
          </w:tcPr>
          <w:p w14:paraId="2188B6EE"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 300</w:t>
            </w:r>
          </w:p>
        </w:tc>
        <w:tc>
          <w:tcPr>
            <w:tcW w:w="550" w:type="pct"/>
            <w:tcBorders>
              <w:top w:val="single" w:sz="1" w:space="0" w:color="AAAAAA"/>
              <w:left w:val="single" w:sz="1" w:space="0" w:color="AAAAAA"/>
              <w:bottom w:val="single" w:sz="1" w:space="0" w:color="AAAAAA"/>
              <w:right w:val="single" w:sz="1" w:space="0" w:color="AAAAAA"/>
            </w:tcBorders>
            <w:vAlign w:val="center"/>
          </w:tcPr>
          <w:p w14:paraId="14DE94D1"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and ≥ $2.9M</w:t>
            </w:r>
          </w:p>
        </w:tc>
        <w:tc>
          <w:tcPr>
            <w:tcW w:w="550" w:type="pct"/>
            <w:tcBorders>
              <w:top w:val="single" w:sz="1" w:space="0" w:color="AAAAAA"/>
              <w:left w:val="single" w:sz="1" w:space="0" w:color="AAAAAA"/>
              <w:bottom w:val="single" w:sz="1" w:space="0" w:color="AAAAAA"/>
              <w:right w:val="single" w:sz="1" w:space="0" w:color="AAAAAA"/>
            </w:tcBorders>
            <w:vAlign w:val="center"/>
          </w:tcPr>
          <w:p w14:paraId="39FFCCED"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w:t>
            </w:r>
          </w:p>
        </w:tc>
        <w:tc>
          <w:tcPr>
            <w:tcW w:w="551" w:type="pct"/>
            <w:tcBorders>
              <w:top w:val="single" w:sz="1" w:space="0" w:color="AAAAAA"/>
              <w:left w:val="single" w:sz="1" w:space="0" w:color="AAAAAA"/>
              <w:bottom w:val="single" w:sz="1" w:space="0" w:color="AAAAAA"/>
              <w:right w:val="single" w:sz="1" w:space="0" w:color="AAAAAA"/>
            </w:tcBorders>
            <w:vAlign w:val="center"/>
          </w:tcPr>
          <w:p w14:paraId="25656003"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 $734K</w:t>
            </w:r>
          </w:p>
        </w:tc>
        <w:tc>
          <w:tcPr>
            <w:tcW w:w="550" w:type="pct"/>
            <w:tcBorders>
              <w:top w:val="single" w:sz="1" w:space="0" w:color="AAAAAA"/>
              <w:left w:val="single" w:sz="1" w:space="0" w:color="AAAAAA"/>
              <w:bottom w:val="single" w:sz="1" w:space="0" w:color="AAAAAA"/>
              <w:right w:val="single" w:sz="1" w:space="0" w:color="AAAAAA"/>
            </w:tcBorders>
            <w:vAlign w:val="center"/>
          </w:tcPr>
          <w:p w14:paraId="3D212A9B"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 100</w:t>
            </w:r>
          </w:p>
        </w:tc>
        <w:tc>
          <w:tcPr>
            <w:tcW w:w="550" w:type="pct"/>
            <w:tcBorders>
              <w:top w:val="single" w:sz="1" w:space="0" w:color="AAAAAA"/>
              <w:left w:val="single" w:sz="1" w:space="0" w:color="AAAAAA"/>
              <w:bottom w:val="single" w:sz="1" w:space="0" w:color="AAAAAA"/>
              <w:right w:val="single" w:sz="1" w:space="0" w:color="AAAAAA"/>
            </w:tcBorders>
            <w:vAlign w:val="center"/>
          </w:tcPr>
          <w:p w14:paraId="3C6C5C24"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and ≥ $1.5M</w:t>
            </w:r>
          </w:p>
        </w:tc>
        <w:tc>
          <w:tcPr>
            <w:tcW w:w="550" w:type="pct"/>
            <w:tcBorders>
              <w:top w:val="single" w:sz="1" w:space="0" w:color="AAAAAA"/>
              <w:left w:val="single" w:sz="1" w:space="0" w:color="AAAAAA"/>
              <w:bottom w:val="single" w:sz="1" w:space="0" w:color="AAAAAA"/>
              <w:right w:val="single" w:sz="1" w:space="0" w:color="AAAAAA"/>
            </w:tcBorders>
            <w:vAlign w:val="center"/>
          </w:tcPr>
          <w:p w14:paraId="2417B722"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 100</w:t>
            </w:r>
          </w:p>
        </w:tc>
        <w:tc>
          <w:tcPr>
            <w:tcW w:w="551" w:type="pct"/>
            <w:tcBorders>
              <w:top w:val="single" w:sz="1" w:space="0" w:color="AAAAAA"/>
              <w:left w:val="single" w:sz="1" w:space="0" w:color="AAAAAA"/>
              <w:bottom w:val="single" w:sz="1" w:space="0" w:color="AAAAAA"/>
              <w:right w:val="single" w:sz="1" w:space="0" w:color="AAAAAA"/>
            </w:tcBorders>
            <w:vAlign w:val="center"/>
          </w:tcPr>
          <w:p w14:paraId="3CD955F7"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and ≥ $1.5M</w:t>
            </w:r>
          </w:p>
        </w:tc>
      </w:tr>
      <w:tr w:rsidR="005F0A67" w:rsidRPr="005F0A67" w14:paraId="6D501BE0" w14:textId="77777777" w:rsidTr="005F0A67">
        <w:trPr>
          <w:trHeight w:val="424"/>
        </w:trPr>
        <w:tc>
          <w:tcPr>
            <w:tcW w:w="599"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05733B3F"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b/>
                <w:bCs/>
                <w:sz w:val="18"/>
                <w:szCs w:val="18"/>
                <w:lang w:eastAsia="en-GB"/>
              </w:rPr>
            </w:pPr>
            <w:r w:rsidRPr="005F0A67">
              <w:rPr>
                <w:rFonts w:asciiTheme="majorBidi" w:eastAsia="Times New Roman" w:hAnsiTheme="majorBidi" w:cstheme="majorBidi"/>
                <w:b/>
                <w:bCs/>
                <w:sz w:val="18"/>
                <w:szCs w:val="18"/>
                <w:lang w:eastAsia="en-GB"/>
              </w:rPr>
              <w:t>SME ceiling</w:t>
            </w:r>
          </w:p>
        </w:tc>
        <w:tc>
          <w:tcPr>
            <w:tcW w:w="550" w:type="pct"/>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vAlign w:val="center"/>
          </w:tcPr>
          <w:p w14:paraId="30B486C7"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&lt; 1,000</w:t>
            </w:r>
          </w:p>
        </w:tc>
        <w:tc>
          <w:tcPr>
            <w:tcW w:w="550" w:type="pct"/>
            <w:tcBorders>
              <w:top w:val="single" w:sz="1" w:space="0" w:color="AAAAAA"/>
              <w:left w:val="single" w:sz="1" w:space="0" w:color="AAAAAA"/>
              <w:bottom w:val="single" w:sz="1" w:space="0" w:color="AAAAAA"/>
              <w:right w:val="single" w:sz="1" w:space="0" w:color="AAAAAA"/>
            </w:tcBorders>
            <w:vAlign w:val="center"/>
          </w:tcPr>
          <w:p w14:paraId="18A33E30"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or &lt; $58.7M</w:t>
            </w:r>
          </w:p>
        </w:tc>
        <w:tc>
          <w:tcPr>
            <w:tcW w:w="550" w:type="pct"/>
            <w:tcBorders>
              <w:top w:val="single" w:sz="1" w:space="0" w:color="AAAAAA"/>
              <w:left w:val="single" w:sz="1" w:space="0" w:color="AAAAAA"/>
              <w:bottom w:val="single" w:sz="1" w:space="0" w:color="AAAAAA"/>
              <w:right w:val="single" w:sz="1" w:space="0" w:color="AAAAAA"/>
            </w:tcBorders>
            <w:vAlign w:val="center"/>
          </w:tcPr>
          <w:p w14:paraId="49956C43"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w:t>
            </w:r>
          </w:p>
        </w:tc>
        <w:tc>
          <w:tcPr>
            <w:tcW w:w="551" w:type="pct"/>
            <w:tcBorders>
              <w:top w:val="single" w:sz="1" w:space="0" w:color="AAAAAA"/>
              <w:left w:val="single" w:sz="1" w:space="0" w:color="AAAAAA"/>
              <w:bottom w:val="single" w:sz="1" w:space="0" w:color="AAAAAA"/>
              <w:right w:val="single" w:sz="1" w:space="0" w:color="AAAAAA"/>
            </w:tcBorders>
            <w:vAlign w:val="center"/>
          </w:tcPr>
          <w:p w14:paraId="0467225B"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&lt; $29.4M</w:t>
            </w:r>
          </w:p>
        </w:tc>
        <w:tc>
          <w:tcPr>
            <w:tcW w:w="550" w:type="pct"/>
            <w:tcBorders>
              <w:top w:val="single" w:sz="1" w:space="0" w:color="AAAAAA"/>
              <w:left w:val="single" w:sz="1" w:space="0" w:color="AAAAAA"/>
              <w:bottom w:val="single" w:sz="1" w:space="0" w:color="AAAAAA"/>
              <w:right w:val="single" w:sz="1" w:space="0" w:color="AAAAAA"/>
            </w:tcBorders>
            <w:vAlign w:val="center"/>
          </w:tcPr>
          <w:p w14:paraId="039DB2A3"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&lt; 2,000</w:t>
            </w:r>
          </w:p>
        </w:tc>
        <w:tc>
          <w:tcPr>
            <w:tcW w:w="550" w:type="pct"/>
            <w:tcBorders>
              <w:top w:val="single" w:sz="1" w:space="0" w:color="AAAAAA"/>
              <w:left w:val="single" w:sz="1" w:space="0" w:color="AAAAAA"/>
              <w:bottom w:val="single" w:sz="1" w:space="0" w:color="AAAAAA"/>
              <w:right w:val="single" w:sz="1" w:space="0" w:color="AAAAAA"/>
            </w:tcBorders>
            <w:vAlign w:val="center"/>
          </w:tcPr>
          <w:p w14:paraId="53DAC5D2"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or &lt; $146.8M</w:t>
            </w:r>
          </w:p>
        </w:tc>
        <w:tc>
          <w:tcPr>
            <w:tcW w:w="550" w:type="pct"/>
            <w:tcBorders>
              <w:top w:val="single" w:sz="1" w:space="0" w:color="AAAAAA"/>
              <w:left w:val="single" w:sz="1" w:space="0" w:color="AAAAAA"/>
              <w:bottom w:val="single" w:sz="1" w:space="0" w:color="AAAAAA"/>
              <w:right w:val="single" w:sz="1" w:space="0" w:color="AAAAAA"/>
            </w:tcBorders>
            <w:vAlign w:val="center"/>
          </w:tcPr>
          <w:p w14:paraId="0AE3E262"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&lt; 300</w:t>
            </w:r>
          </w:p>
        </w:tc>
        <w:tc>
          <w:tcPr>
            <w:tcW w:w="551" w:type="pct"/>
            <w:tcBorders>
              <w:top w:val="single" w:sz="1" w:space="0" w:color="AAAAAA"/>
              <w:left w:val="single" w:sz="1" w:space="0" w:color="AAAAAA"/>
              <w:bottom w:val="single" w:sz="1" w:space="0" w:color="AAAAAA"/>
              <w:right w:val="single" w:sz="1" w:space="0" w:color="AAAAAA"/>
            </w:tcBorders>
            <w:vAlign w:val="center"/>
          </w:tcPr>
          <w:p w14:paraId="63707BF4"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or &lt; $14.7M</w:t>
            </w:r>
          </w:p>
        </w:tc>
      </w:tr>
    </w:tbl>
    <w:p w14:paraId="354A5138" w14:textId="77777777" w:rsidR="005F0A67" w:rsidRPr="005F0A67" w:rsidRDefault="005F0A67" w:rsidP="005F0A67">
      <w:pPr>
        <w:tabs>
          <w:tab w:val="clear" w:pos="567"/>
          <w:tab w:val="clear" w:pos="1134"/>
          <w:tab w:val="clear" w:pos="1701"/>
          <w:tab w:val="clear" w:pos="2268"/>
        </w:tabs>
        <w:spacing w:line="293" w:lineRule="auto"/>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i/>
          <w:iCs/>
          <w:sz w:val="18"/>
          <w:szCs w:val="18"/>
          <w:lang w:val="en-CA" w:eastAsia="en-GB"/>
        </w:rPr>
        <w:t>Note:</w:t>
      </w:r>
      <w:r w:rsidRPr="005F0A67">
        <w:rPr>
          <w:rFonts w:asciiTheme="majorBidi" w:eastAsia="Times New Roman" w:hAnsiTheme="majorBidi" w:cstheme="majorBidi"/>
          <w:sz w:val="18"/>
          <w:szCs w:val="18"/>
          <w:lang w:val="en-CA" w:eastAsia="en-GB"/>
        </w:rPr>
        <w:t xml:space="preserve"> CNY thresholds converted to USD at ¥6.81/$, the onshore PBoC-referenced spot rate for mid-May 2026 </w:t>
      </w:r>
      <w:r w:rsidRPr="005F0A67">
        <w:rPr>
          <w:rFonts w:asciiTheme="majorBidi" w:eastAsia="Times New Roman" w:hAnsiTheme="majorBidi" w:cstheme="majorBidi"/>
          <w:sz w:val="18"/>
          <w:szCs w:val="18"/>
          <w:lang w:val="en-CA" w:eastAsia="en-GB"/>
        </w:rPr>
        <w:fldChar w:fldCharType="begin"/>
      </w:r>
      <w:r w:rsidRPr="005F0A67">
        <w:rPr>
          <w:rFonts w:asciiTheme="majorBidi" w:eastAsia="Times New Roman" w:hAnsiTheme="majorBidi" w:cstheme="majorBidi"/>
          <w:sz w:val="18"/>
          <w:szCs w:val="18"/>
          <w:lang w:val="en-CA" w:eastAsia="en-GB"/>
        </w:rPr>
        <w:instrText xml:space="preserve"> ADDIN ZOTERO_ITEM CSL_CITATION {"citationID":"Ww6Rnqjz","properties":{"unsorted":false,"formattedCitation":"(Trading Economics, 2026b)","plainCitation":"(Trading Economics, 2026b)","noteIndex":0},"citationItems":[{"id":224,"uris":["http://zotero.org/users/14977742/items/TTP4GUNY"],"itemData":{"id":224,"type":"webpage","citation-key":"ChineseYuanQuote","title":"Chinese Yuan: exchange rates","URL":"https://tradingeconomics.com/china/currency","author":[{"literal":"Trading Economics"}],"accessed":{"date-parts":[["2026",5,17]]},"issued":{"date-parts":[["2026",5]]}}}],"schema":"https://github.com/citation-style-language/schema/raw/master/csl-citation.json"} </w:instrText>
      </w:r>
      <w:r w:rsidRPr="005F0A67">
        <w:rPr>
          <w:rFonts w:asciiTheme="majorBidi" w:eastAsia="Times New Roman" w:hAnsiTheme="majorBidi" w:cstheme="majorBidi"/>
          <w:sz w:val="18"/>
          <w:szCs w:val="18"/>
          <w:lang w:val="en-CA" w:eastAsia="en-GB"/>
        </w:rPr>
        <w:fldChar w:fldCharType="separate"/>
      </w:r>
      <w:r w:rsidRPr="005F0A67">
        <w:rPr>
          <w:rFonts w:asciiTheme="majorBidi" w:eastAsia="Times New Roman" w:hAnsiTheme="majorBidi" w:cstheme="majorBidi"/>
          <w:sz w:val="18"/>
          <w:szCs w:val="18"/>
          <w:lang w:val="en-CA" w:eastAsia="en-GB"/>
        </w:rPr>
        <w:t>(Trading Economics, 2026b)</w:t>
      </w:r>
      <w:r w:rsidRPr="005F0A67">
        <w:rPr>
          <w:rFonts w:asciiTheme="majorBidi" w:eastAsia="Times New Roman" w:hAnsiTheme="majorBidi" w:cstheme="majorBidi"/>
          <w:sz w:val="18"/>
          <w:szCs w:val="18"/>
          <w:lang w:val="en-CA" w:eastAsia="en-GB"/>
        </w:rPr>
        <w:fldChar w:fldCharType="end"/>
      </w:r>
      <w:r w:rsidRPr="005F0A67">
        <w:rPr>
          <w:rFonts w:asciiTheme="majorBidi" w:eastAsia="Times New Roman" w:hAnsiTheme="majorBidi" w:cstheme="majorBidi"/>
          <w:sz w:val="18"/>
          <w:szCs w:val="18"/>
          <w:lang w:val="en-CA" w:eastAsia="en-GB"/>
        </w:rPr>
        <w:t xml:space="preserve">. Agriculture is classified by revenue only; no employment criterion applies. Industry covers pharmaceuticals, biotechnology, cosmetics, nutraceuticals, and laboratory equipment. Both digital sectors are classified by employment and revenue jointly. The classification covers more sectors: the scope of the table was limited to those most relevant to the Cali Fund’s monetary benefit-sharing scope. </w:t>
      </w:r>
    </w:p>
    <w:p w14:paraId="7F1A9A18" w14:textId="77777777" w:rsidR="005F0A67" w:rsidRPr="005F0A67" w:rsidRDefault="005F0A67" w:rsidP="005F0A67">
      <w:pPr>
        <w:tabs>
          <w:tab w:val="clear" w:pos="567"/>
          <w:tab w:val="clear" w:pos="1134"/>
          <w:tab w:val="clear" w:pos="1701"/>
          <w:tab w:val="clear" w:pos="2268"/>
        </w:tabs>
        <w:spacing w:line="293" w:lineRule="auto"/>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i/>
          <w:iCs/>
          <w:sz w:val="18"/>
          <w:szCs w:val="18"/>
          <w:lang w:val="en-CA" w:eastAsia="en-GB"/>
        </w:rPr>
        <w:t>Source:</w:t>
      </w:r>
      <w:r w:rsidRPr="005F0A67">
        <w:rPr>
          <w:rFonts w:asciiTheme="majorBidi" w:eastAsia="Times New Roman" w:hAnsiTheme="majorBidi" w:cstheme="majorBidi"/>
          <w:sz w:val="18"/>
          <w:szCs w:val="18"/>
          <w:lang w:val="en-CA" w:eastAsia="en-GB"/>
        </w:rPr>
        <w:t xml:space="preserve"> </w:t>
      </w:r>
      <w:r w:rsidRPr="005F0A67">
        <w:rPr>
          <w:rFonts w:asciiTheme="majorBidi" w:eastAsia="Times New Roman" w:hAnsiTheme="majorBidi" w:cstheme="majorBidi"/>
          <w:sz w:val="18"/>
          <w:szCs w:val="18"/>
          <w:lang w:val="en-CA" w:eastAsia="en-GB"/>
        </w:rPr>
        <w:fldChar w:fldCharType="begin"/>
      </w:r>
      <w:r w:rsidRPr="005F0A67">
        <w:rPr>
          <w:rFonts w:asciiTheme="majorBidi" w:eastAsia="Times New Roman" w:hAnsiTheme="majorBidi" w:cstheme="majorBidi"/>
          <w:sz w:val="18"/>
          <w:szCs w:val="18"/>
          <w:lang w:val="en-CA" w:eastAsia="en-GB"/>
        </w:rPr>
        <w:instrText xml:space="preserve"> ADDIN ZOTERO_ITEM CSL_CITATION {"citationID":"NwiPIeIP","properties":{"unsorted":false,"formattedCitation":"(MIIT {\\i{}et al.}, 2011; Standing Committee of the National People\\uc0\\u8217{}s Congress, 2017)","plainCitation":"(MIIT et al., 2011; Standing Committee of the National People’s Congress, 2017)","noteIndex":0},"citationItems":[{"id":226,"uris":["http://zotero.org/users/14977742/items/D3ZLNQ4B"],"itemData":{"id":226,"type":"bill","citation-key":"LawPeoplesRepublic","title":"Law of the People's Republic of China on the Promotion of Small and Medium-Sized Enterprises (2017 Revision)","URL":"http://www.csrcare.com/Law/LawShowEn?id=226118","author":[{"literal":"Standing Committee of the National People's Congress"}],"accessed":{"date-parts":[["2026",5,17]]},"issued":{"date-parts":[["2017"]]}}},{"id":225,"uris":["http://zotero.org/users/14977742/items/NVNBJU2Z"],"itemData":{"id":225,"type":"report","citation-key":"zotero-item-2679","title":"Regulations on the Standards for Classifying Small and Medium-sized Enterprises (</w:instrText>
      </w:r>
      <w:r w:rsidRPr="005F0A67">
        <w:rPr>
          <w:rFonts w:asciiTheme="majorBidi" w:eastAsia="MS Gothic" w:hAnsiTheme="majorBidi" w:cstheme="majorBidi"/>
          <w:sz w:val="18"/>
          <w:szCs w:val="18"/>
          <w:lang w:val="en-CA" w:eastAsia="en-GB"/>
        </w:rPr>
        <w:instrText>中小企</w:instrText>
      </w:r>
      <w:r w:rsidRPr="005F0A67">
        <w:rPr>
          <w:rFonts w:asciiTheme="majorBidi" w:eastAsia="Microsoft JhengHei" w:hAnsiTheme="majorBidi" w:cstheme="majorBidi"/>
          <w:sz w:val="18"/>
          <w:szCs w:val="18"/>
          <w:lang w:val="en-CA" w:eastAsia="en-GB"/>
        </w:rPr>
        <w:instrText>业</w:instrText>
      </w:r>
      <w:r w:rsidRPr="005F0A67">
        <w:rPr>
          <w:rFonts w:asciiTheme="majorBidi" w:eastAsia="MS Gothic" w:hAnsiTheme="majorBidi" w:cstheme="majorBidi"/>
          <w:sz w:val="18"/>
          <w:szCs w:val="18"/>
          <w:lang w:val="en-CA" w:eastAsia="en-GB"/>
        </w:rPr>
        <w:instrText>划型</w:instrText>
      </w:r>
      <w:r w:rsidRPr="005F0A67">
        <w:rPr>
          <w:rFonts w:asciiTheme="majorBidi" w:eastAsia="Microsoft JhengHei" w:hAnsiTheme="majorBidi" w:cstheme="majorBidi"/>
          <w:sz w:val="18"/>
          <w:szCs w:val="18"/>
          <w:lang w:val="en-CA" w:eastAsia="en-GB"/>
        </w:rPr>
        <w:instrText>标</w:instrText>
      </w:r>
      <w:r w:rsidRPr="005F0A67">
        <w:rPr>
          <w:rFonts w:asciiTheme="majorBidi" w:eastAsia="MS Gothic" w:hAnsiTheme="majorBidi" w:cstheme="majorBidi"/>
          <w:sz w:val="18"/>
          <w:szCs w:val="18"/>
          <w:lang w:val="en-CA" w:eastAsia="en-GB"/>
        </w:rPr>
        <w:instrText>准</w:instrText>
      </w:r>
      <w:r w:rsidRPr="005F0A67">
        <w:rPr>
          <w:rFonts w:asciiTheme="majorBidi" w:eastAsia="Microsoft JhengHei" w:hAnsiTheme="majorBidi" w:cstheme="majorBidi"/>
          <w:sz w:val="18"/>
          <w:szCs w:val="18"/>
          <w:lang w:val="en-CA" w:eastAsia="en-GB"/>
        </w:rPr>
        <w:instrText>规</w:instrText>
      </w:r>
      <w:r w:rsidRPr="005F0A67">
        <w:rPr>
          <w:rFonts w:asciiTheme="majorBidi" w:eastAsia="MS Gothic" w:hAnsiTheme="majorBidi" w:cstheme="majorBidi"/>
          <w:sz w:val="18"/>
          <w:szCs w:val="18"/>
          <w:lang w:val="en-CA" w:eastAsia="en-GB"/>
        </w:rPr>
        <w:instrText>定</w:instrText>
      </w:r>
      <w:r w:rsidRPr="005F0A67">
        <w:rPr>
          <w:rFonts w:asciiTheme="majorBidi" w:eastAsia="Times New Roman" w:hAnsiTheme="majorBidi" w:cstheme="majorBidi"/>
          <w:sz w:val="18"/>
          <w:szCs w:val="18"/>
          <w:lang w:val="en-CA" w:eastAsia="en-GB"/>
        </w:rPr>
        <w:instrText xml:space="preserve">)","author":[{"literal":"MIIT"},{"literal":"NBS"},{"literal":"NDRC"},{"literal":"MOF"}],"issued":{"date-parts":[["2011"]]}}}],"schema":"https://github.com/citation-style-language/schema/raw/master/csl-citation.json"} </w:instrText>
      </w:r>
      <w:r w:rsidRPr="005F0A67">
        <w:rPr>
          <w:rFonts w:asciiTheme="majorBidi" w:eastAsia="Times New Roman" w:hAnsiTheme="majorBidi" w:cstheme="majorBidi"/>
          <w:sz w:val="18"/>
          <w:szCs w:val="18"/>
          <w:lang w:val="en-CA" w:eastAsia="en-GB"/>
        </w:rPr>
        <w:fldChar w:fldCharType="separate"/>
      </w:r>
      <w:r w:rsidRPr="005F0A67">
        <w:rPr>
          <w:rFonts w:asciiTheme="majorBidi" w:eastAsia="Georgia" w:hAnsiTheme="majorBidi" w:cstheme="majorBidi"/>
          <w:sz w:val="18"/>
          <w:szCs w:val="18"/>
          <w:lang w:val="en-CA" w:eastAsia="en-GB"/>
        </w:rPr>
        <w:t xml:space="preserve">(MIIT </w:t>
      </w:r>
      <w:r w:rsidRPr="005F0A67">
        <w:rPr>
          <w:rFonts w:asciiTheme="majorBidi" w:eastAsia="Georgia" w:hAnsiTheme="majorBidi" w:cstheme="majorBidi"/>
          <w:i/>
          <w:iCs/>
          <w:sz w:val="18"/>
          <w:szCs w:val="18"/>
          <w:lang w:val="en-CA" w:eastAsia="en-GB"/>
        </w:rPr>
        <w:t>et al.</w:t>
      </w:r>
      <w:r w:rsidRPr="005F0A67">
        <w:rPr>
          <w:rFonts w:asciiTheme="majorBidi" w:eastAsia="Georgia" w:hAnsiTheme="majorBidi" w:cstheme="majorBidi"/>
          <w:sz w:val="18"/>
          <w:szCs w:val="18"/>
          <w:lang w:val="en-CA" w:eastAsia="en-GB"/>
        </w:rPr>
        <w:t>, 2011; Standing Committee of the National People’s Congress, 2017)</w:t>
      </w:r>
      <w:r w:rsidRPr="005F0A67">
        <w:rPr>
          <w:rFonts w:asciiTheme="majorBidi" w:eastAsia="Times New Roman" w:hAnsiTheme="majorBidi" w:cstheme="majorBidi"/>
          <w:sz w:val="18"/>
          <w:szCs w:val="18"/>
          <w:lang w:val="en-CA" w:eastAsia="en-GB"/>
        </w:rPr>
        <w:fldChar w:fldCharType="end"/>
      </w:r>
      <w:r w:rsidRPr="005F0A67">
        <w:rPr>
          <w:rFonts w:asciiTheme="majorBidi" w:eastAsia="Times New Roman" w:hAnsiTheme="majorBidi" w:cstheme="majorBidi"/>
          <w:sz w:val="18"/>
          <w:szCs w:val="18"/>
          <w:lang w:val="en-CA" w:eastAsia="en-GB"/>
        </w:rPr>
        <w:t>.</w:t>
      </w:r>
    </w:p>
    <w:p w14:paraId="3A96993C" w14:textId="77777777" w:rsidR="005F0A67" w:rsidRPr="005F0A67" w:rsidRDefault="005F0A67" w:rsidP="00B54840">
      <w:pPr>
        <w:tabs>
          <w:tab w:val="clear" w:pos="567"/>
          <w:tab w:val="clear" w:pos="1134"/>
          <w:tab w:val="clear" w:pos="1701"/>
          <w:tab w:val="clear" w:pos="2268"/>
        </w:tabs>
        <w:spacing w:before="320" w:after="160"/>
        <w:ind w:left="720"/>
        <w:jc w:val="left"/>
        <w:outlineLvl w:val="2"/>
        <w:rPr>
          <w:rFonts w:asciiTheme="majorBidi" w:eastAsia="Arial" w:hAnsiTheme="majorBidi" w:cstheme="majorBidi"/>
          <w:b/>
          <w:bCs/>
          <w:color w:val="7F7F7F"/>
          <w:sz w:val="23"/>
          <w:szCs w:val="23"/>
          <w:lang w:val="en-CA" w:eastAsia="en-GB"/>
        </w:rPr>
      </w:pPr>
      <w:bookmarkStart w:id="91" w:name="_Toc234579566"/>
      <w:r w:rsidRPr="005F0A67">
        <w:rPr>
          <w:rFonts w:asciiTheme="majorBidi" w:eastAsia="Arial" w:hAnsiTheme="majorBidi" w:cstheme="majorBidi"/>
          <w:b/>
          <w:bCs/>
          <w:color w:val="7F7F7F"/>
          <w:sz w:val="23"/>
          <w:szCs w:val="23"/>
          <w:lang w:val="en-CA" w:eastAsia="en-GB"/>
        </w:rPr>
        <w:t>Japan</w:t>
      </w:r>
      <w:bookmarkEnd w:id="91"/>
    </w:p>
    <w:p w14:paraId="3E8158DB"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Japan's SME definition is sector-specific and based on a dual criterion of capital and employee numbers. Under the Small and Medium-sized Enterprise Basic Act, a firm qualifies as an SME if it meets either, not necessarily both, of the thresholds set for its industry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{"citationID":"iDmzzl3T","properties":{"unsorted":false,"formattedCitation":"(Small and Medium Enterprise Agency, 1999)","plainCitation":"(Small and Medium Enterprise Agency, 1999)","noteIndex":0},"citationItems":[{"id":223,"uris":["http://zotero.org/users/14977742/items/6WMLJIVQ"],"itemData":{"id":223,"type":"bill","citation-key":"SmallMediumsizedEnterprise","language":"en","title":"Small and Medium-sized Enterprise Basic Act","URL":"https://www.chusho.meti.go.jp/sme_english/outline/08/01.html","author":[{"literal":"Small and Medium Enterprise Agency"}],"accessed":{"date-parts":[["2026",5,17]]},"issued":{"date-parts":[["1999",12]]}}}],"schema":"https://github.com/citation-style-language/schema/raw/master/csl-citation.json"}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noProof/>
          <w:lang w:val="en-CA" w:eastAsia="en-GB"/>
        </w:rPr>
        <w:t>(Small and Medium Enterprise Agency, 1999)</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A distinctive feature </w:t>
      </w:r>
      <w:r w:rsidRPr="005F0A67">
        <w:rPr>
          <w:rFonts w:asciiTheme="majorBidi" w:eastAsia="Times New Roman" w:hAnsiTheme="majorBidi" w:cstheme="majorBidi"/>
          <w:lang w:val="en-CA" w:eastAsia="en-GB"/>
        </w:rPr>
        <w:lastRenderedPageBreak/>
        <w:t>is this either/or approach combined with strong sector differentiation, which allows firms with low capital but larger workforces, or vice versa, to still qualify as SMEs. Unlike most jurisdictions, Japan uses capital</w:t>
      </w:r>
      <w:r w:rsidRPr="005F0A67">
        <w:rPr>
          <w:rFonts w:asciiTheme="majorBidi" w:eastAsia="Times New Roman" w:hAnsiTheme="majorBidi" w:cstheme="majorBidi"/>
          <w:vertAlign w:val="superscript"/>
          <w:lang w:val="en-CA" w:eastAsia="en-GB"/>
        </w:rPr>
        <w:footnoteReference w:id="46"/>
      </w:r>
      <w:r w:rsidRPr="005F0A67">
        <w:rPr>
          <w:rFonts w:asciiTheme="majorBidi" w:eastAsia="Times New Roman" w:hAnsiTheme="majorBidi" w:cstheme="majorBidi"/>
          <w:lang w:val="en-CA" w:eastAsia="en-GB"/>
        </w:rPr>
        <w:t xml:space="preserve"> rather than revenue as its financial indicator. </w:t>
      </w:r>
    </w:p>
    <w:p w14:paraId="033A9D08"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Japan also defines a sub-category of small enterprises within the broader SME population, with employee counts below 20 or fewer employees, reflecting the prevalence of micro and family-run businesses. For Cali Fund purposes, the most relevant sectors are manufacturing, which covers pharmaceuticals, biotechnology, and cosmetics, and services, which covers software and information-related activities.</w:t>
      </w:r>
    </w:p>
    <w:p w14:paraId="7AA6FCB7" w14:textId="77777777" w:rsidR="005F0A67" w:rsidRPr="005F0A67" w:rsidRDefault="005F0A67" w:rsidP="005F0A67">
      <w:pPr>
        <w:tabs>
          <w:tab w:val="clear" w:pos="567"/>
          <w:tab w:val="clear" w:pos="1134"/>
          <w:tab w:val="clear" w:pos="1701"/>
          <w:tab w:val="clear" w:pos="2268"/>
        </w:tabs>
        <w:spacing w:after="200" w:line="312" w:lineRule="auto"/>
        <w:contextualSpacing/>
        <w:rPr>
          <w:rFonts w:asciiTheme="majorBidi" w:eastAsia="Georgia" w:hAnsiTheme="majorBidi" w:cstheme="majorBidi"/>
          <w:b/>
          <w:bCs/>
          <w:color w:val="419844"/>
          <w:lang w:eastAsia="en-GB"/>
        </w:rPr>
      </w:pPr>
      <w:r w:rsidRPr="005F0A67">
        <w:rPr>
          <w:rFonts w:asciiTheme="majorBidi" w:eastAsia="Georgia" w:hAnsiTheme="majorBidi" w:cstheme="majorBidi"/>
          <w:b/>
          <w:bCs/>
          <w:color w:val="419844"/>
          <w:lang w:val="en-US" w:eastAsia="ja-JP"/>
        </w:rPr>
        <w:t>Tabl</w:t>
      </w:r>
      <w:r w:rsidRPr="005F0A67">
        <w:rPr>
          <w:rFonts w:asciiTheme="majorBidi" w:eastAsia="Yu Mincho" w:hAnsiTheme="majorBidi" w:cstheme="majorBidi"/>
          <w:b/>
          <w:bCs/>
          <w:color w:val="419844"/>
          <w:lang w:val="en-US" w:eastAsia="ja-JP"/>
        </w:rPr>
        <w:t xml:space="preserve">e </w:t>
      </w:r>
      <w:r w:rsidRPr="005F0A67">
        <w:rPr>
          <w:rFonts w:asciiTheme="majorBidi" w:eastAsia="Georgia" w:hAnsiTheme="majorBidi" w:cstheme="majorBidi"/>
          <w:b/>
          <w:bCs/>
          <w:color w:val="419844"/>
          <w:lang w:eastAsia="en-GB"/>
        </w:rPr>
        <w:fldChar w:fldCharType="begin"/>
      </w:r>
      <w:r w:rsidRPr="005F0A67">
        <w:rPr>
          <w:rFonts w:asciiTheme="majorBidi" w:eastAsia="Georgia" w:hAnsiTheme="majorBidi" w:cstheme="majorBidi"/>
          <w:b/>
          <w:bCs/>
          <w:color w:val="419844"/>
          <w:lang w:eastAsia="en-GB"/>
        </w:rPr>
        <w:instrText xml:space="preserve"> SEQ Table \* ARABIC </w:instrText>
      </w:r>
      <w:r w:rsidRPr="005F0A67">
        <w:rPr>
          <w:rFonts w:asciiTheme="majorBidi" w:eastAsia="Georgia" w:hAnsiTheme="majorBidi" w:cstheme="majorBidi"/>
          <w:b/>
          <w:bCs/>
          <w:color w:val="419844"/>
          <w:lang w:eastAsia="en-GB"/>
        </w:rPr>
        <w:fldChar w:fldCharType="separate"/>
      </w:r>
      <w:r w:rsidRPr="005F0A67">
        <w:rPr>
          <w:rFonts w:asciiTheme="majorBidi" w:eastAsia="Georgia" w:hAnsiTheme="majorBidi" w:cstheme="majorBidi"/>
          <w:b/>
          <w:bCs/>
          <w:noProof/>
          <w:color w:val="419844"/>
          <w:lang w:eastAsia="en-GB"/>
        </w:rPr>
        <w:t>4</w:t>
      </w:r>
      <w:r w:rsidRPr="005F0A67">
        <w:rPr>
          <w:rFonts w:asciiTheme="majorBidi" w:eastAsia="Georgia" w:hAnsiTheme="majorBidi" w:cstheme="majorBidi"/>
          <w:b/>
          <w:bCs/>
          <w:color w:val="419844"/>
          <w:lang w:eastAsia="en-GB"/>
        </w:rPr>
        <w:fldChar w:fldCharType="end"/>
      </w:r>
      <w:r w:rsidRPr="005F0A67">
        <w:rPr>
          <w:rFonts w:asciiTheme="majorBidi" w:eastAsia="Yu Mincho" w:hAnsiTheme="majorBidi" w:cstheme="majorBidi"/>
          <w:b/>
          <w:bCs/>
          <w:color w:val="419844"/>
          <w:lang w:val="en-US" w:eastAsia="ja-JP"/>
        </w:rPr>
        <w:t xml:space="preserve"> Japan</w:t>
      </w:r>
      <w:r w:rsidRPr="005F0A67">
        <w:rPr>
          <w:rFonts w:asciiTheme="majorBidi" w:eastAsia="Georgia" w:hAnsiTheme="majorBidi" w:cstheme="majorBidi"/>
          <w:b/>
          <w:bCs/>
          <w:color w:val="419844"/>
          <w:lang w:val="en-US" w:eastAsia="ja-JP"/>
        </w:rPr>
        <w:t>’s definition of small and medium-sized enterprises</w:t>
      </w: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3400"/>
        <w:gridCol w:w="3261"/>
        <w:gridCol w:w="3055"/>
      </w:tblGrid>
      <w:tr w:rsidR="005F0A67" w:rsidRPr="005F0A67" w14:paraId="02BE3196" w14:textId="77777777" w:rsidTr="00FB671B">
        <w:trPr>
          <w:trHeight w:val="232"/>
          <w:tblHeader/>
        </w:trPr>
        <w:tc>
          <w:tcPr>
            <w:tcW w:w="1750" w:type="pct"/>
            <w:tcBorders>
              <w:top w:val="single" w:sz="1" w:space="0" w:color="AAAAAA"/>
              <w:left w:val="single" w:sz="1" w:space="0" w:color="AAAAAA"/>
              <w:bottom w:val="single" w:sz="1" w:space="0" w:color="AAAAAA"/>
              <w:right w:val="single" w:sz="1" w:space="0" w:color="AAAAAA"/>
            </w:tcBorders>
            <w:shd w:val="clear" w:color="auto" w:fill="1F4E6B"/>
            <w:tcMar>
              <w:top w:w="60" w:type="dxa"/>
              <w:left w:w="100" w:type="dxa"/>
              <w:bottom w:w="60" w:type="dxa"/>
              <w:right w:w="100" w:type="dxa"/>
            </w:tcMar>
          </w:tcPr>
          <w:p w14:paraId="7339FD41"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FFFFFF"/>
                <w:sz w:val="18"/>
                <w:szCs w:val="18"/>
                <w:lang w:val="en-CA" w:eastAsia="en-GB"/>
              </w:rPr>
            </w:pPr>
            <w:r w:rsidRPr="005F0A67">
              <w:rPr>
                <w:rFonts w:asciiTheme="majorBidi" w:eastAsia="Tahoma" w:hAnsiTheme="majorBidi" w:cstheme="majorBidi"/>
                <w:b/>
                <w:bCs/>
                <w:color w:val="FFFFFF"/>
                <w:sz w:val="18"/>
                <w:szCs w:val="18"/>
                <w:lang w:val="en-CA" w:eastAsia="en-GB"/>
              </w:rPr>
              <w:t>Sector</w:t>
            </w:r>
          </w:p>
        </w:tc>
        <w:tc>
          <w:tcPr>
            <w:tcW w:w="1678" w:type="pct"/>
            <w:tcBorders>
              <w:top w:val="single" w:sz="1" w:space="0" w:color="AAAAAA"/>
              <w:left w:val="single" w:sz="1" w:space="0" w:color="AAAAAA"/>
              <w:bottom w:val="single" w:sz="1" w:space="0" w:color="AAAAAA"/>
              <w:right w:val="single" w:sz="1" w:space="0" w:color="AAAAAA"/>
            </w:tcBorders>
            <w:shd w:val="clear" w:color="auto" w:fill="1F4E6B"/>
            <w:tcMar>
              <w:top w:w="60" w:type="dxa"/>
              <w:left w:w="100" w:type="dxa"/>
              <w:bottom w:w="60" w:type="dxa"/>
              <w:right w:w="100" w:type="dxa"/>
            </w:tcMar>
          </w:tcPr>
          <w:p w14:paraId="12B59270"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FFFFFF"/>
                <w:sz w:val="18"/>
                <w:szCs w:val="18"/>
                <w:lang w:val="en-CA" w:eastAsia="en-GB"/>
              </w:rPr>
            </w:pPr>
            <w:r w:rsidRPr="005F0A67">
              <w:rPr>
                <w:rFonts w:asciiTheme="majorBidi" w:eastAsia="Tahoma" w:hAnsiTheme="majorBidi" w:cstheme="majorBidi"/>
                <w:b/>
                <w:bCs/>
                <w:color w:val="FFFFFF"/>
                <w:sz w:val="18"/>
                <w:szCs w:val="18"/>
                <w:lang w:val="en-CA" w:eastAsia="en-GB"/>
              </w:rPr>
              <w:t>Capital threshold</w:t>
            </w:r>
          </w:p>
        </w:tc>
        <w:tc>
          <w:tcPr>
            <w:tcW w:w="1572" w:type="pct"/>
            <w:tcBorders>
              <w:top w:val="single" w:sz="1" w:space="0" w:color="AAAAAA"/>
              <w:left w:val="single" w:sz="1" w:space="0" w:color="AAAAAA"/>
              <w:bottom w:val="single" w:sz="1" w:space="0" w:color="AAAAAA"/>
              <w:right w:val="single" w:sz="1" w:space="0" w:color="AAAAAA"/>
            </w:tcBorders>
            <w:shd w:val="clear" w:color="auto" w:fill="1F4E6B"/>
          </w:tcPr>
          <w:p w14:paraId="5ABF94D9"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FFFFFF"/>
                <w:sz w:val="18"/>
                <w:szCs w:val="18"/>
                <w:lang w:val="en-CA" w:eastAsia="en-GB"/>
              </w:rPr>
            </w:pPr>
            <w:r w:rsidRPr="005F0A67">
              <w:rPr>
                <w:rFonts w:asciiTheme="majorBidi" w:eastAsia="Tahoma" w:hAnsiTheme="majorBidi" w:cstheme="majorBidi"/>
                <w:b/>
                <w:bCs/>
                <w:color w:val="FFFFFF"/>
                <w:sz w:val="18"/>
                <w:szCs w:val="18"/>
                <w:lang w:val="en-CA" w:eastAsia="en-GB"/>
              </w:rPr>
              <w:t>Employee threshold</w:t>
            </w:r>
          </w:p>
        </w:tc>
      </w:tr>
      <w:tr w:rsidR="005F0A67" w:rsidRPr="005F0A67" w14:paraId="537BB3D9" w14:textId="77777777" w:rsidTr="005F0A67">
        <w:trPr>
          <w:trHeight w:val="277"/>
        </w:trPr>
        <w:tc>
          <w:tcPr>
            <w:tcW w:w="1750"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5580F86B"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val="en-CA" w:eastAsia="en-GB"/>
              </w:rPr>
              <w:t>Manufacturing, construction, transport and others</w:t>
            </w:r>
          </w:p>
        </w:tc>
        <w:tc>
          <w:tcPr>
            <w:tcW w:w="1678" w:type="pct"/>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vAlign w:val="center"/>
          </w:tcPr>
          <w:p w14:paraId="4FC7122A"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 ¥300M (~$1.9M)</w:t>
            </w:r>
          </w:p>
        </w:tc>
        <w:tc>
          <w:tcPr>
            <w:tcW w:w="1572" w:type="pct"/>
            <w:tcBorders>
              <w:top w:val="single" w:sz="1" w:space="0" w:color="AAAAAA"/>
              <w:left w:val="single" w:sz="1" w:space="0" w:color="AAAAAA"/>
              <w:bottom w:val="single" w:sz="1" w:space="0" w:color="AAAAAA"/>
              <w:right w:val="single" w:sz="1" w:space="0" w:color="AAAAAA"/>
            </w:tcBorders>
            <w:shd w:val="clear" w:color="auto" w:fill="FFFFFF"/>
            <w:vAlign w:val="center"/>
          </w:tcPr>
          <w:p w14:paraId="2310B851"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 300</w:t>
            </w:r>
          </w:p>
        </w:tc>
      </w:tr>
      <w:tr w:rsidR="005F0A67" w:rsidRPr="005F0A67" w14:paraId="398490A4" w14:textId="77777777" w:rsidTr="005F0A67">
        <w:trPr>
          <w:trHeight w:val="306"/>
        </w:trPr>
        <w:tc>
          <w:tcPr>
            <w:tcW w:w="1750"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4BAF5D0E"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Wholesale</w:t>
            </w:r>
          </w:p>
        </w:tc>
        <w:tc>
          <w:tcPr>
            <w:tcW w:w="1678" w:type="pct"/>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vAlign w:val="center"/>
          </w:tcPr>
          <w:p w14:paraId="2191B808"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 ¥100M (~$631K)</w:t>
            </w:r>
          </w:p>
        </w:tc>
        <w:tc>
          <w:tcPr>
            <w:tcW w:w="1572" w:type="pct"/>
            <w:tcBorders>
              <w:top w:val="single" w:sz="1" w:space="0" w:color="AAAAAA"/>
              <w:left w:val="single" w:sz="1" w:space="0" w:color="AAAAAA"/>
              <w:bottom w:val="single" w:sz="1" w:space="0" w:color="AAAAAA"/>
              <w:right w:val="single" w:sz="1" w:space="0" w:color="AAAAAA"/>
            </w:tcBorders>
            <w:shd w:val="clear" w:color="auto" w:fill="FFFFFF"/>
            <w:vAlign w:val="center"/>
          </w:tcPr>
          <w:p w14:paraId="6E4DCB7E"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 100</w:t>
            </w:r>
          </w:p>
        </w:tc>
      </w:tr>
      <w:tr w:rsidR="005F0A67" w:rsidRPr="005F0A67" w14:paraId="5CF53AA2" w14:textId="77777777" w:rsidTr="005F0A67">
        <w:trPr>
          <w:trHeight w:val="306"/>
        </w:trPr>
        <w:tc>
          <w:tcPr>
            <w:tcW w:w="1750"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2DADC4C3"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Retail</w:t>
            </w:r>
          </w:p>
        </w:tc>
        <w:tc>
          <w:tcPr>
            <w:tcW w:w="1678" w:type="pct"/>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vAlign w:val="center"/>
          </w:tcPr>
          <w:p w14:paraId="7E6236DE"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 ¥50M (~$315K)</w:t>
            </w:r>
          </w:p>
        </w:tc>
        <w:tc>
          <w:tcPr>
            <w:tcW w:w="1572" w:type="pct"/>
            <w:tcBorders>
              <w:top w:val="single" w:sz="1" w:space="0" w:color="AAAAAA"/>
              <w:left w:val="single" w:sz="1" w:space="0" w:color="AAAAAA"/>
              <w:bottom w:val="single" w:sz="1" w:space="0" w:color="AAAAAA"/>
              <w:right w:val="single" w:sz="1" w:space="0" w:color="AAAAAA"/>
            </w:tcBorders>
            <w:shd w:val="clear" w:color="auto" w:fill="FFFFFF"/>
            <w:vAlign w:val="center"/>
          </w:tcPr>
          <w:p w14:paraId="18DFCE2C"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bookmarkStart w:id="92" w:name="_Hlk229927392"/>
            <w:r w:rsidRPr="005F0A67">
              <w:rPr>
                <w:rFonts w:asciiTheme="majorBidi" w:eastAsia="Times New Roman" w:hAnsiTheme="majorBidi" w:cstheme="majorBidi"/>
                <w:sz w:val="18"/>
                <w:szCs w:val="18"/>
                <w:lang w:eastAsia="en-GB"/>
              </w:rPr>
              <w:t>≤ 50</w:t>
            </w:r>
            <w:bookmarkEnd w:id="92"/>
          </w:p>
        </w:tc>
      </w:tr>
      <w:tr w:rsidR="005F0A67" w:rsidRPr="005F0A67" w14:paraId="51C5C604" w14:textId="77777777" w:rsidTr="005F0A67">
        <w:trPr>
          <w:trHeight w:val="306"/>
        </w:trPr>
        <w:tc>
          <w:tcPr>
            <w:tcW w:w="1750"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46D75216"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Services</w:t>
            </w:r>
          </w:p>
        </w:tc>
        <w:tc>
          <w:tcPr>
            <w:tcW w:w="1678" w:type="pct"/>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vAlign w:val="center"/>
          </w:tcPr>
          <w:p w14:paraId="4D74EBC9"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 ¥50M (~$315K)</w:t>
            </w:r>
          </w:p>
        </w:tc>
        <w:tc>
          <w:tcPr>
            <w:tcW w:w="1572" w:type="pct"/>
            <w:tcBorders>
              <w:top w:val="single" w:sz="1" w:space="0" w:color="AAAAAA"/>
              <w:left w:val="single" w:sz="1" w:space="0" w:color="AAAAAA"/>
              <w:bottom w:val="single" w:sz="1" w:space="0" w:color="AAAAAA"/>
              <w:right w:val="single" w:sz="1" w:space="0" w:color="AAAAAA"/>
            </w:tcBorders>
            <w:shd w:val="clear" w:color="auto" w:fill="FFFFFF"/>
            <w:vAlign w:val="center"/>
          </w:tcPr>
          <w:p w14:paraId="19865709"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 100</w:t>
            </w:r>
          </w:p>
        </w:tc>
      </w:tr>
      <w:tr w:rsidR="005F0A67" w:rsidRPr="005F0A67" w14:paraId="607D60AA" w14:textId="77777777" w:rsidTr="00FB671B">
        <w:trPr>
          <w:trHeight w:val="306"/>
        </w:trPr>
        <w:tc>
          <w:tcPr>
            <w:tcW w:w="5000" w:type="pct"/>
            <w:gridSpan w:val="3"/>
            <w:tcBorders>
              <w:top w:val="single" w:sz="1" w:space="0" w:color="AAAAAA"/>
              <w:left w:val="single" w:sz="1" w:space="0" w:color="AAAAAA"/>
              <w:bottom w:val="single" w:sz="1" w:space="0" w:color="AAAAAA"/>
              <w:right w:val="single" w:sz="1" w:space="0" w:color="AAAAAA"/>
            </w:tcBorders>
            <w:shd w:val="clear" w:color="auto" w:fill="1F4E6B"/>
            <w:tcMar>
              <w:top w:w="60" w:type="dxa"/>
              <w:left w:w="100" w:type="dxa"/>
              <w:bottom w:w="60" w:type="dxa"/>
              <w:right w:w="100" w:type="dxa"/>
            </w:tcMar>
            <w:vAlign w:val="center"/>
          </w:tcPr>
          <w:p w14:paraId="2B4A67D0"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18"/>
                <w:szCs w:val="18"/>
                <w:lang w:val="en-CA" w:eastAsia="en-GB"/>
              </w:rPr>
            </w:pPr>
            <w:r w:rsidRPr="005F0A67">
              <w:rPr>
                <w:rFonts w:asciiTheme="majorBidi" w:eastAsia="Tahoma" w:hAnsiTheme="majorBidi" w:cstheme="majorBidi"/>
                <w:b/>
                <w:bCs/>
                <w:color w:val="FFFFFF"/>
                <w:sz w:val="18"/>
                <w:szCs w:val="18"/>
                <w:lang w:val="en-CA" w:eastAsia="en-GB"/>
              </w:rPr>
              <w:t>Small enterprise sub-category (within SMEs)</w:t>
            </w:r>
          </w:p>
        </w:tc>
      </w:tr>
      <w:tr w:rsidR="005F0A67" w:rsidRPr="005F0A67" w14:paraId="5765D84C" w14:textId="77777777" w:rsidTr="005F0A67">
        <w:trPr>
          <w:trHeight w:val="411"/>
        </w:trPr>
        <w:tc>
          <w:tcPr>
            <w:tcW w:w="1750" w:type="pct"/>
            <w:tcBorders>
              <w:top w:val="single" w:sz="1" w:space="0" w:color="AAAAAA"/>
              <w:left w:val="single" w:sz="1" w:space="0" w:color="AAAAAA"/>
              <w:bottom w:val="single" w:sz="1" w:space="0" w:color="AAAAAA"/>
              <w:right w:val="single" w:sz="1" w:space="0" w:color="AAAAAA"/>
            </w:tcBorders>
            <w:shd w:val="clear" w:color="auto" w:fill="3586BA"/>
            <w:tcMar>
              <w:top w:w="60" w:type="dxa"/>
              <w:left w:w="100" w:type="dxa"/>
              <w:bottom w:w="60" w:type="dxa"/>
              <w:right w:w="100" w:type="dxa"/>
            </w:tcMar>
            <w:vAlign w:val="center"/>
          </w:tcPr>
          <w:p w14:paraId="44F24C40"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FFFFFF"/>
                <w:sz w:val="18"/>
                <w:szCs w:val="18"/>
                <w:lang w:val="en-CA" w:eastAsia="en-GB"/>
              </w:rPr>
            </w:pPr>
            <w:r w:rsidRPr="005F0A67">
              <w:rPr>
                <w:rFonts w:asciiTheme="majorBidi" w:eastAsia="Tahoma" w:hAnsiTheme="majorBidi" w:cstheme="majorBidi"/>
                <w:b/>
                <w:bCs/>
                <w:color w:val="FFFFFF"/>
                <w:sz w:val="18"/>
                <w:szCs w:val="18"/>
                <w:lang w:val="en-CA" w:eastAsia="en-GB"/>
              </w:rPr>
              <w:t>Sector group</w:t>
            </w:r>
          </w:p>
        </w:tc>
        <w:tc>
          <w:tcPr>
            <w:tcW w:w="1678" w:type="pct"/>
            <w:tcBorders>
              <w:top w:val="single" w:sz="1" w:space="0" w:color="AAAAAA"/>
              <w:left w:val="single" w:sz="1" w:space="0" w:color="AAAAAA"/>
              <w:bottom w:val="single" w:sz="1" w:space="0" w:color="AAAAAA"/>
              <w:right w:val="single" w:sz="1" w:space="0" w:color="AAAAAA"/>
            </w:tcBorders>
            <w:shd w:val="clear" w:color="auto" w:fill="3586BA"/>
            <w:vAlign w:val="center"/>
          </w:tcPr>
          <w:p w14:paraId="1E63FBB5"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FFFFFF"/>
                <w:sz w:val="18"/>
                <w:szCs w:val="18"/>
                <w:lang w:val="en-CA" w:eastAsia="en-GB"/>
              </w:rPr>
            </w:pPr>
            <w:r w:rsidRPr="005F0A67">
              <w:rPr>
                <w:rFonts w:asciiTheme="majorBidi" w:eastAsia="Tahoma" w:hAnsiTheme="majorBidi" w:cstheme="majorBidi"/>
                <w:b/>
                <w:bCs/>
                <w:color w:val="FFFFFF"/>
                <w:sz w:val="18"/>
                <w:szCs w:val="18"/>
                <w:lang w:val="en-CA" w:eastAsia="en-GB"/>
              </w:rPr>
              <w:t>Employee threshold (small enterprise)</w:t>
            </w:r>
          </w:p>
        </w:tc>
        <w:tc>
          <w:tcPr>
            <w:tcW w:w="1572" w:type="pct"/>
            <w:vMerge w:val="restart"/>
            <w:tcBorders>
              <w:top w:val="single" w:sz="1" w:space="0" w:color="AAAAAA"/>
              <w:left w:val="single" w:sz="1" w:space="0" w:color="AAAAAA"/>
              <w:right w:val="single" w:sz="1" w:space="0" w:color="AAAAAA"/>
            </w:tcBorders>
            <w:shd w:val="clear" w:color="auto" w:fill="A6A6A6"/>
            <w:vAlign w:val="center"/>
          </w:tcPr>
          <w:p w14:paraId="7CBC1B07"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FFFFFF"/>
                <w:sz w:val="18"/>
                <w:szCs w:val="18"/>
                <w:lang w:val="en-CA" w:eastAsia="en-GB"/>
              </w:rPr>
            </w:pPr>
          </w:p>
        </w:tc>
      </w:tr>
      <w:tr w:rsidR="005F0A67" w:rsidRPr="005F0A67" w14:paraId="07AC2BDD" w14:textId="77777777" w:rsidTr="00FB671B">
        <w:trPr>
          <w:trHeight w:val="323"/>
        </w:trPr>
        <w:tc>
          <w:tcPr>
            <w:tcW w:w="1750" w:type="pct"/>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vAlign w:val="center"/>
          </w:tcPr>
          <w:p w14:paraId="7927C614"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Manufacturing and others</w:t>
            </w:r>
          </w:p>
        </w:tc>
        <w:tc>
          <w:tcPr>
            <w:tcW w:w="1678" w:type="pct"/>
            <w:tcBorders>
              <w:top w:val="single" w:sz="1" w:space="0" w:color="AAAAAA"/>
              <w:left w:val="single" w:sz="1" w:space="0" w:color="AAAAAA"/>
              <w:bottom w:val="single" w:sz="1" w:space="0" w:color="AAAAAA"/>
              <w:right w:val="single" w:sz="1" w:space="0" w:color="AAAAAA"/>
            </w:tcBorders>
            <w:vAlign w:val="center"/>
          </w:tcPr>
          <w:p w14:paraId="05E6F1BE"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 20</w:t>
            </w:r>
          </w:p>
        </w:tc>
        <w:tc>
          <w:tcPr>
            <w:tcW w:w="1572" w:type="pct"/>
            <w:vMerge/>
            <w:vAlign w:val="center"/>
          </w:tcPr>
          <w:p w14:paraId="07D4BEE6"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FFFFFF"/>
                <w:sz w:val="18"/>
                <w:szCs w:val="18"/>
                <w:lang w:val="en-CA" w:eastAsia="en-GB"/>
              </w:rPr>
            </w:pPr>
          </w:p>
        </w:tc>
      </w:tr>
      <w:tr w:rsidR="005F0A67" w:rsidRPr="005F0A67" w14:paraId="474881C5" w14:textId="77777777" w:rsidTr="00FB671B">
        <w:trPr>
          <w:trHeight w:val="322"/>
        </w:trPr>
        <w:tc>
          <w:tcPr>
            <w:tcW w:w="1750" w:type="pct"/>
            <w:tcBorders>
              <w:top w:val="single" w:sz="1" w:space="0" w:color="AAAAAA"/>
              <w:left w:val="single" w:sz="1" w:space="0" w:color="AAAAAA"/>
              <w:right w:val="single" w:sz="1" w:space="0" w:color="AAAAAA"/>
            </w:tcBorders>
            <w:tcMar>
              <w:top w:w="60" w:type="dxa"/>
              <w:left w:w="100" w:type="dxa"/>
              <w:bottom w:w="60" w:type="dxa"/>
              <w:right w:w="100" w:type="dxa"/>
            </w:tcMar>
            <w:vAlign w:val="center"/>
          </w:tcPr>
          <w:p w14:paraId="731B7A80"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Commerce and services</w:t>
            </w:r>
          </w:p>
        </w:tc>
        <w:tc>
          <w:tcPr>
            <w:tcW w:w="1678" w:type="pct"/>
            <w:tcBorders>
              <w:top w:val="single" w:sz="1" w:space="0" w:color="AAAAAA"/>
              <w:left w:val="single" w:sz="1" w:space="0" w:color="AAAAAA"/>
              <w:right w:val="single" w:sz="1" w:space="0" w:color="AAAAAA"/>
            </w:tcBorders>
            <w:vAlign w:val="center"/>
          </w:tcPr>
          <w:p w14:paraId="003769B4"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 5</w:t>
            </w:r>
          </w:p>
        </w:tc>
        <w:tc>
          <w:tcPr>
            <w:tcW w:w="1572" w:type="pct"/>
            <w:vMerge/>
            <w:vAlign w:val="center"/>
          </w:tcPr>
          <w:p w14:paraId="68DED2C3"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FFFFFF"/>
                <w:sz w:val="18"/>
                <w:szCs w:val="18"/>
                <w:lang w:val="en-CA" w:eastAsia="en-GB"/>
              </w:rPr>
            </w:pPr>
          </w:p>
        </w:tc>
      </w:tr>
    </w:tbl>
    <w:p w14:paraId="43A73F41" w14:textId="77777777" w:rsidR="005F0A67" w:rsidRPr="005F0A67" w:rsidRDefault="005F0A67" w:rsidP="005F0A67">
      <w:pPr>
        <w:tabs>
          <w:tab w:val="clear" w:pos="567"/>
          <w:tab w:val="clear" w:pos="1134"/>
          <w:tab w:val="clear" w:pos="1701"/>
          <w:tab w:val="clear" w:pos="2268"/>
        </w:tabs>
        <w:spacing w:line="293" w:lineRule="auto"/>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i/>
          <w:iCs/>
          <w:sz w:val="18"/>
          <w:szCs w:val="18"/>
          <w:lang w:val="en-CA" w:eastAsia="en-GB"/>
        </w:rPr>
        <w:t>Note:</w:t>
      </w:r>
      <w:r w:rsidRPr="005F0A67">
        <w:rPr>
          <w:rFonts w:asciiTheme="majorBidi" w:eastAsia="Times New Roman" w:hAnsiTheme="majorBidi" w:cstheme="majorBidi"/>
          <w:sz w:val="18"/>
          <w:szCs w:val="18"/>
          <w:lang w:val="en-CA" w:eastAsia="en-GB"/>
        </w:rPr>
        <w:t xml:space="preserve"> JPY thresholds converted to USD at ¥158.5/$, spot rate mid-May 2026 </w:t>
      </w:r>
      <w:r w:rsidRPr="005F0A67">
        <w:rPr>
          <w:rFonts w:asciiTheme="majorBidi" w:eastAsia="Times New Roman" w:hAnsiTheme="majorBidi" w:cstheme="majorBidi"/>
          <w:sz w:val="18"/>
          <w:szCs w:val="18"/>
          <w:lang w:val="en-CA" w:eastAsia="en-GB"/>
        </w:rPr>
        <w:fldChar w:fldCharType="begin"/>
      </w:r>
      <w:r w:rsidRPr="005F0A67">
        <w:rPr>
          <w:rFonts w:asciiTheme="majorBidi" w:eastAsia="Times New Roman" w:hAnsiTheme="majorBidi" w:cstheme="majorBidi"/>
          <w:sz w:val="18"/>
          <w:szCs w:val="18"/>
          <w:lang w:val="en-CA" w:eastAsia="en-GB"/>
        </w:rPr>
        <w:instrText xml:space="preserve"> ADDIN ZOTERO_ITEM CSL_CITATION {"citationID":"Xwb5O7Xp","properties":{"unsorted":false,"formattedCitation":"(Trading Economics, 2026d)","plainCitation":"(Trading Economics, 2026d)","noteIndex":0},"citationItems":[{"id":222,"uris":["http://zotero.org/users/14977742/items/LLWNFXDH"],"itemData":{"id":222,"type":"webpage","citation-key":"JapaneseYenQuote","title":"Japanese Yen Exchange Rate","URL":"https://tradingeconomics.com/japan/currency","author":[{"literal":"Trading Economics"}],"accessed":{"date-parts":[["2026",5,17]]},"issued":{"date-parts":[["2026",5]]}}}],"schema":"https://github.com/citation-style-language/schema/raw/master/csl-citation.json"} </w:instrText>
      </w:r>
      <w:r w:rsidRPr="005F0A67">
        <w:rPr>
          <w:rFonts w:asciiTheme="majorBidi" w:eastAsia="Times New Roman" w:hAnsiTheme="majorBidi" w:cstheme="majorBidi"/>
          <w:sz w:val="18"/>
          <w:szCs w:val="18"/>
          <w:lang w:val="en-CA" w:eastAsia="en-GB"/>
        </w:rPr>
        <w:fldChar w:fldCharType="separate"/>
      </w:r>
      <w:r w:rsidRPr="005F0A67">
        <w:rPr>
          <w:rFonts w:asciiTheme="majorBidi" w:eastAsia="Times New Roman" w:hAnsiTheme="majorBidi" w:cstheme="majorBidi"/>
          <w:sz w:val="18"/>
          <w:szCs w:val="18"/>
          <w:lang w:val="en-CA" w:eastAsia="en-GB"/>
        </w:rPr>
        <w:t>(Trading Economics, 2026d)</w:t>
      </w:r>
      <w:r w:rsidRPr="005F0A67">
        <w:rPr>
          <w:rFonts w:asciiTheme="majorBidi" w:eastAsia="Times New Roman" w:hAnsiTheme="majorBidi" w:cstheme="majorBidi"/>
          <w:sz w:val="18"/>
          <w:szCs w:val="18"/>
          <w:lang w:val="en-CA" w:eastAsia="en-GB"/>
        </w:rPr>
        <w:fldChar w:fldCharType="end"/>
      </w:r>
      <w:r w:rsidRPr="005F0A67">
        <w:rPr>
          <w:rFonts w:asciiTheme="majorBidi" w:eastAsia="Times New Roman" w:hAnsiTheme="majorBidi" w:cstheme="majorBidi"/>
          <w:sz w:val="18"/>
          <w:szCs w:val="18"/>
          <w:lang w:val="en-CA" w:eastAsia="en-GB"/>
        </w:rPr>
        <w:t>. An enterprise qualifies as an SME by meeting either the capital or employee criterion. The small enterprise sub-category is employee-only; no capital criterion applies at that tier.</w:t>
      </w:r>
    </w:p>
    <w:p w14:paraId="02326E8B" w14:textId="77777777" w:rsidR="005F0A67" w:rsidRPr="005F0A67" w:rsidRDefault="005F0A67" w:rsidP="005F0A67">
      <w:pPr>
        <w:tabs>
          <w:tab w:val="clear" w:pos="567"/>
          <w:tab w:val="clear" w:pos="1134"/>
          <w:tab w:val="clear" w:pos="1701"/>
          <w:tab w:val="clear" w:pos="2268"/>
        </w:tabs>
        <w:spacing w:line="293" w:lineRule="auto"/>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i/>
          <w:iCs/>
          <w:sz w:val="18"/>
          <w:szCs w:val="18"/>
          <w:lang w:val="en-CA" w:eastAsia="en-GB"/>
        </w:rPr>
        <w:t xml:space="preserve">Source: </w:t>
      </w:r>
      <w:r w:rsidRPr="005F0A67">
        <w:rPr>
          <w:rFonts w:asciiTheme="majorBidi" w:eastAsia="Times New Roman" w:hAnsiTheme="majorBidi" w:cstheme="majorBidi"/>
          <w:sz w:val="18"/>
          <w:szCs w:val="18"/>
          <w:lang w:val="en-CA" w:eastAsia="en-GB"/>
        </w:rPr>
        <w:fldChar w:fldCharType="begin"/>
      </w:r>
      <w:r w:rsidRPr="005F0A67">
        <w:rPr>
          <w:rFonts w:asciiTheme="majorBidi" w:eastAsia="Times New Roman" w:hAnsiTheme="majorBidi" w:cstheme="majorBidi"/>
          <w:sz w:val="18"/>
          <w:szCs w:val="18"/>
          <w:lang w:val="en-CA" w:eastAsia="en-GB"/>
        </w:rPr>
        <w:instrText xml:space="preserve"> ADDIN ZOTERO_ITEM CSL_CITATION {"citationID":"9XE0RO8f","properties":{"unsorted":false,"formattedCitation":"(Small and Medium Enterprise Agency, 1999)","plainCitation":"(Small and Medium Enterprise Agency, 1999)","noteIndex":0},"citationItems":[{"id":223,"uris":["http://zotero.org/users/14977742/items/6WMLJIVQ"],"itemData":{"id":223,"type":"bill","citation-key":"SmallMediumsizedEnterprise","language":"en","title":"Small and Medium-sized Enterprise Basic Act","URL":"https://www.chusho.meti.go.jp/sme_english/outline/08/01.html","author":[{"literal":"Small and Medium Enterprise Agency"}],"accessed":{"date-parts":[["2026",5,17]]},"issued":{"date-parts":[["1999",12]]}}}],"schema":"https://github.com/citation-style-language/schema/raw/master/csl-citation.json"} </w:instrText>
      </w:r>
      <w:r w:rsidRPr="005F0A67">
        <w:rPr>
          <w:rFonts w:asciiTheme="majorBidi" w:eastAsia="Times New Roman" w:hAnsiTheme="majorBidi" w:cstheme="majorBidi"/>
          <w:sz w:val="18"/>
          <w:szCs w:val="18"/>
          <w:lang w:val="en-CA" w:eastAsia="en-GB"/>
        </w:rPr>
        <w:fldChar w:fldCharType="separate"/>
      </w:r>
      <w:r w:rsidRPr="005F0A67">
        <w:rPr>
          <w:rFonts w:asciiTheme="majorBidi" w:eastAsia="Times New Roman" w:hAnsiTheme="majorBidi" w:cstheme="majorBidi"/>
          <w:sz w:val="18"/>
          <w:szCs w:val="18"/>
          <w:lang w:val="en-CA" w:eastAsia="en-GB"/>
        </w:rPr>
        <w:t>(Small and Medium Enterprise Agency, 1999)</w:t>
      </w:r>
      <w:r w:rsidRPr="005F0A67">
        <w:rPr>
          <w:rFonts w:asciiTheme="majorBidi" w:eastAsia="Times New Roman" w:hAnsiTheme="majorBidi" w:cstheme="majorBidi"/>
          <w:sz w:val="18"/>
          <w:szCs w:val="18"/>
          <w:lang w:val="en-CA" w:eastAsia="en-GB"/>
        </w:rPr>
        <w:fldChar w:fldCharType="end"/>
      </w:r>
    </w:p>
    <w:p w14:paraId="63C77A60" w14:textId="77777777" w:rsidR="005F0A67" w:rsidRPr="005F0A67" w:rsidRDefault="005F0A67" w:rsidP="00B54840">
      <w:pPr>
        <w:tabs>
          <w:tab w:val="clear" w:pos="567"/>
          <w:tab w:val="clear" w:pos="1134"/>
          <w:tab w:val="clear" w:pos="1701"/>
          <w:tab w:val="clear" w:pos="2268"/>
        </w:tabs>
        <w:spacing w:before="320" w:after="160"/>
        <w:ind w:left="720"/>
        <w:jc w:val="left"/>
        <w:outlineLvl w:val="2"/>
        <w:rPr>
          <w:rFonts w:asciiTheme="majorBidi" w:eastAsia="Arial" w:hAnsiTheme="majorBidi" w:cstheme="majorBidi"/>
          <w:b/>
          <w:bCs/>
          <w:color w:val="7F7F7F"/>
          <w:sz w:val="23"/>
          <w:szCs w:val="23"/>
          <w:lang w:val="en-CA" w:eastAsia="en-GB"/>
        </w:rPr>
      </w:pPr>
      <w:bookmarkStart w:id="93" w:name="_Toc234579567"/>
      <w:r w:rsidRPr="005F0A67">
        <w:rPr>
          <w:rFonts w:asciiTheme="majorBidi" w:eastAsia="Arial" w:hAnsiTheme="majorBidi" w:cstheme="majorBidi"/>
          <w:b/>
          <w:bCs/>
          <w:color w:val="7F7F7F"/>
          <w:sz w:val="23"/>
          <w:szCs w:val="23"/>
          <w:lang w:val="en-CA" w:eastAsia="en-GB"/>
        </w:rPr>
        <w:t>United States of America</w:t>
      </w:r>
      <w:r w:rsidRPr="005F0A67">
        <w:rPr>
          <w:rFonts w:asciiTheme="majorBidi" w:eastAsia="Arial" w:hAnsiTheme="majorBidi" w:cstheme="majorBidi"/>
          <w:b/>
          <w:bCs/>
          <w:color w:val="7F7F7F"/>
          <w:sz w:val="23"/>
          <w:szCs w:val="23"/>
          <w:vertAlign w:val="superscript"/>
          <w:lang w:val="en-CA" w:eastAsia="en-GB"/>
        </w:rPr>
        <w:footnoteReference w:id="47"/>
      </w:r>
      <w:bookmarkEnd w:id="93"/>
      <w:r w:rsidRPr="005F0A67">
        <w:rPr>
          <w:rFonts w:asciiTheme="majorBidi" w:eastAsia="Arial" w:hAnsiTheme="majorBidi" w:cstheme="majorBidi"/>
          <w:b/>
          <w:bCs/>
          <w:color w:val="7F7F7F"/>
          <w:sz w:val="23"/>
          <w:szCs w:val="23"/>
          <w:lang w:val="en-CA" w:eastAsia="en-GB"/>
        </w:rPr>
        <w:t xml:space="preserve"> </w:t>
      </w:r>
    </w:p>
    <w:p w14:paraId="76AE9156"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The United States does not apply a single universal threshold. Instead, thresholds are industry-specific, based on NAICS codes, and expressed in terms of either average annual revenue or number of employees, depending on the sector. There is no defined category of medium or large business, only small. “Small” business thresholds typically range from $2.25 million to $47 million in annual turnover depending on sector, while employee-based thresholds, applied primarily in manufacturing and IT services, range from 500 to 1,500 employees. A firm exceeding its sector threshold is classified as other than small, as the system does not define a medium category.</w:t>
      </w:r>
    </w:p>
    <w:p w14:paraId="220A86A2"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lang w:val="en-CA" w:eastAsia="en-GB"/>
        </w:rPr>
        <w:t xml:space="preserve">It should be noted that the US system applies an affiliation rule which, similarly to the EU classification, requires that 50% or more of a business be assessed together with any other entities it controls or is controlled by, rather than on a standalone basis, based on ownership, management control, or other forms of influence. These rules are designed to prevent large corporations from restructuring into smaller units to qualify for </w:t>
      </w:r>
      <w:r w:rsidRPr="005F0A67">
        <w:rPr>
          <w:rFonts w:asciiTheme="majorBidi" w:eastAsia="Times New Roman" w:hAnsiTheme="majorBidi" w:cstheme="majorBidi"/>
          <w:lang w:val="en-CA" w:eastAsia="en-GB"/>
        </w:rPr>
        <w:lastRenderedPageBreak/>
        <w:t>benefits reserved for small businesses, ensuring that size classifications reflect the true economic scale of the entire corporate group.</w:t>
      </w:r>
    </w:p>
    <w:p w14:paraId="08DBA808" w14:textId="77777777" w:rsidR="005F0A67" w:rsidRPr="005F0A67" w:rsidRDefault="005F0A67" w:rsidP="00B54840">
      <w:pPr>
        <w:tabs>
          <w:tab w:val="clear" w:pos="567"/>
          <w:tab w:val="clear" w:pos="1134"/>
          <w:tab w:val="clear" w:pos="1701"/>
          <w:tab w:val="clear" w:pos="2268"/>
        </w:tabs>
        <w:spacing w:before="320" w:after="160"/>
        <w:ind w:left="720"/>
        <w:jc w:val="left"/>
        <w:outlineLvl w:val="2"/>
        <w:rPr>
          <w:rFonts w:asciiTheme="majorBidi" w:eastAsia="Arial" w:hAnsiTheme="majorBidi" w:cstheme="majorBidi"/>
          <w:b/>
          <w:bCs/>
          <w:color w:val="7F7F7F"/>
          <w:sz w:val="23"/>
          <w:szCs w:val="23"/>
          <w:lang w:val="en-CA" w:eastAsia="en-GB"/>
        </w:rPr>
      </w:pPr>
      <w:bookmarkStart w:id="94" w:name="_Toc234579568"/>
      <w:r w:rsidRPr="005F0A67">
        <w:rPr>
          <w:rFonts w:asciiTheme="majorBidi" w:eastAsia="Arial" w:hAnsiTheme="majorBidi" w:cstheme="majorBidi"/>
          <w:b/>
          <w:bCs/>
          <w:color w:val="7F7F7F"/>
          <w:sz w:val="23"/>
          <w:szCs w:val="23"/>
          <w:lang w:val="en-CA" w:eastAsia="en-GB"/>
        </w:rPr>
        <w:t>Brazil</w:t>
      </w:r>
      <w:bookmarkEnd w:id="94"/>
      <w:r w:rsidRPr="005F0A67">
        <w:rPr>
          <w:rFonts w:asciiTheme="majorBidi" w:eastAsia="Arial" w:hAnsiTheme="majorBidi" w:cstheme="majorBidi"/>
          <w:b/>
          <w:bCs/>
          <w:color w:val="7F7F7F"/>
          <w:sz w:val="23"/>
          <w:szCs w:val="23"/>
          <w:lang w:val="en-CA" w:eastAsia="en-GB"/>
        </w:rPr>
        <w:t xml:space="preserve"> </w:t>
      </w:r>
    </w:p>
    <w:p w14:paraId="6DC9F0B4"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Brazil classifies enterprises by annual gross revenue under Lei </w:t>
      </w:r>
      <w:proofErr w:type="spellStart"/>
      <w:r w:rsidRPr="005F0A67">
        <w:rPr>
          <w:rFonts w:asciiTheme="majorBidi" w:eastAsia="Times New Roman" w:hAnsiTheme="majorBidi" w:cstheme="majorBidi"/>
          <w:lang w:val="en-CA" w:eastAsia="en-GB"/>
        </w:rPr>
        <w:t>Complementar</w:t>
      </w:r>
      <w:proofErr w:type="spellEnd"/>
      <w:r w:rsidRPr="005F0A67">
        <w:rPr>
          <w:rFonts w:asciiTheme="majorBidi" w:eastAsia="Times New Roman" w:hAnsiTheme="majorBidi" w:cstheme="majorBidi"/>
          <w:lang w:val="en-CA" w:eastAsia="en-GB"/>
        </w:rPr>
        <w:t xml:space="preserve"> 123/2006</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{"citationID":"a1ru8trkcje","properties":{"unsorted":false,"formattedCitation":"(Brazil, 2006)","plainCitation":"(Brazil, 2006)","noteIndex":0},"citationItems":[{"id":3002,"uris":["http://zotero.org/users/14977742/items/Y4FCWY5J"],"itemData":{"id":3002,"type":"bill","citation-key":"Lcp123","title":"Lei Complementar 123/2006","URL":"https://www.planalto.gov.br/ccivil_03/leis/lcp/lcp123.htm","author":[{"literal":"Brazil"}],"accessed":{"date-parts":[["2026",6,7]]},"issued":{"date-parts":[["2006",12,14]]}}}],"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Georgia" w:hAnsiTheme="majorBidi" w:cstheme="majorBidi"/>
          <w:lang w:eastAsia="en-GB"/>
        </w:rPr>
        <w:t>(Brazil, 2006)</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which is the primary framework used for tax and regulatory purposes.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_Ref231686278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Table 5</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sets out the classification thresholds, converted to United States dollars. Annual gross revenue as used in the Brazilian classification is equivalent in scope to the annual sales indicator used in the Cali Fund.</w:t>
      </w:r>
    </w:p>
    <w:p w14:paraId="77241343" w14:textId="77777777" w:rsidR="005F0A67" w:rsidRPr="005F0A67" w:rsidRDefault="005F0A67" w:rsidP="005F0A67">
      <w:pPr>
        <w:tabs>
          <w:tab w:val="clear" w:pos="567"/>
          <w:tab w:val="clear" w:pos="1134"/>
          <w:tab w:val="clear" w:pos="1701"/>
          <w:tab w:val="clear" w:pos="2268"/>
        </w:tabs>
        <w:spacing w:after="200" w:line="312" w:lineRule="auto"/>
        <w:contextualSpacing/>
        <w:rPr>
          <w:rFonts w:asciiTheme="majorBidi" w:eastAsia="Georgia" w:hAnsiTheme="majorBidi" w:cstheme="majorBidi"/>
          <w:b/>
          <w:bCs/>
          <w:color w:val="419844"/>
          <w:lang w:eastAsia="en-GB"/>
        </w:rPr>
      </w:pPr>
      <w:bookmarkStart w:id="95" w:name="_Ref231686278"/>
      <w:r w:rsidRPr="005F0A67">
        <w:rPr>
          <w:rFonts w:asciiTheme="majorBidi" w:eastAsia="Georgia" w:hAnsiTheme="majorBidi" w:cstheme="majorBidi"/>
          <w:b/>
          <w:bCs/>
          <w:color w:val="419844"/>
          <w:lang w:val="en-US" w:eastAsia="ja-JP"/>
        </w:rPr>
        <w:t xml:space="preserve">Table </w:t>
      </w:r>
      <w:r w:rsidRPr="005F0A67">
        <w:rPr>
          <w:rFonts w:asciiTheme="majorBidi" w:eastAsia="Georgia" w:hAnsiTheme="majorBidi" w:cstheme="majorBidi"/>
          <w:b/>
          <w:bCs/>
          <w:color w:val="419844"/>
          <w:lang w:eastAsia="en-GB"/>
        </w:rPr>
        <w:fldChar w:fldCharType="begin"/>
      </w:r>
      <w:r w:rsidRPr="005F0A67">
        <w:rPr>
          <w:rFonts w:asciiTheme="majorBidi" w:eastAsia="Georgia" w:hAnsiTheme="majorBidi" w:cstheme="majorBidi"/>
          <w:b/>
          <w:bCs/>
          <w:color w:val="419844"/>
          <w:lang w:eastAsia="en-GB"/>
        </w:rPr>
        <w:instrText xml:space="preserve"> SEQ Table \* ARABIC </w:instrText>
      </w:r>
      <w:r w:rsidRPr="005F0A67">
        <w:rPr>
          <w:rFonts w:asciiTheme="majorBidi" w:eastAsia="Georgia" w:hAnsiTheme="majorBidi" w:cstheme="majorBidi"/>
          <w:b/>
          <w:bCs/>
          <w:color w:val="419844"/>
          <w:lang w:eastAsia="en-GB"/>
        </w:rPr>
        <w:fldChar w:fldCharType="separate"/>
      </w:r>
      <w:r w:rsidRPr="005F0A67">
        <w:rPr>
          <w:rFonts w:asciiTheme="majorBidi" w:eastAsia="Georgia" w:hAnsiTheme="majorBidi" w:cstheme="majorBidi"/>
          <w:b/>
          <w:bCs/>
          <w:noProof/>
          <w:color w:val="419844"/>
          <w:lang w:eastAsia="en-GB"/>
        </w:rPr>
        <w:t>5</w:t>
      </w:r>
      <w:r w:rsidRPr="005F0A67">
        <w:rPr>
          <w:rFonts w:asciiTheme="majorBidi" w:eastAsia="Georgia" w:hAnsiTheme="majorBidi" w:cstheme="majorBidi"/>
          <w:b/>
          <w:bCs/>
          <w:color w:val="419844"/>
          <w:lang w:eastAsia="en-GB"/>
        </w:rPr>
        <w:fldChar w:fldCharType="end"/>
      </w:r>
      <w:bookmarkEnd w:id="95"/>
      <w:r w:rsidRPr="005F0A67">
        <w:rPr>
          <w:rFonts w:asciiTheme="majorBidi" w:eastAsia="Georgia" w:hAnsiTheme="majorBidi" w:cstheme="majorBidi"/>
          <w:b/>
          <w:bCs/>
          <w:color w:val="419844"/>
          <w:lang w:val="en-US" w:eastAsia="ja-JP"/>
        </w:rPr>
        <w:t xml:space="preserve"> Brazilian classification of micro and small-sized enterprises</w:t>
      </w:r>
    </w:p>
    <w:tbl>
      <w:tblPr>
        <w:tblW w:w="313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1275"/>
        <w:gridCol w:w="4820"/>
      </w:tblGrid>
      <w:tr w:rsidR="005F0A67" w:rsidRPr="005F0A67" w14:paraId="6A1CB8E7" w14:textId="77777777" w:rsidTr="00FB671B">
        <w:trPr>
          <w:trHeight w:val="265"/>
          <w:tblHeader/>
          <w:jc w:val="center"/>
        </w:trPr>
        <w:tc>
          <w:tcPr>
            <w:tcW w:w="1046" w:type="pct"/>
            <w:tcBorders>
              <w:top w:val="single" w:sz="1" w:space="0" w:color="AAAAAA"/>
              <w:left w:val="single" w:sz="1" w:space="0" w:color="AAAAAA"/>
              <w:bottom w:val="single" w:sz="1" w:space="0" w:color="AAAAAA"/>
              <w:right w:val="single" w:sz="1" w:space="0" w:color="AAAAAA"/>
            </w:tcBorders>
            <w:shd w:val="clear" w:color="auto" w:fill="1F4E6B"/>
            <w:tcMar>
              <w:top w:w="60" w:type="dxa"/>
              <w:left w:w="100" w:type="dxa"/>
              <w:bottom w:w="60" w:type="dxa"/>
              <w:right w:w="100" w:type="dxa"/>
            </w:tcMar>
          </w:tcPr>
          <w:p w14:paraId="3E03E481"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FFFFFF"/>
                <w:sz w:val="18"/>
                <w:szCs w:val="18"/>
                <w:lang w:val="en-CA" w:eastAsia="en-GB"/>
              </w:rPr>
            </w:pPr>
            <w:r w:rsidRPr="005F0A67">
              <w:rPr>
                <w:rFonts w:asciiTheme="majorBidi" w:eastAsia="Tahoma" w:hAnsiTheme="majorBidi" w:cstheme="majorBidi"/>
                <w:b/>
                <w:bCs/>
                <w:color w:val="FFFFFF"/>
                <w:sz w:val="18"/>
                <w:szCs w:val="18"/>
                <w:lang w:val="en-CA" w:eastAsia="en-GB"/>
              </w:rPr>
              <w:t>Category</w:t>
            </w:r>
          </w:p>
        </w:tc>
        <w:tc>
          <w:tcPr>
            <w:tcW w:w="3954" w:type="pct"/>
            <w:tcBorders>
              <w:top w:val="single" w:sz="1" w:space="0" w:color="AAAAAA"/>
              <w:left w:val="single" w:sz="1" w:space="0" w:color="AAAAAA"/>
              <w:bottom w:val="single" w:sz="1" w:space="0" w:color="AAAAAA"/>
              <w:right w:val="single" w:sz="1" w:space="0" w:color="AAAAAA"/>
            </w:tcBorders>
            <w:shd w:val="clear" w:color="auto" w:fill="1F4E6B"/>
            <w:tcMar>
              <w:top w:w="60" w:type="dxa"/>
              <w:left w:w="100" w:type="dxa"/>
              <w:bottom w:w="60" w:type="dxa"/>
              <w:right w:w="100" w:type="dxa"/>
            </w:tcMar>
          </w:tcPr>
          <w:p w14:paraId="366209BF"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FFFFFF"/>
                <w:sz w:val="18"/>
                <w:szCs w:val="18"/>
                <w:lang w:val="en-CA" w:eastAsia="en-GB"/>
              </w:rPr>
            </w:pPr>
            <w:r w:rsidRPr="005F0A67">
              <w:rPr>
                <w:rFonts w:asciiTheme="majorBidi" w:eastAsia="Tahoma" w:hAnsiTheme="majorBidi" w:cstheme="majorBidi"/>
                <w:b/>
                <w:bCs/>
                <w:color w:val="FFFFFF"/>
                <w:sz w:val="18"/>
                <w:szCs w:val="18"/>
                <w:lang w:val="en-CA" w:eastAsia="en-GB"/>
              </w:rPr>
              <w:t xml:space="preserve">Gross revenue </w:t>
            </w:r>
          </w:p>
        </w:tc>
      </w:tr>
      <w:tr w:rsidR="005F0A67" w:rsidRPr="005F0A67" w14:paraId="74FE047C" w14:textId="77777777" w:rsidTr="005F0A67">
        <w:trPr>
          <w:trHeight w:val="348"/>
          <w:jc w:val="center"/>
        </w:trPr>
        <w:tc>
          <w:tcPr>
            <w:tcW w:w="1046"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tcPr>
          <w:p w14:paraId="6AEE71EC"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b/>
                <w:bCs/>
                <w:sz w:val="18"/>
                <w:szCs w:val="18"/>
                <w:lang w:eastAsia="en-GB"/>
              </w:rPr>
            </w:pPr>
            <w:r w:rsidRPr="005F0A67">
              <w:rPr>
                <w:rFonts w:asciiTheme="majorBidi" w:eastAsia="Times New Roman" w:hAnsiTheme="majorBidi" w:cstheme="majorBidi"/>
                <w:b/>
                <w:bCs/>
                <w:sz w:val="18"/>
                <w:szCs w:val="18"/>
                <w:lang w:eastAsia="en-GB"/>
              </w:rPr>
              <w:t>Micro</w:t>
            </w:r>
          </w:p>
        </w:tc>
        <w:tc>
          <w:tcPr>
            <w:tcW w:w="3954" w:type="pct"/>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tcPr>
          <w:p w14:paraId="58955C2D"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&lt; BRL 360,000 (~USD$71,146)</w:t>
            </w:r>
          </w:p>
        </w:tc>
      </w:tr>
      <w:tr w:rsidR="005F0A67" w:rsidRPr="005F0A67" w14:paraId="532FD117" w14:textId="77777777" w:rsidTr="005F0A67">
        <w:trPr>
          <w:trHeight w:val="348"/>
          <w:jc w:val="center"/>
        </w:trPr>
        <w:tc>
          <w:tcPr>
            <w:tcW w:w="1046"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tcPr>
          <w:p w14:paraId="4FFEF697"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b/>
                <w:bCs/>
                <w:sz w:val="18"/>
                <w:szCs w:val="18"/>
                <w:lang w:eastAsia="en-GB"/>
              </w:rPr>
            </w:pPr>
            <w:r w:rsidRPr="005F0A67">
              <w:rPr>
                <w:rFonts w:asciiTheme="majorBidi" w:eastAsia="Times New Roman" w:hAnsiTheme="majorBidi" w:cstheme="majorBidi"/>
                <w:b/>
                <w:bCs/>
                <w:sz w:val="18"/>
                <w:szCs w:val="18"/>
                <w:lang w:eastAsia="en-GB"/>
              </w:rPr>
              <w:t>Small</w:t>
            </w:r>
          </w:p>
        </w:tc>
        <w:tc>
          <w:tcPr>
            <w:tcW w:w="3954" w:type="pct"/>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tcPr>
          <w:p w14:paraId="0346EE47"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BRL 360,000 to BRL 4.8 million (~USD$71,146 to ~USD$948,617)</w:t>
            </w:r>
          </w:p>
        </w:tc>
      </w:tr>
    </w:tbl>
    <w:p w14:paraId="6C753B25" w14:textId="77777777" w:rsidR="005F0A67" w:rsidRPr="005F0A67" w:rsidRDefault="005F0A67" w:rsidP="005F0A67">
      <w:pPr>
        <w:tabs>
          <w:tab w:val="clear" w:pos="567"/>
          <w:tab w:val="clear" w:pos="1134"/>
          <w:tab w:val="clear" w:pos="1701"/>
          <w:tab w:val="clear" w:pos="2268"/>
        </w:tabs>
        <w:spacing w:line="293" w:lineRule="auto"/>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i/>
          <w:iCs/>
          <w:sz w:val="18"/>
          <w:szCs w:val="18"/>
          <w:lang w:val="en-CA" w:eastAsia="en-GB"/>
        </w:rPr>
        <w:t>Note:</w:t>
      </w:r>
      <w:r w:rsidRPr="005F0A67">
        <w:rPr>
          <w:rFonts w:asciiTheme="majorBidi" w:eastAsia="Times New Roman" w:hAnsiTheme="majorBidi" w:cstheme="majorBidi"/>
          <w:sz w:val="18"/>
          <w:szCs w:val="18"/>
          <w:lang w:val="en-CA" w:eastAsia="en-GB"/>
        </w:rPr>
        <w:t xml:space="preserve"> Converted from original thresholds using a spot exchange rate as of June 2026: 5.06 BRL/USD </w:t>
      </w:r>
      <w:r w:rsidRPr="005F0A67">
        <w:rPr>
          <w:rFonts w:asciiTheme="majorBidi" w:eastAsia="Times New Roman" w:hAnsiTheme="majorBidi" w:cstheme="majorBidi"/>
          <w:sz w:val="18"/>
          <w:szCs w:val="18"/>
          <w:lang w:val="en-CA" w:eastAsia="en-GB"/>
        </w:rPr>
        <w:fldChar w:fldCharType="begin"/>
      </w:r>
      <w:r w:rsidRPr="005F0A67">
        <w:rPr>
          <w:rFonts w:asciiTheme="majorBidi" w:eastAsia="Times New Roman" w:hAnsiTheme="majorBidi" w:cstheme="majorBidi"/>
          <w:sz w:val="18"/>
          <w:szCs w:val="18"/>
          <w:lang w:val="en-CA" w:eastAsia="en-GB"/>
        </w:rPr>
        <w:instrText xml:space="preserve"> ADDIN ZOTERO_ITEM CSL_CITATION {"citationID":"a27cp082r15","properties":{"unsorted":false,"formattedCitation":"(Trading Economics, 2026a)","plainCitation":"(Trading Economics, 2026a)","noteIndex":0},"citationItems":[{"id":3004,"uris":["http://zotero.org/users/14977742/items/9H5NEZH7"],"itemData":{"id":3004,"type":"webpage","citation-key":"BrazilianRealQuote","title":"Brazilian Real to USD","URL":"https://tradingeconomics.com/brazil/currency","author":[{"literal":"Trading Economics"}],"accessed":{"date-parts":[["2026",6,7]]},"issued":{"date-parts":[["2026",6]]}}}],"schema":"https://github.com/citation-style-language/schema/raw/master/csl-citation.json"} </w:instrText>
      </w:r>
      <w:r w:rsidRPr="005F0A67">
        <w:rPr>
          <w:rFonts w:asciiTheme="majorBidi" w:eastAsia="Times New Roman" w:hAnsiTheme="majorBidi" w:cstheme="majorBidi"/>
          <w:sz w:val="18"/>
          <w:szCs w:val="18"/>
          <w:lang w:val="en-CA" w:eastAsia="en-GB"/>
        </w:rPr>
        <w:fldChar w:fldCharType="separate"/>
      </w:r>
      <w:r w:rsidRPr="005F0A67">
        <w:rPr>
          <w:rFonts w:asciiTheme="majorBidi" w:eastAsia="Georgia" w:hAnsiTheme="majorBidi" w:cstheme="majorBidi"/>
          <w:sz w:val="18"/>
          <w:lang w:eastAsia="en-GB"/>
        </w:rPr>
        <w:t>(Trading Economics, 2026a)</w:t>
      </w:r>
      <w:r w:rsidRPr="005F0A67">
        <w:rPr>
          <w:rFonts w:asciiTheme="majorBidi" w:eastAsia="Times New Roman" w:hAnsiTheme="majorBidi" w:cstheme="majorBidi"/>
          <w:sz w:val="18"/>
          <w:szCs w:val="18"/>
          <w:lang w:val="en-CA" w:eastAsia="en-GB"/>
        </w:rPr>
        <w:fldChar w:fldCharType="end"/>
      </w:r>
      <w:r w:rsidRPr="005F0A67">
        <w:rPr>
          <w:rFonts w:asciiTheme="majorBidi" w:eastAsia="Times New Roman" w:hAnsiTheme="majorBidi" w:cstheme="majorBidi"/>
          <w:sz w:val="18"/>
          <w:szCs w:val="18"/>
          <w:lang w:val="en-CA" w:eastAsia="en-GB"/>
        </w:rPr>
        <w:t>.</w:t>
      </w:r>
    </w:p>
    <w:p w14:paraId="686AD879" w14:textId="77777777" w:rsidR="005F0A67" w:rsidRPr="005F0A67" w:rsidRDefault="005F0A67" w:rsidP="005F0A67">
      <w:pPr>
        <w:tabs>
          <w:tab w:val="clear" w:pos="567"/>
          <w:tab w:val="clear" w:pos="1134"/>
          <w:tab w:val="clear" w:pos="1701"/>
          <w:tab w:val="clear" w:pos="2268"/>
        </w:tabs>
        <w:spacing w:line="293" w:lineRule="auto"/>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i/>
          <w:iCs/>
          <w:sz w:val="18"/>
          <w:szCs w:val="18"/>
          <w:lang w:val="en-CA" w:eastAsia="en-GB"/>
        </w:rPr>
        <w:t xml:space="preserve">Source: </w:t>
      </w:r>
      <w:r w:rsidRPr="005F0A67">
        <w:rPr>
          <w:rFonts w:asciiTheme="majorBidi" w:eastAsia="Times New Roman" w:hAnsiTheme="majorBidi" w:cstheme="majorBidi"/>
          <w:sz w:val="18"/>
          <w:szCs w:val="18"/>
          <w:lang w:val="en-CA" w:eastAsia="en-GB"/>
        </w:rPr>
        <w:fldChar w:fldCharType="begin"/>
      </w:r>
      <w:r w:rsidRPr="005F0A67">
        <w:rPr>
          <w:rFonts w:asciiTheme="majorBidi" w:eastAsia="Times New Roman" w:hAnsiTheme="majorBidi" w:cstheme="majorBidi"/>
          <w:sz w:val="18"/>
          <w:szCs w:val="18"/>
          <w:lang w:val="en-CA" w:eastAsia="en-GB"/>
        </w:rPr>
        <w:instrText xml:space="preserve"> ADDIN ZOTERO_ITEM CSL_CITATION {"citationID":"7aejwYI0","properties":{"unsorted":false,"formattedCitation":"(Brazil, 2006)","plainCitation":"(Brazil, 2006)","noteIndex":0},"citationItems":[{"id":3002,"uris":["http://zotero.org/users/14977742/items/Y4FCWY5J"],"itemData":{"id":3002,"type":"bill","citation-key":"Lcp123","title":"Lei Complementar 123/2006","URL":"https://www.planalto.gov.br/ccivil_03/leis/lcp/lcp123.htm","author":[{"literal":"Brazil"}],"accessed":{"date-parts":[["2026",6,7]]},"issued":{"date-parts":[["2006",12,14]]}}}],"schema":"https://github.com/citation-style-language/schema/raw/master/csl-citation.json"} </w:instrText>
      </w:r>
      <w:r w:rsidRPr="005F0A67">
        <w:rPr>
          <w:rFonts w:asciiTheme="majorBidi" w:eastAsia="Times New Roman" w:hAnsiTheme="majorBidi" w:cstheme="majorBidi"/>
          <w:sz w:val="18"/>
          <w:szCs w:val="18"/>
          <w:lang w:val="en-CA" w:eastAsia="en-GB"/>
        </w:rPr>
        <w:fldChar w:fldCharType="separate"/>
      </w:r>
      <w:r w:rsidRPr="005F0A67">
        <w:rPr>
          <w:rFonts w:asciiTheme="majorBidi" w:eastAsia="Georgia" w:hAnsiTheme="majorBidi" w:cstheme="majorBidi"/>
          <w:sz w:val="18"/>
          <w:lang w:eastAsia="en-GB"/>
        </w:rPr>
        <w:t>(Brazil, 2006)</w:t>
      </w:r>
      <w:r w:rsidRPr="005F0A67">
        <w:rPr>
          <w:rFonts w:asciiTheme="majorBidi" w:eastAsia="Times New Roman" w:hAnsiTheme="majorBidi" w:cstheme="majorBidi"/>
          <w:sz w:val="18"/>
          <w:szCs w:val="18"/>
          <w:lang w:val="en-CA" w:eastAsia="en-GB"/>
        </w:rPr>
        <w:fldChar w:fldCharType="end"/>
      </w:r>
    </w:p>
    <w:p w14:paraId="65FF98A9" w14:textId="77777777" w:rsidR="005F0A67" w:rsidRPr="005F0A67" w:rsidRDefault="005F0A67" w:rsidP="005F0A67">
      <w:pPr>
        <w:tabs>
          <w:tab w:val="clear" w:pos="567"/>
          <w:tab w:val="clear" w:pos="1134"/>
          <w:tab w:val="clear" w:pos="1701"/>
          <w:tab w:val="clear" w:pos="2268"/>
        </w:tabs>
        <w:spacing w:before="240" w:after="180" w:line="293"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The Cali Fund financial thresholds are substantially higher than Brazil's small enterprise ceiling of approximately USD 1 million in annual revenue. The Brazilian classification system does not define a medium-sized enterprise category, meaning there is no domestic benchmark between the small enterprise ceiling and the Cali Fund’s revenue threshold of USD 50 million. Hence, a firm considered as large under Brazilian legislation may fall below the Cali Fund eligibility threshold. </w:t>
      </w:r>
    </w:p>
    <w:p w14:paraId="19906B28" w14:textId="77777777" w:rsidR="005F0A67" w:rsidRPr="005F0A67" w:rsidRDefault="005F0A67" w:rsidP="00B54840">
      <w:pPr>
        <w:tabs>
          <w:tab w:val="clear" w:pos="567"/>
          <w:tab w:val="clear" w:pos="1134"/>
          <w:tab w:val="clear" w:pos="1701"/>
          <w:tab w:val="clear" w:pos="2268"/>
        </w:tabs>
        <w:spacing w:before="320" w:after="160"/>
        <w:ind w:left="720"/>
        <w:jc w:val="left"/>
        <w:outlineLvl w:val="2"/>
        <w:rPr>
          <w:rFonts w:asciiTheme="majorBidi" w:eastAsia="Arial" w:hAnsiTheme="majorBidi" w:cstheme="majorBidi"/>
          <w:b/>
          <w:bCs/>
          <w:color w:val="7F7F7F"/>
          <w:sz w:val="23"/>
          <w:szCs w:val="23"/>
          <w:lang w:val="en-CA" w:eastAsia="en-GB"/>
        </w:rPr>
      </w:pPr>
      <w:bookmarkStart w:id="96" w:name="_Toc234579569"/>
      <w:r w:rsidRPr="005F0A67">
        <w:rPr>
          <w:rFonts w:asciiTheme="majorBidi" w:eastAsia="Arial" w:hAnsiTheme="majorBidi" w:cstheme="majorBidi"/>
          <w:b/>
          <w:bCs/>
          <w:color w:val="7F7F7F"/>
          <w:sz w:val="23"/>
          <w:szCs w:val="23"/>
          <w:lang w:val="en-CA" w:eastAsia="en-GB"/>
        </w:rPr>
        <w:t>India</w:t>
      </w:r>
      <w:bookmarkEnd w:id="96"/>
      <w:r w:rsidRPr="005F0A67">
        <w:rPr>
          <w:rFonts w:asciiTheme="majorBidi" w:eastAsia="Arial" w:hAnsiTheme="majorBidi" w:cstheme="majorBidi"/>
          <w:b/>
          <w:bCs/>
          <w:color w:val="7F7F7F"/>
          <w:sz w:val="23"/>
          <w:szCs w:val="23"/>
          <w:lang w:val="en-CA" w:eastAsia="en-GB"/>
        </w:rPr>
        <w:t xml:space="preserve"> </w:t>
      </w:r>
    </w:p>
    <w:p w14:paraId="546B9640"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Under the MSME Development Act 2006, India categorizes enterprises as micro, small, medium enterprises based on two simultaneous composite criteria: the level of investment in plant and machinery and the value of annual turnover. An enterprise must satisfy both conditions to fall within a given category. Annual turnover under the Indian framework is equivalent in scope to the annual sales indicator used in the Cali Fund's two-out-of-three eligibility threshold, making the two frameworks directly comparable on this dimension. These limits were raised in April 2025, and the updated classification is presented in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_Ref231687498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Table 6</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w:t>
      </w:r>
    </w:p>
    <w:p w14:paraId="3E700259" w14:textId="77777777" w:rsidR="005F0A67" w:rsidRPr="005F0A67" w:rsidRDefault="005F0A67" w:rsidP="005F0A67">
      <w:pPr>
        <w:tabs>
          <w:tab w:val="clear" w:pos="567"/>
          <w:tab w:val="clear" w:pos="1134"/>
          <w:tab w:val="clear" w:pos="1701"/>
          <w:tab w:val="clear" w:pos="2268"/>
        </w:tabs>
        <w:spacing w:after="200" w:line="312" w:lineRule="auto"/>
        <w:contextualSpacing/>
        <w:rPr>
          <w:rFonts w:asciiTheme="majorBidi" w:eastAsia="Georgia" w:hAnsiTheme="majorBidi" w:cstheme="majorBidi"/>
          <w:b/>
          <w:bCs/>
          <w:color w:val="419844"/>
          <w:lang w:eastAsia="en-GB"/>
        </w:rPr>
      </w:pPr>
      <w:bookmarkStart w:id="97" w:name="_Ref231687498"/>
      <w:r w:rsidRPr="005F0A67">
        <w:rPr>
          <w:rFonts w:asciiTheme="majorBidi" w:eastAsia="Georgia" w:hAnsiTheme="majorBidi" w:cstheme="majorBidi"/>
          <w:b/>
          <w:bCs/>
          <w:color w:val="419844"/>
          <w:lang w:val="en-US" w:eastAsia="ja-JP"/>
        </w:rPr>
        <w:t xml:space="preserve">Table </w:t>
      </w:r>
      <w:r w:rsidRPr="005F0A67">
        <w:rPr>
          <w:rFonts w:asciiTheme="majorBidi" w:eastAsia="Georgia" w:hAnsiTheme="majorBidi" w:cstheme="majorBidi"/>
          <w:b/>
          <w:bCs/>
          <w:color w:val="419844"/>
          <w:lang w:eastAsia="en-GB"/>
        </w:rPr>
        <w:fldChar w:fldCharType="begin"/>
      </w:r>
      <w:r w:rsidRPr="005F0A67">
        <w:rPr>
          <w:rFonts w:asciiTheme="majorBidi" w:eastAsia="Georgia" w:hAnsiTheme="majorBidi" w:cstheme="majorBidi"/>
          <w:b/>
          <w:bCs/>
          <w:color w:val="419844"/>
          <w:lang w:eastAsia="en-GB"/>
        </w:rPr>
        <w:instrText xml:space="preserve"> SEQ Table \* ARABIC </w:instrText>
      </w:r>
      <w:r w:rsidRPr="005F0A67">
        <w:rPr>
          <w:rFonts w:asciiTheme="majorBidi" w:eastAsia="Georgia" w:hAnsiTheme="majorBidi" w:cstheme="majorBidi"/>
          <w:b/>
          <w:bCs/>
          <w:color w:val="419844"/>
          <w:lang w:eastAsia="en-GB"/>
        </w:rPr>
        <w:fldChar w:fldCharType="separate"/>
      </w:r>
      <w:r w:rsidRPr="005F0A67">
        <w:rPr>
          <w:rFonts w:asciiTheme="majorBidi" w:eastAsia="Georgia" w:hAnsiTheme="majorBidi" w:cstheme="majorBidi"/>
          <w:b/>
          <w:bCs/>
          <w:noProof/>
          <w:color w:val="419844"/>
          <w:lang w:eastAsia="en-GB"/>
        </w:rPr>
        <w:t>6</w:t>
      </w:r>
      <w:r w:rsidRPr="005F0A67">
        <w:rPr>
          <w:rFonts w:asciiTheme="majorBidi" w:eastAsia="Georgia" w:hAnsiTheme="majorBidi" w:cstheme="majorBidi"/>
          <w:b/>
          <w:bCs/>
          <w:color w:val="419844"/>
          <w:lang w:eastAsia="en-GB"/>
        </w:rPr>
        <w:fldChar w:fldCharType="end"/>
      </w:r>
      <w:bookmarkEnd w:id="97"/>
      <w:r w:rsidRPr="005F0A67">
        <w:rPr>
          <w:rFonts w:asciiTheme="majorBidi" w:eastAsia="Georgia" w:hAnsiTheme="majorBidi" w:cstheme="majorBidi"/>
          <w:b/>
          <w:bCs/>
          <w:color w:val="419844"/>
          <w:lang w:val="en-US" w:eastAsia="ja-JP"/>
        </w:rPr>
        <w:t xml:space="preserve"> Indian classification of micro, small and medium-sized enterprises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1559"/>
        <w:gridCol w:w="3543"/>
        <w:gridCol w:w="4616"/>
      </w:tblGrid>
      <w:tr w:rsidR="005F0A67" w:rsidRPr="005F0A67" w14:paraId="60C0F74E" w14:textId="77777777" w:rsidTr="00FB671B">
        <w:trPr>
          <w:trHeight w:val="265"/>
          <w:tblHeader/>
          <w:jc w:val="center"/>
        </w:trPr>
        <w:tc>
          <w:tcPr>
            <w:tcW w:w="802" w:type="pct"/>
            <w:tcBorders>
              <w:top w:val="single" w:sz="1" w:space="0" w:color="AAAAAA"/>
              <w:left w:val="single" w:sz="1" w:space="0" w:color="AAAAAA"/>
              <w:bottom w:val="single" w:sz="1" w:space="0" w:color="AAAAAA"/>
              <w:right w:val="single" w:sz="1" w:space="0" w:color="AAAAAA"/>
            </w:tcBorders>
            <w:shd w:val="clear" w:color="auto" w:fill="1F4E6B"/>
            <w:tcMar>
              <w:top w:w="60" w:type="dxa"/>
              <w:left w:w="100" w:type="dxa"/>
              <w:bottom w:w="60" w:type="dxa"/>
              <w:right w:w="100" w:type="dxa"/>
            </w:tcMar>
          </w:tcPr>
          <w:p w14:paraId="6A16D5CA"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FFFFFF"/>
                <w:sz w:val="18"/>
                <w:szCs w:val="18"/>
                <w:lang w:val="en-CA" w:eastAsia="en-GB"/>
              </w:rPr>
            </w:pPr>
            <w:r w:rsidRPr="005F0A67">
              <w:rPr>
                <w:rFonts w:asciiTheme="majorBidi" w:eastAsia="Tahoma" w:hAnsiTheme="majorBidi" w:cstheme="majorBidi"/>
                <w:b/>
                <w:bCs/>
                <w:color w:val="FFFFFF"/>
                <w:sz w:val="18"/>
                <w:szCs w:val="18"/>
                <w:lang w:val="en-CA" w:eastAsia="en-GB"/>
              </w:rPr>
              <w:t>Category</w:t>
            </w:r>
          </w:p>
        </w:tc>
        <w:tc>
          <w:tcPr>
            <w:tcW w:w="1823" w:type="pct"/>
            <w:tcBorders>
              <w:top w:val="single" w:sz="1" w:space="0" w:color="AAAAAA"/>
              <w:left w:val="single" w:sz="1" w:space="0" w:color="AAAAAA"/>
              <w:bottom w:val="single" w:sz="1" w:space="0" w:color="AAAAAA"/>
              <w:right w:val="single" w:sz="1" w:space="0" w:color="AAAAAA"/>
            </w:tcBorders>
            <w:shd w:val="clear" w:color="auto" w:fill="1F4E6B"/>
          </w:tcPr>
          <w:p w14:paraId="09148ED6"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FFFFFF"/>
                <w:sz w:val="18"/>
                <w:szCs w:val="18"/>
                <w:lang w:val="en-CA" w:eastAsia="en-GB"/>
              </w:rPr>
            </w:pPr>
            <w:r w:rsidRPr="005F0A67">
              <w:rPr>
                <w:rFonts w:asciiTheme="majorBidi" w:eastAsia="Tahoma" w:hAnsiTheme="majorBidi" w:cstheme="majorBidi"/>
                <w:b/>
                <w:bCs/>
                <w:color w:val="FFFFFF"/>
                <w:sz w:val="18"/>
                <w:szCs w:val="18"/>
                <w:lang w:val="en-CA" w:eastAsia="en-GB"/>
              </w:rPr>
              <w:t xml:space="preserve">Investment </w:t>
            </w:r>
          </w:p>
        </w:tc>
        <w:tc>
          <w:tcPr>
            <w:tcW w:w="2375" w:type="pct"/>
            <w:tcBorders>
              <w:top w:val="single" w:sz="1" w:space="0" w:color="AAAAAA"/>
              <w:left w:val="single" w:sz="1" w:space="0" w:color="AAAAAA"/>
              <w:bottom w:val="single" w:sz="1" w:space="0" w:color="AAAAAA"/>
              <w:right w:val="single" w:sz="1" w:space="0" w:color="AAAAAA"/>
            </w:tcBorders>
            <w:shd w:val="clear" w:color="auto" w:fill="1F4E6B"/>
            <w:tcMar>
              <w:top w:w="60" w:type="dxa"/>
              <w:left w:w="100" w:type="dxa"/>
              <w:bottom w:w="60" w:type="dxa"/>
              <w:right w:w="100" w:type="dxa"/>
            </w:tcMar>
          </w:tcPr>
          <w:p w14:paraId="74B86328"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FFFFFF"/>
                <w:sz w:val="18"/>
                <w:szCs w:val="18"/>
                <w:lang w:val="en-CA" w:eastAsia="en-GB"/>
              </w:rPr>
            </w:pPr>
            <w:r w:rsidRPr="005F0A67">
              <w:rPr>
                <w:rFonts w:asciiTheme="majorBidi" w:eastAsia="Tahoma" w:hAnsiTheme="majorBidi" w:cstheme="majorBidi"/>
                <w:b/>
                <w:bCs/>
                <w:color w:val="FFFFFF"/>
                <w:sz w:val="18"/>
                <w:szCs w:val="18"/>
                <w:lang w:val="en-CA" w:eastAsia="en-GB"/>
              </w:rPr>
              <w:t>Turnover</w:t>
            </w:r>
          </w:p>
        </w:tc>
      </w:tr>
      <w:tr w:rsidR="005F0A67" w:rsidRPr="005F0A67" w14:paraId="016D3BEF" w14:textId="77777777" w:rsidTr="005F0A67">
        <w:trPr>
          <w:trHeight w:val="348"/>
          <w:jc w:val="center"/>
        </w:trPr>
        <w:tc>
          <w:tcPr>
            <w:tcW w:w="802"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tcPr>
          <w:p w14:paraId="65DC5C40"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b/>
                <w:bCs/>
                <w:sz w:val="18"/>
                <w:szCs w:val="18"/>
                <w:lang w:eastAsia="en-GB"/>
              </w:rPr>
            </w:pPr>
            <w:r w:rsidRPr="005F0A67">
              <w:rPr>
                <w:rFonts w:asciiTheme="majorBidi" w:eastAsia="Times New Roman" w:hAnsiTheme="majorBidi" w:cstheme="majorBidi"/>
                <w:b/>
                <w:bCs/>
                <w:sz w:val="18"/>
                <w:szCs w:val="18"/>
                <w:lang w:eastAsia="en-GB"/>
              </w:rPr>
              <w:t>Micro</w:t>
            </w:r>
          </w:p>
        </w:tc>
        <w:tc>
          <w:tcPr>
            <w:tcW w:w="1823" w:type="pct"/>
            <w:tcBorders>
              <w:top w:val="single" w:sz="1" w:space="0" w:color="AAAAAA"/>
              <w:left w:val="single" w:sz="1" w:space="0" w:color="AAAAAA"/>
              <w:bottom w:val="single" w:sz="1" w:space="0" w:color="AAAAAA"/>
              <w:right w:val="single" w:sz="1" w:space="0" w:color="AAAAAA"/>
            </w:tcBorders>
          </w:tcPr>
          <w:p w14:paraId="51CBF930"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&lt; INR 2.5 crore (~$262,254)</w:t>
            </w:r>
          </w:p>
        </w:tc>
        <w:tc>
          <w:tcPr>
            <w:tcW w:w="2375" w:type="pct"/>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tcPr>
          <w:p w14:paraId="19237C88"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&lt; INR 10 crore (~$1,049,017)</w:t>
            </w:r>
          </w:p>
        </w:tc>
      </w:tr>
      <w:tr w:rsidR="005F0A67" w:rsidRPr="005F0A67" w14:paraId="4A6E95C7" w14:textId="77777777" w:rsidTr="005F0A67">
        <w:trPr>
          <w:trHeight w:val="348"/>
          <w:jc w:val="center"/>
        </w:trPr>
        <w:tc>
          <w:tcPr>
            <w:tcW w:w="802"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tcPr>
          <w:p w14:paraId="56A10116"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b/>
                <w:bCs/>
                <w:sz w:val="18"/>
                <w:szCs w:val="18"/>
                <w:lang w:eastAsia="en-GB"/>
              </w:rPr>
            </w:pPr>
            <w:r w:rsidRPr="005F0A67">
              <w:rPr>
                <w:rFonts w:asciiTheme="majorBidi" w:eastAsia="Times New Roman" w:hAnsiTheme="majorBidi" w:cstheme="majorBidi"/>
                <w:b/>
                <w:bCs/>
                <w:sz w:val="18"/>
                <w:szCs w:val="18"/>
                <w:lang w:eastAsia="en-GB"/>
              </w:rPr>
              <w:t>Small</w:t>
            </w:r>
          </w:p>
        </w:tc>
        <w:tc>
          <w:tcPr>
            <w:tcW w:w="1823" w:type="pct"/>
            <w:tcBorders>
              <w:top w:val="single" w:sz="1" w:space="0" w:color="AAAAAA"/>
              <w:left w:val="single" w:sz="1" w:space="0" w:color="AAAAAA"/>
              <w:bottom w:val="single" w:sz="1" w:space="0" w:color="AAAAAA"/>
              <w:right w:val="single" w:sz="1" w:space="0" w:color="AAAAAA"/>
            </w:tcBorders>
          </w:tcPr>
          <w:p w14:paraId="79B38AD9"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&lt; INR 25 crore (~$2,622,542)</w:t>
            </w:r>
          </w:p>
        </w:tc>
        <w:tc>
          <w:tcPr>
            <w:tcW w:w="2375" w:type="pct"/>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tcPr>
          <w:p w14:paraId="77E294AD"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&lt; INR 100 crore (~$10,490,169)</w:t>
            </w:r>
          </w:p>
        </w:tc>
      </w:tr>
      <w:tr w:rsidR="005F0A67" w:rsidRPr="005F0A67" w14:paraId="64A92B33" w14:textId="77777777" w:rsidTr="005F0A67">
        <w:trPr>
          <w:trHeight w:val="348"/>
          <w:jc w:val="center"/>
        </w:trPr>
        <w:tc>
          <w:tcPr>
            <w:tcW w:w="802"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tcPr>
          <w:p w14:paraId="0F74C08C"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b/>
                <w:bCs/>
                <w:sz w:val="18"/>
                <w:szCs w:val="18"/>
                <w:lang w:eastAsia="en-GB"/>
              </w:rPr>
            </w:pPr>
            <w:r w:rsidRPr="005F0A67">
              <w:rPr>
                <w:rFonts w:asciiTheme="majorBidi" w:eastAsia="Times New Roman" w:hAnsiTheme="majorBidi" w:cstheme="majorBidi"/>
                <w:b/>
                <w:bCs/>
                <w:sz w:val="18"/>
                <w:szCs w:val="18"/>
                <w:lang w:eastAsia="en-GB"/>
              </w:rPr>
              <w:t>Medium</w:t>
            </w:r>
          </w:p>
        </w:tc>
        <w:tc>
          <w:tcPr>
            <w:tcW w:w="1823" w:type="pct"/>
            <w:tcBorders>
              <w:top w:val="single" w:sz="1" w:space="0" w:color="AAAAAA"/>
              <w:left w:val="single" w:sz="1" w:space="0" w:color="AAAAAA"/>
              <w:bottom w:val="single" w:sz="1" w:space="0" w:color="AAAAAA"/>
              <w:right w:val="single" w:sz="1" w:space="0" w:color="AAAAAA"/>
            </w:tcBorders>
          </w:tcPr>
          <w:p w14:paraId="0D0B78C1"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&lt; INR 125 crore (~$13,112,710)</w:t>
            </w:r>
          </w:p>
        </w:tc>
        <w:tc>
          <w:tcPr>
            <w:tcW w:w="2375" w:type="pct"/>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tcPr>
          <w:p w14:paraId="0C2438F1"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&lt; INR 500 crore (~$52,450,847)</w:t>
            </w:r>
          </w:p>
        </w:tc>
      </w:tr>
    </w:tbl>
    <w:p w14:paraId="48EB1F77" w14:textId="77777777" w:rsidR="005F0A67" w:rsidRPr="005F0A67" w:rsidRDefault="005F0A67" w:rsidP="005F0A67">
      <w:pPr>
        <w:tabs>
          <w:tab w:val="clear" w:pos="567"/>
          <w:tab w:val="clear" w:pos="1134"/>
          <w:tab w:val="clear" w:pos="1701"/>
          <w:tab w:val="clear" w:pos="2268"/>
        </w:tabs>
        <w:spacing w:line="293" w:lineRule="auto"/>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i/>
          <w:iCs/>
          <w:sz w:val="18"/>
          <w:szCs w:val="18"/>
          <w:lang w:val="en-CA" w:eastAsia="en-GB"/>
        </w:rPr>
        <w:t>Note:</w:t>
      </w:r>
      <w:r w:rsidRPr="005F0A67">
        <w:rPr>
          <w:rFonts w:asciiTheme="majorBidi" w:eastAsia="Times New Roman" w:hAnsiTheme="majorBidi" w:cstheme="majorBidi"/>
          <w:sz w:val="18"/>
          <w:szCs w:val="18"/>
          <w:lang w:val="en-CA" w:eastAsia="en-GB"/>
        </w:rPr>
        <w:t xml:space="preserve"> Converted from original thresholds using a spot exchange rate as of June 2026: 95.3370 INR/USD </w:t>
      </w:r>
      <w:r w:rsidRPr="005F0A67">
        <w:rPr>
          <w:rFonts w:asciiTheme="majorBidi" w:eastAsia="Times New Roman" w:hAnsiTheme="majorBidi" w:cstheme="majorBidi"/>
          <w:sz w:val="18"/>
          <w:szCs w:val="18"/>
          <w:lang w:val="en-CA" w:eastAsia="en-GB"/>
        </w:rPr>
        <w:fldChar w:fldCharType="begin"/>
      </w:r>
      <w:r w:rsidRPr="005F0A67">
        <w:rPr>
          <w:rFonts w:asciiTheme="majorBidi" w:eastAsia="Times New Roman" w:hAnsiTheme="majorBidi" w:cstheme="majorBidi"/>
          <w:sz w:val="18"/>
          <w:szCs w:val="18"/>
          <w:lang w:val="en-CA" w:eastAsia="en-GB"/>
        </w:rPr>
        <w:instrText xml:space="preserve"> ADDIN ZOTERO_ITEM CSL_CITATION {"citationID":"bwhCKFMM","properties":{"unsorted":false,"formattedCitation":"(Trading Economics, 2026a)","plainCitation":"(Trading Economics, 2026a)","noteIndex":0},"citationItems":[{"id":3004,"uris":["http://zotero.org/users/14977742/items/9H5NEZH7"],"itemData":{"id":3004,"type":"webpage","citation-key":"BrazilianRealQuote","title":"Brazilian Real to USD","URL":"https://tradingeconomics.com/brazil/currency","author":[{"literal":"Trading Economics"}],"accessed":{"date-parts":[["2026",6,7]]},"issued":{"date-parts":[["2026",6]]}}}],"schema":"https://github.com/citation-style-language/schema/raw/master/csl-citation.json"} </w:instrText>
      </w:r>
      <w:r w:rsidRPr="005F0A67">
        <w:rPr>
          <w:rFonts w:asciiTheme="majorBidi" w:eastAsia="Times New Roman" w:hAnsiTheme="majorBidi" w:cstheme="majorBidi"/>
          <w:sz w:val="18"/>
          <w:szCs w:val="18"/>
          <w:lang w:val="en-CA" w:eastAsia="en-GB"/>
        </w:rPr>
        <w:fldChar w:fldCharType="separate"/>
      </w:r>
      <w:r w:rsidRPr="005F0A67">
        <w:rPr>
          <w:rFonts w:asciiTheme="majorBidi" w:eastAsia="Georgia" w:hAnsiTheme="majorBidi" w:cstheme="majorBidi"/>
          <w:sz w:val="18"/>
          <w:lang w:eastAsia="en-GB"/>
        </w:rPr>
        <w:t>(Trading Economics, 2026a)</w:t>
      </w:r>
      <w:r w:rsidRPr="005F0A67">
        <w:rPr>
          <w:rFonts w:asciiTheme="majorBidi" w:eastAsia="Times New Roman" w:hAnsiTheme="majorBidi" w:cstheme="majorBidi"/>
          <w:sz w:val="18"/>
          <w:szCs w:val="18"/>
          <w:lang w:val="en-CA" w:eastAsia="en-GB"/>
        </w:rPr>
        <w:fldChar w:fldCharType="end"/>
      </w:r>
      <w:r w:rsidRPr="005F0A67">
        <w:rPr>
          <w:rFonts w:asciiTheme="majorBidi" w:eastAsia="Times New Roman" w:hAnsiTheme="majorBidi" w:cstheme="majorBidi"/>
          <w:sz w:val="18"/>
          <w:szCs w:val="18"/>
          <w:lang w:val="en-CA" w:eastAsia="en-GB"/>
        </w:rPr>
        <w:t>. 1 crore = 10 million.</w:t>
      </w:r>
    </w:p>
    <w:p w14:paraId="7F22ED32" w14:textId="77777777" w:rsidR="005F0A67" w:rsidRPr="005F0A67" w:rsidRDefault="005F0A67" w:rsidP="005F0A67">
      <w:pPr>
        <w:tabs>
          <w:tab w:val="clear" w:pos="567"/>
          <w:tab w:val="clear" w:pos="1134"/>
          <w:tab w:val="clear" w:pos="1701"/>
          <w:tab w:val="clear" w:pos="2268"/>
        </w:tabs>
        <w:spacing w:line="293" w:lineRule="auto"/>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i/>
          <w:iCs/>
          <w:sz w:val="18"/>
          <w:szCs w:val="18"/>
          <w:lang w:val="en-CA" w:eastAsia="en-GB"/>
        </w:rPr>
        <w:t xml:space="preserve">Source: </w:t>
      </w:r>
      <w:r w:rsidRPr="005F0A67">
        <w:rPr>
          <w:rFonts w:asciiTheme="majorBidi" w:eastAsia="Times New Roman" w:hAnsiTheme="majorBidi" w:cstheme="majorBidi"/>
          <w:i/>
          <w:iCs/>
          <w:sz w:val="18"/>
          <w:szCs w:val="18"/>
          <w:lang w:val="en-CA" w:eastAsia="en-GB"/>
        </w:rPr>
        <w:fldChar w:fldCharType="begin"/>
      </w:r>
      <w:r w:rsidRPr="005F0A67">
        <w:rPr>
          <w:rFonts w:asciiTheme="majorBidi" w:eastAsia="Times New Roman" w:hAnsiTheme="majorBidi" w:cstheme="majorBidi"/>
          <w:i/>
          <w:iCs/>
          <w:sz w:val="18"/>
          <w:szCs w:val="18"/>
          <w:lang w:val="en-CA" w:eastAsia="en-GB"/>
        </w:rPr>
        <w:instrText xml:space="preserve"> ADDIN ZOTERO_ITEM CSL_CITATION {"citationID":"a1eqsk1cd58","properties":{"unsorted":false,"formattedCitation":"(India, Ministry of MSME, 2025)","plainCitation":"(India, Ministry of MSME, 2025)","noteIndex":0},"citationItems":[{"id":3006,"uris":["http://zotero.org/users/14977742/items/DPRTVEC4"],"itemData":{"id":3006,"type":"post-weblog","abstract":"</w:instrText>
      </w:r>
      <w:r w:rsidRPr="005F0A67">
        <w:rPr>
          <w:rFonts w:ascii="Segoe UI Emoji" w:eastAsia="Times New Roman" w:hAnsi="Segoe UI Emoji" w:cs="Segoe UI Emoji"/>
          <w:i/>
          <w:iCs/>
          <w:sz w:val="18"/>
          <w:szCs w:val="18"/>
          <w:lang w:val="en-CA" w:eastAsia="en-GB"/>
        </w:rPr>
        <w:instrText>🖨️</w:instrText>
      </w:r>
      <w:r w:rsidRPr="005F0A67">
        <w:rPr>
          <w:rFonts w:asciiTheme="majorBidi" w:eastAsia="Times New Roman" w:hAnsiTheme="majorBidi" w:cstheme="majorBidi"/>
          <w:i/>
          <w:iCs/>
          <w:sz w:val="18"/>
          <w:szCs w:val="18"/>
          <w:lang w:val="en-CA" w:eastAsia="en-GB"/>
        </w:rPr>
        <w:instrText xml:space="preserve"> Download PDF MINISTRY OF MICRO, SMALL AND MEDIUM ENTERPRISES NOTIFICATIONNew Delhi, the 21st March, 2025 S.O. 1364(E).—In exercise of […]","citation-key":"editorsvRevisedMSMEInvestment","container-title":"IBC Laws","language":"en-US","title":"MSME Notification No. SO-1364(E)","URL":"https://ibclaw.in/msme-notification-no-so-1364e-dated-21-03-2025/","author":[{"literal":"India, Ministry of MSME"}],"accessed":{"date-parts":[["2026",6,7]]},"issued":{"date-parts":[["2025",3]]}}}],"schema":"https://github.com/citation-style-language/schema/raw/master/csl-citation.json"} </w:instrText>
      </w:r>
      <w:r w:rsidRPr="005F0A67">
        <w:rPr>
          <w:rFonts w:asciiTheme="majorBidi" w:eastAsia="Times New Roman" w:hAnsiTheme="majorBidi" w:cstheme="majorBidi"/>
          <w:i/>
          <w:iCs/>
          <w:sz w:val="18"/>
          <w:szCs w:val="18"/>
          <w:lang w:val="en-CA" w:eastAsia="en-GB"/>
        </w:rPr>
        <w:fldChar w:fldCharType="separate"/>
      </w:r>
      <w:r w:rsidRPr="005F0A67">
        <w:rPr>
          <w:rFonts w:asciiTheme="majorBidi" w:eastAsia="Georgia" w:hAnsiTheme="majorBidi" w:cstheme="majorBidi"/>
          <w:sz w:val="18"/>
          <w:lang w:eastAsia="en-GB"/>
        </w:rPr>
        <w:t>(India, Ministry of MSME, 2025)</w:t>
      </w:r>
      <w:r w:rsidRPr="005F0A67">
        <w:rPr>
          <w:rFonts w:asciiTheme="majorBidi" w:eastAsia="Times New Roman" w:hAnsiTheme="majorBidi" w:cstheme="majorBidi"/>
          <w:i/>
          <w:iCs/>
          <w:sz w:val="18"/>
          <w:szCs w:val="18"/>
          <w:lang w:val="en-CA" w:eastAsia="en-GB"/>
        </w:rPr>
        <w:fldChar w:fldCharType="end"/>
      </w:r>
      <w:r w:rsidRPr="005F0A67">
        <w:rPr>
          <w:rFonts w:asciiTheme="majorBidi" w:eastAsia="Times New Roman" w:hAnsiTheme="majorBidi" w:cstheme="majorBidi"/>
          <w:sz w:val="18"/>
          <w:szCs w:val="18"/>
          <w:lang w:val="en-CA" w:eastAsia="en-GB"/>
        </w:rPr>
        <w:t>.</w:t>
      </w:r>
    </w:p>
    <w:p w14:paraId="79F2969D" w14:textId="77777777" w:rsidR="005F0A67" w:rsidRPr="005F0A67" w:rsidRDefault="005F0A67" w:rsidP="005F0A67">
      <w:pPr>
        <w:tabs>
          <w:tab w:val="clear" w:pos="567"/>
          <w:tab w:val="clear" w:pos="1134"/>
          <w:tab w:val="clear" w:pos="1701"/>
          <w:tab w:val="clear" w:pos="2268"/>
        </w:tabs>
        <w:spacing w:line="293" w:lineRule="auto"/>
        <w:rPr>
          <w:rFonts w:asciiTheme="majorBidi" w:eastAsia="Times New Roman" w:hAnsiTheme="majorBidi" w:cstheme="majorBidi"/>
          <w:sz w:val="18"/>
          <w:szCs w:val="18"/>
          <w:lang w:val="en-CA" w:eastAsia="en-GB"/>
        </w:rPr>
      </w:pPr>
    </w:p>
    <w:p w14:paraId="6A890430" w14:textId="77777777" w:rsidR="005F0A67" w:rsidRPr="005F0A67" w:rsidRDefault="005F0A67" w:rsidP="005F0A67">
      <w:pPr>
        <w:tabs>
          <w:tab w:val="clear" w:pos="567"/>
          <w:tab w:val="clear" w:pos="1134"/>
          <w:tab w:val="clear" w:pos="1701"/>
          <w:tab w:val="clear" w:pos="2268"/>
        </w:tabs>
        <w:spacing w:line="293" w:lineRule="auto"/>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lang w:val="en-CA" w:eastAsia="en-GB"/>
        </w:rPr>
        <w:t xml:space="preserve">The Cali Fund revenue threshold of USD 50 million falls just below the Indian medium enterprise turnover ceiling of approximately USD 52.4 million. This means that some firms classified as medium enterprises under </w:t>
      </w:r>
      <w:r w:rsidRPr="005F0A67">
        <w:rPr>
          <w:rFonts w:asciiTheme="majorBidi" w:eastAsia="Times New Roman" w:hAnsiTheme="majorBidi" w:cstheme="majorBidi"/>
          <w:lang w:val="en-CA" w:eastAsia="en-GB"/>
        </w:rPr>
        <w:lastRenderedPageBreak/>
        <w:t>Indian legislation could fall within the Cali Fund thresholds for contribution if they also meet two of the three financial criteria. Nonetheless, the two classification systems are not directly comparable, since India uses both investment and turnover simultaneously while the Cali Fund applies a two-out-of-three rule across revenue, assets, and profit.</w:t>
      </w:r>
      <w:r w:rsidRPr="005F0A67">
        <w:rPr>
          <w:rFonts w:asciiTheme="majorBidi" w:eastAsia="Times New Roman" w:hAnsiTheme="majorBidi" w:cstheme="majorBidi"/>
          <w:sz w:val="18"/>
          <w:szCs w:val="18"/>
          <w:lang w:val="en-CA" w:eastAsia="en-GB"/>
        </w:rPr>
        <w:fldChar w:fldCharType="begin"/>
      </w:r>
      <w:r w:rsidRPr="005F0A67">
        <w:rPr>
          <w:rFonts w:asciiTheme="majorBidi" w:eastAsia="Times New Roman" w:hAnsiTheme="majorBidi" w:cstheme="majorBidi"/>
          <w:sz w:val="18"/>
          <w:szCs w:val="18"/>
          <w:lang w:val="en-CA" w:eastAsia="en-GB"/>
        </w:rPr>
        <w:instrText xml:space="preserve"> ADDIN ZOTERO_ITEM CSL_CITATION {"citationID":"DPWnEUtJ","properties":{"unsorted":false,"formattedCitation":"\\uldash{(Brazil, 2006)}","plainCitation":"(Brazil, 2006)","dontUpdate":true,"noteIndex":0},"citationItems":[{"id":3002,"uris":["http://zotero.org/users/14977742/items/Y4FCWY5J"],"itemData":{"id":3002,"type":"bill","citation-key":"Lcp123","title":"Lei Complementar 123/2006","URL":"https://www.planalto.gov.br/ccivil_03/leis/lcp/lcp123.htm","author":[{"literal":"Brazil"}],"accessed":{"date-parts":[["2026",6,7]]},"issued":{"date-parts":[["2006",12,14]]}}}],"schema":"https://github.com/citation-style-language/schema/raw/master/csl-citation.json"} </w:instrText>
      </w:r>
      <w:r w:rsidRPr="005F0A67">
        <w:rPr>
          <w:rFonts w:asciiTheme="majorBidi" w:eastAsia="Times New Roman" w:hAnsiTheme="majorBidi" w:cstheme="majorBidi"/>
          <w:sz w:val="18"/>
          <w:szCs w:val="18"/>
          <w:lang w:val="en-CA" w:eastAsia="en-GB"/>
        </w:rPr>
        <w:fldChar w:fldCharType="separate"/>
      </w:r>
      <w:r w:rsidRPr="005F0A67">
        <w:rPr>
          <w:rFonts w:asciiTheme="majorBidi" w:eastAsia="Times New Roman" w:hAnsiTheme="majorBidi" w:cstheme="majorBidi"/>
          <w:sz w:val="18"/>
          <w:szCs w:val="18"/>
          <w:lang w:val="en-CA" w:eastAsia="en-GB"/>
        </w:rPr>
        <w:fldChar w:fldCharType="end"/>
      </w:r>
    </w:p>
    <w:p w14:paraId="257288B8" w14:textId="5BD6A36F" w:rsidR="005F0A67" w:rsidRPr="005F0A67" w:rsidRDefault="00B54840" w:rsidP="00B54840">
      <w:pPr>
        <w:tabs>
          <w:tab w:val="clear" w:pos="567"/>
          <w:tab w:val="clear" w:pos="1134"/>
          <w:tab w:val="clear" w:pos="1701"/>
          <w:tab w:val="clear" w:pos="2268"/>
        </w:tabs>
        <w:spacing w:before="320" w:after="160"/>
        <w:ind w:left="720"/>
        <w:jc w:val="left"/>
        <w:outlineLvl w:val="2"/>
        <w:rPr>
          <w:rFonts w:asciiTheme="majorBidi" w:eastAsia="Arial" w:hAnsiTheme="majorBidi" w:cstheme="majorBidi"/>
          <w:b/>
          <w:bCs/>
          <w:color w:val="7F7F7F"/>
          <w:sz w:val="23"/>
          <w:szCs w:val="23"/>
          <w:lang w:val="en-CA" w:eastAsia="en-GB"/>
        </w:rPr>
      </w:pPr>
      <w:r w:rsidRPr="00B54840">
        <w:rPr>
          <w:rFonts w:asciiTheme="majorBidi" w:eastAsia="Arial" w:hAnsiTheme="majorBidi" w:cstheme="majorBidi"/>
          <w:b/>
          <w:bCs/>
          <w:color w:val="7F7F7F"/>
          <w:sz w:val="23"/>
          <w:szCs w:val="23"/>
          <w:lang w:val="en-CA" w:eastAsia="en-GB"/>
        </w:rPr>
        <w:t>Organisation for Economic Co-operation and Development</w:t>
      </w:r>
    </w:p>
    <w:p w14:paraId="35F3C82C"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The OECD does not impose a single legally binding definition of business size but provides a widely used statistical classification framework based primarily on employee numbers, used for cross-country comparison and analysis. Through its standard classification, enterprises are grouped into micro (1-9 employees), small (10-49), medium (50-249), and large (250 or more) categories. </w:t>
      </w:r>
    </w:p>
    <w:p w14:paraId="645304D7" w14:textId="77777777" w:rsidR="005F0A67" w:rsidRPr="005F0A67" w:rsidRDefault="005F0A67" w:rsidP="005F0A67">
      <w:pPr>
        <w:tabs>
          <w:tab w:val="clear" w:pos="567"/>
          <w:tab w:val="clear" w:pos="1134"/>
          <w:tab w:val="clear" w:pos="1701"/>
          <w:tab w:val="clear" w:pos="2268"/>
        </w:tabs>
        <w:spacing w:after="200" w:line="312" w:lineRule="auto"/>
        <w:contextualSpacing/>
        <w:rPr>
          <w:rFonts w:asciiTheme="majorBidi" w:eastAsia="Georgia" w:hAnsiTheme="majorBidi" w:cstheme="majorBidi"/>
          <w:b/>
          <w:bCs/>
          <w:color w:val="419844"/>
          <w:lang w:eastAsia="en-GB"/>
        </w:rPr>
      </w:pPr>
      <w:r w:rsidRPr="005F0A67">
        <w:rPr>
          <w:rFonts w:asciiTheme="majorBidi" w:eastAsia="Georgia" w:hAnsiTheme="majorBidi" w:cstheme="majorBidi"/>
          <w:b/>
          <w:bCs/>
          <w:color w:val="419844"/>
          <w:lang w:val="en-US" w:eastAsia="ja-JP"/>
        </w:rPr>
        <w:t xml:space="preserve">Table </w:t>
      </w:r>
      <w:r w:rsidRPr="005F0A67">
        <w:rPr>
          <w:rFonts w:asciiTheme="majorBidi" w:eastAsia="Georgia" w:hAnsiTheme="majorBidi" w:cstheme="majorBidi"/>
          <w:b/>
          <w:bCs/>
          <w:color w:val="419844"/>
          <w:lang w:eastAsia="en-GB"/>
        </w:rPr>
        <w:fldChar w:fldCharType="begin"/>
      </w:r>
      <w:r w:rsidRPr="005F0A67">
        <w:rPr>
          <w:rFonts w:asciiTheme="majorBidi" w:eastAsia="Georgia" w:hAnsiTheme="majorBidi" w:cstheme="majorBidi"/>
          <w:b/>
          <w:bCs/>
          <w:color w:val="419844"/>
          <w:lang w:eastAsia="en-GB"/>
        </w:rPr>
        <w:instrText xml:space="preserve"> SEQ Table \* ARABIC </w:instrText>
      </w:r>
      <w:r w:rsidRPr="005F0A67">
        <w:rPr>
          <w:rFonts w:asciiTheme="majorBidi" w:eastAsia="Georgia" w:hAnsiTheme="majorBidi" w:cstheme="majorBidi"/>
          <w:b/>
          <w:bCs/>
          <w:color w:val="419844"/>
          <w:lang w:eastAsia="en-GB"/>
        </w:rPr>
        <w:fldChar w:fldCharType="separate"/>
      </w:r>
      <w:r w:rsidRPr="005F0A67">
        <w:rPr>
          <w:rFonts w:asciiTheme="majorBidi" w:eastAsia="Georgia" w:hAnsiTheme="majorBidi" w:cstheme="majorBidi"/>
          <w:b/>
          <w:bCs/>
          <w:noProof/>
          <w:color w:val="419844"/>
          <w:lang w:eastAsia="en-GB"/>
        </w:rPr>
        <w:t>7</w:t>
      </w:r>
      <w:r w:rsidRPr="005F0A67">
        <w:rPr>
          <w:rFonts w:asciiTheme="majorBidi" w:eastAsia="Georgia" w:hAnsiTheme="majorBidi" w:cstheme="majorBidi"/>
          <w:b/>
          <w:bCs/>
          <w:color w:val="419844"/>
          <w:lang w:eastAsia="en-GB"/>
        </w:rPr>
        <w:fldChar w:fldCharType="end"/>
      </w:r>
      <w:r w:rsidRPr="005F0A67">
        <w:rPr>
          <w:rFonts w:asciiTheme="majorBidi" w:eastAsia="Georgia" w:hAnsiTheme="majorBidi" w:cstheme="majorBidi"/>
          <w:b/>
          <w:bCs/>
          <w:color w:val="419844"/>
          <w:lang w:val="en-US" w:eastAsia="ja-JP"/>
        </w:rPr>
        <w:t xml:space="preserve"> OECD definition of small and medium-sized enterprises</w:t>
      </w:r>
    </w:p>
    <w:tbl>
      <w:tblPr>
        <w:tblW w:w="277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2843"/>
        <w:gridCol w:w="2558"/>
      </w:tblGrid>
      <w:tr w:rsidR="005F0A67" w:rsidRPr="005F0A67" w14:paraId="496ADBF2" w14:textId="77777777" w:rsidTr="00FB671B">
        <w:trPr>
          <w:trHeight w:val="265"/>
          <w:tblHeader/>
          <w:jc w:val="center"/>
        </w:trPr>
        <w:tc>
          <w:tcPr>
            <w:tcW w:w="2632" w:type="pct"/>
            <w:tcBorders>
              <w:top w:val="single" w:sz="1" w:space="0" w:color="AAAAAA"/>
              <w:left w:val="single" w:sz="1" w:space="0" w:color="AAAAAA"/>
              <w:bottom w:val="single" w:sz="1" w:space="0" w:color="AAAAAA"/>
              <w:right w:val="single" w:sz="1" w:space="0" w:color="AAAAAA"/>
            </w:tcBorders>
            <w:shd w:val="clear" w:color="auto" w:fill="1F4E6B"/>
            <w:tcMar>
              <w:top w:w="60" w:type="dxa"/>
              <w:left w:w="100" w:type="dxa"/>
              <w:bottom w:w="60" w:type="dxa"/>
              <w:right w:w="100" w:type="dxa"/>
            </w:tcMar>
          </w:tcPr>
          <w:p w14:paraId="5FEDA989"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FFFFFF"/>
                <w:sz w:val="18"/>
                <w:szCs w:val="18"/>
                <w:lang w:val="en-CA" w:eastAsia="en-GB"/>
              </w:rPr>
            </w:pPr>
            <w:r w:rsidRPr="005F0A67">
              <w:rPr>
                <w:rFonts w:asciiTheme="majorBidi" w:eastAsia="Tahoma" w:hAnsiTheme="majorBidi" w:cstheme="majorBidi"/>
                <w:b/>
                <w:bCs/>
                <w:color w:val="FFFFFF"/>
                <w:sz w:val="18"/>
                <w:szCs w:val="18"/>
                <w:lang w:val="en-CA" w:eastAsia="en-GB"/>
              </w:rPr>
              <w:t>Category</w:t>
            </w:r>
          </w:p>
        </w:tc>
        <w:tc>
          <w:tcPr>
            <w:tcW w:w="2368" w:type="pct"/>
            <w:tcBorders>
              <w:top w:val="single" w:sz="1" w:space="0" w:color="AAAAAA"/>
              <w:left w:val="single" w:sz="1" w:space="0" w:color="AAAAAA"/>
              <w:bottom w:val="single" w:sz="1" w:space="0" w:color="AAAAAA"/>
              <w:right w:val="single" w:sz="1" w:space="0" w:color="AAAAAA"/>
            </w:tcBorders>
            <w:shd w:val="clear" w:color="auto" w:fill="1F4E6B"/>
            <w:tcMar>
              <w:top w:w="60" w:type="dxa"/>
              <w:left w:w="100" w:type="dxa"/>
              <w:bottom w:w="60" w:type="dxa"/>
              <w:right w:w="100" w:type="dxa"/>
            </w:tcMar>
          </w:tcPr>
          <w:p w14:paraId="3B8DC928"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FFFFFF"/>
                <w:sz w:val="18"/>
                <w:szCs w:val="18"/>
                <w:lang w:val="en-CA" w:eastAsia="en-GB"/>
              </w:rPr>
            </w:pPr>
            <w:r w:rsidRPr="005F0A67">
              <w:rPr>
                <w:rFonts w:asciiTheme="majorBidi" w:eastAsia="Tahoma" w:hAnsiTheme="majorBidi" w:cstheme="majorBidi"/>
                <w:b/>
                <w:bCs/>
                <w:color w:val="FFFFFF"/>
                <w:sz w:val="18"/>
                <w:szCs w:val="18"/>
                <w:lang w:val="en-CA" w:eastAsia="en-GB"/>
              </w:rPr>
              <w:t>Employees</w:t>
            </w:r>
          </w:p>
        </w:tc>
      </w:tr>
      <w:tr w:rsidR="005F0A67" w:rsidRPr="005F0A67" w14:paraId="6CD8D29A" w14:textId="77777777" w:rsidTr="005F0A67">
        <w:trPr>
          <w:trHeight w:val="348"/>
          <w:jc w:val="center"/>
        </w:trPr>
        <w:tc>
          <w:tcPr>
            <w:tcW w:w="2632"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tcPr>
          <w:p w14:paraId="2384B9A5"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b/>
                <w:bCs/>
                <w:sz w:val="18"/>
                <w:szCs w:val="18"/>
                <w:lang w:eastAsia="en-GB"/>
              </w:rPr>
            </w:pPr>
            <w:r w:rsidRPr="005F0A67">
              <w:rPr>
                <w:rFonts w:asciiTheme="majorBidi" w:eastAsia="Times New Roman" w:hAnsiTheme="majorBidi" w:cstheme="majorBidi"/>
                <w:b/>
                <w:bCs/>
                <w:sz w:val="18"/>
                <w:szCs w:val="18"/>
                <w:lang w:eastAsia="en-GB"/>
              </w:rPr>
              <w:t>Micro</w:t>
            </w:r>
          </w:p>
        </w:tc>
        <w:tc>
          <w:tcPr>
            <w:tcW w:w="2368" w:type="pct"/>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tcPr>
          <w:p w14:paraId="35D2A38B"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&lt; 10</w:t>
            </w:r>
          </w:p>
        </w:tc>
      </w:tr>
      <w:tr w:rsidR="005F0A67" w:rsidRPr="005F0A67" w14:paraId="3EF09397" w14:textId="77777777" w:rsidTr="005F0A67">
        <w:trPr>
          <w:trHeight w:val="348"/>
          <w:jc w:val="center"/>
        </w:trPr>
        <w:tc>
          <w:tcPr>
            <w:tcW w:w="2632"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tcPr>
          <w:p w14:paraId="5514463F"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b/>
                <w:bCs/>
                <w:sz w:val="18"/>
                <w:szCs w:val="18"/>
                <w:lang w:eastAsia="en-GB"/>
              </w:rPr>
            </w:pPr>
            <w:r w:rsidRPr="005F0A67">
              <w:rPr>
                <w:rFonts w:asciiTheme="majorBidi" w:eastAsia="Times New Roman" w:hAnsiTheme="majorBidi" w:cstheme="majorBidi"/>
                <w:b/>
                <w:bCs/>
                <w:sz w:val="18"/>
                <w:szCs w:val="18"/>
                <w:lang w:eastAsia="en-GB"/>
              </w:rPr>
              <w:t>Small</w:t>
            </w:r>
          </w:p>
        </w:tc>
        <w:tc>
          <w:tcPr>
            <w:tcW w:w="2368" w:type="pct"/>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tcPr>
          <w:p w14:paraId="05D7B2BC"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&lt; 50</w:t>
            </w:r>
          </w:p>
        </w:tc>
      </w:tr>
      <w:tr w:rsidR="005F0A67" w:rsidRPr="005F0A67" w14:paraId="02C1A709" w14:textId="77777777" w:rsidTr="005F0A67">
        <w:trPr>
          <w:trHeight w:val="348"/>
          <w:jc w:val="center"/>
        </w:trPr>
        <w:tc>
          <w:tcPr>
            <w:tcW w:w="2632"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tcPr>
          <w:p w14:paraId="2E5AD1A9"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b/>
                <w:bCs/>
                <w:sz w:val="18"/>
                <w:szCs w:val="18"/>
                <w:lang w:eastAsia="en-GB"/>
              </w:rPr>
            </w:pPr>
            <w:r w:rsidRPr="005F0A67">
              <w:rPr>
                <w:rFonts w:asciiTheme="majorBidi" w:eastAsia="Times New Roman" w:hAnsiTheme="majorBidi" w:cstheme="majorBidi"/>
                <w:b/>
                <w:bCs/>
                <w:sz w:val="18"/>
                <w:szCs w:val="18"/>
                <w:lang w:eastAsia="en-GB"/>
              </w:rPr>
              <w:t>Medium</w:t>
            </w:r>
          </w:p>
        </w:tc>
        <w:tc>
          <w:tcPr>
            <w:tcW w:w="2368" w:type="pct"/>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tcPr>
          <w:p w14:paraId="6D2A1702"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&lt; 250</w:t>
            </w:r>
          </w:p>
        </w:tc>
      </w:tr>
    </w:tbl>
    <w:p w14:paraId="5A31A8C2" w14:textId="77777777" w:rsidR="005F0A67" w:rsidRPr="005F0A67" w:rsidRDefault="005F0A67" w:rsidP="005F0A67">
      <w:pPr>
        <w:tabs>
          <w:tab w:val="clear" w:pos="567"/>
          <w:tab w:val="clear" w:pos="1134"/>
          <w:tab w:val="clear" w:pos="1701"/>
          <w:tab w:val="clear" w:pos="2268"/>
        </w:tabs>
        <w:spacing w:line="293" w:lineRule="auto"/>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i/>
          <w:iCs/>
          <w:sz w:val="18"/>
          <w:szCs w:val="18"/>
          <w:lang w:val="en-CA" w:eastAsia="en-GB"/>
        </w:rPr>
        <w:t>Note:</w:t>
      </w:r>
      <w:r w:rsidRPr="005F0A67">
        <w:rPr>
          <w:rFonts w:asciiTheme="majorBidi" w:eastAsia="Times New Roman" w:hAnsiTheme="majorBidi" w:cstheme="majorBidi"/>
          <w:sz w:val="18"/>
          <w:szCs w:val="18"/>
          <w:lang w:val="en-CA" w:eastAsia="en-GB"/>
        </w:rPr>
        <w:t xml:space="preserve"> The OECD SME classification is based solely on employee numbers. </w:t>
      </w:r>
    </w:p>
    <w:p w14:paraId="3E2405ED" w14:textId="77777777" w:rsidR="005F0A67" w:rsidRPr="005F0A67" w:rsidRDefault="005F0A67" w:rsidP="005F0A67">
      <w:pPr>
        <w:tabs>
          <w:tab w:val="clear" w:pos="567"/>
          <w:tab w:val="clear" w:pos="1134"/>
          <w:tab w:val="clear" w:pos="1701"/>
          <w:tab w:val="clear" w:pos="2268"/>
        </w:tabs>
        <w:spacing w:line="293" w:lineRule="auto"/>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i/>
          <w:iCs/>
          <w:sz w:val="18"/>
          <w:szCs w:val="18"/>
          <w:lang w:val="en-CA" w:eastAsia="en-GB"/>
        </w:rPr>
        <w:t>Source:</w:t>
      </w:r>
      <w:r w:rsidRPr="005F0A67">
        <w:rPr>
          <w:rFonts w:asciiTheme="majorBidi" w:eastAsia="Times New Roman" w:hAnsiTheme="majorBidi" w:cstheme="majorBidi"/>
          <w:sz w:val="18"/>
          <w:szCs w:val="18"/>
          <w:lang w:val="en-CA" w:eastAsia="en-GB"/>
        </w:rPr>
        <w:t xml:space="preserve"> </w:t>
      </w:r>
      <w:r w:rsidRPr="005F0A67">
        <w:rPr>
          <w:rFonts w:asciiTheme="majorBidi" w:eastAsia="Times New Roman" w:hAnsiTheme="majorBidi" w:cstheme="majorBidi"/>
          <w:sz w:val="18"/>
          <w:szCs w:val="18"/>
          <w:lang w:val="en-CA" w:eastAsia="en-GB"/>
        </w:rPr>
        <w:fldChar w:fldCharType="begin"/>
      </w:r>
      <w:r w:rsidRPr="005F0A67">
        <w:rPr>
          <w:rFonts w:asciiTheme="majorBidi" w:eastAsia="Times New Roman" w:hAnsiTheme="majorBidi" w:cstheme="majorBidi"/>
          <w:sz w:val="18"/>
          <w:szCs w:val="18"/>
          <w:lang w:val="en-CA" w:eastAsia="en-GB"/>
        </w:rPr>
        <w:instrText xml:space="preserve"> ADDIN ZOTERO_ITEM CSL_CITATION {"citationID":"vACRraqq","properties":{"unsorted":false,"formattedCitation":"(OECD, no date a)","plainCitation":"(OECD, no date a)","noteIndex":0},"citationItems":[{"id":235,"uris":["http://zotero.org/users/14977742/items/LFVRCZ8Z"],"itemData":{"id":235,"type":"webpage","abstract":"Enterprises by business size is the categorisation of businesses by number of people employed.","citation-key":"EnterprisesBusinessSize","container-title":"OECD","language":"en","title":"Enterprises by business size","URL":"https://www.oecd.org/en/data/indicators/enterprises-by-business-size.html","author":[{"literal":"OECD"}],"accessed":{"date-parts":[["2026",5,17]]}}}],"schema":"https://github.com/citation-style-language/schema/raw/master/csl-citation.json"} </w:instrText>
      </w:r>
      <w:r w:rsidRPr="005F0A67">
        <w:rPr>
          <w:rFonts w:asciiTheme="majorBidi" w:eastAsia="Times New Roman" w:hAnsiTheme="majorBidi" w:cstheme="majorBidi"/>
          <w:sz w:val="18"/>
          <w:szCs w:val="18"/>
          <w:lang w:val="en-CA" w:eastAsia="en-GB"/>
        </w:rPr>
        <w:fldChar w:fldCharType="separate"/>
      </w:r>
      <w:r w:rsidRPr="005F0A67">
        <w:rPr>
          <w:rFonts w:asciiTheme="majorBidi" w:eastAsia="Times New Roman" w:hAnsiTheme="majorBidi" w:cstheme="majorBidi"/>
          <w:sz w:val="18"/>
          <w:szCs w:val="18"/>
          <w:lang w:val="en-CA" w:eastAsia="en-GB"/>
        </w:rPr>
        <w:t>(OECD, no date a)</w:t>
      </w:r>
      <w:r w:rsidRPr="005F0A67">
        <w:rPr>
          <w:rFonts w:asciiTheme="majorBidi" w:eastAsia="Times New Roman" w:hAnsiTheme="majorBidi" w:cstheme="majorBidi"/>
          <w:sz w:val="18"/>
          <w:szCs w:val="18"/>
          <w:lang w:val="en-CA" w:eastAsia="en-GB"/>
        </w:rPr>
        <w:fldChar w:fldCharType="end"/>
      </w:r>
      <w:r w:rsidRPr="005F0A67">
        <w:rPr>
          <w:rFonts w:asciiTheme="majorBidi" w:eastAsia="Times New Roman" w:hAnsiTheme="majorBidi" w:cstheme="majorBidi"/>
          <w:sz w:val="18"/>
          <w:szCs w:val="18"/>
          <w:lang w:val="en-CA" w:eastAsia="en-GB"/>
        </w:rPr>
        <w:t>.</w:t>
      </w:r>
    </w:p>
    <w:p w14:paraId="070431B6" w14:textId="77777777" w:rsidR="005F0A67" w:rsidRPr="005F0A67" w:rsidRDefault="005F0A67" w:rsidP="005F0A67">
      <w:pPr>
        <w:tabs>
          <w:tab w:val="clear" w:pos="567"/>
          <w:tab w:val="clear" w:pos="1134"/>
          <w:tab w:val="clear" w:pos="1701"/>
          <w:tab w:val="clear" w:pos="2268"/>
        </w:tabs>
        <w:spacing w:before="240" w:after="180" w:line="293"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The OECD framework is designed for analytical and comparative purposes rather than regulatory application. It does not typically include financial thresholds (such as turnover or assets), nor does it differentiate by sector, meaning it cannot fully capture differences in capital intensity or market structure between industries. Several submissions noted that this feature limits direct applicability as a contribution eligibility criterion. </w:t>
      </w:r>
    </w:p>
    <w:p w14:paraId="46F3DA13" w14:textId="77777777" w:rsidR="005F0A67" w:rsidRPr="005F0A67" w:rsidRDefault="005F0A67" w:rsidP="00B54840">
      <w:pPr>
        <w:tabs>
          <w:tab w:val="clear" w:pos="567"/>
          <w:tab w:val="clear" w:pos="1134"/>
          <w:tab w:val="clear" w:pos="1701"/>
          <w:tab w:val="clear" w:pos="2268"/>
        </w:tabs>
        <w:spacing w:before="320" w:after="160"/>
        <w:ind w:left="720"/>
        <w:jc w:val="left"/>
        <w:outlineLvl w:val="2"/>
        <w:rPr>
          <w:rFonts w:asciiTheme="majorBidi" w:eastAsia="Arial" w:hAnsiTheme="majorBidi" w:cstheme="majorBidi"/>
          <w:b/>
          <w:bCs/>
          <w:color w:val="7F7F7F"/>
          <w:sz w:val="23"/>
          <w:szCs w:val="23"/>
          <w:lang w:val="en-CA" w:eastAsia="en-GB"/>
        </w:rPr>
      </w:pPr>
      <w:bookmarkStart w:id="98" w:name="_Toc234579571"/>
      <w:r w:rsidRPr="005F0A67">
        <w:rPr>
          <w:rFonts w:asciiTheme="majorBidi" w:eastAsia="Arial" w:hAnsiTheme="majorBidi" w:cstheme="majorBidi"/>
          <w:b/>
          <w:bCs/>
          <w:color w:val="7F7F7F"/>
          <w:sz w:val="23"/>
          <w:szCs w:val="23"/>
          <w:lang w:val="en-CA" w:eastAsia="en-GB"/>
        </w:rPr>
        <w:t>International Finance Corporation (World Bank Group)</w:t>
      </w:r>
      <w:bookmarkEnd w:id="98"/>
    </w:p>
    <w:p w14:paraId="1401E545"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The World Bank Group’s operational definition of enterprise, applied via the International Finance Corporation (IFC), classifies firms as micro, small, or medium based on a combination of employees, annual sales, and total assets. Unlike the EU model, these thresholds are not applied uniformly and are often adjusted to reflect country income levels, sector characteristics, and national definitions. The primary purpose of the framework is operational and analytical, supporting development finance, SME access to credit, and economic analysis. As a result, it prioritises local relevance over strict international comparability. </w:t>
      </w:r>
    </w:p>
    <w:p w14:paraId="27C53DCB" w14:textId="77777777" w:rsidR="005F0A67" w:rsidRPr="005F0A67" w:rsidRDefault="005F0A67" w:rsidP="005F0A67">
      <w:pPr>
        <w:tabs>
          <w:tab w:val="clear" w:pos="567"/>
          <w:tab w:val="clear" w:pos="1134"/>
          <w:tab w:val="clear" w:pos="1701"/>
          <w:tab w:val="clear" w:pos="2268"/>
        </w:tabs>
        <w:spacing w:after="200" w:line="312" w:lineRule="auto"/>
        <w:contextualSpacing/>
        <w:rPr>
          <w:rFonts w:asciiTheme="majorBidi" w:eastAsia="Georgia" w:hAnsiTheme="majorBidi" w:cstheme="majorBidi"/>
          <w:b/>
          <w:bCs/>
          <w:color w:val="419844"/>
          <w:lang w:eastAsia="en-GB"/>
        </w:rPr>
      </w:pPr>
      <w:r w:rsidRPr="005F0A67">
        <w:rPr>
          <w:rFonts w:asciiTheme="majorBidi" w:eastAsia="Georgia" w:hAnsiTheme="majorBidi" w:cstheme="majorBidi"/>
          <w:b/>
          <w:bCs/>
          <w:color w:val="419844"/>
          <w:lang w:val="en-US" w:eastAsia="ja-JP"/>
        </w:rPr>
        <w:t xml:space="preserve">Table </w:t>
      </w:r>
      <w:r w:rsidRPr="005F0A67">
        <w:rPr>
          <w:rFonts w:asciiTheme="majorBidi" w:eastAsia="Georgia" w:hAnsiTheme="majorBidi" w:cstheme="majorBidi"/>
          <w:b/>
          <w:bCs/>
          <w:color w:val="419844"/>
          <w:lang w:eastAsia="en-GB"/>
        </w:rPr>
        <w:fldChar w:fldCharType="begin"/>
      </w:r>
      <w:r w:rsidRPr="005F0A67">
        <w:rPr>
          <w:rFonts w:asciiTheme="majorBidi" w:eastAsia="Georgia" w:hAnsiTheme="majorBidi" w:cstheme="majorBidi"/>
          <w:b/>
          <w:bCs/>
          <w:color w:val="419844"/>
          <w:lang w:eastAsia="en-GB"/>
        </w:rPr>
        <w:instrText xml:space="preserve"> SEQ Table \* ARABIC </w:instrText>
      </w:r>
      <w:r w:rsidRPr="005F0A67">
        <w:rPr>
          <w:rFonts w:asciiTheme="majorBidi" w:eastAsia="Georgia" w:hAnsiTheme="majorBidi" w:cstheme="majorBidi"/>
          <w:b/>
          <w:bCs/>
          <w:color w:val="419844"/>
          <w:lang w:eastAsia="en-GB"/>
        </w:rPr>
        <w:fldChar w:fldCharType="separate"/>
      </w:r>
      <w:r w:rsidRPr="005F0A67">
        <w:rPr>
          <w:rFonts w:asciiTheme="majorBidi" w:eastAsia="Georgia" w:hAnsiTheme="majorBidi" w:cstheme="majorBidi"/>
          <w:b/>
          <w:bCs/>
          <w:noProof/>
          <w:color w:val="419844"/>
          <w:lang w:eastAsia="en-GB"/>
        </w:rPr>
        <w:t>8</w:t>
      </w:r>
      <w:r w:rsidRPr="005F0A67">
        <w:rPr>
          <w:rFonts w:asciiTheme="majorBidi" w:eastAsia="Georgia" w:hAnsiTheme="majorBidi" w:cstheme="majorBidi"/>
          <w:b/>
          <w:bCs/>
          <w:color w:val="419844"/>
          <w:lang w:eastAsia="en-GB"/>
        </w:rPr>
        <w:fldChar w:fldCharType="end"/>
      </w:r>
      <w:r w:rsidRPr="005F0A67">
        <w:rPr>
          <w:rFonts w:asciiTheme="majorBidi" w:eastAsia="Georgia" w:hAnsiTheme="majorBidi" w:cstheme="majorBidi"/>
          <w:b/>
          <w:bCs/>
          <w:color w:val="419844"/>
          <w:lang w:val="en-US" w:eastAsia="ja-JP"/>
        </w:rPr>
        <w:t xml:space="preserve"> World Bank definition of small and medium-sized enterprises</w:t>
      </w:r>
    </w:p>
    <w:tbl>
      <w:tblPr>
        <w:tblW w:w="502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1970"/>
        <w:gridCol w:w="2599"/>
        <w:gridCol w:w="2781"/>
        <w:gridCol w:w="2422"/>
      </w:tblGrid>
      <w:tr w:rsidR="005F0A67" w:rsidRPr="005F0A67" w14:paraId="4623FFE2" w14:textId="77777777" w:rsidTr="00FB671B">
        <w:trPr>
          <w:trHeight w:val="270"/>
          <w:tblHeader/>
        </w:trPr>
        <w:tc>
          <w:tcPr>
            <w:tcW w:w="1008" w:type="pct"/>
            <w:tcBorders>
              <w:top w:val="single" w:sz="1" w:space="0" w:color="AAAAAA"/>
              <w:left w:val="single" w:sz="1" w:space="0" w:color="AAAAAA"/>
              <w:bottom w:val="single" w:sz="1" w:space="0" w:color="AAAAAA"/>
              <w:right w:val="single" w:sz="1" w:space="0" w:color="AAAAAA"/>
            </w:tcBorders>
            <w:shd w:val="clear" w:color="auto" w:fill="1F4E6B"/>
            <w:tcMar>
              <w:top w:w="60" w:type="dxa"/>
              <w:left w:w="100" w:type="dxa"/>
              <w:bottom w:w="60" w:type="dxa"/>
              <w:right w:w="100" w:type="dxa"/>
            </w:tcMar>
          </w:tcPr>
          <w:p w14:paraId="54E0514A"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FFFFFF"/>
                <w:sz w:val="18"/>
                <w:szCs w:val="18"/>
                <w:lang w:val="en-CA" w:eastAsia="en-GB"/>
              </w:rPr>
            </w:pPr>
            <w:r w:rsidRPr="005F0A67">
              <w:rPr>
                <w:rFonts w:asciiTheme="majorBidi" w:eastAsia="Tahoma" w:hAnsiTheme="majorBidi" w:cstheme="majorBidi"/>
                <w:b/>
                <w:bCs/>
                <w:color w:val="FFFFFF"/>
                <w:sz w:val="18"/>
                <w:szCs w:val="18"/>
                <w:lang w:val="en-CA" w:eastAsia="en-GB"/>
              </w:rPr>
              <w:t>Category</w:t>
            </w:r>
          </w:p>
        </w:tc>
        <w:tc>
          <w:tcPr>
            <w:tcW w:w="1330" w:type="pct"/>
            <w:tcBorders>
              <w:top w:val="single" w:sz="1" w:space="0" w:color="AAAAAA"/>
              <w:left w:val="single" w:sz="1" w:space="0" w:color="AAAAAA"/>
              <w:bottom w:val="single" w:sz="1" w:space="0" w:color="AAAAAA"/>
              <w:right w:val="single" w:sz="1" w:space="0" w:color="AAAAAA"/>
            </w:tcBorders>
            <w:shd w:val="clear" w:color="auto" w:fill="1F4E6B"/>
            <w:tcMar>
              <w:top w:w="60" w:type="dxa"/>
              <w:left w:w="100" w:type="dxa"/>
              <w:bottom w:w="60" w:type="dxa"/>
              <w:right w:w="100" w:type="dxa"/>
            </w:tcMar>
          </w:tcPr>
          <w:p w14:paraId="3C9B54BB"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FFFFFF"/>
                <w:sz w:val="18"/>
                <w:szCs w:val="18"/>
                <w:lang w:val="en-CA" w:eastAsia="en-GB"/>
              </w:rPr>
            </w:pPr>
            <w:r w:rsidRPr="005F0A67">
              <w:rPr>
                <w:rFonts w:asciiTheme="majorBidi" w:eastAsia="Tahoma" w:hAnsiTheme="majorBidi" w:cstheme="majorBidi"/>
                <w:b/>
                <w:bCs/>
                <w:color w:val="FFFFFF"/>
                <w:sz w:val="18"/>
                <w:szCs w:val="18"/>
                <w:lang w:val="en-CA" w:eastAsia="en-GB"/>
              </w:rPr>
              <w:t>Employees</w:t>
            </w:r>
          </w:p>
        </w:tc>
        <w:tc>
          <w:tcPr>
            <w:tcW w:w="1423" w:type="pct"/>
            <w:tcBorders>
              <w:top w:val="single" w:sz="1" w:space="0" w:color="AAAAAA"/>
              <w:left w:val="single" w:sz="1" w:space="0" w:color="AAAAAA"/>
              <w:bottom w:val="single" w:sz="1" w:space="0" w:color="AAAAAA"/>
              <w:right w:val="single" w:sz="1" w:space="0" w:color="AAAAAA"/>
            </w:tcBorders>
            <w:shd w:val="clear" w:color="auto" w:fill="1F4E6B"/>
          </w:tcPr>
          <w:p w14:paraId="2E0E6366"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FFFFFF"/>
                <w:sz w:val="18"/>
                <w:szCs w:val="18"/>
                <w:lang w:val="en-CA" w:eastAsia="en-GB"/>
              </w:rPr>
            </w:pPr>
            <w:r w:rsidRPr="005F0A67">
              <w:rPr>
                <w:rFonts w:asciiTheme="majorBidi" w:eastAsia="Tahoma" w:hAnsiTheme="majorBidi" w:cstheme="majorBidi"/>
                <w:b/>
                <w:bCs/>
                <w:color w:val="FFFFFF"/>
                <w:sz w:val="18"/>
                <w:szCs w:val="18"/>
                <w:lang w:val="en-CA" w:eastAsia="en-GB"/>
              </w:rPr>
              <w:t>Annual sales</w:t>
            </w:r>
          </w:p>
        </w:tc>
        <w:tc>
          <w:tcPr>
            <w:tcW w:w="1239" w:type="pct"/>
            <w:tcBorders>
              <w:top w:val="single" w:sz="1" w:space="0" w:color="AAAAAA"/>
              <w:left w:val="single" w:sz="1" w:space="0" w:color="AAAAAA"/>
              <w:bottom w:val="single" w:sz="1" w:space="0" w:color="AAAAAA"/>
              <w:right w:val="single" w:sz="1" w:space="0" w:color="AAAAAA"/>
            </w:tcBorders>
            <w:shd w:val="clear" w:color="auto" w:fill="1F4E6B"/>
          </w:tcPr>
          <w:p w14:paraId="7908153F"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FFFFFF"/>
                <w:sz w:val="18"/>
                <w:szCs w:val="18"/>
                <w:lang w:val="en-CA" w:eastAsia="en-GB"/>
              </w:rPr>
            </w:pPr>
            <w:r w:rsidRPr="005F0A67">
              <w:rPr>
                <w:rFonts w:asciiTheme="majorBidi" w:eastAsia="Tahoma" w:hAnsiTheme="majorBidi" w:cstheme="majorBidi"/>
                <w:b/>
                <w:bCs/>
                <w:color w:val="FFFFFF"/>
                <w:sz w:val="18"/>
                <w:szCs w:val="18"/>
                <w:lang w:val="en-CA" w:eastAsia="en-GB"/>
              </w:rPr>
              <w:t>Total assets</w:t>
            </w:r>
          </w:p>
        </w:tc>
      </w:tr>
      <w:tr w:rsidR="005F0A67" w:rsidRPr="005F0A67" w14:paraId="1026E9D1" w14:textId="77777777" w:rsidTr="005F0A67">
        <w:trPr>
          <w:trHeight w:val="353"/>
        </w:trPr>
        <w:tc>
          <w:tcPr>
            <w:tcW w:w="1008"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6E1C4D73"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b/>
                <w:bCs/>
                <w:sz w:val="18"/>
                <w:szCs w:val="18"/>
                <w:lang w:eastAsia="en-GB"/>
              </w:rPr>
            </w:pPr>
            <w:r w:rsidRPr="005F0A67">
              <w:rPr>
                <w:rFonts w:asciiTheme="majorBidi" w:eastAsia="Times New Roman" w:hAnsiTheme="majorBidi" w:cstheme="majorBidi"/>
                <w:b/>
                <w:bCs/>
                <w:sz w:val="18"/>
                <w:szCs w:val="18"/>
                <w:lang w:eastAsia="en-GB"/>
              </w:rPr>
              <w:t>Micro</w:t>
            </w:r>
          </w:p>
        </w:tc>
        <w:tc>
          <w:tcPr>
            <w:tcW w:w="1330" w:type="pct"/>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vAlign w:val="center"/>
          </w:tcPr>
          <w:p w14:paraId="4ED43880"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&lt; 10</w:t>
            </w:r>
          </w:p>
        </w:tc>
        <w:tc>
          <w:tcPr>
            <w:tcW w:w="1423" w:type="pct"/>
            <w:tcBorders>
              <w:top w:val="single" w:sz="1" w:space="0" w:color="AAAAAA"/>
              <w:left w:val="single" w:sz="1" w:space="0" w:color="AAAAAA"/>
              <w:bottom w:val="single" w:sz="1" w:space="0" w:color="AAAAAA"/>
              <w:right w:val="single" w:sz="1" w:space="0" w:color="AAAAAA"/>
            </w:tcBorders>
            <w:shd w:val="clear" w:color="auto" w:fill="FFFFFF"/>
            <w:vAlign w:val="center"/>
          </w:tcPr>
          <w:p w14:paraId="3E886CED"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&lt; $100,000</w:t>
            </w:r>
          </w:p>
        </w:tc>
        <w:tc>
          <w:tcPr>
            <w:tcW w:w="1239" w:type="pct"/>
            <w:tcBorders>
              <w:top w:val="single" w:sz="1" w:space="0" w:color="AAAAAA"/>
              <w:left w:val="single" w:sz="1" w:space="0" w:color="AAAAAA"/>
              <w:bottom w:val="single" w:sz="1" w:space="0" w:color="AAAAAA"/>
              <w:right w:val="single" w:sz="1" w:space="0" w:color="AAAAAA"/>
            </w:tcBorders>
            <w:shd w:val="clear" w:color="auto" w:fill="FFFFFF"/>
            <w:vAlign w:val="center"/>
          </w:tcPr>
          <w:p w14:paraId="12C7A58E"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&lt; $100,000</w:t>
            </w:r>
          </w:p>
        </w:tc>
      </w:tr>
      <w:tr w:rsidR="005F0A67" w:rsidRPr="005F0A67" w14:paraId="6DA468B2" w14:textId="77777777" w:rsidTr="005F0A67">
        <w:trPr>
          <w:trHeight w:val="353"/>
        </w:trPr>
        <w:tc>
          <w:tcPr>
            <w:tcW w:w="1008"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3FE4B75D"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b/>
                <w:bCs/>
                <w:sz w:val="18"/>
                <w:szCs w:val="18"/>
                <w:lang w:eastAsia="en-GB"/>
              </w:rPr>
            </w:pPr>
            <w:r w:rsidRPr="005F0A67">
              <w:rPr>
                <w:rFonts w:asciiTheme="majorBidi" w:eastAsia="Times New Roman" w:hAnsiTheme="majorBidi" w:cstheme="majorBidi"/>
                <w:b/>
                <w:bCs/>
                <w:sz w:val="18"/>
                <w:szCs w:val="18"/>
                <w:lang w:eastAsia="en-GB"/>
              </w:rPr>
              <w:t>Small</w:t>
            </w:r>
          </w:p>
        </w:tc>
        <w:tc>
          <w:tcPr>
            <w:tcW w:w="1330" w:type="pct"/>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vAlign w:val="center"/>
          </w:tcPr>
          <w:p w14:paraId="445B4CB7"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&lt; 50</w:t>
            </w:r>
          </w:p>
        </w:tc>
        <w:tc>
          <w:tcPr>
            <w:tcW w:w="1423" w:type="pct"/>
            <w:tcBorders>
              <w:top w:val="single" w:sz="1" w:space="0" w:color="AAAAAA"/>
              <w:left w:val="single" w:sz="1" w:space="0" w:color="AAAAAA"/>
              <w:bottom w:val="single" w:sz="1" w:space="0" w:color="AAAAAA"/>
              <w:right w:val="single" w:sz="1" w:space="0" w:color="AAAAAA"/>
            </w:tcBorders>
            <w:shd w:val="clear" w:color="auto" w:fill="FFFFFF"/>
            <w:vAlign w:val="center"/>
          </w:tcPr>
          <w:p w14:paraId="7D9AF1D4"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&lt; $3 million</w:t>
            </w:r>
          </w:p>
        </w:tc>
        <w:tc>
          <w:tcPr>
            <w:tcW w:w="1239" w:type="pct"/>
            <w:tcBorders>
              <w:top w:val="single" w:sz="1" w:space="0" w:color="AAAAAA"/>
              <w:left w:val="single" w:sz="1" w:space="0" w:color="AAAAAA"/>
              <w:bottom w:val="single" w:sz="1" w:space="0" w:color="AAAAAA"/>
              <w:right w:val="single" w:sz="1" w:space="0" w:color="AAAAAA"/>
            </w:tcBorders>
            <w:shd w:val="clear" w:color="auto" w:fill="FFFFFF"/>
            <w:vAlign w:val="center"/>
          </w:tcPr>
          <w:p w14:paraId="3C3C3AB1"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&lt; $3 million</w:t>
            </w:r>
          </w:p>
        </w:tc>
      </w:tr>
      <w:tr w:rsidR="005F0A67" w:rsidRPr="005F0A67" w14:paraId="388F221F" w14:textId="77777777" w:rsidTr="005F0A67">
        <w:trPr>
          <w:trHeight w:val="353"/>
        </w:trPr>
        <w:tc>
          <w:tcPr>
            <w:tcW w:w="1008"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5751710B"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b/>
                <w:bCs/>
                <w:sz w:val="18"/>
                <w:szCs w:val="18"/>
                <w:lang w:eastAsia="en-GB"/>
              </w:rPr>
            </w:pPr>
            <w:r w:rsidRPr="005F0A67">
              <w:rPr>
                <w:rFonts w:asciiTheme="majorBidi" w:eastAsia="Times New Roman" w:hAnsiTheme="majorBidi" w:cstheme="majorBidi"/>
                <w:b/>
                <w:bCs/>
                <w:sz w:val="18"/>
                <w:szCs w:val="18"/>
                <w:lang w:eastAsia="en-GB"/>
              </w:rPr>
              <w:t>Medium</w:t>
            </w:r>
          </w:p>
        </w:tc>
        <w:tc>
          <w:tcPr>
            <w:tcW w:w="1330" w:type="pct"/>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vAlign w:val="center"/>
          </w:tcPr>
          <w:p w14:paraId="6A6AA0EA"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&lt; 300</w:t>
            </w:r>
          </w:p>
        </w:tc>
        <w:tc>
          <w:tcPr>
            <w:tcW w:w="1423" w:type="pct"/>
            <w:tcBorders>
              <w:top w:val="single" w:sz="1" w:space="0" w:color="AAAAAA"/>
              <w:left w:val="single" w:sz="1" w:space="0" w:color="AAAAAA"/>
              <w:bottom w:val="single" w:sz="1" w:space="0" w:color="AAAAAA"/>
              <w:right w:val="single" w:sz="1" w:space="0" w:color="AAAAAA"/>
            </w:tcBorders>
            <w:shd w:val="clear" w:color="auto" w:fill="FFFFFF"/>
            <w:vAlign w:val="center"/>
          </w:tcPr>
          <w:p w14:paraId="17AC1CC2"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&lt; $15 million</w:t>
            </w:r>
          </w:p>
        </w:tc>
        <w:tc>
          <w:tcPr>
            <w:tcW w:w="1239" w:type="pct"/>
            <w:tcBorders>
              <w:top w:val="single" w:sz="1" w:space="0" w:color="AAAAAA"/>
              <w:left w:val="single" w:sz="1" w:space="0" w:color="AAAAAA"/>
              <w:bottom w:val="single" w:sz="1" w:space="0" w:color="AAAAAA"/>
              <w:right w:val="single" w:sz="1" w:space="0" w:color="AAAAAA"/>
            </w:tcBorders>
            <w:shd w:val="clear" w:color="auto" w:fill="FFFFFF"/>
            <w:vAlign w:val="center"/>
          </w:tcPr>
          <w:p w14:paraId="40D7F998"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&lt; $15 million</w:t>
            </w:r>
          </w:p>
        </w:tc>
      </w:tr>
    </w:tbl>
    <w:p w14:paraId="661CDA4C" w14:textId="77777777" w:rsidR="005F0A67" w:rsidRPr="005F0A67" w:rsidRDefault="005F0A67" w:rsidP="005F0A67">
      <w:pPr>
        <w:tabs>
          <w:tab w:val="clear" w:pos="567"/>
          <w:tab w:val="clear" w:pos="1134"/>
          <w:tab w:val="clear" w:pos="1701"/>
          <w:tab w:val="clear" w:pos="2268"/>
        </w:tabs>
        <w:spacing w:line="293" w:lineRule="auto"/>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i/>
          <w:iCs/>
          <w:sz w:val="18"/>
          <w:szCs w:val="18"/>
          <w:lang w:val="en-CA" w:eastAsia="en-GB"/>
        </w:rPr>
        <w:t>Note:</w:t>
      </w:r>
      <w:r w:rsidRPr="005F0A67">
        <w:rPr>
          <w:rFonts w:asciiTheme="majorBidi" w:eastAsia="Times New Roman" w:hAnsiTheme="majorBidi" w:cstheme="majorBidi"/>
          <w:sz w:val="18"/>
          <w:szCs w:val="18"/>
          <w:lang w:val="en-CA" w:eastAsia="en-GB"/>
        </w:rPr>
        <w:t xml:space="preserve"> An enterprise qualifies as micro, small, or medium if it meets two out of three criteria: number of employees, total assets, and annual sales. A loan size proxy is also used as an operational classification tool by IFC financial intermediaries but is not applicable to the Cali Fund context, and hence not presented in the table.</w:t>
      </w:r>
    </w:p>
    <w:p w14:paraId="7BEF8A0B" w14:textId="77777777" w:rsidR="005F0A67" w:rsidRPr="005F0A67" w:rsidRDefault="005F0A67" w:rsidP="005F0A67">
      <w:pPr>
        <w:tabs>
          <w:tab w:val="clear" w:pos="567"/>
          <w:tab w:val="clear" w:pos="1134"/>
          <w:tab w:val="clear" w:pos="1701"/>
          <w:tab w:val="clear" w:pos="2268"/>
        </w:tabs>
        <w:spacing w:line="293" w:lineRule="auto"/>
        <w:rPr>
          <w:rFonts w:asciiTheme="majorBidi" w:eastAsia="Times New Roman" w:hAnsiTheme="majorBidi" w:cstheme="majorBidi"/>
          <w:lang w:val="en-CA" w:eastAsia="en-GB"/>
        </w:rPr>
      </w:pPr>
      <w:r w:rsidRPr="005F0A67">
        <w:rPr>
          <w:rFonts w:asciiTheme="majorBidi" w:eastAsia="Times New Roman" w:hAnsiTheme="majorBidi" w:cstheme="majorBidi"/>
          <w:i/>
          <w:iCs/>
          <w:sz w:val="18"/>
          <w:szCs w:val="18"/>
          <w:lang w:val="en-CA" w:eastAsia="en-GB"/>
        </w:rPr>
        <w:t xml:space="preserve">Source: </w:t>
      </w:r>
      <w:r w:rsidRPr="005F0A67">
        <w:rPr>
          <w:rFonts w:asciiTheme="majorBidi" w:eastAsia="Times New Roman" w:hAnsiTheme="majorBidi" w:cstheme="majorBidi"/>
          <w:i/>
          <w:iCs/>
          <w:sz w:val="18"/>
          <w:szCs w:val="18"/>
          <w:lang w:val="en-CA" w:eastAsia="en-GB"/>
        </w:rPr>
        <w:fldChar w:fldCharType="begin"/>
      </w:r>
      <w:r w:rsidRPr="005F0A67">
        <w:rPr>
          <w:rFonts w:asciiTheme="majorBidi" w:eastAsia="Times New Roman" w:hAnsiTheme="majorBidi" w:cstheme="majorBidi"/>
          <w:i/>
          <w:iCs/>
          <w:sz w:val="18"/>
          <w:szCs w:val="18"/>
          <w:lang w:val="en-CA" w:eastAsia="en-GB"/>
        </w:rPr>
        <w:instrText xml:space="preserve"> ADDIN ZOTERO_ITEM CSL_CITATION {"citationID":"r02T2cWh","properties":{"unsorted":false,"formattedCitation":"(ICF, no date)","plainCitation":"(ICF, no date)","noteIndex":0},"citationItems":[{"id":233,"uris":["http://zotero.org/users/14977742/items/W4U5L8NL"],"itemData":{"id":233,"type":"webpage","abstract":"Use of proceeds of IFC’s targeted FI investments are primarily directed to micro, small and medium enterprises (MSMEs), women-owned businesses, climate-related projects and housing finance.","citation-key":"IFCsDefinitionsTargeted","container-title":"IFC","genre":"Text/HTML","language":"English","title":"IFC's Definitions of Targeted Sectors","URL":"https://www.ifc.org/en/what-we-do/sector-expertise/financial-institutions/definitions-of-targeted-sectors","author":[{"literal":"ICF"}],"accessed":{"date-parts":[["2026",5,17]]}}}],"schema":"https://github.com/citation-style-language/schema/raw/master/csl-citation.json"} </w:instrText>
      </w:r>
      <w:r w:rsidRPr="005F0A67">
        <w:rPr>
          <w:rFonts w:asciiTheme="majorBidi" w:eastAsia="Times New Roman" w:hAnsiTheme="majorBidi" w:cstheme="majorBidi"/>
          <w:i/>
          <w:iCs/>
          <w:sz w:val="18"/>
          <w:szCs w:val="18"/>
          <w:lang w:val="en-CA" w:eastAsia="en-GB"/>
        </w:rPr>
        <w:fldChar w:fldCharType="separate"/>
      </w:r>
      <w:r w:rsidRPr="005F0A67">
        <w:rPr>
          <w:rFonts w:asciiTheme="majorBidi" w:eastAsia="Times New Roman" w:hAnsiTheme="majorBidi" w:cstheme="majorBidi"/>
          <w:i/>
          <w:iCs/>
          <w:sz w:val="18"/>
          <w:szCs w:val="18"/>
          <w:lang w:val="en-CA" w:eastAsia="en-GB"/>
        </w:rPr>
        <w:t>(</w:t>
      </w:r>
      <w:r w:rsidRPr="005F0A67">
        <w:rPr>
          <w:rFonts w:asciiTheme="majorBidi" w:eastAsia="Times New Roman" w:hAnsiTheme="majorBidi" w:cstheme="majorBidi"/>
          <w:sz w:val="18"/>
          <w:szCs w:val="18"/>
          <w:lang w:val="en-CA" w:eastAsia="en-GB"/>
        </w:rPr>
        <w:t>ICF, no date)</w:t>
      </w:r>
      <w:r w:rsidRPr="005F0A67">
        <w:rPr>
          <w:rFonts w:asciiTheme="majorBidi" w:eastAsia="Times New Roman" w:hAnsiTheme="majorBidi" w:cstheme="majorBidi"/>
          <w:i/>
          <w:iCs/>
          <w:sz w:val="18"/>
          <w:szCs w:val="18"/>
          <w:lang w:val="en-CA" w:eastAsia="en-GB"/>
        </w:rPr>
        <w:fldChar w:fldCharType="end"/>
      </w:r>
    </w:p>
    <w:p w14:paraId="2F8FD28A" w14:textId="77777777" w:rsidR="005F0A67" w:rsidRPr="005F0A67" w:rsidRDefault="005F0A67" w:rsidP="005F0A67">
      <w:pPr>
        <w:tabs>
          <w:tab w:val="clear" w:pos="567"/>
          <w:tab w:val="clear" w:pos="1134"/>
          <w:tab w:val="clear" w:pos="1701"/>
          <w:tab w:val="clear" w:pos="2268"/>
        </w:tabs>
        <w:spacing w:line="293" w:lineRule="auto"/>
        <w:rPr>
          <w:rFonts w:asciiTheme="majorBidi" w:eastAsia="Times New Roman" w:hAnsiTheme="majorBidi" w:cstheme="majorBidi"/>
          <w:sz w:val="18"/>
          <w:szCs w:val="18"/>
          <w:lang w:val="en-CA" w:eastAsia="en-GB"/>
        </w:rPr>
      </w:pPr>
    </w:p>
    <w:p w14:paraId="3B8CCC6E" w14:textId="77777777" w:rsidR="005F0A67" w:rsidRPr="005F0A67" w:rsidRDefault="005F0A67" w:rsidP="005F0A67">
      <w:pPr>
        <w:tabs>
          <w:tab w:val="clear" w:pos="567"/>
          <w:tab w:val="clear" w:pos="1134"/>
          <w:tab w:val="clear" w:pos="1701"/>
          <w:tab w:val="clear" w:pos="2268"/>
        </w:tabs>
        <w:spacing w:line="293"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The comparisons above use point-in-time spot exchange rates (June 2026) to convert national thresholds into USD.</w:t>
      </w:r>
    </w:p>
    <w:p w14:paraId="238B58B3" w14:textId="77777777" w:rsidR="005F0A67" w:rsidRPr="005F0A67" w:rsidRDefault="005F0A67" w:rsidP="005F0A67">
      <w:pPr>
        <w:numPr>
          <w:ilvl w:val="1"/>
          <w:numId w:val="12"/>
        </w:numPr>
        <w:tabs>
          <w:tab w:val="clear" w:pos="567"/>
          <w:tab w:val="clear" w:pos="1134"/>
          <w:tab w:val="clear" w:pos="1701"/>
          <w:tab w:val="clear" w:pos="2268"/>
        </w:tabs>
        <w:spacing w:before="320" w:after="160"/>
        <w:ind w:left="576" w:hanging="576"/>
        <w:jc w:val="left"/>
        <w:outlineLvl w:val="1"/>
        <w:rPr>
          <w:rFonts w:asciiTheme="majorBidi" w:eastAsia="Arial" w:hAnsiTheme="majorBidi" w:cstheme="majorBidi"/>
          <w:b/>
          <w:bCs/>
          <w:color w:val="1A1A1A"/>
          <w:sz w:val="23"/>
          <w:szCs w:val="23"/>
          <w:lang w:val="en-CA" w:eastAsia="en-GB"/>
        </w:rPr>
      </w:pPr>
      <w:bookmarkStart w:id="99" w:name="_Toc234579572"/>
      <w:r w:rsidRPr="005F0A67">
        <w:rPr>
          <w:rFonts w:asciiTheme="majorBidi" w:eastAsia="Arial" w:hAnsiTheme="majorBidi" w:cstheme="majorBidi"/>
          <w:b/>
          <w:bCs/>
          <w:color w:val="1A1A1A"/>
          <w:sz w:val="23"/>
          <w:szCs w:val="23"/>
          <w:lang w:val="en-CA" w:eastAsia="en-GB"/>
        </w:rPr>
        <w:t>Assessment of the Decision 16/2 thresholds</w:t>
      </w:r>
      <w:bookmarkEnd w:id="99"/>
    </w:p>
    <w:p w14:paraId="33D6A278" w14:textId="081C90B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The thresholds established in Decision 16/2 can be assessed against both the submission positions summarised in Section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_Ref229929388 \r \h </w:instrText>
      </w:r>
      <w:r>
        <w:rPr>
          <w:rFonts w:asciiTheme="majorBidi" w:eastAsia="Times New Roman" w:hAnsiTheme="majorBidi" w:cstheme="majorBidi"/>
          <w:lang w:val="en-CA" w:eastAsia="en-GB"/>
        </w:rPr>
        <w:instrText xml:space="preserve">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5.2</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and the international frameworks reviewed in Section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_Ref229929402 \r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5.3</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w:t>
      </w:r>
    </w:p>
    <w:p w14:paraId="4C23AE75"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Overall, the use of financial rather than employee-based criteria aligns with the dominant Party preference, and the two-out-of-three structure partially reflects calls for multi-metric approaches. However, the thresholds are not sector-differentiated, which sits in tension with the concerns raised in submissions about structural differences across DSI-reliant industries. There is also no explicit lower boundary protecting micro enterprises, SMEs, or early-stage firms, despite broad support in submissions for such protection. The profit criterion stands out in the threshold design because, unlike other frameworks, it does not measure size by assets, revenue, or employees but by financial performance. The two-of-three structure helps protect firms that are not making a profit but using absolute profit as a requirement makes the system sensitive to different margin structures and how profits are reported. Parts II and III look more closely at how threshold calibration affects the Fund’s potential revenue and what the profit criterion means for coverage across different sectors. </w:t>
      </w:r>
    </w:p>
    <w:p w14:paraId="0FE8A8AE"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When compared to international frameworks, the Cali Fund thresholds broadly match the criteria for large enterprises, though with some differences. According to the World Bank IFC framework, a company meeting the Cali Fund thresholds would be considered large, as it surpasses the medium-enterprise limits. The Cali Fund revenue threshold of USD 50 million is similar to the EU’s medium-enterprise turnover ceiling of about USD 58 million. However, its assets threshold of USD 20 million is considerably below the EU’s medium balance sheet ceiling of about USD 50 million. This means a company could meet the Cali Fund’s assets requirement but still be considered medium-sized in the EU. Similarly, for India, some firms classified as medium-size under its legislation might be captured under the fund’s scope (approx. $52.5 million ceiling vs. $50 million for the fund), however its investment criterion cannot be benchmarked against the two-of-three criteria. In China, the classification depends on the sector: the Cali Fund thresholds are above the SME limits in digital sectors but not in manufacturing. For Brazil, a direct comparison is not possible, given the absence of thresholds for a medium-sized company. The OECD and Japanese frameworks are also not directly comparable, since the OECD uses only employee numbers and Japan focuses on paid-in capital instead of revenue or assets. Unlike all the frameworks reviewed, the Cali Fund does not include an employee criterion, which makes it diverge from almost all international SME classification frameworks. This divergence has a practical implication for national implementation. Many government economists rely primarily on employee data to assess domestic firm size and may have more limited access to consolidated data on assets or profit, particularly for privately held companies. Whether to introduce an employee-based criterion, and how it might interact with the existing financial thresholds, is a matter for the Conference of the Parties to consider; this study does not take a position on it.</w:t>
      </w:r>
    </w:p>
    <w:p w14:paraId="6B9BDD72"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Separately, two of the frameworks reviewed, namely the EU and the US, include ownership or affiliation conditions that prevent large corporate groups from restructuring subsidiaries to access preferential treatment. No equivalent provision exists in the current Decision 16/2 threshold design. As the Cali Fund's contribution obligations are entity-level, this raises a related question of whether the definition of a qualifying entity is sufficiently robust to prevent the creation of separate legal entities structured primarily to isolate DSI-related </w:t>
      </w:r>
      <w:r w:rsidRPr="005F0A67">
        <w:rPr>
          <w:rFonts w:asciiTheme="majorBidi" w:eastAsia="Times New Roman" w:hAnsiTheme="majorBidi" w:cstheme="majorBidi"/>
          <w:lang w:val="en-CA" w:eastAsia="en-GB"/>
        </w:rPr>
        <w:lastRenderedPageBreak/>
        <w:t>activity and report lower revenues or assets. This issue is examined further in the analytical framework and may represent an additional design element for consideration by the Conference of the Parties, independently of the threshold calibration questions above.</w:t>
      </w:r>
    </w:p>
    <w:p w14:paraId="558B4E22"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Under several of the frameworks reviewed, firms meeting the current Decision 16/2 revenue and assets thresholds would be classified as medium-sized rather than large. Parties may wish to consider whether the current thresholds are calibrated at the intended level in light of this comparison. The following options address this and related design questions:</w:t>
      </w:r>
    </w:p>
    <w:p w14:paraId="5C414198" w14:textId="77777777" w:rsidR="005F0A67" w:rsidRPr="005F0A67" w:rsidRDefault="005F0A67" w:rsidP="005F0A67">
      <w:pPr>
        <w:numPr>
          <w:ilvl w:val="0"/>
          <w:numId w:val="39"/>
        </w:numPr>
        <w:tabs>
          <w:tab w:val="clear" w:pos="567"/>
          <w:tab w:val="clear" w:pos="1134"/>
          <w:tab w:val="clear" w:pos="1701"/>
          <w:tab w:val="clear" w:pos="2268"/>
        </w:tabs>
        <w:spacing w:after="180" w:line="292" w:lineRule="auto"/>
        <w:jc w:val="left"/>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The current thresholds could be supplemented by an explicit SME exemption or reduced requirement tier, using a definition from existing international or national frameworks (e.g. EU or World Bank). Although Decision 16/2 thresholds already tend to exclude smaller firms, setting a formal lower limit would fill a gap that several submissions pointed out. This option keeps the current threshold levels but adds another layer, which would require agreement on which reference framework to apply.</w:t>
      </w:r>
    </w:p>
    <w:p w14:paraId="4E7E5CDA" w14:textId="77777777" w:rsidR="005F0A67" w:rsidRPr="005F0A67" w:rsidRDefault="005F0A67" w:rsidP="005F0A67">
      <w:pPr>
        <w:numPr>
          <w:ilvl w:val="0"/>
          <w:numId w:val="39"/>
        </w:numPr>
        <w:tabs>
          <w:tab w:val="clear" w:pos="567"/>
          <w:tab w:val="clear" w:pos="1134"/>
          <w:tab w:val="clear" w:pos="1701"/>
          <w:tab w:val="clear" w:pos="2268"/>
        </w:tabs>
        <w:spacing w:after="180" w:line="292" w:lineRule="auto"/>
        <w:jc w:val="left"/>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A second option is to revisit the profit criterion, which has no direct parallel in the reviewed frameworks and was not specifically proposed in Party submissions. Several observer submissions suggested profit margins as an alternative to absolute profit, on the basis that margins better account for structural differences in profitability across sectors. Whether this would represent a meaningful change in practice depends on where any margin threshold is set. Profit is also a performance metric rather than a size metric, and is subject to earnings management and cyclical volatility in ways that revenue and assets are not, which is a further consideration in assessing its suitability as a contribution-basis criterion. The implied margin structure of the existing thresholds is examined in Part II.</w:t>
      </w:r>
    </w:p>
    <w:p w14:paraId="60BD01F7" w14:textId="77777777" w:rsidR="005F0A67" w:rsidRPr="005F0A67" w:rsidRDefault="005F0A67" w:rsidP="005F0A67">
      <w:pPr>
        <w:numPr>
          <w:ilvl w:val="0"/>
          <w:numId w:val="39"/>
        </w:numPr>
        <w:tabs>
          <w:tab w:val="clear" w:pos="567"/>
          <w:tab w:val="clear" w:pos="1134"/>
          <w:tab w:val="clear" w:pos="1701"/>
          <w:tab w:val="clear" w:pos="2268"/>
        </w:tabs>
        <w:spacing w:after="180" w:line="292" w:lineRule="auto"/>
        <w:jc w:val="left"/>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Parties may wish to apply calibrated adjustments to eligibility thresholds at the national level, taking into account structural characteristics such as firm size distribution and sectoral composition. Similarly, introducing sector-adjusted thresholds may be most appropriate where a sector is a financial outlier relative to the rest, rather than a general principle. Financial characteristics of eligible entities differ across Indicative Enclosure I sectors, as documented in Part II. Pharmaceuticals exhibit substantially higher median revenue, assets, and profit margins compared to all other sectors, while the remaining six sectors display a relatively narrow range of financial metrics. Hence, sector adjustments to thresholds are most analytically justified for pharmaceuticals specifically, rather than for a broad manufacturing-versus-digital distinction. However, submissions have raised concerns regarding both approaches due to potential administrative complexity and reclassification risk. </w:t>
      </w:r>
    </w:p>
    <w:p w14:paraId="4E015AB7" w14:textId="77777777" w:rsidR="005F0A67" w:rsidRPr="005F0A67" w:rsidRDefault="005F0A67" w:rsidP="005F0A67">
      <w:pPr>
        <w:numPr>
          <w:ilvl w:val="0"/>
          <w:numId w:val="39"/>
        </w:numPr>
        <w:tabs>
          <w:tab w:val="clear" w:pos="567"/>
          <w:tab w:val="clear" w:pos="1134"/>
          <w:tab w:val="clear" w:pos="1701"/>
          <w:tab w:val="clear" w:pos="2268"/>
        </w:tabs>
        <w:spacing w:after="180" w:line="292" w:lineRule="auto"/>
        <w:jc w:val="left"/>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Parties may wish to consider whether the current entity-level design is sufficiently robust to prevent the creation of separate legal entities structured to isolate DSI-related activity. This could involve including ownership and affiliation conditions applied in the EU and US frameworks. </w:t>
      </w:r>
    </w:p>
    <w:p w14:paraId="2501ED3B" w14:textId="77777777" w:rsidR="005F0A67" w:rsidRPr="005F0A67" w:rsidRDefault="005F0A67" w:rsidP="005F0A67">
      <w:pPr>
        <w:numPr>
          <w:ilvl w:val="0"/>
          <w:numId w:val="39"/>
        </w:numPr>
        <w:tabs>
          <w:tab w:val="clear" w:pos="567"/>
          <w:tab w:val="clear" w:pos="1134"/>
          <w:tab w:val="clear" w:pos="1701"/>
          <w:tab w:val="clear" w:pos="2268"/>
        </w:tabs>
        <w:spacing w:after="180" w:line="292" w:lineRule="auto"/>
        <w:jc w:val="left"/>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Introducing an employee count criterion, alone or alongside the current financial thresholds, would align the Fund's design with most other frameworks reviewed and ease domestic estimation of exposure by Parties. However, Party submissions consistently viewed financial metrics as more relevant than employee numbers for determining contribution capacity, and this option was not raised in submissions received.</w:t>
      </w:r>
    </w:p>
    <w:p w14:paraId="55F6C69A" w14:textId="77777777" w:rsidR="005F0A67" w:rsidRPr="005F0A67" w:rsidRDefault="005F0A67" w:rsidP="005F0A67">
      <w:pPr>
        <w:numPr>
          <w:ilvl w:val="0"/>
          <w:numId w:val="39"/>
        </w:numPr>
        <w:tabs>
          <w:tab w:val="clear" w:pos="567"/>
          <w:tab w:val="clear" w:pos="1134"/>
          <w:tab w:val="clear" w:pos="1701"/>
          <w:tab w:val="clear" w:pos="2268"/>
        </w:tabs>
        <w:spacing w:after="180" w:line="292" w:lineRule="auto"/>
        <w:jc w:val="left"/>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lastRenderedPageBreak/>
        <w:t>Considering periodic revision of the thresholds, comparable to the EU's practice of updating its equivalent thresholds through Commission delegated legislation, since the Decision 16/2 thresholds are currently fixed in nominal USD terms rather than indexed to inflation or exchange rate movements.</w:t>
      </w:r>
    </w:p>
    <w:p w14:paraId="772DD76F" w14:textId="77777777" w:rsidR="005F0A67" w:rsidRPr="005F0A67" w:rsidRDefault="005F0A67" w:rsidP="005F0A67">
      <w:pPr>
        <w:numPr>
          <w:ilvl w:val="0"/>
          <w:numId w:val="39"/>
        </w:numPr>
        <w:tabs>
          <w:tab w:val="clear" w:pos="567"/>
          <w:tab w:val="clear" w:pos="1134"/>
          <w:tab w:val="clear" w:pos="1701"/>
          <w:tab w:val="clear" w:pos="2268"/>
        </w:tabs>
        <w:spacing w:after="180" w:line="292" w:lineRule="auto"/>
        <w:jc w:val="left"/>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Parties may wish to consider transition arrangements, such as a phase-in period or reduced initial rate, for firms newly meeting the eligibility thresholds or with historically low DSI intensity, to ease the administrative and financial adjustment to first-time contribution.</w:t>
      </w:r>
    </w:p>
    <w:p w14:paraId="34AEC731"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p>
    <w:p w14:paraId="301C8508" w14:textId="77777777" w:rsidR="005F0A67" w:rsidRPr="005F0A67" w:rsidRDefault="005F0A67" w:rsidP="005F0A67">
      <w:pPr>
        <w:tabs>
          <w:tab w:val="clear" w:pos="567"/>
          <w:tab w:val="clear" w:pos="1134"/>
          <w:tab w:val="clear" w:pos="1701"/>
          <w:tab w:val="clear" w:pos="2268"/>
        </w:tabs>
        <w:jc w:val="left"/>
        <w:rPr>
          <w:rFonts w:asciiTheme="majorBidi" w:eastAsia="Arial" w:hAnsiTheme="majorBidi" w:cstheme="majorBidi"/>
          <w:b/>
          <w:bCs/>
          <w:color w:val="1A1A1A"/>
          <w:sz w:val="28"/>
          <w:szCs w:val="28"/>
          <w:lang w:val="en-CA" w:eastAsia="en-GB"/>
        </w:rPr>
      </w:pPr>
      <w:r w:rsidRPr="005F0A67">
        <w:rPr>
          <w:rFonts w:asciiTheme="majorBidi" w:eastAsia="Times New Roman" w:hAnsiTheme="majorBidi" w:cstheme="majorBidi"/>
          <w:sz w:val="24"/>
          <w:szCs w:val="24"/>
          <w:lang w:val="en-CA" w:eastAsia="en-GB"/>
        </w:rPr>
        <w:br w:type="page"/>
      </w:r>
    </w:p>
    <w:p w14:paraId="512862C4" w14:textId="77777777" w:rsidR="005F0A67" w:rsidRPr="005F0A67" w:rsidRDefault="005F0A67" w:rsidP="005F0A67">
      <w:pPr>
        <w:numPr>
          <w:ilvl w:val="0"/>
          <w:numId w:val="12"/>
        </w:numPr>
        <w:pBdr>
          <w:bottom w:val="single" w:sz="2" w:space="6" w:color="D9D9D9"/>
        </w:pBdr>
        <w:tabs>
          <w:tab w:val="clear" w:pos="567"/>
          <w:tab w:val="clear" w:pos="1134"/>
          <w:tab w:val="clear" w:pos="1701"/>
          <w:tab w:val="clear" w:pos="2268"/>
        </w:tabs>
        <w:spacing w:before="400" w:after="60"/>
        <w:ind w:left="432" w:hanging="432"/>
        <w:jc w:val="left"/>
        <w:outlineLvl w:val="0"/>
        <w:rPr>
          <w:rFonts w:asciiTheme="majorBidi" w:eastAsia="Arial" w:hAnsiTheme="majorBidi" w:cstheme="majorBidi"/>
          <w:b/>
          <w:bCs/>
          <w:color w:val="1A1A1A"/>
          <w:sz w:val="28"/>
          <w:szCs w:val="28"/>
          <w:lang w:val="en-CA" w:eastAsia="en-GB"/>
        </w:rPr>
      </w:pPr>
      <w:bookmarkStart w:id="100" w:name="_Toc234579573"/>
      <w:bookmarkStart w:id="101" w:name="_Toc234579787"/>
      <w:r w:rsidRPr="005F0A67">
        <w:rPr>
          <w:rFonts w:asciiTheme="majorBidi" w:eastAsia="Arial" w:hAnsiTheme="majorBidi" w:cstheme="majorBidi"/>
          <w:b/>
          <w:bCs/>
          <w:color w:val="1A1A1A"/>
          <w:sz w:val="28"/>
          <w:szCs w:val="28"/>
          <w:lang w:val="en-CA" w:eastAsia="en-GB"/>
        </w:rPr>
        <w:lastRenderedPageBreak/>
        <w:t>Part II: Revenue potential and contribution structure</w:t>
      </w:r>
      <w:bookmarkEnd w:id="100"/>
      <w:bookmarkEnd w:id="101"/>
    </w:p>
    <w:tbl>
      <w:tblPr>
        <w:tblW w:w="100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49"/>
      </w:tblGrid>
      <w:tr w:rsidR="005F0A67" w:rsidRPr="005F0A67" w14:paraId="64AAE183" w14:textId="77777777" w:rsidTr="00B54840">
        <w:trPr>
          <w:trHeight w:val="2247"/>
        </w:trPr>
        <w:tc>
          <w:tcPr>
            <w:tcW w:w="10049" w:type="dxa"/>
            <w:shd w:val="clear" w:color="auto" w:fill="E0F3E3"/>
            <w:tcMar>
              <w:top w:w="200" w:type="dxa"/>
              <w:left w:w="280" w:type="dxa"/>
              <w:bottom w:w="0" w:type="dxa"/>
              <w:right w:w="280" w:type="dxa"/>
            </w:tcMar>
            <w:vAlign w:val="center"/>
          </w:tcPr>
          <w:p w14:paraId="1561D166"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ahoma" w:hAnsiTheme="majorBidi" w:cstheme="majorBidi"/>
                <w:lang w:val="en-CA" w:eastAsia="en-GB"/>
              </w:rPr>
            </w:pPr>
            <w:r w:rsidRPr="005F0A67">
              <w:rPr>
                <w:rFonts w:asciiTheme="majorBidi" w:eastAsia="Arial" w:hAnsiTheme="majorBidi" w:cstheme="majorBidi"/>
                <w:lang w:val="en-CA" w:eastAsia="en-GB"/>
              </w:rPr>
              <w:t xml:space="preserve">This part provides the evidence to support the analysis of the revenue generation dimension of paragraph 6(e) of Decision 16/2. It draws on firm-level financial estimates from an independent study and extends the analysis </w:t>
            </w:r>
            <w:r w:rsidRPr="005F0A67">
              <w:rPr>
                <w:rFonts w:asciiTheme="majorBidi" w:eastAsia="Times New Roman" w:hAnsiTheme="majorBidi" w:cstheme="majorBidi"/>
                <w:lang w:val="en-CA" w:eastAsia="en-GB"/>
              </w:rPr>
              <w:t xml:space="preserve">drawing on the comparative mechanism review in Section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_Ref229996020 \r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3</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and the current Cali Fund design analysis in Section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_Ref229944942 \r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4</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w:t>
            </w:r>
            <w:r w:rsidRPr="005F0A67">
              <w:rPr>
                <w:rFonts w:asciiTheme="majorBidi" w:eastAsia="Arial" w:hAnsiTheme="majorBidi" w:cstheme="majorBidi"/>
                <w:lang w:val="en-CA" w:eastAsia="en-GB"/>
              </w:rPr>
              <w:t xml:space="preserve">The analysis follows the three-stage participation framework set out in Section 4: Section </w:t>
            </w:r>
            <w:r w:rsidRPr="005F0A67">
              <w:rPr>
                <w:rFonts w:asciiTheme="majorBidi" w:eastAsia="Arial" w:hAnsiTheme="majorBidi" w:cstheme="majorBidi"/>
                <w:lang w:val="en-CA" w:eastAsia="en-GB"/>
              </w:rPr>
              <w:fldChar w:fldCharType="begin"/>
            </w:r>
            <w:r w:rsidRPr="005F0A67">
              <w:rPr>
                <w:rFonts w:asciiTheme="majorBidi" w:eastAsia="Arial" w:hAnsiTheme="majorBidi" w:cstheme="majorBidi"/>
                <w:lang w:val="en-CA" w:eastAsia="en-GB"/>
              </w:rPr>
              <w:instrText xml:space="preserve"> REF _Ref230283833 \r \h  \* MERGEFORMAT </w:instrText>
            </w:r>
            <w:r w:rsidRPr="005F0A67">
              <w:rPr>
                <w:rFonts w:asciiTheme="majorBidi" w:eastAsia="Arial" w:hAnsiTheme="majorBidi" w:cstheme="majorBidi"/>
                <w:lang w:val="en-CA" w:eastAsia="en-GB"/>
              </w:rPr>
            </w:r>
            <w:r w:rsidRPr="005F0A67">
              <w:rPr>
                <w:rFonts w:asciiTheme="majorBidi" w:eastAsia="Arial" w:hAnsiTheme="majorBidi" w:cstheme="majorBidi"/>
                <w:lang w:val="en-CA" w:eastAsia="en-GB"/>
              </w:rPr>
              <w:fldChar w:fldCharType="separate"/>
            </w:r>
            <w:r w:rsidRPr="005F0A67">
              <w:rPr>
                <w:rFonts w:asciiTheme="majorBidi" w:eastAsia="Arial" w:hAnsiTheme="majorBidi" w:cstheme="majorBidi"/>
                <w:lang w:val="en-CA" w:eastAsia="en-GB"/>
              </w:rPr>
              <w:t>6.3</w:t>
            </w:r>
            <w:r w:rsidRPr="005F0A67">
              <w:rPr>
                <w:rFonts w:asciiTheme="majorBidi" w:eastAsia="Arial" w:hAnsiTheme="majorBidi" w:cstheme="majorBidi"/>
                <w:lang w:val="en-CA" w:eastAsia="en-GB"/>
              </w:rPr>
              <w:fldChar w:fldCharType="end"/>
            </w:r>
            <w:r w:rsidRPr="005F0A67">
              <w:rPr>
                <w:rFonts w:asciiTheme="majorBidi" w:eastAsia="Arial" w:hAnsiTheme="majorBidi" w:cstheme="majorBidi"/>
                <w:lang w:val="en-CA" w:eastAsia="en-GB"/>
              </w:rPr>
              <w:t xml:space="preserve"> describes the eligible population, participation assumptions, and contribution mechanics before any results are presented; Section </w:t>
            </w:r>
            <w:r w:rsidRPr="005F0A67">
              <w:rPr>
                <w:rFonts w:asciiTheme="majorBidi" w:eastAsia="Arial" w:hAnsiTheme="majorBidi" w:cstheme="majorBidi"/>
                <w:lang w:val="en-CA" w:eastAsia="en-GB"/>
              </w:rPr>
              <w:fldChar w:fldCharType="begin"/>
            </w:r>
            <w:r w:rsidRPr="005F0A67">
              <w:rPr>
                <w:rFonts w:asciiTheme="majorBidi" w:eastAsia="Arial" w:hAnsiTheme="majorBidi" w:cstheme="majorBidi"/>
                <w:lang w:val="en-CA" w:eastAsia="en-GB"/>
              </w:rPr>
              <w:instrText xml:space="preserve"> REF _Ref229996514 \r \h  \* MERGEFORMAT </w:instrText>
            </w:r>
            <w:r w:rsidRPr="005F0A67">
              <w:rPr>
                <w:rFonts w:asciiTheme="majorBidi" w:eastAsia="Arial" w:hAnsiTheme="majorBidi" w:cstheme="majorBidi"/>
                <w:lang w:val="en-CA" w:eastAsia="en-GB"/>
              </w:rPr>
            </w:r>
            <w:r w:rsidRPr="005F0A67">
              <w:rPr>
                <w:rFonts w:asciiTheme="majorBidi" w:eastAsia="Arial" w:hAnsiTheme="majorBidi" w:cstheme="majorBidi"/>
                <w:lang w:val="en-CA" w:eastAsia="en-GB"/>
              </w:rPr>
              <w:fldChar w:fldCharType="separate"/>
            </w:r>
            <w:r w:rsidRPr="005F0A67">
              <w:rPr>
                <w:rFonts w:asciiTheme="majorBidi" w:eastAsia="Arial" w:hAnsiTheme="majorBidi" w:cstheme="majorBidi"/>
                <w:lang w:val="en-CA" w:eastAsia="en-GB"/>
              </w:rPr>
              <w:t>6.4</w:t>
            </w:r>
            <w:r w:rsidRPr="005F0A67">
              <w:rPr>
                <w:rFonts w:asciiTheme="majorBidi" w:eastAsia="Arial" w:hAnsiTheme="majorBidi" w:cstheme="majorBidi"/>
                <w:lang w:val="en-CA" w:eastAsia="en-GB"/>
              </w:rPr>
              <w:fldChar w:fldCharType="end"/>
            </w:r>
            <w:r w:rsidRPr="005F0A67">
              <w:rPr>
                <w:rFonts w:asciiTheme="majorBidi" w:eastAsia="Arial" w:hAnsiTheme="majorBidi" w:cstheme="majorBidi"/>
                <w:lang w:val="en-CA" w:eastAsia="en-GB"/>
              </w:rPr>
              <w:t xml:space="preserve"> presents the revenue estimates and their sensitivities; and Section </w:t>
            </w:r>
            <w:r w:rsidRPr="005F0A67">
              <w:rPr>
                <w:rFonts w:asciiTheme="majorBidi" w:eastAsia="Arial" w:hAnsiTheme="majorBidi" w:cstheme="majorBidi"/>
                <w:lang w:val="en-CA" w:eastAsia="en-GB"/>
              </w:rPr>
              <w:fldChar w:fldCharType="begin"/>
            </w:r>
            <w:r w:rsidRPr="005F0A67">
              <w:rPr>
                <w:rFonts w:asciiTheme="majorBidi" w:eastAsia="Arial" w:hAnsiTheme="majorBidi" w:cstheme="majorBidi"/>
                <w:lang w:val="en-CA" w:eastAsia="en-GB"/>
              </w:rPr>
              <w:instrText xml:space="preserve"> REF _Ref229996524 \r \h  \* MERGEFORMAT </w:instrText>
            </w:r>
            <w:r w:rsidRPr="005F0A67">
              <w:rPr>
                <w:rFonts w:asciiTheme="majorBidi" w:eastAsia="Arial" w:hAnsiTheme="majorBidi" w:cstheme="majorBidi"/>
                <w:lang w:val="en-CA" w:eastAsia="en-GB"/>
              </w:rPr>
            </w:r>
            <w:r w:rsidRPr="005F0A67">
              <w:rPr>
                <w:rFonts w:asciiTheme="majorBidi" w:eastAsia="Arial" w:hAnsiTheme="majorBidi" w:cstheme="majorBidi"/>
                <w:lang w:val="en-CA" w:eastAsia="en-GB"/>
              </w:rPr>
              <w:fldChar w:fldCharType="separate"/>
            </w:r>
            <w:r w:rsidRPr="005F0A67">
              <w:rPr>
                <w:rFonts w:asciiTheme="majorBidi" w:eastAsia="Arial" w:hAnsiTheme="majorBidi" w:cstheme="majorBidi"/>
                <w:lang w:val="en-CA" w:eastAsia="en-GB"/>
              </w:rPr>
              <w:t>6.5</w:t>
            </w:r>
            <w:r w:rsidRPr="005F0A67">
              <w:rPr>
                <w:rFonts w:asciiTheme="majorBidi" w:eastAsia="Arial" w:hAnsiTheme="majorBidi" w:cstheme="majorBidi"/>
                <w:lang w:val="en-CA" w:eastAsia="en-GB"/>
              </w:rPr>
              <w:fldChar w:fldCharType="end"/>
            </w:r>
            <w:r w:rsidRPr="005F0A67">
              <w:rPr>
                <w:rFonts w:asciiTheme="majorBidi" w:eastAsia="Arial" w:hAnsiTheme="majorBidi" w:cstheme="majorBidi"/>
                <w:lang w:val="en-CA" w:eastAsia="en-GB"/>
              </w:rPr>
              <w:t xml:space="preserve"> synthesises findings.</w:t>
            </w:r>
          </w:p>
        </w:tc>
      </w:tr>
      <w:tr w:rsidR="005F0A67" w:rsidRPr="005F0A67" w14:paraId="5B790E5A" w14:textId="77777777" w:rsidTr="00B54840">
        <w:trPr>
          <w:trHeight w:val="305"/>
        </w:trPr>
        <w:tc>
          <w:tcPr>
            <w:tcW w:w="10049" w:type="dxa"/>
            <w:shd w:val="clear" w:color="auto" w:fill="2C5F2E"/>
          </w:tcPr>
          <w:p w14:paraId="0A9A45EB"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ahoma" w:hAnsiTheme="majorBidi" w:cstheme="majorBidi"/>
                <w:lang w:val="en-CA" w:eastAsia="en-GB"/>
              </w:rPr>
            </w:pPr>
          </w:p>
        </w:tc>
      </w:tr>
    </w:tbl>
    <w:p w14:paraId="4E28858F" w14:textId="77777777" w:rsidR="005F0A67" w:rsidRPr="005F0A67" w:rsidRDefault="005F0A67" w:rsidP="005F0A67">
      <w:pPr>
        <w:numPr>
          <w:ilvl w:val="1"/>
          <w:numId w:val="12"/>
        </w:numPr>
        <w:tabs>
          <w:tab w:val="clear" w:pos="567"/>
          <w:tab w:val="clear" w:pos="1134"/>
          <w:tab w:val="clear" w:pos="1701"/>
          <w:tab w:val="clear" w:pos="2268"/>
        </w:tabs>
        <w:spacing w:before="320" w:after="160"/>
        <w:ind w:left="576" w:hanging="576"/>
        <w:jc w:val="left"/>
        <w:outlineLvl w:val="1"/>
        <w:rPr>
          <w:rFonts w:asciiTheme="majorBidi" w:eastAsia="Arial" w:hAnsiTheme="majorBidi" w:cstheme="majorBidi"/>
          <w:b/>
          <w:bCs/>
          <w:color w:val="1A1A1A"/>
          <w:sz w:val="23"/>
          <w:szCs w:val="23"/>
          <w:lang w:val="en-CA" w:eastAsia="en-GB"/>
        </w:rPr>
      </w:pPr>
      <w:bookmarkStart w:id="102" w:name="_Ref230017304"/>
      <w:bookmarkStart w:id="103" w:name="_Toc234579574"/>
      <w:r w:rsidRPr="005F0A67">
        <w:rPr>
          <w:rFonts w:asciiTheme="majorBidi" w:eastAsia="Arial" w:hAnsiTheme="majorBidi" w:cstheme="majorBidi"/>
          <w:b/>
          <w:bCs/>
          <w:color w:val="1A1A1A"/>
          <w:sz w:val="23"/>
          <w:szCs w:val="23"/>
          <w:lang w:val="en-CA" w:eastAsia="en-GB"/>
        </w:rPr>
        <w:t>Data and methodology</w:t>
      </w:r>
      <w:bookmarkEnd w:id="102"/>
      <w:bookmarkEnd w:id="103"/>
    </w:p>
    <w:p w14:paraId="0398AA40"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Estimating Cali Fund revenue at the entity level requires firm-by-firm financial data across all seven Indicative Enclosure I sectors and CBD Party jurisdictions. Using publicly available sectoral aggregates would not allow to apply Decision 16/2 thresholds and contribution bases, as both require firm-level data. Such data are commercially sensitive and not publicly available. While individual Parties might have access to relevant financial information through domestic tax records or company filings, creating a global dataset would, at a minimum, require data-sharing agreements with each Party. Currently, there is no such system at the CBD, and direct access to external proprietary financial databases was not available for this study. As a result, the revenue estimates presented here are based on Makowska-Curran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{"citationID":"MiyvzDr2","properties":{"unsorted":false,"formattedCitation":"(2026)","plainCitation":"(2026)","noteIndex":0},"citationItems":[{"id":77,"uris":["http://zotero.org/users/14977742/items/2PI55QKT"],"itemData":{"id":77,"type":"article-journal","abstract":"This paper provides the first global, firm-level analysis of what the Cali Fund, designed to support global conservation, is likely to raise and how resources would be distributed.","citation-key":"GlobalBiodiversityCommitments","container-title":"Grantham Research Institute on climate change and the environment","language":"en-GB","publisher":"London School of Economics and Political Science (LSE)","title":"From global biodiversity commitments to local action: revenue potential and allocation dynamics of the Cali Fund","title-short":"From global biodiversity commitments to local action","URL":"https://www.lse.ac.uk/granthaminstitute/publication/from-global-biodiversity-commitments-to-local-action-revenue-potential-and-allocation-dynamics-of-the-cali-fund/","author":[{"family":"Makowska-Curran","given":"Agata"}],"accessed":{"date-parts":[["2026",6,3]]},"issued":{"date-parts":[["2026",6]]}},"suppress-author":true}],"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(2026)</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a working paper from the Grantham Research Institute on Climate Change and the Environment at the London School of Economics and Political Science. The paper provides global bottom-up estimates of the Cali Fund’s contributions, using firm-level financial information for 21,690 eligible firms spanning over 100</w:t>
      </w:r>
      <w:r w:rsidRPr="005F0A67">
        <w:rPr>
          <w:rFonts w:asciiTheme="majorBidi" w:eastAsia="Times New Roman" w:hAnsiTheme="majorBidi" w:cstheme="majorBidi"/>
          <w:vertAlign w:val="superscript"/>
          <w:lang w:val="en-CA" w:eastAsia="en-GB"/>
        </w:rPr>
        <w:footnoteReference w:id="48"/>
      </w:r>
      <w:r w:rsidRPr="005F0A67">
        <w:rPr>
          <w:rFonts w:asciiTheme="majorBidi" w:eastAsia="Times New Roman" w:hAnsiTheme="majorBidi" w:cstheme="majorBidi"/>
          <w:lang w:val="en-CA" w:eastAsia="en-GB"/>
        </w:rPr>
        <w:t xml:space="preserve"> CBD Party jurisdictions. The full methodological detail and sensitivity analysis are documented in the working paper itself. Eligibility in this analysis is assessed against the total assets, revenue and profit criteria specified in Decision 16/2. Employee count is not part of this threshold design and is therefore not used as a basis for determining eligibility here. This is a reflection of the current Decision text rather than a methodological choice made for this study; were the Conference of the Parties to include an employee-based criterion at COP17, the eligible population and revenue estimates in this Part would need to be reassessed accordingly.</w:t>
      </w:r>
    </w:p>
    <w:p w14:paraId="12C810ED"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The estimates are based on the Orbis database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{"citationID":"buOOz7on","properties":{"unsorted":false,"formattedCitation":"(Moody\\uc0\\u8217{}s Analytics, 2025)","plainCitation":"(Moody’s Analytics, 2025)","noteIndex":0},"citationItems":[{"id":218,"uris":["http://zotero.org/users/14977742/items/99MBH7JF"],"itemData":{"id":218,"type":"webpage","abstract":"Orbis is the world’s largest database with a focus on private company financials, ownership and linkages.","citation-key":"moodysOrbis2025","language":"en","title":"Orbis","URL":"https://www.moodys.com/web/en/us/capabilities/company-reference-data/orbis.html","author":[{"literal":"Moody's Analytics"}],"accessed":{"date-parts":[["2025",11,25]]},"issued":{"date-parts":[["2025"]]}}}],"schema":"https://github.com/citation-style-language/schema/raw/master/csl-citation.json"}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Georgia" w:hAnsiTheme="majorBidi" w:cstheme="majorBidi"/>
          <w:lang w:val="en-CA" w:eastAsia="en-GB"/>
        </w:rPr>
        <w:t>(Moody’s Analytics, 2025)</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a commercial firm-level financial database widely used in cross-country economic analysis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{"citationID":"QRzFdMZ2","properties":{"unsorted":false,"formattedCitation":"(Gal, 2013; Bajgar {\\i{}et al.}, 2019; Kalemli- \\uc0\\u214{}zcan {\\i{}et al.}, 2024)","plainCitation":"(Gal, 2013; Bajgar et al., 2019; Kalemli- Özcan et al., 2024)","noteIndex":0},"citationItems":[{"id":621,"uris":["http://zotero.org/users/14977742/items/E868LHTA"],"itemData":{"id":621,"type":"report","citation-key":"galMeasuringTotalFactor2013","DOI":"10.1787/5k46dsb25ls6-en","genre":"OECD Economics Department Working Papers","language":"en","note":"collection-title: OECD Economics Department Working Papers\nvolume: 1049","number":"1049","source":"DOI.org (Crossref)","title":"Measuring Total Factor Productivity at the Firm Level using OECD-ORBIS","URL":"https://www.oecd.org/en/publications/measuring-total-factor-productivity-at-the-firm-level-using-oecd-orbis_5k46dsb25ls6-en.html","author":[{"family":"Gal","given":"Peter N."}],"accessed":{"date-parts":[["2025",11,27]]},"issued":{"date-parts":[["2013",5,21]]}}},{"id":619,"uris":["http://zotero.org/users/14977742/items/U5YMJ428"],"itemData":{"id":619,"type":"article-journal","abstract":"This report presents new evidence on industry concentration trends in Europe and in North America. It uses two novel data sources: representative firm-level concentration measures from the OECD MultiProd project, and business-group-level concentration measures using matched Orbis-Worldscope-Zephyr data. Based on the MultiProd data, it finds that between 2001 and 2012 the average industry across 10 European economies saw a 2-3-percentage-point increase in the share of the 10% largest companies in industry sales. Using the Orbis-Worldscope-Zephyr data, it documents a clear increase in industry concentration in Europe as well as in North America between 2000 and 2014 of the order of 4-8 percentage points for the average industry. Over the period, about 3 out of 4 (2-digit) industries in each region saw their concentration increase. The increase is observed for both manufacturing and non-financial services and is not driven by digital-intensive sectors.","citation-key":"bajgarIndustryConcentrationEurope2019","container-title":"OECD Productivity Working Papers","DOI":"10.1787/2ff98246-en","language":"en","publisher":"OECD Publishing","source":"www.oecd.org","title":"Industry Concentration in Europe and North America","URL":"https://www.oecd.org/en/publications/industry-concentration-in-europe-and-north-america_2ff98246-en.html","author":[{"family":"Bajgar","given":"Matej"},{"family":"Berlingieri","given":"Giuseppe"},{"family":"Calligaris","given":"Sara"},{"family":"Criscuolo","given":"Chiara"},{"family":"Timmis","given":"Jonathan"}],"accessed":{"date-parts":[["2025",11,28]]},"issued":{"date-parts":[["2019",1,20]]}}},{"id":641,"uris":["http://zotero.org/users/14977742/items/TNV6MD9X"],"itemData":{"id":641,"type":"article-journal","abstract":"We construct nationally representative firm-level longitudinal data for European countries using financial statements from the Orbis database. We validate our data by comparing its coverage and firm size distribution to official statistics. We showcase two applications to show the importance of firm representativeness in understanding macroeconomic outcomes. First, we show that small and medium-sized firms account for a large share of aggregate economic activity. Second, we document that firm representativeness is important for calculating industry concentration trends over time as the share of economic activity accounted by top firms in an industry changes with the firm samples used.","citation-key":"kalemli-ozcanHowConstructNationally2024","container-title":"American Economic Journal: Macroeconomics","DOI":"10.1257/mac.20220036","ISSN":"1945-7707","issue":"2","language":"en","page":"353-374","source":"www.aeaweb.org","title":"How to construct nationally representative firm-level data from the orbis global database: New facts on smes and aggregate implications for industry concentration","title-short":"How to construct nationally representative firm-level data from the orbis global database","volume":"16","author":[{"family":"Kalemli- Özcan","given":"Şebnem"},{"family":"Sørensen","given":"Bent E."},{"family":"Villegas-Sanchez","given":"Carolina"},{"family":"Volosovych","given":"Vadym"},{"family":"Yeşiltaş","given":"Sevcan"}],"issued":{"date-parts":[["2024",4]]}}}],"schema":"https://github.com/citation-style-language/schema/raw/master/csl-citation.json"}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Georgia" w:hAnsiTheme="majorBidi" w:cstheme="majorBidi"/>
          <w:lang w:val="en-CA" w:eastAsia="en-GB"/>
        </w:rPr>
        <w:t xml:space="preserve">(Gal, 2013; Bajgar </w:t>
      </w:r>
      <w:r w:rsidRPr="005F0A67">
        <w:rPr>
          <w:rFonts w:asciiTheme="majorBidi" w:eastAsia="Georgia" w:hAnsiTheme="majorBidi" w:cstheme="majorBidi"/>
          <w:i/>
          <w:iCs/>
          <w:lang w:val="en-CA" w:eastAsia="en-GB"/>
        </w:rPr>
        <w:t>et al.</w:t>
      </w:r>
      <w:r w:rsidRPr="005F0A67">
        <w:rPr>
          <w:rFonts w:asciiTheme="majorBidi" w:eastAsia="Georgia" w:hAnsiTheme="majorBidi" w:cstheme="majorBidi"/>
          <w:lang w:val="en-CA" w:eastAsia="en-GB"/>
        </w:rPr>
        <w:t xml:space="preserve">, 2019; Kalemli- Özcan </w:t>
      </w:r>
      <w:r w:rsidRPr="005F0A67">
        <w:rPr>
          <w:rFonts w:asciiTheme="majorBidi" w:eastAsia="Georgia" w:hAnsiTheme="majorBidi" w:cstheme="majorBidi"/>
          <w:i/>
          <w:iCs/>
          <w:lang w:val="en-CA" w:eastAsia="en-GB"/>
        </w:rPr>
        <w:t>et al.</w:t>
      </w:r>
      <w:r w:rsidRPr="005F0A67">
        <w:rPr>
          <w:rFonts w:asciiTheme="majorBidi" w:eastAsia="Georgia" w:hAnsiTheme="majorBidi" w:cstheme="majorBidi"/>
          <w:lang w:val="en-CA" w:eastAsia="en-GB"/>
        </w:rPr>
        <w:t>, 2024)</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providing the balance sheet and income statement data required to apply the Decision 16/2 eligibility thresholds and compute contributions at the entity level.</w:t>
      </w:r>
    </w:p>
    <w:p w14:paraId="203E0601"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lastRenderedPageBreak/>
        <w:t>The sector mapping translates the Enclosure I list into the standard international industry activity classifications, namely NACE Rev.2</w:t>
      </w:r>
      <w:r w:rsidRPr="005F0A67">
        <w:rPr>
          <w:rFonts w:asciiTheme="majorBidi" w:eastAsia="Times New Roman" w:hAnsiTheme="majorBidi" w:cstheme="majorBidi"/>
          <w:vertAlign w:val="superscript"/>
          <w:lang w:val="en-CA" w:eastAsia="en-GB"/>
        </w:rPr>
        <w:footnoteReference w:id="49"/>
      </w:r>
      <w:r w:rsidRPr="005F0A67">
        <w:rPr>
          <w:rFonts w:asciiTheme="majorBidi" w:eastAsia="Times New Roman" w:hAnsiTheme="majorBidi" w:cstheme="majorBidi"/>
          <w:lang w:val="en-CA" w:eastAsia="en-GB"/>
        </w:rPr>
        <w:t>, ISIC Rev.4/5</w:t>
      </w:r>
      <w:r w:rsidRPr="005F0A67">
        <w:rPr>
          <w:rFonts w:asciiTheme="majorBidi" w:eastAsia="Times New Roman" w:hAnsiTheme="majorBidi" w:cstheme="majorBidi"/>
          <w:vertAlign w:val="superscript"/>
          <w:lang w:val="en-CA" w:eastAsia="en-GB"/>
        </w:rPr>
        <w:footnoteReference w:id="50"/>
      </w:r>
      <w:r w:rsidRPr="005F0A67">
        <w:rPr>
          <w:rFonts w:asciiTheme="majorBidi" w:eastAsia="Times New Roman" w:hAnsiTheme="majorBidi" w:cstheme="majorBidi"/>
          <w:lang w:val="en-CA" w:eastAsia="en-GB"/>
        </w:rPr>
        <w:t>, and NAICS</w:t>
      </w:r>
      <w:r w:rsidRPr="005F0A67">
        <w:rPr>
          <w:rFonts w:asciiTheme="majorBidi" w:eastAsia="Times New Roman" w:hAnsiTheme="majorBidi" w:cstheme="majorBidi"/>
          <w:vertAlign w:val="superscript"/>
          <w:lang w:val="en-CA" w:eastAsia="en-GB"/>
        </w:rPr>
        <w:footnoteReference w:id="51"/>
      </w:r>
      <w:r w:rsidRPr="005F0A67">
        <w:rPr>
          <w:rFonts w:asciiTheme="majorBidi" w:eastAsia="Times New Roman" w:hAnsiTheme="majorBidi" w:cstheme="majorBidi"/>
          <w:lang w:val="en-CA" w:eastAsia="en-GB"/>
        </w:rPr>
        <w:t xml:space="preserve">. For ISIC, it uses the classification by Oldham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{"citationID":"IC32qh4T","properties":{"unsorted":false,"formattedCitation":"(2025)","plainCitation":"(2025)","noteIndex":0},"citationItems":[{"id":600,"uris":["http://zotero.org/users/14977742/items/GL6U4KPK"],"itemData":{"id":600,"type":"article","abstract":"This paper addresses the identification of sectors, products and services of relevance to the operationalisation of the Cali Fund under the United Nations Convention on Biological Diversity as set out in COP16 decision 16/2.","citation-key":"oldhamCaliFundSectors2025","DOI":"10.2139/ssrn.5195031","genre":"SSRN Scholarly Paper","language":"en","number":"5195031","publisher":"Social Science Research Network","publisher-place":"Rochester, NY","source":"papers.ssrn.com","title":"The Cali Fund: Sectors, Products and Services","title-short":"The Cali Fund","URL":"https://papers.ssrn.com/abstract=5195031","author":[{"family":"Oldham","given":"Paul"}],"accessed":{"date-parts":[["2025",12,21]]},"issued":{"date-parts":[["2025",3,26]]}},"suppress-author":true}],"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noProof/>
          <w:lang w:val="en-CA" w:eastAsia="en-GB"/>
        </w:rPr>
        <w:t>(2025)</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for NACE, it follows Menon Economics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EbrXd5dC","properties":{"unsorted":false,"formattedCitation":"(2025)","plainCitation":"(2025)","noteIndex":0},"citationItems":[{"id":1261,"uris":["http://zotero.org/users/14977742/items/KZBPZ48K"],"itemData":{"id":1261,"type":"report","citation-key":"menoneconomicsGenesGlobalFinance2025","number":"153","title":"From genes to global finance: Implications of the Cali fund for Norwegian businesses","URL":"https://menon.no/en/projects/from-genes-to-global-finance","author":[{"literal":"Menon Economics"}],"issued":{"date-parts":[["2025",10]]}},"suppress-author":true}],"schema":"https://github.com/citation-style-language/schema/raw/master/csl-citation.json"}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noProof/>
          <w:lang w:val="en-CA" w:eastAsia="en-GB"/>
        </w:rPr>
        <w:t>(2025)</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while NAICS matching was done specifically for that study. The classification is applied at the most granular available level, usually the 4-digit NACE class or its equivalent, to avoid including firms whose main activity does not involve DSI use. This helps prevent counting companies that are in a broad industry group but are not actually involved in DSI-related activities. </w:t>
      </w:r>
    </w:p>
    <w:p w14:paraId="067906CB"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Data coverage varies considerably across jurisdictions. For EU member states and a limited number of other OECD economies, firm-level samples are validated against official structural business statistics and treated as broadly representative. For the majority of CBD Parties, coverage is partial and official sectoral benchmarks were unavailable for validation; those estimates are treated as conservative lower bounds. Of the 196 CBD Parties, 100 have at least one eligible firm in the data. Where gaps exist, they most likely reflect genuine database under-coverage in Sub-Saharan Africa, parts of Asia-Pacific and selected large OECD economies, including Canada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{"citationID":"wrhnTtPD","properties":{"unsorted":false,"formattedCitation":"(Bajgar {\\i{}et al.}, 2019; Kalemli- \\uc0\\u214{}zcan {\\i{}et al.}, 2024)","plainCitation":"(Bajgar et al., 2019; Kalemli- Özcan et al., 2024)","noteIndex":0},"citationItems":[{"id":619,"uris":["http://zotero.org/users/14977742/items/U5YMJ428"],"itemData":{"id":619,"type":"article-journal","abstract":"This report presents new evidence on industry concentration trends in Europe and in North America. It uses two novel data sources: representative firm-level concentration measures from the OECD MultiProd project, and business-group-level concentration measures using matched Orbis-Worldscope-Zephyr data. Based on the MultiProd data, it finds that between 2001 and 2012 the average industry across 10 European economies saw a 2-3-percentage-point increase in the share of the 10% largest companies in industry sales. Using the Orbis-Worldscope-Zephyr data, it documents a clear increase in industry concentration in Europe as well as in North America between 2000 and 2014 of the order of 4-8 percentage points for the average industry. Over the period, about 3 out of 4 (2-digit) industries in each region saw their concentration increase. The increase is observed for both manufacturing and non-financial services and is not driven by digital-intensive sectors.","citation-key":"bajgarIndustryConcentrationEurope2019","container-title":"OECD Productivity Working Papers","DOI":"10.1787/2ff98246-en","language":"en","publisher":"OECD Publishing","source":"www.oecd.org","title":"Industry Concentration in Europe and North America","URL":"https://www.oecd.org/en/publications/industry-concentration-in-europe-and-north-america_2ff98246-en.html","author":[{"family":"Bajgar","given":"Matej"},{"family":"Berlingieri","given":"Giuseppe"},{"family":"Calligaris","given":"Sara"},{"family":"Criscuolo","given":"Chiara"},{"family":"Timmis","given":"Jonathan"}],"accessed":{"date-parts":[["2025",11,28]]},"issued":{"date-parts":[["2019",1,20]]}}},{"id":641,"uris":["http://zotero.org/users/14977742/items/TNV6MD9X"],"itemData":{"id":641,"type":"article-journal","abstract":"We construct nationally representative firm-level longitudinal data for European countries using financial statements from the Orbis database. We validate our data by comparing its coverage and firm size distribution to official statistics. We showcase two applications to show the importance of firm representativeness in understanding macroeconomic outcomes. First, we show that small and medium-sized firms account for a large share of aggregate economic activity. Second, we document that firm representativeness is important for calculating industry concentration trends over time as the share of economic activity accounted by top firms in an industry changes with the firm samples used.","citation-key":"kalemli-ozcanHowConstructNationally2024","container-title":"American Economic Journal: Macroeconomics","DOI":"10.1257/mac.20220036","ISSN":"1945-7707","issue":"2","language":"en","page":"353-374","source":"www.aeaweb.org","title":"How to construct nationally representative firm-level data from the orbis global database: New facts on smes and aggregate implications for industry concentration","title-short":"How to construct nationally representative firm-level data from the orbis global database","volume":"16","author":[{"family":"Kalemli- Özcan","given":"Şebnem"},{"family":"Sørensen","given":"Bent E."},{"family":"Villegas-Sanchez","given":"Carolina"},{"family":"Volosovych","given":"Vadym"},{"family":"Yeşiltaş","given":"Sevcan"}],"issued":{"date-parts":[["2024",4]]}}}],"schema":"https://github.com/citation-style-language/schema/raw/master/csl-citation.json"}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Georgia" w:hAnsiTheme="majorBidi" w:cstheme="majorBidi"/>
          <w:lang w:val="en-CA" w:eastAsia="en-GB"/>
        </w:rPr>
        <w:t xml:space="preserve">(Bajgar </w:t>
      </w:r>
      <w:r w:rsidRPr="005F0A67">
        <w:rPr>
          <w:rFonts w:asciiTheme="majorBidi" w:eastAsia="Georgia" w:hAnsiTheme="majorBidi" w:cstheme="majorBidi"/>
          <w:i/>
          <w:iCs/>
          <w:lang w:val="en-CA" w:eastAsia="en-GB"/>
        </w:rPr>
        <w:t>et al.</w:t>
      </w:r>
      <w:r w:rsidRPr="005F0A67">
        <w:rPr>
          <w:rFonts w:asciiTheme="majorBidi" w:eastAsia="Georgia" w:hAnsiTheme="majorBidi" w:cstheme="majorBidi"/>
          <w:lang w:val="en-CA" w:eastAsia="en-GB"/>
        </w:rPr>
        <w:t xml:space="preserve">, 2019; Kalemli- Özcan </w:t>
      </w:r>
      <w:r w:rsidRPr="005F0A67">
        <w:rPr>
          <w:rFonts w:asciiTheme="majorBidi" w:eastAsia="Georgia" w:hAnsiTheme="majorBidi" w:cstheme="majorBidi"/>
          <w:i/>
          <w:iCs/>
          <w:lang w:val="en-CA" w:eastAsia="en-GB"/>
        </w:rPr>
        <w:t>et al.</w:t>
      </w:r>
      <w:r w:rsidRPr="005F0A67">
        <w:rPr>
          <w:rFonts w:asciiTheme="majorBidi" w:eastAsia="Georgia" w:hAnsiTheme="majorBidi" w:cstheme="majorBidi"/>
          <w:lang w:val="en-CA" w:eastAsia="en-GB"/>
        </w:rPr>
        <w:t>, 2024)</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rather than an absence of eligible firms, though for small island states and least-developed countries the reverse is the more plausible interpretation given the scale of the financial thresholds involved. </w:t>
      </w:r>
    </w:p>
    <w:p w14:paraId="6C065696"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Each firm's annual contribution is calculated using the lower of two indicative rates applied to its 2023 financials (the most recent complete year</w:t>
      </w:r>
      <w:r w:rsidRPr="005F0A67">
        <w:rPr>
          <w:rFonts w:asciiTheme="majorBidi" w:eastAsia="Times New Roman" w:hAnsiTheme="majorBidi" w:cstheme="majorBidi"/>
          <w:vertAlign w:val="superscript"/>
          <w:lang w:val="en-CA" w:eastAsia="en-GB"/>
        </w:rPr>
        <w:footnoteReference w:id="52"/>
      </w:r>
      <w:r w:rsidRPr="005F0A67">
        <w:rPr>
          <w:rFonts w:asciiTheme="majorBidi" w:eastAsia="Times New Roman" w:hAnsiTheme="majorBidi" w:cstheme="majorBidi"/>
          <w:lang w:val="en-CA" w:eastAsia="en-GB"/>
        </w:rPr>
        <w:t xml:space="preserve">), since firms are expected to choose the option that results in a smaller expectation. Firms with losses do not contribute. The revenue analysis covers five scenarios, described below. </w:t>
      </w:r>
    </w:p>
    <w:p w14:paraId="4A34A536" w14:textId="77777777" w:rsidR="005F0A67" w:rsidRPr="005F0A67" w:rsidRDefault="005F0A67" w:rsidP="005F0A67">
      <w:pPr>
        <w:numPr>
          <w:ilvl w:val="1"/>
          <w:numId w:val="12"/>
        </w:numPr>
        <w:tabs>
          <w:tab w:val="clear" w:pos="567"/>
          <w:tab w:val="clear" w:pos="1134"/>
          <w:tab w:val="clear" w:pos="1701"/>
          <w:tab w:val="clear" w:pos="2268"/>
        </w:tabs>
        <w:spacing w:before="320" w:after="160"/>
        <w:ind w:left="576" w:hanging="576"/>
        <w:jc w:val="left"/>
        <w:outlineLvl w:val="1"/>
        <w:rPr>
          <w:rFonts w:asciiTheme="majorBidi" w:eastAsia="Arial" w:hAnsiTheme="majorBidi" w:cstheme="majorBidi"/>
          <w:b/>
          <w:bCs/>
          <w:color w:val="1A1A1A"/>
          <w:sz w:val="23"/>
          <w:szCs w:val="23"/>
          <w:lang w:val="en-CA" w:eastAsia="en-GB"/>
        </w:rPr>
      </w:pPr>
      <w:bookmarkStart w:id="104" w:name="_Ref231664660"/>
      <w:bookmarkStart w:id="105" w:name="_Toc234579575"/>
      <w:r w:rsidRPr="005F0A67">
        <w:rPr>
          <w:rFonts w:asciiTheme="majorBidi" w:eastAsia="Arial" w:hAnsiTheme="majorBidi" w:cstheme="majorBidi"/>
          <w:b/>
          <w:bCs/>
          <w:color w:val="1A1A1A"/>
          <w:sz w:val="23"/>
          <w:szCs w:val="23"/>
          <w:lang w:val="en-CA" w:eastAsia="en-GB"/>
        </w:rPr>
        <w:t>Limitations</w:t>
      </w:r>
      <w:bookmarkEnd w:id="104"/>
      <w:bookmarkEnd w:id="105"/>
    </w:p>
    <w:p w14:paraId="60B2F809"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Several features of the underlying data and methodology limit the interpretation of the results. Database coverage gaps in Sub-Saharan Africa, parts of Asia-Pacific, and selected large OECD economies mean the 100-Party sample likely understates the true eligible population, and estimates for those regions should be treated as conservative lower bounds. Switzerland and Canada are identified as probable undercounts due to incomplete coverage of unconsolidated accounts for large multinationals headquartered in those countries; their true contribution potential is higher than reported (seed data validation in Makowska-Curran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{"citationID":"a1uchd9vgti","properties":{"unsorted":false,"formattedCitation":"(2026)","plainCitation":"(2026)","noteIndex":0},"citationItems":[{"id":77,"uris":["http://zotero.org/users/14977742/items/2PI55QKT"],"itemData":{"id":77,"type":"article-journal","abstract":"This paper provides the first global, firm-level analysis of what the Cali Fund, designed to support global conservation, is likely to raise and how resources would be distributed.","citation-key":"GlobalBiodiversityCommitments","container-title":"Grantham Research Institute on climate change and the environment","language":"en-GB","publisher":"London School of Economics and Political Science (LSE)","title":"From global biodiversity commitments to local action: revenue potential and allocation dynamics of the Cali Fund","title-short":"From global biodiversity commitments to local action","URL":"https://www.lse.ac.uk/granthaminstitute/publication/from-global-biodiversity-commitments-to-local-action-revenue-potential-and-allocation-dynamics-of-the-cali-fund/","author":[{"family":"Makowska-Curran","given":"Agata"}],"accessed":{"date-parts":[["2026",6,3]]},"issued":{"date-parts":[["2026",6]]}},"suppress-author":true}],"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Georgia" w:hAnsiTheme="majorBidi" w:cstheme="majorBidi"/>
          <w:lang w:eastAsia="en-GB"/>
        </w:rPr>
        <w:t>(2026)</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On the contrary, the United Kingdom figure is sensitive to the inclusion of consolidated accounts and should be treated as an upper bound. Taken together, country-level estimates are less reliable than the aggregate, and the disaggregation should be interpreted as indicative rather than precise. Similarly, Makowska-Curran (2026) provides more detail on coverage by Indicative Enclosure I sector (see Figure 9 of that study); overall, the tested sectoral coverage for large companies in scope in selected OECD countries is good, nonetheless, due to gaps in validation data for other countries, sectoral coverage may be lower for those remaining countries. </w:t>
      </w:r>
    </w:p>
    <w:p w14:paraId="4CE24EEE"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lastRenderedPageBreak/>
        <w:t>The sector mapping applies standard industrial classification codes at the most granular available level, but cannot cleanly separate directly DSI-relevant firms from those in adjacent segments within the same code. In particular, the eligible population count reflects sector and financial-threshold criteria only; paragraph 5 exclusions for entities that do not use DSI at all are not applied at the firm-count level, and are instead captured indirectly through the DSI intensity adjustment to contribution amounts in Stage 3.</w:t>
      </w:r>
    </w:p>
    <w:p w14:paraId="20FADC40"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Firm-level financials are expressed in nominal USD terms over 2021-2023, consistent with the fixed nominal thresholds set by Decision 16/2. As with comparable frameworks, exchange rate movements and inflation will affect the real value of both thresholds and estimated contributions over time unless the thresholds are periodically revised.</w:t>
      </w:r>
    </w:p>
    <w:p w14:paraId="52E04A48"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Several of the parameters underpinning the central scenario are not observed directly and are instead inferred from adjacent literature or sector-level proxies, which is itself a source of uncertainty. Participation rate assumptions are calibrated from published literature on voluntary environmental schemes that does not cover a mechanism with the Cali Fund's specific design features, and no direct evidence on participation intentions across eligible sectors is currently available. </w:t>
      </w:r>
    </w:p>
    <w:p w14:paraId="018E8D7E"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A related but distinct constraint applies to DSI intensity: Decision 16/2 ties both eligibility and the contribution amount to financial metrics rather than to DSI use itself, and no data source currently observes the share of a firm's financial activity attributable to DSI use. In the absence of such a measure, the DSI intensity adjustments applied in the central scenario rely on sector-level proxies rather than observed firm-level data. The sector-level DSI intensity multipliers do not net out potential overlapping obligations under other instruments relevant to particular sectors, such as the WHO PIP Framework and Pandemic Agreement for pharmaceutical firms working with influenza and pandemic pathogen sequences, the ITPGRFA's Benefit-sharing Fund for plant breeding, or a future BBNJ benefit-sharing mechanism for biotechnology firms using marine genetic sequences, which remains government-donor funded and not yet operational. No data exists to estimate the scale of this overlap by sector, and it is addressed only at an aggregate level through the ITPGRFA-based lower-bound revenue scenario in this Part. Participation rates and DSI intensity are therefore both treated as the most uncertain parameters in the analysis, and the wide scenario range is designed specifically to reflect this reliance on inferred rather than observed values, rather than being an artefact of modelling choice. All figures presented in this study are illustrative analytical scenarios developed to inform policy discussion, not forecasts or expected outcomes. Actual Cali Fund revenue will depend on the Conference of the Parties' eventual decisions on thresholds and rates, subsequent national implementation measures, actual participation levels, and how corporate behaviour evolves once Decision 16/2 is operational. As corporate disclosure requirements evolve and Decision 16/2 is implemented, data availability on firm-level DSI use is likely to improve, which should reduce the estimation uncertainty reflected in this study's wide scenario range over time.</w:t>
      </w:r>
    </w:p>
    <w:p w14:paraId="54D6CC60" w14:textId="77777777" w:rsidR="005F0A67" w:rsidRPr="005F0A67" w:rsidRDefault="005F0A67" w:rsidP="005F0A67">
      <w:pPr>
        <w:numPr>
          <w:ilvl w:val="1"/>
          <w:numId w:val="12"/>
        </w:numPr>
        <w:tabs>
          <w:tab w:val="clear" w:pos="567"/>
          <w:tab w:val="clear" w:pos="1134"/>
          <w:tab w:val="clear" w:pos="1701"/>
          <w:tab w:val="clear" w:pos="2268"/>
        </w:tabs>
        <w:spacing w:before="320" w:after="160"/>
        <w:ind w:left="576" w:hanging="576"/>
        <w:jc w:val="left"/>
        <w:outlineLvl w:val="1"/>
        <w:rPr>
          <w:rFonts w:asciiTheme="majorBidi" w:eastAsia="Arial" w:hAnsiTheme="majorBidi" w:cstheme="majorBidi"/>
          <w:b/>
          <w:bCs/>
          <w:color w:val="1A1A1A"/>
          <w:sz w:val="23"/>
          <w:szCs w:val="23"/>
          <w:lang w:val="en-CA" w:eastAsia="en-GB"/>
        </w:rPr>
      </w:pPr>
      <w:bookmarkStart w:id="106" w:name="_Ref230283833"/>
      <w:bookmarkStart w:id="107" w:name="_Toc234579576"/>
      <w:r w:rsidRPr="005F0A67">
        <w:rPr>
          <w:rFonts w:asciiTheme="majorBidi" w:eastAsia="Arial" w:hAnsiTheme="majorBidi" w:cstheme="majorBidi"/>
          <w:b/>
          <w:bCs/>
          <w:color w:val="1A1A1A"/>
          <w:sz w:val="23"/>
          <w:szCs w:val="23"/>
          <w:lang w:val="en-CA" w:eastAsia="en-GB"/>
        </w:rPr>
        <w:t>Applying the analytical framework</w:t>
      </w:r>
      <w:bookmarkEnd w:id="106"/>
      <w:bookmarkEnd w:id="107"/>
    </w:p>
    <w:p w14:paraId="4F6B6228" w14:textId="77777777" w:rsid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The three-stage framework introduced in Section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_Ref229944942 \r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4</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_Ref229583418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Figure 2</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structures the analysis here. Stage 1 concerns eligibility: which firms meet the Decision 16/2 thresholds and fall within the indicative Enclosure I sector list. Stage 2 looks at participation: what share of eligible firms may actually contribute, and under what assumptions. Stage 3 concerns contribution amounts: how much participating firms pay, given the current contribution base and their DSI use. Each stage is described below before results are presented.</w:t>
      </w:r>
    </w:p>
    <w:p w14:paraId="3904C6D0" w14:textId="77777777" w:rsidR="00B54840" w:rsidRPr="005F0A67" w:rsidRDefault="00B54840"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p>
    <w:p w14:paraId="65A17152" w14:textId="77777777" w:rsidR="005F0A67" w:rsidRPr="005F0A67" w:rsidRDefault="005F0A67" w:rsidP="00B54840">
      <w:pPr>
        <w:tabs>
          <w:tab w:val="clear" w:pos="567"/>
          <w:tab w:val="clear" w:pos="1134"/>
          <w:tab w:val="clear" w:pos="1701"/>
          <w:tab w:val="clear" w:pos="2268"/>
        </w:tabs>
        <w:spacing w:before="320" w:after="160"/>
        <w:ind w:left="720"/>
        <w:jc w:val="left"/>
        <w:outlineLvl w:val="2"/>
        <w:rPr>
          <w:rFonts w:asciiTheme="majorBidi" w:eastAsia="Arial" w:hAnsiTheme="majorBidi" w:cstheme="majorBidi"/>
          <w:b/>
          <w:bCs/>
          <w:color w:val="7F7F7F"/>
          <w:sz w:val="23"/>
          <w:szCs w:val="23"/>
          <w:lang w:val="en-CA" w:eastAsia="en-GB"/>
        </w:rPr>
      </w:pPr>
      <w:bookmarkStart w:id="108" w:name="_Toc234579577"/>
      <w:r w:rsidRPr="005F0A67">
        <w:rPr>
          <w:rFonts w:asciiTheme="majorBidi" w:eastAsia="Arial" w:hAnsiTheme="majorBidi" w:cstheme="majorBidi"/>
          <w:b/>
          <w:bCs/>
          <w:color w:val="7F7F7F"/>
          <w:sz w:val="23"/>
          <w:szCs w:val="23"/>
          <w:lang w:val="en-CA" w:eastAsia="en-GB"/>
        </w:rPr>
        <w:lastRenderedPageBreak/>
        <w:t>Stage 1: The eligible population</w:t>
      </w:r>
      <w:bookmarkEnd w:id="108"/>
      <w:r w:rsidRPr="005F0A67">
        <w:rPr>
          <w:rFonts w:asciiTheme="majorBidi" w:eastAsia="Arial" w:hAnsiTheme="majorBidi" w:cstheme="majorBidi"/>
          <w:b/>
          <w:bCs/>
          <w:color w:val="7F7F7F"/>
          <w:sz w:val="23"/>
          <w:szCs w:val="23"/>
          <w:lang w:val="en-CA" w:eastAsia="en-GB"/>
        </w:rPr>
        <w:t xml:space="preserve"> </w:t>
      </w:r>
    </w:p>
    <w:p w14:paraId="7D8539FE"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The eligible population is defined by the two-of-three financial threshold rule in Decision 16/2, applied at the subsidiary level (matching the entity definition applied in this study), and across all seven Indicative Enclosure I sectors, determined by primary sectoral activity (i.e. excluding relevant secondary activities). Applying these thresholds to firm-level financial data for CBD Party jurisdictions yields 21,690 eligible entities spanning 100 Parties.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_Ref230018454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Table 9</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provides their total number and median values for each relevant financial indicator. The full distribution of financial characteristics, including the spread around those medians, is shown in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_Ref230019902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Figure 3</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The remaining Parties either have no coverage in the data or no firms meeting the eligibility criteria, with coverage gaps discussed in Section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_Ref230017304 \r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6.1</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and full breakdown by Party in the Annex </w:t>
      </w:r>
    </w:p>
    <w:p w14:paraId="7B0EB1FE"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With a median revenue of USD 95 million and median total assets of USD 111 million, the typical eligible firm sits well above the Decision 16/2 assets threshold of USD 20 million (5.5 times the threshold) but only moderately above the revenue threshold of USD 50 million (1.9 times) and marginally above the profit threshold of USD 5 million (1.3 times, or USD 6.5 million in absolute terms)</w:t>
      </w:r>
      <w:r w:rsidRPr="005F0A67">
        <w:rPr>
          <w:rFonts w:asciiTheme="majorBidi" w:eastAsia="Times New Roman" w:hAnsiTheme="majorBidi" w:cstheme="majorBidi"/>
          <w:vertAlign w:val="superscript"/>
          <w:lang w:val="en-CA" w:eastAsia="en-GB"/>
        </w:rPr>
        <w:footnoteReference w:id="53"/>
      </w:r>
      <w:r w:rsidRPr="005F0A67">
        <w:rPr>
          <w:rFonts w:asciiTheme="majorBidi" w:eastAsia="Times New Roman" w:hAnsiTheme="majorBidi" w:cstheme="majorBidi"/>
          <w:lang w:val="en-CA" w:eastAsia="en-GB"/>
        </w:rPr>
        <w:t xml:space="preserve">. As shown in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_Ref230019902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 xml:space="preserve">Figure </w:t>
      </w:r>
      <w:r w:rsidRPr="005F0A67">
        <w:rPr>
          <w:rFonts w:asciiTheme="majorBidi" w:eastAsia="Times New Roman" w:hAnsiTheme="majorBidi" w:cstheme="majorBidi"/>
          <w:noProof/>
          <w:lang w:val="en-CA" w:eastAsia="en-GB"/>
        </w:rPr>
        <w:t>3</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the spread around these medians differs substantially across the three indicators. Total assets are distributed well above the threshold across the full range of the sample, with the lower end of the distribution remaining above the USD 20 million boundary in every sector (for 90% of eligible firms). Revenue and profit show a different pattern. The lower ends of both distributions get close to or fall below their thresholds. Profit is particularly sensitive: in every sector, at least one in four eligible firms reports profit at or below USD 5 million, indicating that many clear this criterion only marginally, if at all. This pattern means that eligibility depends primarily on revenue and profit in terms of variation within the sample, while the assets threshold creates less differentiation within the eligible population since most firms clear it by a substantial margin.</w:t>
      </w:r>
    </w:p>
    <w:p w14:paraId="7DCF4CB0"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While all sectors behave similarly, pharmaceuticals stand apart on every dimension; it has the highest median revenue, assets, and profit. It is also the only sector where the 25th percentile of profit meets or exceeds the Decision 16/2 profit threshold of USD 5 million, suggesting that the financial capacity to contribute is more broadly distributed within that sector than in any other. The implications of these characteristics for revenue estimates and participation are discussed in Stages 2 and 3.</w:t>
      </w:r>
    </w:p>
    <w:p w14:paraId="14BE000A"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The eligible population described above reflects specific methodological choices about sector scope and threshold application. As noted in the uncertainty register in Section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_Ref229944942 \r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4</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_Ref229844376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Table 1</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sensitivity of revenue estimates to different thresholds is examined in Section 6.3.</w:t>
      </w:r>
    </w:p>
    <w:p w14:paraId="58143C19"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sectPr w:rsidR="005F0A67" w:rsidRPr="005F0A67" w:rsidSect="005F0A67">
          <w:pgSz w:w="12240" w:h="15840"/>
          <w:pgMar w:top="1080" w:right="1260" w:bottom="1080" w:left="1260" w:header="706" w:footer="706" w:gutter="0"/>
          <w:cols w:space="720"/>
          <w:docGrid w:linePitch="360"/>
        </w:sectPr>
      </w:pPr>
    </w:p>
    <w:p w14:paraId="1B527B54" w14:textId="77777777" w:rsidR="005F0A67" w:rsidRPr="005F0A67" w:rsidRDefault="005F0A67" w:rsidP="005F0A67">
      <w:pPr>
        <w:tabs>
          <w:tab w:val="clear" w:pos="567"/>
          <w:tab w:val="clear" w:pos="1134"/>
          <w:tab w:val="clear" w:pos="1701"/>
          <w:tab w:val="clear" w:pos="2268"/>
        </w:tabs>
        <w:spacing w:line="312" w:lineRule="auto"/>
        <w:contextualSpacing/>
        <w:rPr>
          <w:rFonts w:asciiTheme="majorBidi" w:eastAsia="Georgia" w:hAnsiTheme="majorBidi" w:cstheme="majorBidi"/>
          <w:b/>
          <w:bCs/>
          <w:color w:val="419844"/>
          <w:lang w:eastAsia="en-GB"/>
        </w:rPr>
      </w:pPr>
      <w:bookmarkStart w:id="109" w:name="_Ref230018454"/>
      <w:r w:rsidRPr="005F0A67">
        <w:rPr>
          <w:rFonts w:asciiTheme="majorBidi" w:eastAsia="Georgia" w:hAnsiTheme="majorBidi" w:cstheme="majorBidi"/>
          <w:b/>
          <w:bCs/>
          <w:color w:val="419844"/>
          <w:lang w:val="en-US" w:eastAsia="ja-JP"/>
        </w:rPr>
        <w:lastRenderedPageBreak/>
        <w:t xml:space="preserve">Table </w:t>
      </w:r>
      <w:r w:rsidRPr="005F0A67">
        <w:rPr>
          <w:rFonts w:asciiTheme="majorBidi" w:eastAsia="Georgia" w:hAnsiTheme="majorBidi" w:cstheme="majorBidi"/>
          <w:b/>
          <w:bCs/>
          <w:color w:val="419844"/>
          <w:lang w:eastAsia="en-GB"/>
        </w:rPr>
        <w:fldChar w:fldCharType="begin"/>
      </w:r>
      <w:r w:rsidRPr="005F0A67">
        <w:rPr>
          <w:rFonts w:asciiTheme="majorBidi" w:eastAsia="Georgia" w:hAnsiTheme="majorBidi" w:cstheme="majorBidi"/>
          <w:b/>
          <w:bCs/>
          <w:color w:val="419844"/>
          <w:lang w:eastAsia="en-GB"/>
        </w:rPr>
        <w:instrText xml:space="preserve"> SEQ Table \* ARABIC </w:instrText>
      </w:r>
      <w:r w:rsidRPr="005F0A67">
        <w:rPr>
          <w:rFonts w:asciiTheme="majorBidi" w:eastAsia="Georgia" w:hAnsiTheme="majorBidi" w:cstheme="majorBidi"/>
          <w:b/>
          <w:bCs/>
          <w:color w:val="419844"/>
          <w:lang w:eastAsia="en-GB"/>
        </w:rPr>
        <w:fldChar w:fldCharType="separate"/>
      </w:r>
      <w:r w:rsidRPr="005F0A67">
        <w:rPr>
          <w:rFonts w:asciiTheme="majorBidi" w:eastAsia="Georgia" w:hAnsiTheme="majorBidi" w:cstheme="majorBidi"/>
          <w:b/>
          <w:bCs/>
          <w:noProof/>
          <w:color w:val="419844"/>
          <w:lang w:eastAsia="en-GB"/>
        </w:rPr>
        <w:t>9</w:t>
      </w:r>
      <w:r w:rsidRPr="005F0A67">
        <w:rPr>
          <w:rFonts w:asciiTheme="majorBidi" w:eastAsia="Georgia" w:hAnsiTheme="majorBidi" w:cstheme="majorBidi"/>
          <w:b/>
          <w:bCs/>
          <w:color w:val="419844"/>
          <w:lang w:eastAsia="en-GB"/>
        </w:rPr>
        <w:fldChar w:fldCharType="end"/>
      </w:r>
      <w:bookmarkEnd w:id="109"/>
      <w:r w:rsidRPr="005F0A67">
        <w:rPr>
          <w:rFonts w:asciiTheme="majorBidi" w:eastAsia="Georgia" w:hAnsiTheme="majorBidi" w:cstheme="majorBidi"/>
          <w:b/>
          <w:bCs/>
          <w:color w:val="419844"/>
          <w:lang w:val="en-US" w:eastAsia="ja-JP"/>
        </w:rPr>
        <w:t xml:space="preserve"> Eligible entity characteristics by sector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3306"/>
        <w:gridCol w:w="1497"/>
        <w:gridCol w:w="2128"/>
        <w:gridCol w:w="2145"/>
        <w:gridCol w:w="2145"/>
        <w:gridCol w:w="2457"/>
      </w:tblGrid>
      <w:tr w:rsidR="005F0A67" w:rsidRPr="005F0A67" w14:paraId="722640C5" w14:textId="77777777" w:rsidTr="00FB671B">
        <w:trPr>
          <w:trHeight w:val="64"/>
          <w:tblHeader/>
        </w:trPr>
        <w:tc>
          <w:tcPr>
            <w:tcW w:w="1208" w:type="pct"/>
            <w:tcBorders>
              <w:top w:val="single" w:sz="1" w:space="0" w:color="AAAAAA"/>
              <w:left w:val="single" w:sz="1" w:space="0" w:color="AAAAAA"/>
              <w:bottom w:val="single" w:sz="1" w:space="0" w:color="AAAAAA"/>
              <w:right w:val="single" w:sz="1" w:space="0" w:color="AAAAAA"/>
            </w:tcBorders>
            <w:shd w:val="clear" w:color="auto" w:fill="1F4E6B"/>
            <w:tcMar>
              <w:top w:w="60" w:type="dxa"/>
              <w:left w:w="100" w:type="dxa"/>
              <w:bottom w:w="60" w:type="dxa"/>
              <w:right w:w="100" w:type="dxa"/>
            </w:tcMar>
            <w:vAlign w:val="center"/>
          </w:tcPr>
          <w:p w14:paraId="4651FCBD"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FFFFFF"/>
                <w:sz w:val="18"/>
                <w:szCs w:val="18"/>
                <w:lang w:val="en-CA" w:eastAsia="en-GB"/>
              </w:rPr>
            </w:pPr>
            <w:r w:rsidRPr="005F0A67">
              <w:rPr>
                <w:rFonts w:asciiTheme="majorBidi" w:eastAsia="Tahoma" w:hAnsiTheme="majorBidi" w:cstheme="majorBidi"/>
                <w:b/>
                <w:bCs/>
                <w:color w:val="FFFFFF"/>
                <w:sz w:val="18"/>
                <w:szCs w:val="18"/>
                <w:lang w:val="en-CA" w:eastAsia="en-GB"/>
              </w:rPr>
              <w:t>Sector</w:t>
            </w:r>
          </w:p>
        </w:tc>
        <w:tc>
          <w:tcPr>
            <w:tcW w:w="547" w:type="pct"/>
            <w:tcBorders>
              <w:top w:val="single" w:sz="1" w:space="0" w:color="AAAAAA"/>
              <w:left w:val="single" w:sz="1" w:space="0" w:color="AAAAAA"/>
              <w:bottom w:val="single" w:sz="1" w:space="0" w:color="AAAAAA"/>
              <w:right w:val="single" w:sz="1" w:space="0" w:color="AAAAAA"/>
            </w:tcBorders>
            <w:shd w:val="clear" w:color="auto" w:fill="1F4E6B"/>
            <w:tcMar>
              <w:top w:w="60" w:type="dxa"/>
              <w:left w:w="100" w:type="dxa"/>
              <w:bottom w:w="60" w:type="dxa"/>
              <w:right w:w="100" w:type="dxa"/>
            </w:tcMar>
            <w:vAlign w:val="center"/>
          </w:tcPr>
          <w:p w14:paraId="5259B37A"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FFFFFF"/>
                <w:sz w:val="18"/>
                <w:szCs w:val="18"/>
                <w:lang w:val="en-CA" w:eastAsia="en-GB"/>
              </w:rPr>
            </w:pPr>
            <w:r w:rsidRPr="005F0A67">
              <w:rPr>
                <w:rFonts w:asciiTheme="majorBidi" w:eastAsia="Tahoma" w:hAnsiTheme="majorBidi" w:cstheme="majorBidi"/>
                <w:b/>
                <w:bCs/>
                <w:color w:val="FFFFFF"/>
                <w:sz w:val="18"/>
                <w:szCs w:val="18"/>
                <w:lang w:val="en-CA" w:eastAsia="en-GB"/>
              </w:rPr>
              <w:t>No of entities</w:t>
            </w:r>
          </w:p>
        </w:tc>
        <w:tc>
          <w:tcPr>
            <w:tcW w:w="778" w:type="pct"/>
            <w:tcBorders>
              <w:top w:val="single" w:sz="1" w:space="0" w:color="AAAAAA"/>
              <w:left w:val="single" w:sz="1" w:space="0" w:color="AAAAAA"/>
              <w:bottom w:val="single" w:sz="1" w:space="0" w:color="AAAAAA"/>
              <w:right w:val="single" w:sz="1" w:space="0" w:color="AAAAAA"/>
            </w:tcBorders>
            <w:shd w:val="clear" w:color="auto" w:fill="1F4E6B"/>
            <w:vAlign w:val="center"/>
          </w:tcPr>
          <w:p w14:paraId="564740D6"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FFFFFF"/>
                <w:sz w:val="18"/>
                <w:szCs w:val="18"/>
                <w:lang w:val="en-CA" w:eastAsia="en-GB"/>
              </w:rPr>
            </w:pPr>
            <w:r w:rsidRPr="005F0A67">
              <w:rPr>
                <w:rFonts w:asciiTheme="majorBidi" w:eastAsia="Tahoma" w:hAnsiTheme="majorBidi" w:cstheme="majorBidi"/>
                <w:b/>
                <w:bCs/>
                <w:color w:val="FFFFFF"/>
                <w:sz w:val="18"/>
                <w:szCs w:val="18"/>
                <w:lang w:val="en-CA" w:eastAsia="en-GB"/>
              </w:rPr>
              <w:t>Share of total (%)</w:t>
            </w:r>
          </w:p>
        </w:tc>
        <w:tc>
          <w:tcPr>
            <w:tcW w:w="784" w:type="pct"/>
            <w:tcBorders>
              <w:top w:val="single" w:sz="1" w:space="0" w:color="AAAAAA"/>
              <w:left w:val="single" w:sz="1" w:space="0" w:color="AAAAAA"/>
              <w:bottom w:val="single" w:sz="1" w:space="0" w:color="AAAAAA"/>
              <w:right w:val="single" w:sz="1" w:space="0" w:color="AAAAAA"/>
            </w:tcBorders>
            <w:shd w:val="clear" w:color="auto" w:fill="1F4E6B"/>
          </w:tcPr>
          <w:p w14:paraId="068F32B4"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FFFFFF"/>
                <w:sz w:val="18"/>
                <w:szCs w:val="18"/>
                <w:lang w:val="en-CA" w:eastAsia="en-GB"/>
              </w:rPr>
            </w:pPr>
            <w:r w:rsidRPr="005F0A67">
              <w:rPr>
                <w:rFonts w:asciiTheme="majorBidi" w:eastAsia="Tahoma" w:hAnsiTheme="majorBidi" w:cstheme="majorBidi"/>
                <w:b/>
                <w:bCs/>
                <w:color w:val="FFFFFF"/>
                <w:sz w:val="18"/>
                <w:szCs w:val="18"/>
                <w:lang w:val="en-CA" w:eastAsia="en-GB"/>
              </w:rPr>
              <w:t>Median revenue (USD million)</w:t>
            </w:r>
          </w:p>
        </w:tc>
        <w:tc>
          <w:tcPr>
            <w:tcW w:w="784" w:type="pct"/>
            <w:tcBorders>
              <w:top w:val="single" w:sz="1" w:space="0" w:color="AAAAAA"/>
              <w:left w:val="single" w:sz="1" w:space="0" w:color="AAAAAA"/>
              <w:bottom w:val="single" w:sz="1" w:space="0" w:color="AAAAAA"/>
              <w:right w:val="single" w:sz="1" w:space="0" w:color="AAAAAA"/>
            </w:tcBorders>
            <w:shd w:val="clear" w:color="auto" w:fill="1F4E6B"/>
            <w:vAlign w:val="center"/>
          </w:tcPr>
          <w:p w14:paraId="3E98D884"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FFFFFF"/>
                <w:sz w:val="18"/>
                <w:szCs w:val="18"/>
                <w:lang w:val="en-CA" w:eastAsia="en-GB"/>
              </w:rPr>
            </w:pPr>
            <w:r w:rsidRPr="005F0A67">
              <w:rPr>
                <w:rFonts w:asciiTheme="majorBidi" w:eastAsia="Tahoma" w:hAnsiTheme="majorBidi" w:cstheme="majorBidi"/>
                <w:b/>
                <w:bCs/>
                <w:color w:val="FFFFFF"/>
                <w:sz w:val="18"/>
                <w:szCs w:val="18"/>
                <w:lang w:val="en-CA" w:eastAsia="en-GB"/>
              </w:rPr>
              <w:t>Median assets (USD million)</w:t>
            </w:r>
          </w:p>
        </w:tc>
        <w:tc>
          <w:tcPr>
            <w:tcW w:w="898" w:type="pct"/>
            <w:tcBorders>
              <w:top w:val="single" w:sz="1" w:space="0" w:color="AAAAAA"/>
              <w:left w:val="single" w:sz="1" w:space="0" w:color="AAAAAA"/>
              <w:bottom w:val="single" w:sz="1" w:space="0" w:color="AAAAAA"/>
              <w:right w:val="single" w:sz="1" w:space="0" w:color="AAAAAA"/>
            </w:tcBorders>
            <w:shd w:val="clear" w:color="auto" w:fill="1F4E6B"/>
            <w:vAlign w:val="center"/>
          </w:tcPr>
          <w:p w14:paraId="08B7117B"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FFFFFF"/>
                <w:sz w:val="18"/>
                <w:szCs w:val="18"/>
                <w:lang w:val="en-CA" w:eastAsia="en-GB"/>
              </w:rPr>
            </w:pPr>
            <w:r w:rsidRPr="005F0A67">
              <w:rPr>
                <w:rFonts w:asciiTheme="majorBidi" w:eastAsia="Tahoma" w:hAnsiTheme="majorBidi" w:cstheme="majorBidi"/>
                <w:b/>
                <w:bCs/>
                <w:color w:val="FFFFFF"/>
                <w:sz w:val="18"/>
                <w:szCs w:val="18"/>
                <w:lang w:val="en-CA" w:eastAsia="en-GB"/>
              </w:rPr>
              <w:t>Median profit (USD million)</w:t>
            </w:r>
          </w:p>
        </w:tc>
      </w:tr>
      <w:tr w:rsidR="005F0A67" w:rsidRPr="005F0A67" w14:paraId="740D2758" w14:textId="77777777" w:rsidTr="005F0A67">
        <w:trPr>
          <w:trHeight w:val="109"/>
        </w:trPr>
        <w:tc>
          <w:tcPr>
            <w:tcW w:w="1208"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408FC266"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b/>
                <w:bCs/>
                <w:sz w:val="18"/>
                <w:szCs w:val="18"/>
                <w:lang w:eastAsia="en-GB"/>
              </w:rPr>
            </w:pPr>
            <w:r w:rsidRPr="005F0A67">
              <w:rPr>
                <w:rFonts w:asciiTheme="majorBidi" w:eastAsia="Times New Roman" w:hAnsiTheme="majorBidi" w:cstheme="majorBidi"/>
                <w:b/>
                <w:bCs/>
                <w:sz w:val="18"/>
                <w:szCs w:val="18"/>
                <w:lang w:eastAsia="en-GB"/>
              </w:rPr>
              <w:t>Information and AI</w:t>
            </w:r>
          </w:p>
        </w:tc>
        <w:tc>
          <w:tcPr>
            <w:tcW w:w="547" w:type="pct"/>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vAlign w:val="center"/>
          </w:tcPr>
          <w:p w14:paraId="66218E35"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5,217</w:t>
            </w:r>
          </w:p>
        </w:tc>
        <w:tc>
          <w:tcPr>
            <w:tcW w:w="778" w:type="pct"/>
            <w:tcBorders>
              <w:top w:val="single" w:sz="1" w:space="0" w:color="AAAAAA"/>
              <w:left w:val="single" w:sz="1" w:space="0" w:color="AAAAAA"/>
              <w:bottom w:val="single" w:sz="1" w:space="0" w:color="AAAAAA"/>
              <w:right w:val="single" w:sz="1" w:space="0" w:color="AAAAAA"/>
            </w:tcBorders>
            <w:shd w:val="clear" w:color="auto" w:fill="FFFFFF"/>
            <w:vAlign w:val="center"/>
          </w:tcPr>
          <w:p w14:paraId="30596836"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24.1</w:t>
            </w:r>
          </w:p>
        </w:tc>
        <w:tc>
          <w:tcPr>
            <w:tcW w:w="784" w:type="pct"/>
            <w:tcBorders>
              <w:top w:val="single" w:sz="1" w:space="0" w:color="AAAAAA"/>
              <w:left w:val="single" w:sz="1" w:space="0" w:color="AAAAAA"/>
              <w:bottom w:val="single" w:sz="1" w:space="0" w:color="AAAAAA"/>
              <w:right w:val="single" w:sz="1" w:space="0" w:color="AAAAAA"/>
            </w:tcBorders>
            <w:shd w:val="clear" w:color="auto" w:fill="FFFFFF"/>
            <w:vAlign w:val="center"/>
          </w:tcPr>
          <w:p w14:paraId="70FFBB1A"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96</w:t>
            </w:r>
          </w:p>
        </w:tc>
        <w:tc>
          <w:tcPr>
            <w:tcW w:w="784" w:type="pct"/>
            <w:tcBorders>
              <w:top w:val="single" w:sz="1" w:space="0" w:color="AAAAAA"/>
              <w:left w:val="single" w:sz="1" w:space="0" w:color="AAAAAA"/>
              <w:bottom w:val="single" w:sz="1" w:space="0" w:color="AAAAAA"/>
              <w:right w:val="single" w:sz="1" w:space="0" w:color="AAAAAA"/>
            </w:tcBorders>
            <w:shd w:val="clear" w:color="auto" w:fill="FFFFFF"/>
            <w:vAlign w:val="center"/>
          </w:tcPr>
          <w:p w14:paraId="1DB9CC55"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95</w:t>
            </w:r>
          </w:p>
        </w:tc>
        <w:tc>
          <w:tcPr>
            <w:tcW w:w="898" w:type="pct"/>
            <w:tcBorders>
              <w:top w:val="single" w:sz="1" w:space="0" w:color="AAAAAA"/>
              <w:left w:val="single" w:sz="1" w:space="0" w:color="AAAAAA"/>
              <w:bottom w:val="single" w:sz="1" w:space="0" w:color="AAAAAA"/>
              <w:right w:val="single" w:sz="1" w:space="0" w:color="AAAAAA"/>
            </w:tcBorders>
            <w:shd w:val="clear" w:color="auto" w:fill="FFFFFF"/>
            <w:vAlign w:val="center"/>
          </w:tcPr>
          <w:p w14:paraId="7BE0A454"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6.4</w:t>
            </w:r>
          </w:p>
        </w:tc>
      </w:tr>
      <w:tr w:rsidR="005F0A67" w:rsidRPr="005F0A67" w14:paraId="51B9A063" w14:textId="77777777" w:rsidTr="005F0A67">
        <w:trPr>
          <w:trHeight w:val="109"/>
        </w:trPr>
        <w:tc>
          <w:tcPr>
            <w:tcW w:w="1208"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37AB4C7C"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b/>
                <w:bCs/>
                <w:sz w:val="18"/>
                <w:szCs w:val="18"/>
                <w:lang w:eastAsia="en-GB"/>
              </w:rPr>
            </w:pPr>
            <w:r w:rsidRPr="005F0A67">
              <w:rPr>
                <w:rFonts w:asciiTheme="majorBidi" w:eastAsia="Times New Roman" w:hAnsiTheme="majorBidi" w:cstheme="majorBidi"/>
                <w:b/>
                <w:bCs/>
                <w:sz w:val="18"/>
                <w:szCs w:val="18"/>
                <w:lang w:eastAsia="en-GB"/>
              </w:rPr>
              <w:t>Animal and plant breeding</w:t>
            </w:r>
          </w:p>
        </w:tc>
        <w:tc>
          <w:tcPr>
            <w:tcW w:w="547" w:type="pct"/>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vAlign w:val="center"/>
          </w:tcPr>
          <w:p w14:paraId="41A21214"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4,256</w:t>
            </w:r>
          </w:p>
        </w:tc>
        <w:tc>
          <w:tcPr>
            <w:tcW w:w="778" w:type="pct"/>
            <w:tcBorders>
              <w:top w:val="single" w:sz="1" w:space="0" w:color="AAAAAA"/>
              <w:left w:val="single" w:sz="1" w:space="0" w:color="AAAAAA"/>
              <w:bottom w:val="single" w:sz="1" w:space="0" w:color="AAAAAA"/>
              <w:right w:val="single" w:sz="1" w:space="0" w:color="AAAAAA"/>
            </w:tcBorders>
            <w:shd w:val="clear" w:color="auto" w:fill="FFFFFF"/>
            <w:vAlign w:val="center"/>
          </w:tcPr>
          <w:p w14:paraId="019C6BBA"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19.6</w:t>
            </w:r>
          </w:p>
        </w:tc>
        <w:tc>
          <w:tcPr>
            <w:tcW w:w="784" w:type="pct"/>
            <w:tcBorders>
              <w:top w:val="single" w:sz="1" w:space="0" w:color="AAAAAA"/>
              <w:left w:val="single" w:sz="1" w:space="0" w:color="AAAAAA"/>
              <w:bottom w:val="single" w:sz="1" w:space="0" w:color="AAAAAA"/>
              <w:right w:val="single" w:sz="1" w:space="0" w:color="AAAAAA"/>
            </w:tcBorders>
            <w:shd w:val="clear" w:color="auto" w:fill="FFFFFF"/>
            <w:vAlign w:val="center"/>
          </w:tcPr>
          <w:p w14:paraId="68DD659B"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83</w:t>
            </w:r>
          </w:p>
        </w:tc>
        <w:tc>
          <w:tcPr>
            <w:tcW w:w="784" w:type="pct"/>
            <w:tcBorders>
              <w:top w:val="single" w:sz="1" w:space="0" w:color="AAAAAA"/>
              <w:left w:val="single" w:sz="1" w:space="0" w:color="AAAAAA"/>
              <w:bottom w:val="single" w:sz="1" w:space="0" w:color="AAAAAA"/>
              <w:right w:val="single" w:sz="1" w:space="0" w:color="AAAAAA"/>
            </w:tcBorders>
            <w:shd w:val="clear" w:color="auto" w:fill="FFFFFF"/>
            <w:vAlign w:val="center"/>
          </w:tcPr>
          <w:p w14:paraId="108FDD81"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97</w:t>
            </w:r>
          </w:p>
        </w:tc>
        <w:tc>
          <w:tcPr>
            <w:tcW w:w="898" w:type="pct"/>
            <w:tcBorders>
              <w:top w:val="single" w:sz="1" w:space="0" w:color="AAAAAA"/>
              <w:left w:val="single" w:sz="1" w:space="0" w:color="AAAAAA"/>
              <w:bottom w:val="single" w:sz="1" w:space="0" w:color="AAAAAA"/>
              <w:right w:val="single" w:sz="1" w:space="0" w:color="AAAAAA"/>
            </w:tcBorders>
            <w:shd w:val="clear" w:color="auto" w:fill="FFFFFF"/>
            <w:vAlign w:val="center"/>
          </w:tcPr>
          <w:p w14:paraId="7A3155E8"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4.6</w:t>
            </w:r>
          </w:p>
        </w:tc>
      </w:tr>
      <w:tr w:rsidR="005F0A67" w:rsidRPr="005F0A67" w14:paraId="7D26D5F5" w14:textId="77777777" w:rsidTr="005F0A67">
        <w:trPr>
          <w:trHeight w:val="109"/>
        </w:trPr>
        <w:tc>
          <w:tcPr>
            <w:tcW w:w="1208"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594AE096"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b/>
                <w:bCs/>
                <w:sz w:val="18"/>
                <w:szCs w:val="18"/>
                <w:lang w:eastAsia="en-GB"/>
              </w:rPr>
            </w:pPr>
            <w:r w:rsidRPr="005F0A67">
              <w:rPr>
                <w:rFonts w:asciiTheme="majorBidi" w:eastAsia="Times New Roman" w:hAnsiTheme="majorBidi" w:cstheme="majorBidi"/>
                <w:b/>
                <w:bCs/>
                <w:sz w:val="18"/>
                <w:szCs w:val="18"/>
                <w:lang w:eastAsia="en-GB"/>
              </w:rPr>
              <w:t>Biotechnology</w:t>
            </w:r>
          </w:p>
        </w:tc>
        <w:tc>
          <w:tcPr>
            <w:tcW w:w="547" w:type="pct"/>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vAlign w:val="center"/>
          </w:tcPr>
          <w:p w14:paraId="2896C68A"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3,709</w:t>
            </w:r>
          </w:p>
        </w:tc>
        <w:tc>
          <w:tcPr>
            <w:tcW w:w="778" w:type="pct"/>
            <w:tcBorders>
              <w:top w:val="single" w:sz="1" w:space="0" w:color="AAAAAA"/>
              <w:left w:val="single" w:sz="1" w:space="0" w:color="AAAAAA"/>
              <w:bottom w:val="single" w:sz="1" w:space="0" w:color="AAAAAA"/>
              <w:right w:val="single" w:sz="1" w:space="0" w:color="AAAAAA"/>
            </w:tcBorders>
            <w:shd w:val="clear" w:color="auto" w:fill="FFFFFF"/>
            <w:vAlign w:val="center"/>
          </w:tcPr>
          <w:p w14:paraId="3B4B7320"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17.1</w:t>
            </w:r>
          </w:p>
        </w:tc>
        <w:tc>
          <w:tcPr>
            <w:tcW w:w="784" w:type="pct"/>
            <w:tcBorders>
              <w:top w:val="single" w:sz="1" w:space="0" w:color="AAAAAA"/>
              <w:left w:val="single" w:sz="1" w:space="0" w:color="AAAAAA"/>
              <w:bottom w:val="single" w:sz="1" w:space="0" w:color="AAAAAA"/>
              <w:right w:val="single" w:sz="1" w:space="0" w:color="AAAAAA"/>
            </w:tcBorders>
            <w:shd w:val="clear" w:color="auto" w:fill="FFFFFF"/>
            <w:vAlign w:val="center"/>
          </w:tcPr>
          <w:p w14:paraId="588C680B"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96</w:t>
            </w:r>
          </w:p>
        </w:tc>
        <w:tc>
          <w:tcPr>
            <w:tcW w:w="784" w:type="pct"/>
            <w:tcBorders>
              <w:top w:val="single" w:sz="1" w:space="0" w:color="AAAAAA"/>
              <w:left w:val="single" w:sz="1" w:space="0" w:color="AAAAAA"/>
              <w:bottom w:val="single" w:sz="1" w:space="0" w:color="AAAAAA"/>
              <w:right w:val="single" w:sz="1" w:space="0" w:color="AAAAAA"/>
            </w:tcBorders>
            <w:shd w:val="clear" w:color="auto" w:fill="FFFFFF"/>
            <w:vAlign w:val="center"/>
          </w:tcPr>
          <w:p w14:paraId="1D804A89"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120</w:t>
            </w:r>
          </w:p>
        </w:tc>
        <w:tc>
          <w:tcPr>
            <w:tcW w:w="898" w:type="pct"/>
            <w:tcBorders>
              <w:top w:val="single" w:sz="1" w:space="0" w:color="AAAAAA"/>
              <w:left w:val="single" w:sz="1" w:space="0" w:color="AAAAAA"/>
              <w:bottom w:val="single" w:sz="1" w:space="0" w:color="AAAAAA"/>
              <w:right w:val="single" w:sz="1" w:space="0" w:color="AAAAAA"/>
            </w:tcBorders>
            <w:shd w:val="clear" w:color="auto" w:fill="FFFFFF"/>
            <w:vAlign w:val="center"/>
          </w:tcPr>
          <w:p w14:paraId="5DB829C2"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5.7</w:t>
            </w:r>
          </w:p>
        </w:tc>
      </w:tr>
      <w:tr w:rsidR="005F0A67" w:rsidRPr="005F0A67" w14:paraId="68033948" w14:textId="77777777" w:rsidTr="005F0A67">
        <w:trPr>
          <w:trHeight w:val="109"/>
        </w:trPr>
        <w:tc>
          <w:tcPr>
            <w:tcW w:w="1208"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55EB1A14"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b/>
                <w:bCs/>
                <w:sz w:val="18"/>
                <w:szCs w:val="18"/>
                <w:lang w:eastAsia="en-GB"/>
              </w:rPr>
            </w:pPr>
            <w:r w:rsidRPr="005F0A67">
              <w:rPr>
                <w:rFonts w:asciiTheme="majorBidi" w:eastAsia="Times New Roman" w:hAnsiTheme="majorBidi" w:cstheme="majorBidi"/>
                <w:b/>
                <w:bCs/>
                <w:sz w:val="18"/>
                <w:szCs w:val="18"/>
                <w:lang w:eastAsia="en-GB"/>
              </w:rPr>
              <w:t>Pharmaceuticals</w:t>
            </w:r>
          </w:p>
        </w:tc>
        <w:tc>
          <w:tcPr>
            <w:tcW w:w="547" w:type="pct"/>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vAlign w:val="center"/>
          </w:tcPr>
          <w:p w14:paraId="375457B2"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3,401</w:t>
            </w:r>
          </w:p>
        </w:tc>
        <w:tc>
          <w:tcPr>
            <w:tcW w:w="778" w:type="pct"/>
            <w:tcBorders>
              <w:top w:val="single" w:sz="1" w:space="0" w:color="AAAAAA"/>
              <w:left w:val="single" w:sz="1" w:space="0" w:color="AAAAAA"/>
              <w:bottom w:val="single" w:sz="1" w:space="0" w:color="AAAAAA"/>
              <w:right w:val="single" w:sz="1" w:space="0" w:color="AAAAAA"/>
            </w:tcBorders>
            <w:shd w:val="clear" w:color="auto" w:fill="FFFFFF"/>
            <w:vAlign w:val="center"/>
          </w:tcPr>
          <w:p w14:paraId="39B506C1"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15.7</w:t>
            </w:r>
          </w:p>
        </w:tc>
        <w:tc>
          <w:tcPr>
            <w:tcW w:w="784" w:type="pct"/>
            <w:tcBorders>
              <w:top w:val="single" w:sz="1" w:space="0" w:color="AAAAAA"/>
              <w:left w:val="single" w:sz="1" w:space="0" w:color="AAAAAA"/>
              <w:bottom w:val="single" w:sz="1" w:space="0" w:color="AAAAAA"/>
              <w:right w:val="single" w:sz="1" w:space="0" w:color="AAAAAA"/>
            </w:tcBorders>
            <w:shd w:val="clear" w:color="auto" w:fill="FFFFFF"/>
            <w:vAlign w:val="center"/>
          </w:tcPr>
          <w:p w14:paraId="70D0F1B4"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105</w:t>
            </w:r>
          </w:p>
        </w:tc>
        <w:tc>
          <w:tcPr>
            <w:tcW w:w="784" w:type="pct"/>
            <w:tcBorders>
              <w:top w:val="single" w:sz="1" w:space="0" w:color="AAAAAA"/>
              <w:left w:val="single" w:sz="1" w:space="0" w:color="AAAAAA"/>
              <w:bottom w:val="single" w:sz="1" w:space="0" w:color="AAAAAA"/>
              <w:right w:val="single" w:sz="1" w:space="0" w:color="AAAAAA"/>
            </w:tcBorders>
            <w:shd w:val="clear" w:color="auto" w:fill="FFFFFF"/>
            <w:vAlign w:val="center"/>
          </w:tcPr>
          <w:p w14:paraId="1AD56D32"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165</w:t>
            </w:r>
          </w:p>
        </w:tc>
        <w:tc>
          <w:tcPr>
            <w:tcW w:w="898" w:type="pct"/>
            <w:tcBorders>
              <w:top w:val="single" w:sz="1" w:space="0" w:color="AAAAAA"/>
              <w:left w:val="single" w:sz="1" w:space="0" w:color="AAAAAA"/>
              <w:bottom w:val="single" w:sz="1" w:space="0" w:color="AAAAAA"/>
              <w:right w:val="single" w:sz="1" w:space="0" w:color="AAAAAA"/>
            </w:tcBorders>
            <w:shd w:val="clear" w:color="auto" w:fill="FFFFFF"/>
            <w:vAlign w:val="center"/>
          </w:tcPr>
          <w:p w14:paraId="08CAD2BC"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10.2</w:t>
            </w:r>
          </w:p>
        </w:tc>
      </w:tr>
      <w:tr w:rsidR="005F0A67" w:rsidRPr="005F0A67" w14:paraId="26C387BB" w14:textId="77777777" w:rsidTr="005F0A67">
        <w:trPr>
          <w:trHeight w:val="109"/>
        </w:trPr>
        <w:tc>
          <w:tcPr>
            <w:tcW w:w="1208"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5EB967D4"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b/>
                <w:bCs/>
                <w:sz w:val="18"/>
                <w:szCs w:val="18"/>
                <w:lang w:eastAsia="en-GB"/>
              </w:rPr>
            </w:pPr>
            <w:r w:rsidRPr="005F0A67">
              <w:rPr>
                <w:rFonts w:asciiTheme="majorBidi" w:eastAsia="Times New Roman" w:hAnsiTheme="majorBidi" w:cstheme="majorBidi"/>
                <w:b/>
                <w:bCs/>
                <w:sz w:val="18"/>
                <w:szCs w:val="18"/>
                <w:lang w:eastAsia="en-GB"/>
              </w:rPr>
              <w:t>Laboratory equipment</w:t>
            </w:r>
          </w:p>
        </w:tc>
        <w:tc>
          <w:tcPr>
            <w:tcW w:w="547" w:type="pct"/>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vAlign w:val="center"/>
          </w:tcPr>
          <w:p w14:paraId="09D126B5"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2,846</w:t>
            </w:r>
          </w:p>
        </w:tc>
        <w:tc>
          <w:tcPr>
            <w:tcW w:w="778" w:type="pct"/>
            <w:tcBorders>
              <w:top w:val="single" w:sz="1" w:space="0" w:color="AAAAAA"/>
              <w:left w:val="single" w:sz="1" w:space="0" w:color="AAAAAA"/>
              <w:bottom w:val="single" w:sz="1" w:space="0" w:color="AAAAAA"/>
              <w:right w:val="single" w:sz="1" w:space="0" w:color="AAAAAA"/>
            </w:tcBorders>
            <w:shd w:val="clear" w:color="auto" w:fill="FFFFFF"/>
            <w:vAlign w:val="center"/>
          </w:tcPr>
          <w:p w14:paraId="37C69671"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13.1</w:t>
            </w:r>
          </w:p>
        </w:tc>
        <w:tc>
          <w:tcPr>
            <w:tcW w:w="784" w:type="pct"/>
            <w:tcBorders>
              <w:top w:val="single" w:sz="1" w:space="0" w:color="AAAAAA"/>
              <w:left w:val="single" w:sz="1" w:space="0" w:color="AAAAAA"/>
              <w:bottom w:val="single" w:sz="1" w:space="0" w:color="AAAAAA"/>
              <w:right w:val="single" w:sz="1" w:space="0" w:color="AAAAAA"/>
            </w:tcBorders>
            <w:shd w:val="clear" w:color="auto" w:fill="FFFFFF"/>
            <w:vAlign w:val="center"/>
          </w:tcPr>
          <w:p w14:paraId="588638BA"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93</w:t>
            </w:r>
          </w:p>
        </w:tc>
        <w:tc>
          <w:tcPr>
            <w:tcW w:w="784" w:type="pct"/>
            <w:tcBorders>
              <w:top w:val="single" w:sz="1" w:space="0" w:color="AAAAAA"/>
              <w:left w:val="single" w:sz="1" w:space="0" w:color="AAAAAA"/>
              <w:bottom w:val="single" w:sz="1" w:space="0" w:color="AAAAAA"/>
              <w:right w:val="single" w:sz="1" w:space="0" w:color="AAAAAA"/>
            </w:tcBorders>
            <w:shd w:val="clear" w:color="auto" w:fill="FFFFFF"/>
            <w:vAlign w:val="center"/>
          </w:tcPr>
          <w:p w14:paraId="303B22F2"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114</w:t>
            </w:r>
          </w:p>
        </w:tc>
        <w:tc>
          <w:tcPr>
            <w:tcW w:w="898" w:type="pct"/>
            <w:tcBorders>
              <w:top w:val="single" w:sz="1" w:space="0" w:color="AAAAAA"/>
              <w:left w:val="single" w:sz="1" w:space="0" w:color="AAAAAA"/>
              <w:bottom w:val="single" w:sz="1" w:space="0" w:color="AAAAAA"/>
              <w:right w:val="single" w:sz="1" w:space="0" w:color="AAAAAA"/>
            </w:tcBorders>
            <w:shd w:val="clear" w:color="auto" w:fill="FFFFFF"/>
            <w:vAlign w:val="center"/>
          </w:tcPr>
          <w:p w14:paraId="67B85C8D"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7.4</w:t>
            </w:r>
          </w:p>
        </w:tc>
      </w:tr>
      <w:tr w:rsidR="005F0A67" w:rsidRPr="005F0A67" w14:paraId="43781431" w14:textId="77777777" w:rsidTr="005F0A67">
        <w:trPr>
          <w:trHeight w:val="109"/>
        </w:trPr>
        <w:tc>
          <w:tcPr>
            <w:tcW w:w="1208"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363AEA19"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b/>
                <w:bCs/>
                <w:sz w:val="18"/>
                <w:szCs w:val="18"/>
                <w:lang w:eastAsia="en-GB"/>
              </w:rPr>
            </w:pPr>
            <w:r w:rsidRPr="005F0A67">
              <w:rPr>
                <w:rFonts w:asciiTheme="majorBidi" w:eastAsia="Times New Roman" w:hAnsiTheme="majorBidi" w:cstheme="majorBidi"/>
                <w:b/>
                <w:bCs/>
                <w:sz w:val="18"/>
                <w:szCs w:val="18"/>
                <w:lang w:eastAsia="en-GB"/>
              </w:rPr>
              <w:t>Nutraceuticals</w:t>
            </w:r>
          </w:p>
        </w:tc>
        <w:tc>
          <w:tcPr>
            <w:tcW w:w="547" w:type="pct"/>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vAlign w:val="center"/>
          </w:tcPr>
          <w:p w14:paraId="0D33A0C5"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1,513</w:t>
            </w:r>
          </w:p>
        </w:tc>
        <w:tc>
          <w:tcPr>
            <w:tcW w:w="778" w:type="pct"/>
            <w:tcBorders>
              <w:top w:val="single" w:sz="1" w:space="0" w:color="AAAAAA"/>
              <w:left w:val="single" w:sz="1" w:space="0" w:color="AAAAAA"/>
              <w:bottom w:val="single" w:sz="1" w:space="0" w:color="AAAAAA"/>
              <w:right w:val="single" w:sz="1" w:space="0" w:color="AAAAAA"/>
            </w:tcBorders>
            <w:shd w:val="clear" w:color="auto" w:fill="FFFFFF"/>
            <w:vAlign w:val="center"/>
          </w:tcPr>
          <w:p w14:paraId="10AB5752"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7.0</w:t>
            </w:r>
          </w:p>
        </w:tc>
        <w:tc>
          <w:tcPr>
            <w:tcW w:w="784" w:type="pct"/>
            <w:tcBorders>
              <w:top w:val="single" w:sz="1" w:space="0" w:color="AAAAAA"/>
              <w:left w:val="single" w:sz="1" w:space="0" w:color="AAAAAA"/>
              <w:bottom w:val="single" w:sz="1" w:space="0" w:color="AAAAAA"/>
              <w:right w:val="single" w:sz="1" w:space="0" w:color="AAAAAA"/>
            </w:tcBorders>
            <w:shd w:val="clear" w:color="auto" w:fill="FFFFFF"/>
            <w:vAlign w:val="center"/>
          </w:tcPr>
          <w:p w14:paraId="1841AFA5"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104</w:t>
            </w:r>
          </w:p>
        </w:tc>
        <w:tc>
          <w:tcPr>
            <w:tcW w:w="784" w:type="pct"/>
            <w:tcBorders>
              <w:top w:val="single" w:sz="1" w:space="0" w:color="AAAAAA"/>
              <w:left w:val="single" w:sz="1" w:space="0" w:color="AAAAAA"/>
              <w:bottom w:val="single" w:sz="1" w:space="0" w:color="AAAAAA"/>
              <w:right w:val="single" w:sz="1" w:space="0" w:color="AAAAAA"/>
            </w:tcBorders>
            <w:shd w:val="clear" w:color="auto" w:fill="FFFFFF"/>
            <w:vAlign w:val="center"/>
          </w:tcPr>
          <w:p w14:paraId="2AFC1207"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91</w:t>
            </w:r>
          </w:p>
        </w:tc>
        <w:tc>
          <w:tcPr>
            <w:tcW w:w="898" w:type="pct"/>
            <w:tcBorders>
              <w:top w:val="single" w:sz="1" w:space="0" w:color="AAAAAA"/>
              <w:left w:val="single" w:sz="1" w:space="0" w:color="AAAAAA"/>
              <w:bottom w:val="single" w:sz="1" w:space="0" w:color="AAAAAA"/>
              <w:right w:val="single" w:sz="1" w:space="0" w:color="AAAAAA"/>
            </w:tcBorders>
            <w:shd w:val="clear" w:color="auto" w:fill="FFFFFF"/>
            <w:vAlign w:val="center"/>
          </w:tcPr>
          <w:p w14:paraId="234C5C27"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5.0</w:t>
            </w:r>
          </w:p>
        </w:tc>
      </w:tr>
      <w:tr w:rsidR="005F0A67" w:rsidRPr="005F0A67" w14:paraId="6E95C395" w14:textId="77777777" w:rsidTr="005F0A67">
        <w:trPr>
          <w:trHeight w:val="109"/>
        </w:trPr>
        <w:tc>
          <w:tcPr>
            <w:tcW w:w="1208"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70AB7556"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b/>
                <w:bCs/>
                <w:sz w:val="18"/>
                <w:szCs w:val="18"/>
                <w:lang w:eastAsia="en-GB"/>
              </w:rPr>
            </w:pPr>
            <w:r w:rsidRPr="005F0A67">
              <w:rPr>
                <w:rFonts w:asciiTheme="majorBidi" w:eastAsia="Times New Roman" w:hAnsiTheme="majorBidi" w:cstheme="majorBidi"/>
                <w:b/>
                <w:bCs/>
                <w:sz w:val="18"/>
                <w:szCs w:val="18"/>
                <w:lang w:eastAsia="en-GB"/>
              </w:rPr>
              <w:t>Cosmetics</w:t>
            </w:r>
          </w:p>
        </w:tc>
        <w:tc>
          <w:tcPr>
            <w:tcW w:w="547" w:type="pct"/>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vAlign w:val="center"/>
          </w:tcPr>
          <w:p w14:paraId="7CC166C4"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748</w:t>
            </w:r>
          </w:p>
        </w:tc>
        <w:tc>
          <w:tcPr>
            <w:tcW w:w="778" w:type="pct"/>
            <w:tcBorders>
              <w:top w:val="single" w:sz="1" w:space="0" w:color="AAAAAA"/>
              <w:left w:val="single" w:sz="1" w:space="0" w:color="AAAAAA"/>
              <w:bottom w:val="single" w:sz="1" w:space="0" w:color="AAAAAA"/>
              <w:right w:val="single" w:sz="1" w:space="0" w:color="AAAAAA"/>
            </w:tcBorders>
            <w:shd w:val="clear" w:color="auto" w:fill="FFFFFF"/>
            <w:vAlign w:val="center"/>
          </w:tcPr>
          <w:p w14:paraId="2290573B"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3.4</w:t>
            </w:r>
          </w:p>
        </w:tc>
        <w:tc>
          <w:tcPr>
            <w:tcW w:w="784" w:type="pct"/>
            <w:tcBorders>
              <w:top w:val="single" w:sz="1" w:space="0" w:color="AAAAAA"/>
              <w:left w:val="single" w:sz="1" w:space="0" w:color="AAAAAA"/>
              <w:bottom w:val="single" w:sz="1" w:space="0" w:color="AAAAAA"/>
              <w:right w:val="single" w:sz="1" w:space="0" w:color="AAAAAA"/>
            </w:tcBorders>
            <w:shd w:val="clear" w:color="auto" w:fill="FFFFFF"/>
            <w:vAlign w:val="center"/>
          </w:tcPr>
          <w:p w14:paraId="166F26D0"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100</w:t>
            </w:r>
          </w:p>
        </w:tc>
        <w:tc>
          <w:tcPr>
            <w:tcW w:w="784" w:type="pct"/>
            <w:tcBorders>
              <w:top w:val="single" w:sz="1" w:space="0" w:color="AAAAAA"/>
              <w:left w:val="single" w:sz="1" w:space="0" w:color="AAAAAA"/>
              <w:bottom w:val="single" w:sz="1" w:space="0" w:color="AAAAAA"/>
              <w:right w:val="single" w:sz="1" w:space="0" w:color="AAAAAA"/>
            </w:tcBorders>
            <w:shd w:val="clear" w:color="auto" w:fill="FFFFFF"/>
            <w:vAlign w:val="center"/>
          </w:tcPr>
          <w:p w14:paraId="4130ABC4"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97</w:t>
            </w:r>
          </w:p>
        </w:tc>
        <w:tc>
          <w:tcPr>
            <w:tcW w:w="898" w:type="pct"/>
            <w:tcBorders>
              <w:top w:val="single" w:sz="1" w:space="0" w:color="AAAAAA"/>
              <w:left w:val="single" w:sz="1" w:space="0" w:color="AAAAAA"/>
              <w:bottom w:val="single" w:sz="1" w:space="0" w:color="AAAAAA"/>
              <w:right w:val="single" w:sz="1" w:space="0" w:color="AAAAAA"/>
            </w:tcBorders>
            <w:shd w:val="clear" w:color="auto" w:fill="FFFFFF"/>
            <w:vAlign w:val="center"/>
          </w:tcPr>
          <w:p w14:paraId="033A4C82"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7.4</w:t>
            </w:r>
          </w:p>
        </w:tc>
      </w:tr>
      <w:tr w:rsidR="005F0A67" w:rsidRPr="005F0A67" w14:paraId="401C9901" w14:textId="77777777" w:rsidTr="005F0A67">
        <w:trPr>
          <w:trHeight w:val="109"/>
        </w:trPr>
        <w:tc>
          <w:tcPr>
            <w:tcW w:w="1208" w:type="pct"/>
            <w:tcBorders>
              <w:top w:val="single" w:sz="1" w:space="0" w:color="AAAAAA"/>
              <w:left w:val="single" w:sz="1" w:space="0" w:color="AAAAAA"/>
              <w:bottom w:val="single" w:sz="1" w:space="0" w:color="AAAAAA"/>
              <w:right w:val="single" w:sz="1" w:space="0" w:color="AAAAAA"/>
            </w:tcBorders>
            <w:shd w:val="clear" w:color="auto" w:fill="DAE9F7"/>
            <w:tcMar>
              <w:top w:w="60" w:type="dxa"/>
              <w:left w:w="100" w:type="dxa"/>
              <w:bottom w:w="60" w:type="dxa"/>
              <w:right w:w="100" w:type="dxa"/>
            </w:tcMar>
            <w:vAlign w:val="center"/>
          </w:tcPr>
          <w:p w14:paraId="027D195B"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b/>
                <w:bCs/>
                <w:sz w:val="18"/>
                <w:szCs w:val="18"/>
                <w:lang w:eastAsia="en-GB"/>
              </w:rPr>
            </w:pPr>
            <w:r w:rsidRPr="005F0A67">
              <w:rPr>
                <w:rFonts w:asciiTheme="majorBidi" w:eastAsia="Times New Roman" w:hAnsiTheme="majorBidi" w:cstheme="majorBidi"/>
                <w:b/>
                <w:bCs/>
                <w:sz w:val="18"/>
                <w:szCs w:val="18"/>
                <w:lang w:eastAsia="en-GB"/>
              </w:rPr>
              <w:t>All sectors</w:t>
            </w:r>
          </w:p>
        </w:tc>
        <w:tc>
          <w:tcPr>
            <w:tcW w:w="547" w:type="pct"/>
            <w:tcBorders>
              <w:top w:val="single" w:sz="1" w:space="0" w:color="AAAAAA"/>
              <w:left w:val="single" w:sz="1" w:space="0" w:color="AAAAAA"/>
              <w:bottom w:val="single" w:sz="1" w:space="0" w:color="AAAAAA"/>
              <w:right w:val="single" w:sz="1" w:space="0" w:color="AAAAAA"/>
            </w:tcBorders>
            <w:shd w:val="clear" w:color="auto" w:fill="DAE9F7"/>
            <w:tcMar>
              <w:top w:w="60" w:type="dxa"/>
              <w:left w:w="100" w:type="dxa"/>
              <w:bottom w:w="60" w:type="dxa"/>
              <w:right w:w="100" w:type="dxa"/>
            </w:tcMar>
            <w:vAlign w:val="center"/>
          </w:tcPr>
          <w:p w14:paraId="14426398"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b/>
                <w:bCs/>
                <w:sz w:val="18"/>
                <w:szCs w:val="18"/>
                <w:lang w:eastAsia="en-GB"/>
              </w:rPr>
            </w:pPr>
            <w:r w:rsidRPr="005F0A67">
              <w:rPr>
                <w:rFonts w:asciiTheme="majorBidi" w:eastAsia="Times New Roman" w:hAnsiTheme="majorBidi" w:cstheme="majorBidi"/>
                <w:b/>
                <w:bCs/>
                <w:sz w:val="18"/>
                <w:szCs w:val="18"/>
                <w:lang w:eastAsia="en-GB"/>
              </w:rPr>
              <w:t>21,690</w:t>
            </w:r>
          </w:p>
        </w:tc>
        <w:tc>
          <w:tcPr>
            <w:tcW w:w="778" w:type="pct"/>
            <w:tcBorders>
              <w:top w:val="single" w:sz="1" w:space="0" w:color="AAAAAA"/>
              <w:left w:val="single" w:sz="1" w:space="0" w:color="AAAAAA"/>
              <w:bottom w:val="single" w:sz="1" w:space="0" w:color="AAAAAA"/>
              <w:right w:val="single" w:sz="1" w:space="0" w:color="AAAAAA"/>
            </w:tcBorders>
            <w:shd w:val="clear" w:color="auto" w:fill="DAE9F7"/>
            <w:vAlign w:val="center"/>
          </w:tcPr>
          <w:p w14:paraId="51F38627"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b/>
                <w:bCs/>
                <w:sz w:val="18"/>
                <w:szCs w:val="18"/>
                <w:lang w:eastAsia="en-GB"/>
              </w:rPr>
            </w:pPr>
            <w:r w:rsidRPr="005F0A67">
              <w:rPr>
                <w:rFonts w:asciiTheme="majorBidi" w:eastAsia="Times New Roman" w:hAnsiTheme="majorBidi" w:cstheme="majorBidi"/>
                <w:b/>
                <w:bCs/>
                <w:sz w:val="18"/>
                <w:szCs w:val="18"/>
                <w:lang w:eastAsia="en-GB"/>
              </w:rPr>
              <w:t>100.0</w:t>
            </w:r>
          </w:p>
        </w:tc>
        <w:tc>
          <w:tcPr>
            <w:tcW w:w="784" w:type="pct"/>
            <w:tcBorders>
              <w:top w:val="single" w:sz="1" w:space="0" w:color="AAAAAA"/>
              <w:left w:val="single" w:sz="1" w:space="0" w:color="AAAAAA"/>
              <w:bottom w:val="single" w:sz="1" w:space="0" w:color="AAAAAA"/>
              <w:right w:val="single" w:sz="1" w:space="0" w:color="AAAAAA"/>
            </w:tcBorders>
            <w:shd w:val="clear" w:color="auto" w:fill="DAE9F7"/>
            <w:vAlign w:val="center"/>
          </w:tcPr>
          <w:p w14:paraId="066E5F09"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b/>
                <w:bCs/>
                <w:sz w:val="18"/>
                <w:szCs w:val="18"/>
                <w:lang w:eastAsia="en-GB"/>
              </w:rPr>
            </w:pPr>
            <w:r w:rsidRPr="005F0A67">
              <w:rPr>
                <w:rFonts w:asciiTheme="majorBidi" w:eastAsia="Times New Roman" w:hAnsiTheme="majorBidi" w:cstheme="majorBidi"/>
                <w:b/>
                <w:bCs/>
                <w:sz w:val="18"/>
                <w:szCs w:val="18"/>
                <w:lang w:eastAsia="en-GB"/>
              </w:rPr>
              <w:t>95</w:t>
            </w:r>
          </w:p>
        </w:tc>
        <w:tc>
          <w:tcPr>
            <w:tcW w:w="784" w:type="pct"/>
            <w:tcBorders>
              <w:top w:val="single" w:sz="1" w:space="0" w:color="AAAAAA"/>
              <w:left w:val="single" w:sz="1" w:space="0" w:color="AAAAAA"/>
              <w:bottom w:val="single" w:sz="1" w:space="0" w:color="AAAAAA"/>
              <w:right w:val="single" w:sz="1" w:space="0" w:color="AAAAAA"/>
            </w:tcBorders>
            <w:shd w:val="clear" w:color="auto" w:fill="DAE9F7"/>
            <w:vAlign w:val="center"/>
          </w:tcPr>
          <w:p w14:paraId="5340A014"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b/>
                <w:bCs/>
                <w:sz w:val="18"/>
                <w:szCs w:val="18"/>
                <w:lang w:eastAsia="en-GB"/>
              </w:rPr>
            </w:pPr>
            <w:r w:rsidRPr="005F0A67">
              <w:rPr>
                <w:rFonts w:asciiTheme="majorBidi" w:eastAsia="Times New Roman" w:hAnsiTheme="majorBidi" w:cstheme="majorBidi"/>
                <w:b/>
                <w:bCs/>
                <w:sz w:val="18"/>
                <w:szCs w:val="18"/>
                <w:lang w:eastAsia="en-GB"/>
              </w:rPr>
              <w:t>111</w:t>
            </w:r>
          </w:p>
        </w:tc>
        <w:tc>
          <w:tcPr>
            <w:tcW w:w="898" w:type="pct"/>
            <w:tcBorders>
              <w:top w:val="single" w:sz="1" w:space="0" w:color="AAAAAA"/>
              <w:left w:val="single" w:sz="1" w:space="0" w:color="AAAAAA"/>
              <w:bottom w:val="single" w:sz="1" w:space="0" w:color="AAAAAA"/>
              <w:right w:val="single" w:sz="1" w:space="0" w:color="AAAAAA"/>
            </w:tcBorders>
            <w:shd w:val="clear" w:color="auto" w:fill="DAE9F7"/>
            <w:vAlign w:val="center"/>
          </w:tcPr>
          <w:p w14:paraId="714A07DD"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b/>
                <w:bCs/>
                <w:sz w:val="18"/>
                <w:szCs w:val="18"/>
                <w:lang w:eastAsia="en-GB"/>
              </w:rPr>
            </w:pPr>
            <w:r w:rsidRPr="005F0A67">
              <w:rPr>
                <w:rFonts w:asciiTheme="majorBidi" w:eastAsia="Times New Roman" w:hAnsiTheme="majorBidi" w:cstheme="majorBidi"/>
                <w:b/>
                <w:bCs/>
                <w:sz w:val="18"/>
                <w:szCs w:val="18"/>
                <w:lang w:eastAsia="en-GB"/>
              </w:rPr>
              <w:t>6.5</w:t>
            </w:r>
          </w:p>
        </w:tc>
      </w:tr>
    </w:tbl>
    <w:p w14:paraId="24268E9C" w14:textId="77777777" w:rsidR="005F0A67" w:rsidRPr="005F0A67" w:rsidRDefault="005F0A67" w:rsidP="005F0A67">
      <w:pPr>
        <w:tabs>
          <w:tab w:val="clear" w:pos="567"/>
          <w:tab w:val="clear" w:pos="1134"/>
          <w:tab w:val="clear" w:pos="1701"/>
          <w:tab w:val="clear" w:pos="2268"/>
        </w:tabs>
        <w:spacing w:line="293" w:lineRule="auto"/>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i/>
          <w:iCs/>
          <w:sz w:val="18"/>
          <w:szCs w:val="18"/>
          <w:lang w:val="en-CA" w:eastAsia="en-GB"/>
        </w:rPr>
        <w:t>Note:</w:t>
      </w:r>
      <w:r w:rsidRPr="005F0A67">
        <w:rPr>
          <w:rFonts w:asciiTheme="majorBidi" w:eastAsia="Times New Roman" w:hAnsiTheme="majorBidi" w:cstheme="majorBidi"/>
          <w:sz w:val="18"/>
          <w:szCs w:val="18"/>
          <w:lang w:val="en-CA" w:eastAsia="en-GB"/>
        </w:rPr>
        <w:t xml:space="preserve"> Median revenue, total assets and profit in nominal USD millions, reference year 2023. </w:t>
      </w:r>
    </w:p>
    <w:p w14:paraId="7639C8F1" w14:textId="77777777" w:rsidR="005F0A67" w:rsidRPr="005F0A67" w:rsidRDefault="005F0A67" w:rsidP="005F0A67">
      <w:pPr>
        <w:tabs>
          <w:tab w:val="clear" w:pos="567"/>
          <w:tab w:val="clear" w:pos="1134"/>
          <w:tab w:val="clear" w:pos="1701"/>
          <w:tab w:val="clear" w:pos="2268"/>
        </w:tabs>
        <w:spacing w:line="293" w:lineRule="auto"/>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i/>
          <w:iCs/>
          <w:sz w:val="18"/>
          <w:szCs w:val="18"/>
          <w:lang w:val="en-CA" w:eastAsia="en-GB"/>
        </w:rPr>
        <w:t xml:space="preserve">Source: </w:t>
      </w:r>
      <w:r w:rsidRPr="005F0A67">
        <w:rPr>
          <w:rFonts w:asciiTheme="majorBidi" w:eastAsia="Times New Roman" w:hAnsiTheme="majorBidi" w:cstheme="majorBidi"/>
          <w:sz w:val="18"/>
          <w:szCs w:val="18"/>
          <w:lang w:val="en-CA" w:eastAsia="en-GB"/>
        </w:rPr>
        <w:t xml:space="preserve">Adapted from Makowska-Curran </w:t>
      </w:r>
      <w:r w:rsidRPr="005F0A67">
        <w:rPr>
          <w:rFonts w:asciiTheme="majorBidi" w:eastAsia="Times New Roman" w:hAnsiTheme="majorBidi" w:cstheme="majorBidi"/>
          <w:sz w:val="18"/>
          <w:szCs w:val="18"/>
          <w:lang w:val="en-CA" w:eastAsia="en-GB"/>
        </w:rPr>
        <w:fldChar w:fldCharType="begin"/>
      </w:r>
      <w:r w:rsidRPr="005F0A67">
        <w:rPr>
          <w:rFonts w:asciiTheme="majorBidi" w:eastAsia="Times New Roman" w:hAnsiTheme="majorBidi" w:cstheme="majorBidi"/>
          <w:sz w:val="18"/>
          <w:szCs w:val="18"/>
          <w:lang w:val="en-CA" w:eastAsia="en-GB"/>
        </w:rPr>
        <w:instrText xml:space="preserve"> ADDIN ZOTERO_ITEM CSL_CITATION {"citationID":"YVosAZby","properties":{"unsorted":false,"formattedCitation":"(2026)","plainCitation":"(2026)","noteIndex":0},"citationItems":[{"id":77,"uris":["http://zotero.org/users/14977742/items/2PI55QKT"],"itemData":{"id":77,"type":"article-journal","abstract":"This paper provides the first global, firm-level analysis of what the Cali Fund, designed to support global conservation, is likely to raise and how resources would be distributed.","citation-key":"GlobalBiodiversityCommitments","container-title":"Grantham Research Institute on climate change and the environment","language":"en-GB","publisher":"London School of Economics and Political Science (LSE)","title":"From global biodiversity commitments to local action: revenue potential and allocation dynamics of the Cali Fund","title-short":"From global biodiversity commitments to local action","URL":"https://www.lse.ac.uk/granthaminstitute/publication/from-global-biodiversity-commitments-to-local-action-revenue-potential-and-allocation-dynamics-of-the-cali-fund/","author":[{"family":"Makowska-Curran","given":"Agata"}],"accessed":{"date-parts":[["2026",6,3]]},"issued":{"date-parts":[["2026",6]]}},"suppress-author":true}],"schema":"https://github.com/citation-style-language/schema/raw/master/csl-citation.json"} </w:instrText>
      </w:r>
      <w:r w:rsidRPr="005F0A67">
        <w:rPr>
          <w:rFonts w:asciiTheme="majorBidi" w:eastAsia="Times New Roman" w:hAnsiTheme="majorBidi" w:cstheme="majorBidi"/>
          <w:sz w:val="18"/>
          <w:szCs w:val="18"/>
          <w:lang w:val="en-CA" w:eastAsia="en-GB"/>
        </w:rPr>
        <w:fldChar w:fldCharType="separate"/>
      </w:r>
      <w:r w:rsidRPr="005F0A67">
        <w:rPr>
          <w:rFonts w:asciiTheme="majorBidi" w:eastAsia="Times New Roman" w:hAnsiTheme="majorBidi" w:cstheme="majorBidi"/>
          <w:sz w:val="18"/>
          <w:szCs w:val="18"/>
          <w:lang w:val="en-CA" w:eastAsia="en-GB"/>
        </w:rPr>
        <w:t>(2026)</w:t>
      </w:r>
      <w:r w:rsidRPr="005F0A67">
        <w:rPr>
          <w:rFonts w:asciiTheme="majorBidi" w:eastAsia="Times New Roman" w:hAnsiTheme="majorBidi" w:cstheme="majorBidi"/>
          <w:sz w:val="18"/>
          <w:szCs w:val="18"/>
          <w:lang w:val="en-CA" w:eastAsia="en-GB"/>
        </w:rPr>
        <w:fldChar w:fldCharType="end"/>
      </w:r>
      <w:r w:rsidRPr="005F0A67">
        <w:rPr>
          <w:rFonts w:asciiTheme="majorBidi" w:eastAsia="Times New Roman" w:hAnsiTheme="majorBidi" w:cstheme="majorBidi"/>
          <w:sz w:val="18"/>
          <w:szCs w:val="18"/>
          <w:lang w:val="en-CA" w:eastAsia="en-GB"/>
        </w:rPr>
        <w:t>.</w:t>
      </w:r>
    </w:p>
    <w:p w14:paraId="21DEB053" w14:textId="77777777" w:rsidR="005F0A67" w:rsidRPr="005F0A67" w:rsidRDefault="005F0A67" w:rsidP="005F0A67">
      <w:pPr>
        <w:numPr>
          <w:ilvl w:val="4"/>
          <w:numId w:val="0"/>
        </w:numPr>
        <w:tabs>
          <w:tab w:val="clear" w:pos="567"/>
          <w:tab w:val="clear" w:pos="1134"/>
          <w:tab w:val="clear" w:pos="1701"/>
          <w:tab w:val="clear" w:pos="2268"/>
        </w:tabs>
        <w:spacing w:before="120" w:after="120"/>
        <w:jc w:val="left"/>
        <w:outlineLvl w:val="4"/>
        <w:rPr>
          <w:rFonts w:asciiTheme="majorBidi" w:eastAsia="Georgia" w:hAnsiTheme="majorBidi" w:cstheme="majorBidi"/>
          <w:b/>
          <w:bCs/>
          <w:color w:val="419844"/>
          <w:lang w:eastAsia="en-GB"/>
        </w:rPr>
      </w:pPr>
      <w:bookmarkStart w:id="110" w:name="_Ref230019902"/>
      <w:r w:rsidRPr="005F0A67">
        <w:rPr>
          <w:rFonts w:asciiTheme="majorBidi" w:eastAsia="Georgia" w:hAnsiTheme="majorBidi" w:cstheme="majorBidi"/>
          <w:b/>
          <w:bCs/>
          <w:color w:val="419844"/>
          <w:lang w:eastAsia="en-GB"/>
        </w:rPr>
        <w:t xml:space="preserve">Figure </w:t>
      </w:r>
      <w:r w:rsidRPr="005F0A67">
        <w:rPr>
          <w:rFonts w:asciiTheme="majorBidi" w:eastAsia="Georgia" w:hAnsiTheme="majorBidi" w:cstheme="majorBidi"/>
          <w:b/>
          <w:bCs/>
          <w:color w:val="419844"/>
          <w:lang w:eastAsia="en-GB"/>
        </w:rPr>
        <w:fldChar w:fldCharType="begin"/>
      </w:r>
      <w:r w:rsidRPr="005F0A67">
        <w:rPr>
          <w:rFonts w:asciiTheme="majorBidi" w:eastAsia="Georgia" w:hAnsiTheme="majorBidi" w:cstheme="majorBidi"/>
          <w:b/>
          <w:bCs/>
          <w:color w:val="419844"/>
          <w:lang w:eastAsia="en-GB"/>
        </w:rPr>
        <w:instrText>SEQ Figure \* ARABIC</w:instrText>
      </w:r>
      <w:r w:rsidRPr="005F0A67">
        <w:rPr>
          <w:rFonts w:asciiTheme="majorBidi" w:eastAsia="Georgia" w:hAnsiTheme="majorBidi" w:cstheme="majorBidi"/>
          <w:b/>
          <w:bCs/>
          <w:color w:val="419844"/>
          <w:lang w:eastAsia="en-GB"/>
        </w:rPr>
        <w:fldChar w:fldCharType="separate"/>
      </w:r>
      <w:r w:rsidRPr="005F0A67">
        <w:rPr>
          <w:rFonts w:asciiTheme="majorBidi" w:eastAsia="Georgia" w:hAnsiTheme="majorBidi" w:cstheme="majorBidi"/>
          <w:b/>
          <w:bCs/>
          <w:noProof/>
          <w:color w:val="419844"/>
          <w:lang w:eastAsia="en-GB"/>
        </w:rPr>
        <w:t>3</w:t>
      </w:r>
      <w:r w:rsidRPr="005F0A67">
        <w:rPr>
          <w:rFonts w:asciiTheme="majorBidi" w:eastAsia="Georgia" w:hAnsiTheme="majorBidi" w:cstheme="majorBidi"/>
          <w:b/>
          <w:bCs/>
          <w:color w:val="419844"/>
          <w:lang w:eastAsia="en-GB"/>
        </w:rPr>
        <w:fldChar w:fldCharType="end"/>
      </w:r>
      <w:bookmarkEnd w:id="110"/>
      <w:r w:rsidRPr="005F0A67">
        <w:rPr>
          <w:rFonts w:asciiTheme="majorBidi" w:eastAsia="Georgia" w:hAnsiTheme="majorBidi" w:cstheme="majorBidi"/>
          <w:b/>
          <w:bCs/>
          <w:color w:val="419844"/>
          <w:lang w:eastAsia="en-GB"/>
        </w:rPr>
        <w:t xml:space="preserve"> Distribution of financial characteristics of eligible entities by Indicative Enclosure I sector </w:t>
      </w:r>
    </w:p>
    <w:p w14:paraId="771F33D8"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noProof/>
          <w:lang w:val="en-CA" w:eastAsia="en-GB"/>
        </w:rPr>
        <w:drawing>
          <wp:inline distT="0" distB="0" distL="0" distR="0" wp14:anchorId="24424343" wp14:editId="1D1B174A">
            <wp:extent cx="8595360" cy="2587404"/>
            <wp:effectExtent l="0" t="0" r="2540" b="3810"/>
            <wp:docPr id="21742009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420090" name="Picture 217420090"/>
                    <pic:cNvPicPr/>
                  </pic:nvPicPr>
                  <pic:blipFill>
                    <a:blip r:embed="rId27"/>
                    <a:stretch>
                      <a:fillRect/>
                    </a:stretch>
                  </pic:blipFill>
                  <pic:spPr>
                    <a:xfrm>
                      <a:off x="0" y="0"/>
                      <a:ext cx="8599975" cy="2588793"/>
                    </a:xfrm>
                    <a:prstGeom prst="rect">
                      <a:avLst/>
                    </a:prstGeom>
                  </pic:spPr>
                </pic:pic>
              </a:graphicData>
            </a:graphic>
          </wp:inline>
        </w:drawing>
      </w:r>
    </w:p>
    <w:p w14:paraId="0314E18E"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sz w:val="18"/>
          <w:szCs w:val="18"/>
          <w:lang w:val="en-CA" w:eastAsia="en-GB"/>
        </w:rPr>
        <w:sectPr w:rsidR="005F0A67" w:rsidRPr="005F0A67" w:rsidSect="005F0A67">
          <w:pgSz w:w="15840" w:h="12240" w:orient="landscape"/>
          <w:pgMar w:top="1260" w:right="1080" w:bottom="1260" w:left="1080" w:header="706" w:footer="706" w:gutter="0"/>
          <w:cols w:space="720"/>
          <w:docGrid w:linePitch="360"/>
        </w:sectPr>
      </w:pPr>
      <w:r w:rsidRPr="005F0A67">
        <w:rPr>
          <w:rFonts w:asciiTheme="majorBidi" w:eastAsia="Times New Roman" w:hAnsiTheme="majorBidi" w:cstheme="majorBidi"/>
          <w:i/>
          <w:iCs/>
          <w:sz w:val="18"/>
          <w:szCs w:val="18"/>
          <w:lang w:val="en-CA" w:eastAsia="en-GB"/>
        </w:rPr>
        <w:t>Note:</w:t>
      </w:r>
      <w:r w:rsidRPr="005F0A67">
        <w:rPr>
          <w:rFonts w:asciiTheme="majorBidi" w:eastAsia="Times New Roman" w:hAnsiTheme="majorBidi" w:cstheme="majorBidi"/>
          <w:sz w:val="18"/>
          <w:szCs w:val="18"/>
          <w:lang w:val="en-CA" w:eastAsia="en-GB"/>
        </w:rPr>
        <w:t xml:space="preserve"> Boxes show P25–P75; whiskers extend to P10–P90; values in nominal USD millions, three-year average 2021-2023; dashed red lines show Decision 16/2 thresholds.     </w:t>
      </w:r>
      <w:r w:rsidRPr="005F0A67">
        <w:rPr>
          <w:rFonts w:asciiTheme="majorBidi" w:eastAsia="Times New Roman" w:hAnsiTheme="majorBidi" w:cstheme="majorBidi"/>
          <w:i/>
          <w:iCs/>
          <w:sz w:val="18"/>
          <w:szCs w:val="18"/>
          <w:lang w:val="en-CA" w:eastAsia="en-GB"/>
        </w:rPr>
        <w:t xml:space="preserve">Source: </w:t>
      </w:r>
      <w:r w:rsidRPr="005F0A67">
        <w:rPr>
          <w:rFonts w:asciiTheme="majorBidi" w:eastAsia="Times New Roman" w:hAnsiTheme="majorBidi" w:cstheme="majorBidi"/>
          <w:sz w:val="18"/>
          <w:szCs w:val="18"/>
          <w:lang w:val="en-CA" w:eastAsia="en-GB"/>
        </w:rPr>
        <w:t xml:space="preserve">Author’s calculations based on Makowska-Curran </w:t>
      </w:r>
      <w:r w:rsidRPr="005F0A67">
        <w:rPr>
          <w:rFonts w:asciiTheme="majorBidi" w:eastAsia="Times New Roman" w:hAnsiTheme="majorBidi" w:cstheme="majorBidi"/>
          <w:sz w:val="18"/>
          <w:szCs w:val="18"/>
          <w:lang w:val="en-CA" w:eastAsia="en-GB"/>
        </w:rPr>
        <w:fldChar w:fldCharType="begin"/>
      </w:r>
      <w:r w:rsidRPr="005F0A67">
        <w:rPr>
          <w:rFonts w:asciiTheme="majorBidi" w:eastAsia="Times New Roman" w:hAnsiTheme="majorBidi" w:cstheme="majorBidi"/>
          <w:sz w:val="18"/>
          <w:szCs w:val="18"/>
          <w:lang w:val="en-CA" w:eastAsia="en-GB"/>
        </w:rPr>
        <w:instrText xml:space="preserve"> ADDIN ZOTERO_ITEM CSL_CITATION {"citationID":"8BfatxXq","properties":{"unsorted":false,"formattedCitation":"(2026)","plainCitation":"(2026)","noteIndex":0},"citationItems":[{"id":77,"uris":["http://zotero.org/users/14977742/items/2PI55QKT"],"itemData":{"id":77,"type":"article-journal","abstract":"This paper provides the first global, firm-level analysis of what the Cali Fund, designed to support global conservation, is likely to raise and how resources would be distributed.","citation-key":"GlobalBiodiversityCommitments","container-title":"Grantham Research Institute on climate change and the environment","language":"en-GB","publisher":"London School of Economics and Political Science (LSE)","title":"From global biodiversity commitments to local action: revenue potential and allocation dynamics of the Cali Fund","title-short":"From global biodiversity commitments to local action","URL":"https://www.lse.ac.uk/granthaminstitute/publication/from-global-biodiversity-commitments-to-local-action-revenue-potential-and-allocation-dynamics-of-the-cali-fund/","author":[{"family":"Makowska-Curran","given":"Agata"}],"accessed":{"date-parts":[["2026",6,3]]},"issued":{"date-parts":[["2026",6]]}},"suppress-author":true}],"schema":"https://github.com/citation-style-language/schema/raw/master/csl-citation.json"} </w:instrText>
      </w:r>
      <w:r w:rsidRPr="005F0A67">
        <w:rPr>
          <w:rFonts w:asciiTheme="majorBidi" w:eastAsia="Times New Roman" w:hAnsiTheme="majorBidi" w:cstheme="majorBidi"/>
          <w:sz w:val="18"/>
          <w:szCs w:val="18"/>
          <w:lang w:val="en-CA" w:eastAsia="en-GB"/>
        </w:rPr>
        <w:fldChar w:fldCharType="separate"/>
      </w:r>
      <w:r w:rsidRPr="005F0A67">
        <w:rPr>
          <w:rFonts w:asciiTheme="majorBidi" w:eastAsia="Times New Roman" w:hAnsiTheme="majorBidi" w:cstheme="majorBidi"/>
          <w:sz w:val="18"/>
          <w:szCs w:val="18"/>
          <w:lang w:val="en-CA" w:eastAsia="en-GB"/>
        </w:rPr>
        <w:t>(2026)</w:t>
      </w:r>
      <w:r w:rsidRPr="005F0A67">
        <w:rPr>
          <w:rFonts w:asciiTheme="majorBidi" w:eastAsia="Times New Roman" w:hAnsiTheme="majorBidi" w:cstheme="majorBidi"/>
          <w:sz w:val="18"/>
          <w:szCs w:val="18"/>
          <w:lang w:val="en-CA" w:eastAsia="en-GB"/>
        </w:rPr>
        <w:fldChar w:fldCharType="end"/>
      </w:r>
      <w:r w:rsidRPr="005F0A67">
        <w:rPr>
          <w:rFonts w:asciiTheme="majorBidi" w:eastAsia="Times New Roman" w:hAnsiTheme="majorBidi" w:cstheme="majorBidi"/>
          <w:sz w:val="18"/>
          <w:szCs w:val="18"/>
          <w:lang w:val="en-CA" w:eastAsia="en-GB"/>
        </w:rPr>
        <w:t>.</w:t>
      </w:r>
    </w:p>
    <w:p w14:paraId="531DB045" w14:textId="77777777" w:rsidR="005F0A67" w:rsidRPr="005F0A67" w:rsidRDefault="005F0A67" w:rsidP="00B54840">
      <w:pPr>
        <w:tabs>
          <w:tab w:val="clear" w:pos="567"/>
          <w:tab w:val="clear" w:pos="1134"/>
          <w:tab w:val="clear" w:pos="1701"/>
          <w:tab w:val="clear" w:pos="2268"/>
        </w:tabs>
        <w:spacing w:before="320" w:after="160"/>
        <w:ind w:left="720"/>
        <w:jc w:val="left"/>
        <w:outlineLvl w:val="2"/>
        <w:rPr>
          <w:rFonts w:asciiTheme="majorBidi" w:eastAsia="Arial" w:hAnsiTheme="majorBidi" w:cstheme="majorBidi"/>
          <w:b/>
          <w:bCs/>
          <w:color w:val="7F7F7F"/>
          <w:sz w:val="23"/>
          <w:szCs w:val="23"/>
          <w:lang w:val="en-CA" w:eastAsia="en-GB"/>
        </w:rPr>
      </w:pPr>
      <w:bookmarkStart w:id="111" w:name="_Ref230001483"/>
      <w:bookmarkStart w:id="112" w:name="_Toc234579578"/>
      <w:r w:rsidRPr="005F0A67">
        <w:rPr>
          <w:rFonts w:asciiTheme="majorBidi" w:eastAsia="Arial" w:hAnsiTheme="majorBidi" w:cstheme="majorBidi"/>
          <w:b/>
          <w:bCs/>
          <w:color w:val="7F7F7F"/>
          <w:sz w:val="23"/>
          <w:szCs w:val="23"/>
          <w:lang w:val="en-CA" w:eastAsia="en-GB"/>
        </w:rPr>
        <w:lastRenderedPageBreak/>
        <w:t>Stage 2: Participation</w:t>
      </w:r>
      <w:bookmarkEnd w:id="111"/>
      <w:bookmarkEnd w:id="112"/>
      <w:r w:rsidRPr="005F0A67">
        <w:rPr>
          <w:rFonts w:asciiTheme="majorBidi" w:eastAsia="Arial" w:hAnsiTheme="majorBidi" w:cstheme="majorBidi"/>
          <w:b/>
          <w:bCs/>
          <w:color w:val="7F7F7F"/>
          <w:sz w:val="23"/>
          <w:szCs w:val="23"/>
          <w:lang w:val="en-CA" w:eastAsia="en-GB"/>
        </w:rPr>
        <w:t xml:space="preserve"> </w:t>
      </w:r>
    </w:p>
    <w:p w14:paraId="35001CF0"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lang w:val="en-CA" w:eastAsia="en-GB"/>
        </w:rPr>
        <w:t>Stage 2 looks at how many eligible firms may be willing to contribute. Since participation under Decision 16/2 is encouraged, rather than mandatory, this creates the main source of uncertainty in the revenue analysis and is the principal driver for the gap between the full compliance estimate and the more realistic revenue range.</w:t>
      </w:r>
    </w:p>
    <w:p w14:paraId="6062F3CF"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Arial" w:hAnsiTheme="majorBidi" w:cstheme="majorBidi"/>
          <w:lang w:val="en-CA" w:eastAsia="en-GB"/>
        </w:rPr>
      </w:pPr>
      <w:r w:rsidRPr="005F0A67">
        <w:rPr>
          <w:rFonts w:asciiTheme="majorBidi" w:eastAsia="Times New Roman" w:hAnsiTheme="majorBidi" w:cstheme="majorBidi"/>
          <w:lang w:val="en-CA" w:eastAsia="en-GB"/>
        </w:rPr>
        <w:t xml:space="preserve">Makowska-Curran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{"citationID":"YsaGa0ob","properties":{"unsorted":false,"formattedCitation":"(2026)","plainCitation":"(2026)","noteIndex":0},"citationItems":[{"id":77,"uris":["http://zotero.org/users/14977742/items/2PI55QKT"],"itemData":{"id":77,"type":"article-journal","abstract":"This paper provides the first global, firm-level analysis of what the Cali Fund, designed to support global conservation, is likely to raise and how resources would be distributed.","citation-key":"GlobalBiodiversityCommitments","container-title":"Grantham Research Institute on climate change and the environment","language":"en-GB","publisher":"London School of Economics and Political Science (LSE)","title":"From global biodiversity commitments to local action: revenue potential and allocation dynamics of the Cali Fund","title-short":"From global biodiversity commitments to local action","URL":"https://www.lse.ac.uk/granthaminstitute/publication/from-global-biodiversity-commitments-to-local-action-revenue-potential-and-allocation-dynamics-of-the-cali-fund/","author":[{"family":"Makowska-Curran","given":"Agata"}],"accessed":{"date-parts":[["2026",6,3]]},"issued":{"date-parts":[["2026",6]]}},"suppress-author":true}],"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(2026)</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estimates Cali Fund contributions through a Monte Carlo simulation that draws on the empirical literature on voluntary environmental schemes. The simulation combines three sector-level parameters: a participation rate reflecting reputational exposure and investor scrutiny, an adjustment for differences between publicly listed and unlisted firms, and an estimate of the share of activity in each sector that depends on DSI. This calibration is appropriate for benchmarking the Cali Fund against the general population of voluntary environmental initiatives but does not fully reflect the uncertainties specific to the mechanism identified in </w:t>
      </w:r>
      <w:r w:rsidRPr="005F0A67">
        <w:rPr>
          <w:rFonts w:asciiTheme="majorBidi" w:eastAsia="Arial" w:hAnsiTheme="majorBidi" w:cstheme="majorBidi"/>
          <w:lang w:val="en-CA" w:eastAsia="en-GB"/>
        </w:rPr>
        <w:fldChar w:fldCharType="begin"/>
      </w:r>
      <w:r w:rsidRPr="005F0A67">
        <w:rPr>
          <w:rFonts w:asciiTheme="majorBidi" w:eastAsia="Arial" w:hAnsiTheme="majorBidi" w:cstheme="majorBidi"/>
          <w:lang w:val="en-CA" w:eastAsia="en-GB"/>
        </w:rPr>
        <w:instrText xml:space="preserve"> REF _Ref229844376 \h  \* MERGEFORMAT </w:instrText>
      </w:r>
      <w:r w:rsidRPr="005F0A67">
        <w:rPr>
          <w:rFonts w:asciiTheme="majorBidi" w:eastAsia="Arial" w:hAnsiTheme="majorBidi" w:cstheme="majorBidi"/>
          <w:lang w:val="en-CA" w:eastAsia="en-GB"/>
        </w:rPr>
      </w:r>
      <w:r w:rsidRPr="005F0A67">
        <w:rPr>
          <w:rFonts w:asciiTheme="majorBidi" w:eastAsia="Arial" w:hAnsiTheme="majorBidi" w:cstheme="majorBidi"/>
          <w:lang w:val="en-CA" w:eastAsia="en-GB"/>
        </w:rPr>
        <w:fldChar w:fldCharType="separate"/>
      </w:r>
      <w:r w:rsidRPr="005F0A67">
        <w:rPr>
          <w:rFonts w:asciiTheme="majorBidi" w:eastAsia="Arial" w:hAnsiTheme="majorBidi" w:cstheme="majorBidi"/>
          <w:lang w:val="en-CA" w:eastAsia="en-GB"/>
        </w:rPr>
        <w:t>Table 1</w:t>
      </w:r>
      <w:r w:rsidRPr="005F0A67">
        <w:rPr>
          <w:rFonts w:asciiTheme="majorBidi" w:eastAsia="Arial" w:hAnsiTheme="majorBidi" w:cstheme="majorBidi"/>
          <w:lang w:val="en-CA" w:eastAsia="en-GB"/>
        </w:rPr>
        <w:fldChar w:fldCharType="end"/>
      </w:r>
      <w:r w:rsidRPr="005F0A67">
        <w:rPr>
          <w:rFonts w:asciiTheme="majorBidi" w:eastAsia="Arial" w:hAnsiTheme="majorBidi" w:cstheme="majorBidi"/>
          <w:lang w:val="en-CA" w:eastAsia="en-GB"/>
        </w:rPr>
        <w:t>.</w:t>
      </w:r>
    </w:p>
    <w:p w14:paraId="4F30371F"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This study addresses the research question from two additional perspectives. Section </w:t>
      </w:r>
      <w:r w:rsidRPr="005F0A67">
        <w:rPr>
          <w:rFonts w:asciiTheme="majorBidi" w:eastAsia="Arial" w:hAnsiTheme="majorBidi" w:cstheme="majorBidi"/>
          <w:lang w:val="en-CA" w:eastAsia="en-GB"/>
        </w:rPr>
        <w:fldChar w:fldCharType="begin"/>
      </w:r>
      <w:r w:rsidRPr="005F0A67">
        <w:rPr>
          <w:rFonts w:asciiTheme="majorBidi" w:eastAsia="Arial" w:hAnsiTheme="majorBidi" w:cstheme="majorBidi"/>
          <w:lang w:val="en-CA" w:eastAsia="en-GB"/>
        </w:rPr>
        <w:instrText xml:space="preserve"> REF _Ref229573832 \r \h  \* MERGEFORMAT </w:instrText>
      </w:r>
      <w:r w:rsidRPr="005F0A67">
        <w:rPr>
          <w:rFonts w:asciiTheme="majorBidi" w:eastAsia="Arial" w:hAnsiTheme="majorBidi" w:cstheme="majorBidi"/>
          <w:lang w:val="en-CA" w:eastAsia="en-GB"/>
        </w:rPr>
      </w:r>
      <w:r w:rsidRPr="005F0A67">
        <w:rPr>
          <w:rFonts w:asciiTheme="majorBidi" w:eastAsia="Arial" w:hAnsiTheme="majorBidi" w:cstheme="majorBidi"/>
          <w:lang w:val="en-CA" w:eastAsia="en-GB"/>
        </w:rPr>
        <w:fldChar w:fldCharType="separate"/>
      </w:r>
      <w:r w:rsidRPr="005F0A67">
        <w:rPr>
          <w:rFonts w:asciiTheme="majorBidi" w:eastAsia="Arial" w:hAnsiTheme="majorBidi" w:cstheme="majorBidi"/>
          <w:lang w:val="en-CA" w:eastAsia="en-GB"/>
        </w:rPr>
        <w:t>3</w:t>
      </w:r>
      <w:r w:rsidRPr="005F0A67">
        <w:rPr>
          <w:rFonts w:asciiTheme="majorBidi" w:eastAsia="Arial" w:hAnsiTheme="majorBidi" w:cstheme="majorBidi"/>
          <w:lang w:val="en-CA" w:eastAsia="en-GB"/>
        </w:rPr>
        <w:fldChar w:fldCharType="end"/>
      </w:r>
      <w:r w:rsidRPr="005F0A67">
        <w:rPr>
          <w:rFonts w:asciiTheme="majorBidi" w:eastAsia="Arial" w:hAnsiTheme="majorBidi" w:cstheme="majorBidi"/>
          <w:lang w:val="en-CA" w:eastAsia="en-GB"/>
        </w:rPr>
        <w:t xml:space="preserve"> </w:t>
      </w:r>
      <w:r w:rsidRPr="005F0A67">
        <w:rPr>
          <w:rFonts w:asciiTheme="majorBidi" w:eastAsia="Times New Roman" w:hAnsiTheme="majorBidi" w:cstheme="majorBidi"/>
          <w:lang w:val="en-CA" w:eastAsia="en-GB"/>
        </w:rPr>
        <w:t xml:space="preserve">presents a comparative review of private sector monetary contributions that have emerged in mechanisms most structurally similar to the Cali Fund. The mechanisms examined differ significantly in their compliance outcomes: the ITPGRFA’ MLS, where user-based payments remained significantly below projected levels over fifteen years due to structural features that closely align with the unresolved uncertainties identified in Section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_Ref229944942 \r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4</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and the PIP Framework, where a clearly defined and operationally dependent contributor pool achieved broad and sustained financial engagement over a comparable period. In the absence of direct evidence on the behaviour of Cali Fund-eligible firms, these mechanisms serve as the most relevant empirical benchmarks. The ITPGRFA’ MLS informs the lower bound of the plausible range, while the PIP Framework illustrates the outcomes under more favourable conditions. Section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_Ref229944942 \r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4</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introduces an analytical framework that identifies specific features of Decision 16/2 likely to deter participation, which are not present in either the voluntary scheme literature or analogous mechanism evidence. These include obligation stacking, uncertainty about the legal value of the certificate of contribution, and information asymmetry regarding self-identified DSI use. Together, these two directions inform the uncertainty-adjusted revenue range and timing variants presented in Section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_Ref229996514 \r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6.4</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As the results show, the range is wide, reflecting the number of design parameters that remain open under Decision 16/2.</w:t>
      </w:r>
    </w:p>
    <w:p w14:paraId="07BF81D2"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_Ref229946555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Table 10</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describes the five modelling scenarios used as the basis for the revenue analysis. S1 through S3 apply empirically calibrated adjustments for sector-level participation variation, firm ownership type, and DSI use intensity respectively. S4 adds a temporal dimension, modelling participation as building gradually over time. </w:t>
      </w:r>
    </w:p>
    <w:p w14:paraId="58E41BCC" w14:textId="77777777" w:rsidR="005F0A67" w:rsidRPr="005F0A67" w:rsidRDefault="005F0A67" w:rsidP="005F0A67">
      <w:pPr>
        <w:tabs>
          <w:tab w:val="clear" w:pos="567"/>
          <w:tab w:val="clear" w:pos="1134"/>
          <w:tab w:val="clear" w:pos="1701"/>
          <w:tab w:val="clear" w:pos="2268"/>
        </w:tabs>
        <w:spacing w:after="200" w:line="312" w:lineRule="auto"/>
        <w:contextualSpacing/>
        <w:rPr>
          <w:rFonts w:asciiTheme="majorBidi" w:eastAsia="Georgia" w:hAnsiTheme="majorBidi" w:cstheme="majorBidi"/>
          <w:b/>
          <w:bCs/>
          <w:color w:val="419844"/>
          <w:lang w:eastAsia="en-GB"/>
        </w:rPr>
      </w:pPr>
      <w:bookmarkStart w:id="113" w:name="_Ref229946555"/>
      <w:r w:rsidRPr="005F0A67">
        <w:rPr>
          <w:rFonts w:asciiTheme="majorBidi" w:eastAsia="Georgia" w:hAnsiTheme="majorBidi" w:cstheme="majorBidi"/>
          <w:b/>
          <w:bCs/>
          <w:color w:val="419844"/>
          <w:lang w:val="en-US" w:eastAsia="ja-JP"/>
        </w:rPr>
        <w:t xml:space="preserve">Table </w:t>
      </w:r>
      <w:r w:rsidRPr="005F0A67">
        <w:rPr>
          <w:rFonts w:asciiTheme="majorBidi" w:eastAsia="Georgia" w:hAnsiTheme="majorBidi" w:cstheme="majorBidi"/>
          <w:b/>
          <w:bCs/>
          <w:color w:val="419844"/>
          <w:lang w:eastAsia="en-GB"/>
        </w:rPr>
        <w:fldChar w:fldCharType="begin"/>
      </w:r>
      <w:r w:rsidRPr="005F0A67">
        <w:rPr>
          <w:rFonts w:asciiTheme="majorBidi" w:eastAsia="Georgia" w:hAnsiTheme="majorBidi" w:cstheme="majorBidi"/>
          <w:b/>
          <w:bCs/>
          <w:color w:val="419844"/>
          <w:lang w:eastAsia="en-GB"/>
        </w:rPr>
        <w:instrText xml:space="preserve"> SEQ Table \* ARABIC </w:instrText>
      </w:r>
      <w:r w:rsidRPr="005F0A67">
        <w:rPr>
          <w:rFonts w:asciiTheme="majorBidi" w:eastAsia="Georgia" w:hAnsiTheme="majorBidi" w:cstheme="majorBidi"/>
          <w:b/>
          <w:bCs/>
          <w:color w:val="419844"/>
          <w:lang w:eastAsia="en-GB"/>
        </w:rPr>
        <w:fldChar w:fldCharType="separate"/>
      </w:r>
      <w:r w:rsidRPr="005F0A67">
        <w:rPr>
          <w:rFonts w:asciiTheme="majorBidi" w:eastAsia="Georgia" w:hAnsiTheme="majorBidi" w:cstheme="majorBidi"/>
          <w:b/>
          <w:bCs/>
          <w:noProof/>
          <w:color w:val="419844"/>
          <w:lang w:eastAsia="en-GB"/>
        </w:rPr>
        <w:t>10</w:t>
      </w:r>
      <w:r w:rsidRPr="005F0A67">
        <w:rPr>
          <w:rFonts w:asciiTheme="majorBidi" w:eastAsia="Georgia" w:hAnsiTheme="majorBidi" w:cstheme="majorBidi"/>
          <w:b/>
          <w:bCs/>
          <w:color w:val="419844"/>
          <w:lang w:eastAsia="en-GB"/>
        </w:rPr>
        <w:fldChar w:fldCharType="end"/>
      </w:r>
      <w:bookmarkEnd w:id="113"/>
      <w:r w:rsidRPr="005F0A67">
        <w:rPr>
          <w:rFonts w:asciiTheme="majorBidi" w:eastAsia="Georgia" w:hAnsiTheme="majorBidi" w:cstheme="majorBidi"/>
          <w:b/>
          <w:bCs/>
          <w:color w:val="419844"/>
          <w:lang w:val="en-US" w:eastAsia="ja-JP"/>
        </w:rPr>
        <w:t xml:space="preserve"> Revenue estimation scenarios</w:t>
      </w:r>
    </w:p>
    <w:tbl>
      <w:tblPr>
        <w:tblW w:w="48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929"/>
        <w:gridCol w:w="7492"/>
      </w:tblGrid>
      <w:tr w:rsidR="005F0A67" w:rsidRPr="005F0A67" w14:paraId="68BE1AEE" w14:textId="77777777" w:rsidTr="00FB671B">
        <w:trPr>
          <w:trHeight w:val="209"/>
          <w:tblHeader/>
        </w:trPr>
        <w:tc>
          <w:tcPr>
            <w:tcW w:w="1024" w:type="pct"/>
            <w:tcBorders>
              <w:top w:val="single" w:sz="1" w:space="0" w:color="AAAAAA"/>
              <w:left w:val="single" w:sz="1" w:space="0" w:color="AAAAAA"/>
              <w:bottom w:val="single" w:sz="1" w:space="0" w:color="AAAAAA"/>
              <w:right w:val="single" w:sz="1" w:space="0" w:color="AAAAAA"/>
            </w:tcBorders>
            <w:shd w:val="clear" w:color="auto" w:fill="1F4E6B"/>
            <w:tcMar>
              <w:top w:w="60" w:type="dxa"/>
              <w:left w:w="100" w:type="dxa"/>
              <w:bottom w:w="60" w:type="dxa"/>
              <w:right w:w="100" w:type="dxa"/>
            </w:tcMar>
          </w:tcPr>
          <w:p w14:paraId="420B3807"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FFFFFF"/>
                <w:sz w:val="18"/>
                <w:szCs w:val="18"/>
                <w:lang w:val="en-CA" w:eastAsia="en-GB"/>
              </w:rPr>
            </w:pPr>
            <w:r w:rsidRPr="005F0A67">
              <w:rPr>
                <w:rFonts w:asciiTheme="majorBidi" w:eastAsia="Tahoma" w:hAnsiTheme="majorBidi" w:cstheme="majorBidi"/>
                <w:b/>
                <w:bCs/>
                <w:color w:val="FFFFFF"/>
                <w:sz w:val="18"/>
                <w:szCs w:val="18"/>
                <w:lang w:val="en-CA" w:eastAsia="en-GB"/>
              </w:rPr>
              <w:t>Scenario</w:t>
            </w:r>
          </w:p>
        </w:tc>
        <w:tc>
          <w:tcPr>
            <w:tcW w:w="3976" w:type="pct"/>
            <w:tcBorders>
              <w:top w:val="single" w:sz="1" w:space="0" w:color="AAAAAA"/>
              <w:left w:val="single" w:sz="1" w:space="0" w:color="AAAAAA"/>
              <w:bottom w:val="single" w:sz="1" w:space="0" w:color="AAAAAA"/>
              <w:right w:val="single" w:sz="1" w:space="0" w:color="AAAAAA"/>
            </w:tcBorders>
            <w:shd w:val="clear" w:color="auto" w:fill="1F4E6B"/>
            <w:tcMar>
              <w:top w:w="60" w:type="dxa"/>
              <w:left w:w="100" w:type="dxa"/>
              <w:bottom w:w="60" w:type="dxa"/>
              <w:right w:w="100" w:type="dxa"/>
            </w:tcMar>
          </w:tcPr>
          <w:p w14:paraId="437132FE"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FFFFFF"/>
                <w:sz w:val="18"/>
                <w:szCs w:val="18"/>
                <w:lang w:val="en-CA" w:eastAsia="en-GB"/>
              </w:rPr>
            </w:pPr>
            <w:r w:rsidRPr="005F0A67">
              <w:rPr>
                <w:rFonts w:asciiTheme="majorBidi" w:eastAsia="Tahoma" w:hAnsiTheme="majorBidi" w:cstheme="majorBidi"/>
                <w:b/>
                <w:bCs/>
                <w:color w:val="FFFFFF"/>
                <w:sz w:val="18"/>
                <w:szCs w:val="18"/>
                <w:lang w:val="en-CA" w:eastAsia="en-GB"/>
              </w:rPr>
              <w:t>Description</w:t>
            </w:r>
          </w:p>
        </w:tc>
      </w:tr>
      <w:tr w:rsidR="005F0A67" w:rsidRPr="005F0A67" w14:paraId="7DA1CA9D" w14:textId="77777777" w:rsidTr="005F0A67">
        <w:trPr>
          <w:trHeight w:val="685"/>
        </w:trPr>
        <w:tc>
          <w:tcPr>
            <w:tcW w:w="1024"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601C0270"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b/>
                <w:bCs/>
                <w:sz w:val="18"/>
                <w:szCs w:val="18"/>
                <w:lang w:eastAsia="en-GB"/>
              </w:rPr>
            </w:pPr>
            <w:r w:rsidRPr="005F0A67">
              <w:rPr>
                <w:rFonts w:asciiTheme="majorBidi" w:eastAsia="Times New Roman" w:hAnsiTheme="majorBidi" w:cstheme="majorBidi"/>
                <w:b/>
                <w:bCs/>
                <w:sz w:val="18"/>
                <w:szCs w:val="18"/>
                <w:lang w:eastAsia="en-GB"/>
              </w:rPr>
              <w:t>S0: Full participation</w:t>
            </w:r>
          </w:p>
        </w:tc>
        <w:tc>
          <w:tcPr>
            <w:tcW w:w="3976" w:type="pct"/>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tcPr>
          <w:p w14:paraId="2D9664B2"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ahoma"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 xml:space="preserve">The theoretical upper bound. Every eligible entity (as defined in this study, i.e. using publicly available DSI, operating in one of the indicative Enclosure I sectors, and meeting the 2-of-3 thresholds) is assumed to participate, with no adjustment for differences in the likelihood of engagement across sectors, firm types, or levels of DSI use. </w:t>
            </w:r>
          </w:p>
        </w:tc>
      </w:tr>
      <w:tr w:rsidR="005F0A67" w:rsidRPr="005F0A67" w14:paraId="26319CE0" w14:textId="77777777" w:rsidTr="005F0A67">
        <w:trPr>
          <w:trHeight w:val="276"/>
        </w:trPr>
        <w:tc>
          <w:tcPr>
            <w:tcW w:w="1024"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42E6F3F4"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b/>
                <w:bCs/>
                <w:sz w:val="18"/>
                <w:szCs w:val="18"/>
                <w:lang w:eastAsia="en-GB"/>
              </w:rPr>
            </w:pPr>
            <w:r w:rsidRPr="005F0A67">
              <w:rPr>
                <w:rFonts w:asciiTheme="majorBidi" w:eastAsia="Times New Roman" w:hAnsiTheme="majorBidi" w:cstheme="majorBidi"/>
                <w:b/>
                <w:bCs/>
                <w:sz w:val="18"/>
                <w:szCs w:val="18"/>
                <w:lang w:eastAsia="en-GB"/>
              </w:rPr>
              <w:t>S1: Sector variation</w:t>
            </w:r>
          </w:p>
        </w:tc>
        <w:tc>
          <w:tcPr>
            <w:tcW w:w="3976" w:type="pct"/>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tcPr>
          <w:p w14:paraId="3129A87D"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ahoma" w:hAnsiTheme="majorBidi" w:cstheme="majorBidi"/>
                <w:sz w:val="18"/>
                <w:szCs w:val="18"/>
                <w:lang w:eastAsia="en-GB"/>
              </w:rPr>
            </w:pPr>
            <w:r w:rsidRPr="005F0A67">
              <w:rPr>
                <w:rFonts w:asciiTheme="majorBidi" w:eastAsia="Times New Roman" w:hAnsiTheme="majorBidi" w:cstheme="majorBidi"/>
                <w:sz w:val="18"/>
                <w:szCs w:val="18"/>
                <w:lang w:eastAsia="en-GB"/>
              </w:rPr>
              <w:t>Participation rates vary by sector, reflecting differences in voluntary engagement incentives calibrated from published evidence on comparable environmental programmes. Carries moderate uncertainty: the empirical evidence on sector-level participation in voluntary environmental initiatives is well-established but not specific to the Cali Fund. Firm type and DSI use intensity are held constant across the eligible population.</w:t>
            </w:r>
          </w:p>
        </w:tc>
      </w:tr>
      <w:tr w:rsidR="005F0A67" w:rsidRPr="005F0A67" w14:paraId="6341BCD6" w14:textId="77777777" w:rsidTr="00FB671B">
        <w:trPr>
          <w:trHeight w:val="276"/>
        </w:trPr>
        <w:tc>
          <w:tcPr>
            <w:tcW w:w="1024" w:type="pct"/>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vAlign w:val="center"/>
          </w:tcPr>
          <w:p w14:paraId="585C1291"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b/>
                <w:bCs/>
                <w:sz w:val="18"/>
                <w:szCs w:val="18"/>
                <w:lang w:eastAsia="en-GB"/>
              </w:rPr>
            </w:pPr>
            <w:r w:rsidRPr="005F0A67">
              <w:rPr>
                <w:rFonts w:asciiTheme="majorBidi" w:eastAsia="Times New Roman" w:hAnsiTheme="majorBidi" w:cstheme="majorBidi"/>
                <w:b/>
                <w:bCs/>
                <w:sz w:val="18"/>
                <w:szCs w:val="18"/>
                <w:lang w:eastAsia="en-GB"/>
              </w:rPr>
              <w:t>S2: Sector and firm variation</w:t>
            </w:r>
          </w:p>
        </w:tc>
        <w:tc>
          <w:tcPr>
            <w:tcW w:w="3976" w:type="pct"/>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tcPr>
          <w:p w14:paraId="5F4132AB"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ahoma" w:hAnsiTheme="majorBidi" w:cstheme="majorBidi"/>
                <w:sz w:val="18"/>
                <w:szCs w:val="18"/>
                <w:lang w:eastAsia="en-GB"/>
              </w:rPr>
            </w:pPr>
            <w:r w:rsidRPr="005F0A67">
              <w:rPr>
                <w:rFonts w:asciiTheme="majorBidi" w:eastAsia="Times New Roman" w:hAnsiTheme="majorBidi" w:cstheme="majorBidi"/>
                <w:sz w:val="18"/>
                <w:szCs w:val="18"/>
                <w:lang w:eastAsia="en-GB"/>
              </w:rPr>
              <w:t xml:space="preserve">Extends S1 by additionally differentiating participation rates between publicly listed and unlisted firms. Listed firms are assigned a higher participation probability, reflecting stronger disclosure </w:t>
            </w:r>
            <w:r w:rsidRPr="005F0A67">
              <w:rPr>
                <w:rFonts w:asciiTheme="majorBidi" w:eastAsia="Times New Roman" w:hAnsiTheme="majorBidi" w:cstheme="majorBidi"/>
                <w:sz w:val="18"/>
                <w:szCs w:val="18"/>
                <w:lang w:eastAsia="en-GB"/>
              </w:rPr>
              <w:lastRenderedPageBreak/>
              <w:t xml:space="preserve">pressure and investor scrutiny. The listed-unlisted distinction is the best-evidenced parameter in the analysis, drawing on a broad empirical literature on corporate environmental disclosure. DSI use intensity held constant. </w:t>
            </w:r>
          </w:p>
        </w:tc>
      </w:tr>
      <w:tr w:rsidR="005F0A67" w:rsidRPr="005F0A67" w14:paraId="0147A2CD" w14:textId="77777777" w:rsidTr="005F0A67">
        <w:trPr>
          <w:trHeight w:val="614"/>
        </w:trPr>
        <w:tc>
          <w:tcPr>
            <w:tcW w:w="1024" w:type="pct"/>
            <w:tcBorders>
              <w:top w:val="single" w:sz="1" w:space="0" w:color="AAAAAA"/>
              <w:left w:val="single" w:sz="1" w:space="0" w:color="AAAAAA"/>
              <w:bottom w:val="single" w:sz="1" w:space="0" w:color="AAAAAA"/>
              <w:right w:val="single" w:sz="1" w:space="0" w:color="AAAAAA"/>
            </w:tcBorders>
            <w:shd w:val="clear" w:color="auto" w:fill="F2F2F2"/>
            <w:tcMar>
              <w:top w:w="60" w:type="dxa"/>
              <w:left w:w="100" w:type="dxa"/>
              <w:bottom w:w="60" w:type="dxa"/>
              <w:right w:w="100" w:type="dxa"/>
            </w:tcMar>
            <w:vAlign w:val="center"/>
          </w:tcPr>
          <w:p w14:paraId="6BF63B1A"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b/>
                <w:bCs/>
                <w:sz w:val="18"/>
                <w:szCs w:val="18"/>
                <w:lang w:eastAsia="en-GB"/>
              </w:rPr>
            </w:pPr>
            <w:r w:rsidRPr="005F0A67">
              <w:rPr>
                <w:rFonts w:asciiTheme="majorBidi" w:eastAsia="Times New Roman" w:hAnsiTheme="majorBidi" w:cstheme="majorBidi"/>
                <w:b/>
                <w:bCs/>
                <w:sz w:val="18"/>
                <w:szCs w:val="18"/>
                <w:lang w:eastAsia="en-GB"/>
              </w:rPr>
              <w:lastRenderedPageBreak/>
              <w:t>S3: Sector, firm, and DSI adjustment</w:t>
            </w:r>
          </w:p>
        </w:tc>
        <w:tc>
          <w:tcPr>
            <w:tcW w:w="3976" w:type="pct"/>
            <w:tcBorders>
              <w:top w:val="single" w:sz="1" w:space="0" w:color="AAAAAA"/>
              <w:left w:val="single" w:sz="1" w:space="0" w:color="AAAAAA"/>
              <w:bottom w:val="single" w:sz="1" w:space="0" w:color="AAAAAA"/>
              <w:right w:val="single" w:sz="1" w:space="0" w:color="AAAAAA"/>
            </w:tcBorders>
            <w:shd w:val="clear" w:color="auto" w:fill="F2F2F2"/>
            <w:tcMar>
              <w:top w:w="60" w:type="dxa"/>
              <w:left w:w="100" w:type="dxa"/>
              <w:bottom w:w="60" w:type="dxa"/>
              <w:right w:w="100" w:type="dxa"/>
            </w:tcMar>
          </w:tcPr>
          <w:p w14:paraId="60463AB9"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val="en-CA" w:eastAsia="en-GB"/>
              </w:rPr>
              <w:t xml:space="preserve">Extends S2 by scaling participation to reflect the share of each sector's commercial activity that can plausibly be attributed to DSI use. Carries the highest uncertainty of the three calibrated parameters: direct firm-level evidence on DSI use is not currently available, and sector-level estimates rest on indirect proxies. </w:t>
            </w:r>
            <w:r w:rsidRPr="005F0A67">
              <w:rPr>
                <w:rFonts w:asciiTheme="majorBidi" w:eastAsia="Times New Roman" w:hAnsiTheme="majorBidi" w:cstheme="majorBidi"/>
                <w:b/>
                <w:bCs/>
                <w:sz w:val="18"/>
                <w:szCs w:val="18"/>
                <w:lang w:val="en-CA" w:eastAsia="en-GB"/>
              </w:rPr>
              <w:t>Central modelling scenario.</w:t>
            </w:r>
          </w:p>
        </w:tc>
      </w:tr>
      <w:tr w:rsidR="005F0A67" w:rsidRPr="005F0A67" w14:paraId="0B777A42" w14:textId="77777777" w:rsidTr="005F0A67">
        <w:trPr>
          <w:trHeight w:val="1037"/>
        </w:trPr>
        <w:tc>
          <w:tcPr>
            <w:tcW w:w="1024"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343D52E9"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b/>
                <w:bCs/>
                <w:sz w:val="18"/>
                <w:szCs w:val="18"/>
                <w:lang w:eastAsia="en-GB"/>
              </w:rPr>
            </w:pPr>
            <w:r w:rsidRPr="005F0A67">
              <w:rPr>
                <w:rFonts w:asciiTheme="majorBidi" w:eastAsia="Times New Roman" w:hAnsiTheme="majorBidi" w:cstheme="majorBidi"/>
                <w:b/>
                <w:bCs/>
                <w:sz w:val="18"/>
                <w:szCs w:val="18"/>
                <w:lang w:eastAsia="en-GB"/>
              </w:rPr>
              <w:t>S4: Progressive uptake</w:t>
            </w:r>
          </w:p>
        </w:tc>
        <w:tc>
          <w:tcPr>
            <w:tcW w:w="3976" w:type="pct"/>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tcPr>
          <w:p w14:paraId="2FA29694"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val="en-CA" w:eastAsia="en-GB"/>
              </w:rPr>
              <w:t>Applies the same sector and firm participation rates as S2 but models engagement as building gradually over time, starting at 10% of the mature-state rate in year one and reaching the full S2 level by 2035, consistent with slow early adoption observed across voluntary environmental schemes.</w:t>
            </w:r>
          </w:p>
        </w:tc>
      </w:tr>
    </w:tbl>
    <w:p w14:paraId="0199E094"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i/>
          <w:iCs/>
          <w:sz w:val="18"/>
          <w:szCs w:val="18"/>
          <w:lang w:val="en-CA" w:eastAsia="en-GB"/>
        </w:rPr>
        <w:t xml:space="preserve">Note: </w:t>
      </w:r>
      <w:r w:rsidRPr="005F0A67">
        <w:rPr>
          <w:rFonts w:asciiTheme="majorBidi" w:eastAsia="Times New Roman" w:hAnsiTheme="majorBidi" w:cstheme="majorBidi"/>
          <w:sz w:val="18"/>
          <w:szCs w:val="18"/>
          <w:lang w:val="en-CA" w:eastAsia="en-GB"/>
        </w:rPr>
        <w:t>S3 and S4 are designated as central scenarios for annual revenue analysis and NPV projections respectively. Adjustment factors in S1 through S3 are calibrated from peer-reviewed literature on voluntary environmental programme participation and DSI use. Central modelling scenario highlighted in light grey (shaded).</w:t>
      </w:r>
    </w:p>
    <w:p w14:paraId="07493824" w14:textId="77777777" w:rsidR="005F0A67" w:rsidRPr="005F0A67" w:rsidRDefault="005F0A67" w:rsidP="005F0A67">
      <w:pPr>
        <w:tabs>
          <w:tab w:val="clear" w:pos="567"/>
          <w:tab w:val="clear" w:pos="1134"/>
          <w:tab w:val="clear" w:pos="1701"/>
          <w:tab w:val="clear" w:pos="2268"/>
        </w:tabs>
        <w:spacing w:line="293" w:lineRule="auto"/>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i/>
          <w:iCs/>
          <w:sz w:val="18"/>
          <w:szCs w:val="18"/>
          <w:lang w:val="en-CA" w:eastAsia="en-GB"/>
        </w:rPr>
        <w:t xml:space="preserve">Source: </w:t>
      </w:r>
      <w:r w:rsidRPr="005F0A67">
        <w:rPr>
          <w:rFonts w:asciiTheme="majorBidi" w:eastAsia="Times New Roman" w:hAnsiTheme="majorBidi" w:cstheme="majorBidi"/>
          <w:sz w:val="18"/>
          <w:szCs w:val="18"/>
          <w:lang w:val="en-CA" w:eastAsia="en-GB"/>
        </w:rPr>
        <w:t>Adapted from</w:t>
      </w:r>
      <w:r w:rsidRPr="005F0A67">
        <w:rPr>
          <w:rFonts w:asciiTheme="majorBidi" w:eastAsia="Times New Roman" w:hAnsiTheme="majorBidi" w:cstheme="majorBidi"/>
          <w:i/>
          <w:iCs/>
          <w:sz w:val="18"/>
          <w:szCs w:val="18"/>
          <w:lang w:val="en-CA" w:eastAsia="en-GB"/>
        </w:rPr>
        <w:t xml:space="preserve"> </w:t>
      </w:r>
      <w:r w:rsidRPr="005F0A67">
        <w:rPr>
          <w:rFonts w:asciiTheme="majorBidi" w:eastAsia="Times New Roman" w:hAnsiTheme="majorBidi" w:cstheme="majorBidi"/>
          <w:sz w:val="18"/>
          <w:szCs w:val="18"/>
          <w:lang w:val="en-CA" w:eastAsia="en-GB"/>
        </w:rPr>
        <w:t xml:space="preserve">Makowska-Curran </w:t>
      </w:r>
      <w:r w:rsidRPr="005F0A67">
        <w:rPr>
          <w:rFonts w:asciiTheme="majorBidi" w:eastAsia="Times New Roman" w:hAnsiTheme="majorBidi" w:cstheme="majorBidi"/>
          <w:sz w:val="18"/>
          <w:szCs w:val="18"/>
          <w:lang w:val="en-CA" w:eastAsia="en-GB"/>
        </w:rPr>
        <w:fldChar w:fldCharType="begin"/>
      </w:r>
      <w:r w:rsidRPr="005F0A67">
        <w:rPr>
          <w:rFonts w:asciiTheme="majorBidi" w:eastAsia="Times New Roman" w:hAnsiTheme="majorBidi" w:cstheme="majorBidi"/>
          <w:sz w:val="18"/>
          <w:szCs w:val="18"/>
          <w:lang w:val="en-CA" w:eastAsia="en-GB"/>
        </w:rPr>
        <w:instrText xml:space="preserve"> ADDIN ZOTERO_ITEM CSL_CITATION {"citationID":"bMBIVklE","properties":{"unsorted":false,"formattedCitation":"(2026)","plainCitation":"(2026)","noteIndex":0},"citationItems":[{"id":77,"uris":["http://zotero.org/users/14977742/items/2PI55QKT"],"itemData":{"id":77,"type":"article-journal","abstract":"This paper provides the first global, firm-level analysis of what the Cali Fund, designed to support global conservation, is likely to raise and how resources would be distributed.","citation-key":"GlobalBiodiversityCommitments","container-title":"Grantham Research Institute on climate change and the environment","language":"en-GB","publisher":"London School of Economics and Political Science (LSE)","title":"From global biodiversity commitments to local action: revenue potential and allocation dynamics of the Cali Fund","title-short":"From global biodiversity commitments to local action","URL":"https://www.lse.ac.uk/granthaminstitute/publication/from-global-biodiversity-commitments-to-local-action-revenue-potential-and-allocation-dynamics-of-the-cali-fund/","author":[{"family":"Makowska-Curran","given":"Agata"}],"accessed":{"date-parts":[["2026",6,3]]},"issued":{"date-parts":[["2026",6]]}},"suppress-author":true}],"schema":"https://github.com/citation-style-language/schema/raw/master/csl-citation.json"} </w:instrText>
      </w:r>
      <w:r w:rsidRPr="005F0A67">
        <w:rPr>
          <w:rFonts w:asciiTheme="majorBidi" w:eastAsia="Times New Roman" w:hAnsiTheme="majorBidi" w:cstheme="majorBidi"/>
          <w:sz w:val="18"/>
          <w:szCs w:val="18"/>
          <w:lang w:val="en-CA" w:eastAsia="en-GB"/>
        </w:rPr>
        <w:fldChar w:fldCharType="separate"/>
      </w:r>
      <w:r w:rsidRPr="005F0A67">
        <w:rPr>
          <w:rFonts w:asciiTheme="majorBidi" w:eastAsia="Times New Roman" w:hAnsiTheme="majorBidi" w:cstheme="majorBidi"/>
          <w:sz w:val="18"/>
          <w:szCs w:val="18"/>
          <w:lang w:val="en-CA" w:eastAsia="en-GB"/>
        </w:rPr>
        <w:t>(2026)</w:t>
      </w:r>
      <w:r w:rsidRPr="005F0A67">
        <w:rPr>
          <w:rFonts w:asciiTheme="majorBidi" w:eastAsia="Times New Roman" w:hAnsiTheme="majorBidi" w:cstheme="majorBidi"/>
          <w:sz w:val="18"/>
          <w:szCs w:val="18"/>
          <w:lang w:val="en-CA" w:eastAsia="en-GB"/>
        </w:rPr>
        <w:fldChar w:fldCharType="end"/>
      </w:r>
      <w:r w:rsidRPr="005F0A67">
        <w:rPr>
          <w:rFonts w:asciiTheme="majorBidi" w:eastAsia="Times New Roman" w:hAnsiTheme="majorBidi" w:cstheme="majorBidi"/>
          <w:sz w:val="18"/>
          <w:szCs w:val="18"/>
          <w:lang w:val="en-CA" w:eastAsia="en-GB"/>
        </w:rPr>
        <w:t>.</w:t>
      </w:r>
    </w:p>
    <w:p w14:paraId="1EFB78E9" w14:textId="77777777" w:rsidR="005F0A67" w:rsidRPr="005F0A67" w:rsidRDefault="005F0A67" w:rsidP="005F0A67">
      <w:pPr>
        <w:tabs>
          <w:tab w:val="clear" w:pos="567"/>
          <w:tab w:val="clear" w:pos="1134"/>
          <w:tab w:val="clear" w:pos="1701"/>
          <w:tab w:val="clear" w:pos="2268"/>
        </w:tabs>
        <w:spacing w:line="293" w:lineRule="auto"/>
        <w:rPr>
          <w:rFonts w:asciiTheme="majorBidi" w:eastAsia="Times New Roman" w:hAnsiTheme="majorBidi" w:cstheme="majorBidi"/>
          <w:sz w:val="18"/>
          <w:szCs w:val="18"/>
          <w:lang w:val="en-CA" w:eastAsia="en-GB"/>
        </w:rPr>
      </w:pPr>
    </w:p>
    <w:p w14:paraId="305A5657" w14:textId="77777777" w:rsidR="005F0A67" w:rsidRPr="005F0A67" w:rsidRDefault="005F0A67" w:rsidP="005F0A67">
      <w:pPr>
        <w:tabs>
          <w:tab w:val="clear" w:pos="567"/>
          <w:tab w:val="clear" w:pos="1134"/>
          <w:tab w:val="clear" w:pos="1701"/>
          <w:tab w:val="clear" w:pos="2268"/>
        </w:tabs>
        <w:spacing w:line="293"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Full sensitivity results across alternative contribution years, averaging windows, rate combinations, contribution bases, discount rates, and Monte Carlo parameter shifts are reported in Makowska-Curran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{"citationID":"5ZfGK8ol","properties":{"unsorted":false,"formattedCitation":"(2026)","plainCitation":"(2026)","noteIndex":0},"citationItems":[{"id":77,"uris":["http://zotero.org/users/14977742/items/2PI55QKT"],"itemData":{"id":77,"type":"article-journal","abstract":"This paper provides the first global, firm-level analysis of what the Cali Fund, designed to support global conservation, is likely to raise and how resources would be distributed.","citation-key":"GlobalBiodiversityCommitments","container-title":"Grantham Research Institute on climate change and the environment","language":"en-GB","publisher":"London School of Economics and Political Science (LSE)","title":"From global biodiversity commitments to local action: revenue potential and allocation dynamics of the Cali Fund","title-short":"From global biodiversity commitments to local action","URL":"https://www.lse.ac.uk/granthaminstitute/publication/from-global-biodiversity-commitments-to-local-action-revenue-potential-and-allocation-dynamics-of-the-cali-fund/","author":[{"family":"Makowska-Curran","given":"Agata"}],"accessed":{"date-parts":[["2026",6,3]]},"issued":{"date-parts":[["2026",6]]}},"suppress-author":true}],"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(2026)</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w:t>
      </w:r>
    </w:p>
    <w:p w14:paraId="14AF1D54" w14:textId="77777777" w:rsidR="005F0A67" w:rsidRPr="005F0A67" w:rsidRDefault="005F0A67" w:rsidP="005F0A67">
      <w:pPr>
        <w:tabs>
          <w:tab w:val="clear" w:pos="567"/>
          <w:tab w:val="clear" w:pos="1134"/>
          <w:tab w:val="clear" w:pos="1701"/>
          <w:tab w:val="clear" w:pos="2268"/>
        </w:tabs>
        <w:spacing w:line="293" w:lineRule="auto"/>
        <w:rPr>
          <w:rFonts w:asciiTheme="majorBidi" w:eastAsia="Times New Roman" w:hAnsiTheme="majorBidi" w:cstheme="majorBidi"/>
          <w:lang w:val="en-CA" w:eastAsia="en-GB"/>
        </w:rPr>
      </w:pPr>
    </w:p>
    <w:p w14:paraId="1D04CB34" w14:textId="77777777" w:rsidR="005F0A67" w:rsidRPr="005F0A67" w:rsidRDefault="005F0A67" w:rsidP="005F0A67">
      <w:pPr>
        <w:tabs>
          <w:tab w:val="clear" w:pos="567"/>
          <w:tab w:val="clear" w:pos="1134"/>
          <w:tab w:val="clear" w:pos="1701"/>
          <w:tab w:val="clear" w:pos="2268"/>
        </w:tabs>
        <w:spacing w:line="293"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The sector-level participation rates, ownership multipliers, and DSI intensity parameters used in Scenarios S1 through S3 are calibrated from peer-reviewed literature on voluntary environmental scheme membership and DSI use patterns. Central values and supporting justifications for all three parameters are provided in Annex A.</w:t>
      </w:r>
    </w:p>
    <w:p w14:paraId="5BF43965" w14:textId="77777777" w:rsidR="005F0A67" w:rsidRPr="005F0A67" w:rsidRDefault="005F0A67" w:rsidP="005F0A67">
      <w:pPr>
        <w:tabs>
          <w:tab w:val="clear" w:pos="567"/>
          <w:tab w:val="clear" w:pos="1134"/>
          <w:tab w:val="clear" w:pos="1701"/>
          <w:tab w:val="clear" w:pos="2268"/>
        </w:tabs>
        <w:spacing w:line="293" w:lineRule="auto"/>
        <w:rPr>
          <w:rFonts w:asciiTheme="majorBidi" w:eastAsia="Times New Roman" w:hAnsiTheme="majorBidi" w:cstheme="majorBidi"/>
          <w:sz w:val="18"/>
          <w:szCs w:val="18"/>
          <w:lang w:val="en-CA" w:eastAsia="en-GB"/>
        </w:rPr>
      </w:pPr>
    </w:p>
    <w:p w14:paraId="434AB7AD" w14:textId="77777777" w:rsidR="005F0A67" w:rsidRPr="005F0A67" w:rsidRDefault="005F0A67" w:rsidP="00B54840">
      <w:pPr>
        <w:tabs>
          <w:tab w:val="clear" w:pos="567"/>
          <w:tab w:val="clear" w:pos="1134"/>
          <w:tab w:val="clear" w:pos="1701"/>
          <w:tab w:val="clear" w:pos="2268"/>
        </w:tabs>
        <w:spacing w:after="120"/>
        <w:jc w:val="left"/>
        <w:outlineLvl w:val="3"/>
        <w:rPr>
          <w:rFonts w:asciiTheme="majorBidi" w:eastAsia="Georgia" w:hAnsiTheme="majorBidi" w:cstheme="majorBidi"/>
          <w:b/>
          <w:bCs/>
          <w:color w:val="0F4761"/>
          <w:lang w:eastAsia="en-GB"/>
        </w:rPr>
      </w:pPr>
      <w:r w:rsidRPr="005F0A67">
        <w:rPr>
          <w:rFonts w:asciiTheme="majorBidi" w:eastAsia="Georgia" w:hAnsiTheme="majorBidi" w:cstheme="majorBidi"/>
          <w:b/>
          <w:bCs/>
          <w:color w:val="0F4761"/>
          <w:lang w:eastAsia="en-GB"/>
        </w:rPr>
        <w:t>Uncertainty-adjusted revenue range</w:t>
      </w:r>
    </w:p>
    <w:p w14:paraId="2475357A"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The upper bound of the range is the central scenario (S3), representing the revenue the fund could approach if the identified uncertainties are substantially resolved and participation converges toward what the voluntary scheme literature predicts, conditional on DSI intensity of eligible firms. Hence, S3 is not a near-term projection but a ceiling conditional on favourable resolution of those risks.</w:t>
      </w:r>
    </w:p>
    <w:p w14:paraId="3F9143B1"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The lower bound estimate is calculated by applying the ITPGRFA' MLS’ observed payment ratio to the S3 central estimate. The ITPGRFA's own commissioned analysis projected conservative near-term user-based payments of USD 10 million per year; actual payments averaged approximately USD 55,000 per year over fifteen years, a ratio of roughly 0.5%. Applying this ratio to the S3 central estimate of USD 929 million yields a lower bound of approximately USD 5 million per year. This approach assumes that the structural features suppressing ITPGRFA’ MLS’ user-based payments, including first-mover problem, and avoidance, repeat under the Cali Fund. The distance between the two bounds reflects the degree to which the identified uncertainties need addressing. The revenue analysis in Section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_Ref229996514 \r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6.4</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presents result across this range.</w:t>
      </w:r>
    </w:p>
    <w:p w14:paraId="42DEA3E2"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lang w:val="en-CA" w:eastAsia="en-GB"/>
        </w:rPr>
        <w:t>Within the uncertainty-adjusted range, three alternative timing pathways are tested. The lower bound shows what happens when the ITPGRFA' MLS’ ramp-up pattern is applied to S2. In this scenario, revenue stays near zero in the early years and then grows very slowly, mostly among a few firms with high reputational exposure. This delayed uptake trajectory keeps the same mature-state ceiling (USD 7 million) but assumes that this ceiling is not reached until well after the 2035 horizon used in S4.</w:t>
      </w:r>
    </w:p>
    <w:p w14:paraId="7241F2FC"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Three timing variants bracket the plausible range:</w:t>
      </w:r>
    </w:p>
    <w:p w14:paraId="67139E3D" w14:textId="77777777" w:rsidR="005F0A67" w:rsidRPr="005F0A67" w:rsidRDefault="005F0A67" w:rsidP="005F0A67">
      <w:pPr>
        <w:numPr>
          <w:ilvl w:val="0"/>
          <w:numId w:val="40"/>
        </w:numPr>
        <w:tabs>
          <w:tab w:val="clear" w:pos="567"/>
          <w:tab w:val="clear" w:pos="1134"/>
          <w:tab w:val="clear" w:pos="1701"/>
          <w:tab w:val="clear" w:pos="2268"/>
        </w:tabs>
        <w:spacing w:after="180" w:line="292" w:lineRule="auto"/>
        <w:jc w:val="left"/>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Fast: following the S4 path as already modelled (10% increase every year);</w:t>
      </w:r>
    </w:p>
    <w:p w14:paraId="76AA6B30" w14:textId="77777777" w:rsidR="005F0A67" w:rsidRPr="005F0A67" w:rsidRDefault="005F0A67" w:rsidP="005F0A67">
      <w:pPr>
        <w:numPr>
          <w:ilvl w:val="0"/>
          <w:numId w:val="40"/>
        </w:numPr>
        <w:tabs>
          <w:tab w:val="clear" w:pos="567"/>
          <w:tab w:val="clear" w:pos="1134"/>
          <w:tab w:val="clear" w:pos="1701"/>
          <w:tab w:val="clear" w:pos="2268"/>
        </w:tabs>
        <w:spacing w:after="180" w:line="292" w:lineRule="auto"/>
        <w:jc w:val="left"/>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lastRenderedPageBreak/>
        <w:t>Moderate: with near-zero in years one through three, before an S4-style ramp from year four, reflecting partial early resolution of the most critical identified uncertainties; and,</w:t>
      </w:r>
    </w:p>
    <w:p w14:paraId="02DF1943" w14:textId="77777777" w:rsidR="005F0A67" w:rsidRPr="005F0A67" w:rsidRDefault="005F0A67" w:rsidP="005F0A67">
      <w:pPr>
        <w:numPr>
          <w:ilvl w:val="0"/>
          <w:numId w:val="40"/>
        </w:numPr>
        <w:tabs>
          <w:tab w:val="clear" w:pos="567"/>
          <w:tab w:val="clear" w:pos="1134"/>
          <w:tab w:val="clear" w:pos="1701"/>
          <w:tab w:val="clear" w:pos="2268"/>
        </w:tabs>
        <w:spacing w:after="180" w:line="292" w:lineRule="auto"/>
        <w:jc w:val="left"/>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Slow: with near-zero in years one through nine, consistent with the ITPGRFA BSF’s first decade, followed by very slow growth.</w:t>
      </w:r>
    </w:p>
    <w:p w14:paraId="43D8C687"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The NPV</w:t>
      </w:r>
      <w:r w:rsidRPr="005F0A67">
        <w:rPr>
          <w:rFonts w:asciiTheme="majorBidi" w:eastAsia="Times New Roman" w:hAnsiTheme="majorBidi" w:cstheme="majorBidi"/>
          <w:vertAlign w:val="superscript"/>
          <w:lang w:val="en-CA" w:eastAsia="en-GB"/>
        </w:rPr>
        <w:footnoteReference w:id="54"/>
      </w:r>
      <w:r w:rsidRPr="005F0A67">
        <w:rPr>
          <w:rFonts w:asciiTheme="majorBidi" w:eastAsia="Times New Roman" w:hAnsiTheme="majorBidi" w:cstheme="majorBidi"/>
          <w:lang w:val="en-CA" w:eastAsia="en-GB"/>
        </w:rPr>
        <w:t xml:space="preserve"> implications of the three timing variants are examined in Section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_Ref229996514 \r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6.4</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applied to both the S3 ceiling and the lower bound of the uncertainty-adjusted range.</w:t>
      </w:r>
    </w:p>
    <w:p w14:paraId="6E4502CF" w14:textId="77777777" w:rsidR="005F0A67" w:rsidRPr="005F0A67" w:rsidRDefault="005F0A67" w:rsidP="00B54840">
      <w:pPr>
        <w:tabs>
          <w:tab w:val="clear" w:pos="567"/>
          <w:tab w:val="clear" w:pos="1134"/>
          <w:tab w:val="clear" w:pos="1701"/>
          <w:tab w:val="clear" w:pos="2268"/>
        </w:tabs>
        <w:spacing w:before="320" w:after="160"/>
        <w:ind w:left="720"/>
        <w:jc w:val="left"/>
        <w:outlineLvl w:val="2"/>
        <w:rPr>
          <w:rFonts w:asciiTheme="majorBidi" w:eastAsia="Arial" w:hAnsiTheme="majorBidi" w:cstheme="majorBidi"/>
          <w:b/>
          <w:bCs/>
          <w:color w:val="7F7F7F"/>
          <w:sz w:val="23"/>
          <w:szCs w:val="23"/>
          <w:lang w:val="en-CA" w:eastAsia="en-GB"/>
        </w:rPr>
      </w:pPr>
      <w:bookmarkStart w:id="114" w:name="_Ref230093378"/>
      <w:bookmarkStart w:id="115" w:name="_Toc234579579"/>
      <w:r w:rsidRPr="005F0A67">
        <w:rPr>
          <w:rFonts w:asciiTheme="majorBidi" w:eastAsia="Arial" w:hAnsiTheme="majorBidi" w:cstheme="majorBidi"/>
          <w:b/>
          <w:bCs/>
          <w:color w:val="7F7F7F"/>
          <w:sz w:val="23"/>
          <w:szCs w:val="23"/>
          <w:lang w:val="en-CA" w:eastAsia="en-GB"/>
        </w:rPr>
        <w:t>Stage 3: Contribution amounts</w:t>
      </w:r>
      <w:bookmarkEnd w:id="114"/>
      <w:bookmarkEnd w:id="115"/>
    </w:p>
    <w:p w14:paraId="6889A0E7"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lang w:val="en-CA" w:eastAsia="en-GB"/>
        </w:rPr>
        <w:t>Stage 3 concerns how much participating firms actually pay. Under Decision 16/2, each cost-minimising, eligible entity contributes whichever of two indicative rates produces the smaller obligation: 1% of profit after tax or 0.1% of revenue. This minimum-of-two design divides the eligible population into two groups with structurally different contribution profiles.</w:t>
      </w:r>
    </w:p>
    <w:p w14:paraId="02EEB8BB"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The dividing line follows mechanically from the ratio of the two rates. Firms whose profit margin exceeds 10% will always find the revenue-based obligation smaller and so pay a flat 0.1% of revenue, regardless of how profitable they are. Firms below that margin pay on profit at a fixed rate of 1%, or nothing if they report a loss. The 10% indifference point is an arithmetic consequence of the indicative rates, and it would shift if either rate were revised independently.</w:t>
      </w:r>
    </w:p>
    <w:p w14:paraId="1B31863F"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The median eligible firm has a profit margin of 6.8%</w:t>
      </w:r>
      <w:r w:rsidRPr="005F0A67">
        <w:rPr>
          <w:rFonts w:asciiTheme="majorBidi" w:eastAsia="Times New Roman" w:hAnsiTheme="majorBidi" w:cstheme="majorBidi"/>
          <w:vertAlign w:val="superscript"/>
          <w:lang w:val="en-CA" w:eastAsia="en-GB"/>
        </w:rPr>
        <w:footnoteReference w:id="55"/>
      </w:r>
      <w:r w:rsidRPr="005F0A67">
        <w:rPr>
          <w:rFonts w:asciiTheme="majorBidi" w:eastAsia="Times New Roman" w:hAnsiTheme="majorBidi" w:cstheme="majorBidi"/>
          <w:lang w:val="en-CA" w:eastAsia="en-GB"/>
        </w:rPr>
        <w:t xml:space="preserve">, placing the majority of the eligible population in the profit-base group.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_Ref230048127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 xml:space="preserve">Figure </w:t>
      </w:r>
      <w:r w:rsidRPr="005F0A67">
        <w:rPr>
          <w:rFonts w:asciiTheme="majorBidi" w:eastAsia="Times New Roman" w:hAnsiTheme="majorBidi" w:cstheme="majorBidi"/>
          <w:noProof/>
          <w:lang w:val="en-CA" w:eastAsia="en-GB"/>
        </w:rPr>
        <w:t>4</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and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_Ref230048058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Table 11</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show the distribution of firms across contribution regimes by sector, and their corresponding share by contribution base. Pharmaceuticals is the only sector where the majority of eligible firms exceed the 10% indifference threshold, with a median margin of 11.7% and 51% of firms in the revenue-base group, giving it a structurally more stable and predictable contribution profile than all other sectors. In every other sector, the majority of firms fall in the profit-base or zero-contributor group, meaning aggregate sectoral contributions are sensitive to annual earnings fluctuations. Hence, the fund's revenue stability depends disproportionately on whether pharmaceutical firms choose to participate, a point that connects directly to the participation discussion in Stage 2.</w:t>
      </w:r>
    </w:p>
    <w:p w14:paraId="55F7EE16" w14:textId="77777777" w:rsid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Above the threshold, the effective contribution rate as a share of profits declines continuously as profitability rises: a firm at 45% margin pays an effective rate of 0.22% of profits, against 1.0% for a firm at exactly 10%. In absolute terms, the higher-margin firm still contributes more to the fund; the declining effective profit rate is an inherent property of the minimum-of-two design and cannot be addressed through proportional rate revisions alone.</w:t>
      </w:r>
    </w:p>
    <w:p w14:paraId="69A6AC1E" w14:textId="77777777" w:rsidR="00B54840" w:rsidRDefault="00B54840"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p>
    <w:p w14:paraId="5E610CF3" w14:textId="77777777" w:rsidR="00B54840" w:rsidRDefault="00B54840"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p>
    <w:p w14:paraId="7A357FDE" w14:textId="77777777" w:rsidR="00B54840" w:rsidRDefault="00B54840"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p>
    <w:p w14:paraId="23D33AAB" w14:textId="77777777" w:rsidR="00B54840" w:rsidRPr="005F0A67" w:rsidRDefault="00B54840"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p>
    <w:p w14:paraId="2375B29D" w14:textId="77777777" w:rsidR="005F0A67" w:rsidRPr="005F0A67" w:rsidRDefault="005F0A67" w:rsidP="005F0A67">
      <w:pPr>
        <w:tabs>
          <w:tab w:val="clear" w:pos="567"/>
          <w:tab w:val="clear" w:pos="1134"/>
          <w:tab w:val="clear" w:pos="1701"/>
          <w:tab w:val="clear" w:pos="2268"/>
        </w:tabs>
        <w:spacing w:after="120"/>
        <w:jc w:val="left"/>
        <w:outlineLvl w:val="4"/>
        <w:rPr>
          <w:rFonts w:asciiTheme="majorBidi" w:eastAsia="Georgia" w:hAnsiTheme="majorBidi" w:cstheme="majorBidi"/>
          <w:b/>
          <w:bCs/>
          <w:color w:val="419844"/>
          <w:lang w:eastAsia="en-GB"/>
        </w:rPr>
      </w:pPr>
      <w:bookmarkStart w:id="116" w:name="_Ref230048127"/>
      <w:r w:rsidRPr="005F0A67">
        <w:rPr>
          <w:rFonts w:asciiTheme="majorBidi" w:eastAsia="Georgia" w:hAnsiTheme="majorBidi" w:cstheme="majorBidi"/>
          <w:b/>
          <w:bCs/>
          <w:color w:val="419844"/>
          <w:lang w:eastAsia="en-GB"/>
        </w:rPr>
        <w:lastRenderedPageBreak/>
        <w:t xml:space="preserve">Figure </w:t>
      </w:r>
      <w:r w:rsidRPr="005F0A67">
        <w:rPr>
          <w:rFonts w:asciiTheme="majorBidi" w:eastAsia="Georgia" w:hAnsiTheme="majorBidi" w:cstheme="majorBidi"/>
          <w:b/>
          <w:bCs/>
          <w:color w:val="419844"/>
          <w:lang w:eastAsia="en-GB"/>
        </w:rPr>
        <w:fldChar w:fldCharType="begin"/>
      </w:r>
      <w:r w:rsidRPr="005F0A67">
        <w:rPr>
          <w:rFonts w:asciiTheme="majorBidi" w:eastAsia="Georgia" w:hAnsiTheme="majorBidi" w:cstheme="majorBidi"/>
          <w:b/>
          <w:bCs/>
          <w:color w:val="419844"/>
          <w:lang w:eastAsia="en-GB"/>
        </w:rPr>
        <w:instrText>SEQ Figure \* ARABIC</w:instrText>
      </w:r>
      <w:r w:rsidRPr="005F0A67">
        <w:rPr>
          <w:rFonts w:asciiTheme="majorBidi" w:eastAsia="Georgia" w:hAnsiTheme="majorBidi" w:cstheme="majorBidi"/>
          <w:b/>
          <w:bCs/>
          <w:color w:val="419844"/>
          <w:lang w:eastAsia="en-GB"/>
        </w:rPr>
        <w:fldChar w:fldCharType="separate"/>
      </w:r>
      <w:r w:rsidRPr="005F0A67">
        <w:rPr>
          <w:rFonts w:asciiTheme="majorBidi" w:eastAsia="Georgia" w:hAnsiTheme="majorBidi" w:cstheme="majorBidi"/>
          <w:b/>
          <w:bCs/>
          <w:noProof/>
          <w:color w:val="419844"/>
          <w:lang w:eastAsia="en-GB"/>
        </w:rPr>
        <w:t>4</w:t>
      </w:r>
      <w:r w:rsidRPr="005F0A67">
        <w:rPr>
          <w:rFonts w:asciiTheme="majorBidi" w:eastAsia="Georgia" w:hAnsiTheme="majorBidi" w:cstheme="majorBidi"/>
          <w:b/>
          <w:bCs/>
          <w:color w:val="419844"/>
          <w:lang w:eastAsia="en-GB"/>
        </w:rPr>
        <w:fldChar w:fldCharType="end"/>
      </w:r>
      <w:bookmarkEnd w:id="116"/>
      <w:r w:rsidRPr="005F0A67">
        <w:rPr>
          <w:rFonts w:asciiTheme="majorBidi" w:eastAsia="Georgia" w:hAnsiTheme="majorBidi" w:cstheme="majorBidi"/>
          <w:b/>
          <w:bCs/>
          <w:color w:val="419844"/>
          <w:lang w:eastAsia="en-GB"/>
        </w:rPr>
        <w:t xml:space="preserve"> Smoothed distribution of eligible entities by profit margin and sector</w:t>
      </w:r>
    </w:p>
    <w:p w14:paraId="7551E4BC"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noProof/>
          <w:lang w:val="en-CA" w:eastAsia="en-GB"/>
        </w:rPr>
        <w:drawing>
          <wp:inline distT="0" distB="0" distL="0" distR="0" wp14:anchorId="33594355" wp14:editId="0278D85E">
            <wp:extent cx="6172200" cy="4450080"/>
            <wp:effectExtent l="0" t="0" r="0" b="0"/>
            <wp:docPr id="138969533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695337" name="Picture 1389695337"/>
                    <pic:cNvPicPr/>
                  </pic:nvPicPr>
                  <pic:blipFill>
                    <a:blip r:embed="rId28"/>
                    <a:stretch>
                      <a:fillRect/>
                    </a:stretch>
                  </pic:blipFill>
                  <pic:spPr>
                    <a:xfrm>
                      <a:off x="0" y="0"/>
                      <a:ext cx="6172200" cy="4450080"/>
                    </a:xfrm>
                    <a:prstGeom prst="rect">
                      <a:avLst/>
                    </a:prstGeom>
                  </pic:spPr>
                </pic:pic>
              </a:graphicData>
            </a:graphic>
          </wp:inline>
        </w:drawing>
      </w:r>
    </w:p>
    <w:p w14:paraId="61C0E6DF" w14:textId="77777777" w:rsidR="005F0A67" w:rsidRPr="005F0A67" w:rsidRDefault="005F0A67" w:rsidP="005F0A67">
      <w:pPr>
        <w:tabs>
          <w:tab w:val="clear" w:pos="567"/>
          <w:tab w:val="clear" w:pos="1134"/>
          <w:tab w:val="clear" w:pos="1701"/>
          <w:tab w:val="clear" w:pos="2268"/>
        </w:tabs>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i/>
          <w:iCs/>
          <w:sz w:val="18"/>
          <w:szCs w:val="18"/>
          <w:lang w:val="en-CA" w:eastAsia="en-GB"/>
        </w:rPr>
        <w:t xml:space="preserve">Note: </w:t>
      </w:r>
      <w:r w:rsidRPr="005F0A67">
        <w:rPr>
          <w:rFonts w:asciiTheme="majorBidi" w:eastAsia="Times New Roman" w:hAnsiTheme="majorBidi" w:cstheme="majorBidi"/>
          <w:sz w:val="18"/>
          <w:szCs w:val="18"/>
          <w:lang w:val="en-CA" w:eastAsia="en-GB"/>
        </w:rPr>
        <w:t>Curves show the smoothed distribution of firms by profit margin within each sector, based on three-year average financials 2021-2023. Shading indicates contribution regime under the Decision 16/2 contribution structure: light shading denotes zero-contributors (margin below zero), medium shading denotes profit-base payers (margin between zero and 10%), and dark shading denotes revenue-base payers (margin above 10%). The dashed red line indicates the indifference threshold m = 0.10; the dotted grey line indicates zero margin. Extreme values below -0.30 and above 0.50 are excluded for display clarity.</w:t>
      </w:r>
    </w:p>
    <w:p w14:paraId="4065EC7A" w14:textId="77777777" w:rsidR="005F0A67" w:rsidRPr="005F0A67" w:rsidRDefault="005F0A67" w:rsidP="005F0A67">
      <w:pPr>
        <w:tabs>
          <w:tab w:val="clear" w:pos="567"/>
          <w:tab w:val="clear" w:pos="1134"/>
          <w:tab w:val="clear" w:pos="1701"/>
          <w:tab w:val="clear" w:pos="2268"/>
        </w:tabs>
        <w:spacing w:line="293" w:lineRule="auto"/>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i/>
          <w:iCs/>
          <w:sz w:val="18"/>
          <w:szCs w:val="18"/>
          <w:lang w:val="en-CA" w:eastAsia="en-GB"/>
        </w:rPr>
        <w:t xml:space="preserve">Source: </w:t>
      </w:r>
      <w:r w:rsidRPr="005F0A67">
        <w:rPr>
          <w:rFonts w:asciiTheme="majorBidi" w:eastAsia="Times New Roman" w:hAnsiTheme="majorBidi" w:cstheme="majorBidi"/>
          <w:sz w:val="18"/>
          <w:szCs w:val="18"/>
          <w:lang w:val="en-CA" w:eastAsia="en-GB"/>
        </w:rPr>
        <w:t>Author’s calculations based on</w:t>
      </w:r>
      <w:r w:rsidRPr="005F0A67">
        <w:rPr>
          <w:rFonts w:asciiTheme="majorBidi" w:eastAsia="Times New Roman" w:hAnsiTheme="majorBidi" w:cstheme="majorBidi"/>
          <w:i/>
          <w:iCs/>
          <w:sz w:val="18"/>
          <w:szCs w:val="18"/>
          <w:lang w:val="en-CA" w:eastAsia="en-GB"/>
        </w:rPr>
        <w:t xml:space="preserve"> </w:t>
      </w:r>
      <w:r w:rsidRPr="005F0A67">
        <w:rPr>
          <w:rFonts w:asciiTheme="majorBidi" w:eastAsia="Times New Roman" w:hAnsiTheme="majorBidi" w:cstheme="majorBidi"/>
          <w:sz w:val="18"/>
          <w:szCs w:val="18"/>
          <w:lang w:val="en-CA" w:eastAsia="en-GB"/>
        </w:rPr>
        <w:t xml:space="preserve">Makowska-Curran </w:t>
      </w:r>
      <w:r w:rsidRPr="005F0A67">
        <w:rPr>
          <w:rFonts w:asciiTheme="majorBidi" w:eastAsia="Times New Roman" w:hAnsiTheme="majorBidi" w:cstheme="majorBidi"/>
          <w:sz w:val="18"/>
          <w:szCs w:val="18"/>
          <w:lang w:val="en-CA" w:eastAsia="en-GB"/>
        </w:rPr>
        <w:fldChar w:fldCharType="begin"/>
      </w:r>
      <w:r w:rsidRPr="005F0A67">
        <w:rPr>
          <w:rFonts w:asciiTheme="majorBidi" w:eastAsia="Times New Roman" w:hAnsiTheme="majorBidi" w:cstheme="majorBidi"/>
          <w:sz w:val="18"/>
          <w:szCs w:val="18"/>
          <w:lang w:val="en-CA" w:eastAsia="en-GB"/>
        </w:rPr>
        <w:instrText xml:space="preserve"> ADDIN ZOTERO_ITEM CSL_CITATION {"citationID":"wWcP0ccX","properties":{"unsorted":false,"formattedCitation":"(2026)","plainCitation":"(2026)","noteIndex":0},"citationItems":[{"id":77,"uris":["http://zotero.org/users/14977742/items/2PI55QKT"],"itemData":{"id":77,"type":"article-journal","abstract":"This paper provides the first global, firm-level analysis of what the Cali Fund, designed to support global conservation, is likely to raise and how resources would be distributed.","citation-key":"GlobalBiodiversityCommitments","container-title":"Grantham Research Institute on climate change and the environment","language":"en-GB","publisher":"London School of Economics and Political Science (LSE)","title":"From global biodiversity commitments to local action: revenue potential and allocation dynamics of the Cali Fund","title-short":"From global biodiversity commitments to local action","URL":"https://www.lse.ac.uk/granthaminstitute/publication/from-global-biodiversity-commitments-to-local-action-revenue-potential-and-allocation-dynamics-of-the-cali-fund/","author":[{"family":"Makowska-Curran","given":"Agata"}],"accessed":{"date-parts":[["2026",6,3]]},"issued":{"date-parts":[["2026",6]]}},"suppress-author":true}],"schema":"https://github.com/citation-style-language/schema/raw/master/csl-citation.json"} </w:instrText>
      </w:r>
      <w:r w:rsidRPr="005F0A67">
        <w:rPr>
          <w:rFonts w:asciiTheme="majorBidi" w:eastAsia="Times New Roman" w:hAnsiTheme="majorBidi" w:cstheme="majorBidi"/>
          <w:sz w:val="18"/>
          <w:szCs w:val="18"/>
          <w:lang w:val="en-CA" w:eastAsia="en-GB"/>
        </w:rPr>
        <w:fldChar w:fldCharType="separate"/>
      </w:r>
      <w:r w:rsidRPr="005F0A67">
        <w:rPr>
          <w:rFonts w:asciiTheme="majorBidi" w:eastAsia="Times New Roman" w:hAnsiTheme="majorBidi" w:cstheme="majorBidi"/>
          <w:sz w:val="18"/>
          <w:szCs w:val="18"/>
          <w:lang w:val="en-CA" w:eastAsia="en-GB"/>
        </w:rPr>
        <w:t>(2026)</w:t>
      </w:r>
      <w:r w:rsidRPr="005F0A67">
        <w:rPr>
          <w:rFonts w:asciiTheme="majorBidi" w:eastAsia="Times New Roman" w:hAnsiTheme="majorBidi" w:cstheme="majorBidi"/>
          <w:sz w:val="18"/>
          <w:szCs w:val="18"/>
          <w:lang w:val="en-CA" w:eastAsia="en-GB"/>
        </w:rPr>
        <w:fldChar w:fldCharType="end"/>
      </w:r>
      <w:r w:rsidRPr="005F0A67">
        <w:rPr>
          <w:rFonts w:asciiTheme="majorBidi" w:eastAsia="Times New Roman" w:hAnsiTheme="majorBidi" w:cstheme="majorBidi"/>
          <w:sz w:val="18"/>
          <w:szCs w:val="18"/>
          <w:lang w:val="en-CA" w:eastAsia="en-GB"/>
        </w:rPr>
        <w:t>.</w:t>
      </w:r>
    </w:p>
    <w:p w14:paraId="64B165EE" w14:textId="77777777" w:rsidR="00B54840" w:rsidRDefault="00B54840" w:rsidP="005F0A67">
      <w:pPr>
        <w:tabs>
          <w:tab w:val="clear" w:pos="567"/>
          <w:tab w:val="clear" w:pos="1134"/>
          <w:tab w:val="clear" w:pos="1701"/>
          <w:tab w:val="clear" w:pos="2268"/>
        </w:tabs>
        <w:spacing w:before="240" w:after="200" w:line="312" w:lineRule="auto"/>
        <w:contextualSpacing/>
        <w:rPr>
          <w:rFonts w:asciiTheme="majorBidi" w:eastAsia="Georgia" w:hAnsiTheme="majorBidi" w:cstheme="majorBidi"/>
          <w:b/>
          <w:bCs/>
          <w:color w:val="419844"/>
          <w:lang w:val="en-US" w:eastAsia="ja-JP"/>
        </w:rPr>
      </w:pPr>
      <w:bookmarkStart w:id="117" w:name="_Ref230048058"/>
    </w:p>
    <w:p w14:paraId="212DDAA4" w14:textId="71DDCA93" w:rsidR="005F0A67" w:rsidRPr="005F0A67" w:rsidRDefault="005F0A67" w:rsidP="005F0A67">
      <w:pPr>
        <w:tabs>
          <w:tab w:val="clear" w:pos="567"/>
          <w:tab w:val="clear" w:pos="1134"/>
          <w:tab w:val="clear" w:pos="1701"/>
          <w:tab w:val="clear" w:pos="2268"/>
        </w:tabs>
        <w:spacing w:before="240" w:after="200" w:line="312" w:lineRule="auto"/>
        <w:contextualSpacing/>
        <w:rPr>
          <w:rFonts w:asciiTheme="majorBidi" w:eastAsia="Georgia" w:hAnsiTheme="majorBidi" w:cstheme="majorBidi"/>
          <w:b/>
          <w:bCs/>
          <w:color w:val="419844"/>
          <w:lang w:eastAsia="en-GB"/>
        </w:rPr>
      </w:pPr>
      <w:r w:rsidRPr="005F0A67">
        <w:rPr>
          <w:rFonts w:asciiTheme="majorBidi" w:eastAsia="Georgia" w:hAnsiTheme="majorBidi" w:cstheme="majorBidi"/>
          <w:b/>
          <w:bCs/>
          <w:color w:val="419844"/>
          <w:lang w:val="en-US" w:eastAsia="ja-JP"/>
        </w:rPr>
        <w:t xml:space="preserve">Table </w:t>
      </w:r>
      <w:r w:rsidRPr="005F0A67">
        <w:rPr>
          <w:rFonts w:asciiTheme="majorBidi" w:eastAsia="Georgia" w:hAnsiTheme="majorBidi" w:cstheme="majorBidi"/>
          <w:b/>
          <w:bCs/>
          <w:color w:val="419844"/>
          <w:lang w:eastAsia="en-GB"/>
        </w:rPr>
        <w:fldChar w:fldCharType="begin"/>
      </w:r>
      <w:r w:rsidRPr="005F0A67">
        <w:rPr>
          <w:rFonts w:asciiTheme="majorBidi" w:eastAsia="Georgia" w:hAnsiTheme="majorBidi" w:cstheme="majorBidi"/>
          <w:b/>
          <w:bCs/>
          <w:color w:val="419844"/>
          <w:lang w:eastAsia="en-GB"/>
        </w:rPr>
        <w:instrText xml:space="preserve"> SEQ Table \* ARABIC </w:instrText>
      </w:r>
      <w:r w:rsidRPr="005F0A67">
        <w:rPr>
          <w:rFonts w:asciiTheme="majorBidi" w:eastAsia="Georgia" w:hAnsiTheme="majorBidi" w:cstheme="majorBidi"/>
          <w:b/>
          <w:bCs/>
          <w:color w:val="419844"/>
          <w:lang w:eastAsia="en-GB"/>
        </w:rPr>
        <w:fldChar w:fldCharType="separate"/>
      </w:r>
      <w:r w:rsidRPr="005F0A67">
        <w:rPr>
          <w:rFonts w:asciiTheme="majorBidi" w:eastAsia="Georgia" w:hAnsiTheme="majorBidi" w:cstheme="majorBidi"/>
          <w:b/>
          <w:bCs/>
          <w:noProof/>
          <w:color w:val="419844"/>
          <w:lang w:eastAsia="en-GB"/>
        </w:rPr>
        <w:t>11</w:t>
      </w:r>
      <w:r w:rsidRPr="005F0A67">
        <w:rPr>
          <w:rFonts w:asciiTheme="majorBidi" w:eastAsia="Georgia" w:hAnsiTheme="majorBidi" w:cstheme="majorBidi"/>
          <w:b/>
          <w:bCs/>
          <w:color w:val="419844"/>
          <w:lang w:eastAsia="en-GB"/>
        </w:rPr>
        <w:fldChar w:fldCharType="end"/>
      </w:r>
      <w:bookmarkEnd w:id="117"/>
      <w:r w:rsidRPr="005F0A67">
        <w:rPr>
          <w:rFonts w:asciiTheme="majorBidi" w:eastAsia="Georgia" w:hAnsiTheme="majorBidi" w:cstheme="majorBidi"/>
          <w:b/>
          <w:bCs/>
          <w:color w:val="419844"/>
          <w:lang w:val="en-US" w:eastAsia="ja-JP"/>
        </w:rPr>
        <w:t xml:space="preserve"> Distribution of eligible entities by contribution base and sector</w:t>
      </w:r>
    </w:p>
    <w:tbl>
      <w:tblPr>
        <w:tblW w:w="49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2677"/>
        <w:gridCol w:w="979"/>
        <w:gridCol w:w="1995"/>
        <w:gridCol w:w="1995"/>
        <w:gridCol w:w="1994"/>
      </w:tblGrid>
      <w:tr w:rsidR="005F0A67" w:rsidRPr="005F0A67" w14:paraId="32E56366" w14:textId="77777777" w:rsidTr="00FB671B">
        <w:trPr>
          <w:trHeight w:val="108"/>
          <w:tblHeader/>
        </w:trPr>
        <w:tc>
          <w:tcPr>
            <w:tcW w:w="1388" w:type="pct"/>
            <w:tcBorders>
              <w:top w:val="single" w:sz="1" w:space="0" w:color="AAAAAA"/>
              <w:left w:val="single" w:sz="1" w:space="0" w:color="AAAAAA"/>
              <w:bottom w:val="single" w:sz="1" w:space="0" w:color="AAAAAA"/>
              <w:right w:val="single" w:sz="1" w:space="0" w:color="AAAAAA"/>
            </w:tcBorders>
            <w:shd w:val="clear" w:color="auto" w:fill="1F4E6B"/>
            <w:tcMar>
              <w:top w:w="60" w:type="dxa"/>
              <w:left w:w="100" w:type="dxa"/>
              <w:bottom w:w="60" w:type="dxa"/>
              <w:right w:w="100" w:type="dxa"/>
            </w:tcMar>
            <w:vAlign w:val="center"/>
          </w:tcPr>
          <w:p w14:paraId="772982A4"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FFFFFF"/>
                <w:sz w:val="18"/>
                <w:szCs w:val="18"/>
                <w:lang w:val="en-CA" w:eastAsia="en-GB"/>
              </w:rPr>
            </w:pPr>
            <w:r w:rsidRPr="005F0A67">
              <w:rPr>
                <w:rFonts w:asciiTheme="majorBidi" w:eastAsia="Tahoma" w:hAnsiTheme="majorBidi" w:cstheme="majorBidi"/>
                <w:b/>
                <w:bCs/>
                <w:color w:val="FFFFFF"/>
                <w:sz w:val="18"/>
                <w:szCs w:val="18"/>
                <w:lang w:val="en-CA" w:eastAsia="en-GB"/>
              </w:rPr>
              <w:t>Sector</w:t>
            </w:r>
          </w:p>
        </w:tc>
        <w:tc>
          <w:tcPr>
            <w:tcW w:w="508" w:type="pct"/>
            <w:tcBorders>
              <w:top w:val="single" w:sz="1" w:space="0" w:color="AAAAAA"/>
              <w:left w:val="single" w:sz="1" w:space="0" w:color="AAAAAA"/>
              <w:bottom w:val="single" w:sz="1" w:space="0" w:color="AAAAAA"/>
              <w:right w:val="single" w:sz="1" w:space="0" w:color="AAAAAA"/>
            </w:tcBorders>
            <w:shd w:val="clear" w:color="auto" w:fill="1F4E6B"/>
            <w:tcMar>
              <w:top w:w="60" w:type="dxa"/>
              <w:left w:w="100" w:type="dxa"/>
              <w:bottom w:w="60" w:type="dxa"/>
              <w:right w:w="100" w:type="dxa"/>
            </w:tcMar>
            <w:vAlign w:val="center"/>
          </w:tcPr>
          <w:p w14:paraId="0E85CF35"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FFFFFF"/>
                <w:sz w:val="18"/>
                <w:szCs w:val="18"/>
                <w:lang w:val="en-CA" w:eastAsia="en-GB"/>
              </w:rPr>
            </w:pPr>
            <w:r w:rsidRPr="005F0A67">
              <w:rPr>
                <w:rFonts w:asciiTheme="majorBidi" w:eastAsia="Tahoma" w:hAnsiTheme="majorBidi" w:cstheme="majorBidi"/>
                <w:b/>
                <w:bCs/>
                <w:color w:val="FFFFFF"/>
                <w:sz w:val="18"/>
                <w:szCs w:val="18"/>
                <w:lang w:val="en-CA" w:eastAsia="en-GB"/>
              </w:rPr>
              <w:t>n</w:t>
            </w:r>
          </w:p>
        </w:tc>
        <w:tc>
          <w:tcPr>
            <w:tcW w:w="1035" w:type="pct"/>
            <w:tcBorders>
              <w:top w:val="single" w:sz="1" w:space="0" w:color="AAAAAA"/>
              <w:left w:val="single" w:sz="1" w:space="0" w:color="AAAAAA"/>
              <w:bottom w:val="single" w:sz="1" w:space="0" w:color="AAAAAA"/>
              <w:right w:val="single" w:sz="1" w:space="0" w:color="AAAAAA"/>
            </w:tcBorders>
            <w:shd w:val="clear" w:color="auto" w:fill="1F4E6B"/>
            <w:vAlign w:val="center"/>
          </w:tcPr>
          <w:p w14:paraId="3E6AE105"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FFFFFF"/>
                <w:sz w:val="18"/>
                <w:szCs w:val="18"/>
                <w:lang w:val="en-CA" w:eastAsia="en-GB"/>
              </w:rPr>
            </w:pPr>
            <w:r w:rsidRPr="005F0A67">
              <w:rPr>
                <w:rFonts w:asciiTheme="majorBidi" w:eastAsia="Tahoma" w:hAnsiTheme="majorBidi" w:cstheme="majorBidi"/>
                <w:b/>
                <w:bCs/>
                <w:color w:val="FFFFFF"/>
                <w:sz w:val="18"/>
                <w:szCs w:val="18"/>
                <w:lang w:val="en-CA" w:eastAsia="en-GB"/>
              </w:rPr>
              <w:t>Revenue-base (%)</w:t>
            </w:r>
          </w:p>
        </w:tc>
        <w:tc>
          <w:tcPr>
            <w:tcW w:w="1035" w:type="pct"/>
            <w:tcBorders>
              <w:top w:val="single" w:sz="1" w:space="0" w:color="AAAAAA"/>
              <w:left w:val="single" w:sz="1" w:space="0" w:color="AAAAAA"/>
              <w:bottom w:val="single" w:sz="1" w:space="0" w:color="AAAAAA"/>
              <w:right w:val="single" w:sz="1" w:space="0" w:color="AAAAAA"/>
            </w:tcBorders>
            <w:shd w:val="clear" w:color="auto" w:fill="1F4E6B"/>
            <w:vAlign w:val="center"/>
          </w:tcPr>
          <w:p w14:paraId="25476292"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FFFFFF"/>
                <w:sz w:val="18"/>
                <w:szCs w:val="18"/>
                <w:lang w:val="en-CA" w:eastAsia="en-GB"/>
              </w:rPr>
            </w:pPr>
            <w:r w:rsidRPr="005F0A67">
              <w:rPr>
                <w:rFonts w:asciiTheme="majorBidi" w:eastAsia="Tahoma" w:hAnsiTheme="majorBidi" w:cstheme="majorBidi"/>
                <w:b/>
                <w:bCs/>
                <w:color w:val="FFFFFF"/>
                <w:sz w:val="18"/>
                <w:szCs w:val="18"/>
                <w:lang w:val="en-CA" w:eastAsia="en-GB"/>
              </w:rPr>
              <w:t>Profit-base (%)</w:t>
            </w:r>
          </w:p>
        </w:tc>
        <w:tc>
          <w:tcPr>
            <w:tcW w:w="1034" w:type="pct"/>
            <w:tcBorders>
              <w:top w:val="single" w:sz="1" w:space="0" w:color="AAAAAA"/>
              <w:left w:val="single" w:sz="1" w:space="0" w:color="AAAAAA"/>
              <w:bottom w:val="single" w:sz="1" w:space="0" w:color="AAAAAA"/>
              <w:right w:val="single" w:sz="1" w:space="0" w:color="AAAAAA"/>
            </w:tcBorders>
            <w:shd w:val="clear" w:color="auto" w:fill="1F4E6B"/>
            <w:vAlign w:val="center"/>
          </w:tcPr>
          <w:p w14:paraId="3E9D4824"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FFFFFF"/>
                <w:sz w:val="18"/>
                <w:szCs w:val="18"/>
                <w:lang w:val="en-CA" w:eastAsia="en-GB"/>
              </w:rPr>
            </w:pPr>
            <w:r w:rsidRPr="005F0A67">
              <w:rPr>
                <w:rFonts w:asciiTheme="majorBidi" w:eastAsia="Tahoma" w:hAnsiTheme="majorBidi" w:cstheme="majorBidi"/>
                <w:b/>
                <w:bCs/>
                <w:color w:val="FFFFFF"/>
                <w:sz w:val="18"/>
                <w:szCs w:val="18"/>
                <w:lang w:val="en-CA" w:eastAsia="en-GB"/>
              </w:rPr>
              <w:t>Zero-contributor (%)</w:t>
            </w:r>
          </w:p>
        </w:tc>
      </w:tr>
      <w:tr w:rsidR="005F0A67" w:rsidRPr="005F0A67" w14:paraId="2B20BDF0" w14:textId="77777777" w:rsidTr="005F0A67">
        <w:trPr>
          <w:trHeight w:val="358"/>
        </w:trPr>
        <w:tc>
          <w:tcPr>
            <w:tcW w:w="1388"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2522FD20"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b/>
                <w:bCs/>
                <w:sz w:val="18"/>
                <w:szCs w:val="18"/>
                <w:lang w:eastAsia="en-GB"/>
              </w:rPr>
            </w:pPr>
            <w:r w:rsidRPr="005F0A67">
              <w:rPr>
                <w:rFonts w:asciiTheme="majorBidi" w:eastAsia="Times New Roman" w:hAnsiTheme="majorBidi" w:cstheme="majorBidi"/>
                <w:sz w:val="18"/>
                <w:szCs w:val="18"/>
                <w:lang w:eastAsia="en-GB"/>
              </w:rPr>
              <w:t>Information and AI</w:t>
            </w:r>
          </w:p>
        </w:tc>
        <w:tc>
          <w:tcPr>
            <w:tcW w:w="508" w:type="pct"/>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vAlign w:val="center"/>
          </w:tcPr>
          <w:p w14:paraId="4A556986"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ahoma" w:hAnsiTheme="majorBidi" w:cstheme="majorBidi"/>
                <w:sz w:val="18"/>
                <w:szCs w:val="18"/>
                <w:lang w:eastAsia="en-GB"/>
              </w:rPr>
            </w:pPr>
            <w:r w:rsidRPr="005F0A67">
              <w:rPr>
                <w:rFonts w:asciiTheme="majorBidi" w:eastAsia="Times New Roman" w:hAnsiTheme="majorBidi" w:cstheme="majorBidi"/>
                <w:sz w:val="18"/>
                <w:szCs w:val="18"/>
                <w:lang w:eastAsia="en-GB"/>
              </w:rPr>
              <w:t>5,217</w:t>
            </w:r>
          </w:p>
        </w:tc>
        <w:tc>
          <w:tcPr>
            <w:tcW w:w="1035" w:type="pct"/>
            <w:tcBorders>
              <w:top w:val="single" w:sz="1" w:space="0" w:color="AAAAAA"/>
              <w:left w:val="single" w:sz="1" w:space="0" w:color="AAAAAA"/>
              <w:bottom w:val="single" w:sz="1" w:space="0" w:color="AAAAAA"/>
              <w:right w:val="single" w:sz="1" w:space="0" w:color="AAAAAA"/>
            </w:tcBorders>
            <w:vAlign w:val="center"/>
          </w:tcPr>
          <w:p w14:paraId="49BE1CA9"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36.0</w:t>
            </w:r>
          </w:p>
        </w:tc>
        <w:tc>
          <w:tcPr>
            <w:tcW w:w="1035" w:type="pct"/>
            <w:tcBorders>
              <w:top w:val="single" w:sz="1" w:space="0" w:color="AAAAAA"/>
              <w:left w:val="single" w:sz="1" w:space="0" w:color="AAAAAA"/>
              <w:bottom w:val="single" w:sz="1" w:space="0" w:color="AAAAAA"/>
              <w:right w:val="single" w:sz="1" w:space="0" w:color="AAAAAA"/>
            </w:tcBorders>
            <w:vAlign w:val="center"/>
          </w:tcPr>
          <w:p w14:paraId="1D5E5737"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45.0</w:t>
            </w:r>
          </w:p>
        </w:tc>
        <w:tc>
          <w:tcPr>
            <w:tcW w:w="1034" w:type="pct"/>
            <w:tcBorders>
              <w:top w:val="single" w:sz="1" w:space="0" w:color="AAAAAA"/>
              <w:left w:val="single" w:sz="1" w:space="0" w:color="AAAAAA"/>
              <w:bottom w:val="single" w:sz="1" w:space="0" w:color="AAAAAA"/>
              <w:right w:val="single" w:sz="1" w:space="0" w:color="AAAAAA"/>
            </w:tcBorders>
            <w:vAlign w:val="center"/>
          </w:tcPr>
          <w:p w14:paraId="474487F6"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19.0</w:t>
            </w:r>
          </w:p>
        </w:tc>
      </w:tr>
      <w:tr w:rsidR="005F0A67" w:rsidRPr="005F0A67" w14:paraId="39BB469E" w14:textId="77777777" w:rsidTr="005F0A67">
        <w:trPr>
          <w:trHeight w:val="144"/>
        </w:trPr>
        <w:tc>
          <w:tcPr>
            <w:tcW w:w="1388"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2223644D"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b/>
                <w:bCs/>
                <w:sz w:val="18"/>
                <w:szCs w:val="18"/>
                <w:lang w:eastAsia="en-GB"/>
              </w:rPr>
            </w:pPr>
            <w:r w:rsidRPr="005F0A67">
              <w:rPr>
                <w:rFonts w:asciiTheme="majorBidi" w:eastAsia="Times New Roman" w:hAnsiTheme="majorBidi" w:cstheme="majorBidi"/>
                <w:sz w:val="18"/>
                <w:szCs w:val="18"/>
                <w:lang w:eastAsia="en-GB"/>
              </w:rPr>
              <w:t>Animal and plant breeding</w:t>
            </w:r>
          </w:p>
        </w:tc>
        <w:tc>
          <w:tcPr>
            <w:tcW w:w="508" w:type="pct"/>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vAlign w:val="center"/>
          </w:tcPr>
          <w:p w14:paraId="42CB95B8"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ahoma" w:hAnsiTheme="majorBidi" w:cstheme="majorBidi"/>
                <w:sz w:val="18"/>
                <w:szCs w:val="18"/>
                <w:lang w:eastAsia="en-GB"/>
              </w:rPr>
            </w:pPr>
            <w:r w:rsidRPr="005F0A67">
              <w:rPr>
                <w:rFonts w:asciiTheme="majorBidi" w:eastAsia="Times New Roman" w:hAnsiTheme="majorBidi" w:cstheme="majorBidi"/>
                <w:sz w:val="18"/>
                <w:szCs w:val="18"/>
                <w:lang w:eastAsia="en-GB"/>
              </w:rPr>
              <w:t>4,256</w:t>
            </w:r>
          </w:p>
        </w:tc>
        <w:tc>
          <w:tcPr>
            <w:tcW w:w="1035" w:type="pct"/>
            <w:tcBorders>
              <w:top w:val="single" w:sz="1" w:space="0" w:color="AAAAAA"/>
              <w:left w:val="single" w:sz="1" w:space="0" w:color="AAAAAA"/>
              <w:bottom w:val="single" w:sz="1" w:space="0" w:color="AAAAAA"/>
              <w:right w:val="single" w:sz="1" w:space="0" w:color="AAAAAA"/>
            </w:tcBorders>
            <w:vAlign w:val="center"/>
          </w:tcPr>
          <w:p w14:paraId="173B9315"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37.0</w:t>
            </w:r>
          </w:p>
        </w:tc>
        <w:tc>
          <w:tcPr>
            <w:tcW w:w="1035" w:type="pct"/>
            <w:tcBorders>
              <w:top w:val="single" w:sz="1" w:space="0" w:color="AAAAAA"/>
              <w:left w:val="single" w:sz="1" w:space="0" w:color="AAAAAA"/>
              <w:bottom w:val="single" w:sz="1" w:space="0" w:color="AAAAAA"/>
              <w:right w:val="single" w:sz="1" w:space="0" w:color="AAAAAA"/>
            </w:tcBorders>
            <w:vAlign w:val="center"/>
          </w:tcPr>
          <w:p w14:paraId="63863AEF"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42.0</w:t>
            </w:r>
          </w:p>
        </w:tc>
        <w:tc>
          <w:tcPr>
            <w:tcW w:w="1034" w:type="pct"/>
            <w:tcBorders>
              <w:top w:val="single" w:sz="1" w:space="0" w:color="AAAAAA"/>
              <w:left w:val="single" w:sz="1" w:space="0" w:color="AAAAAA"/>
              <w:bottom w:val="single" w:sz="1" w:space="0" w:color="AAAAAA"/>
              <w:right w:val="single" w:sz="1" w:space="0" w:color="AAAAAA"/>
            </w:tcBorders>
            <w:vAlign w:val="center"/>
          </w:tcPr>
          <w:p w14:paraId="2F8FC668"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21.0</w:t>
            </w:r>
          </w:p>
        </w:tc>
      </w:tr>
      <w:tr w:rsidR="005F0A67" w:rsidRPr="005F0A67" w14:paraId="48E8F8DB" w14:textId="77777777" w:rsidTr="005F0A67">
        <w:trPr>
          <w:trHeight w:val="144"/>
        </w:trPr>
        <w:tc>
          <w:tcPr>
            <w:tcW w:w="1388"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6090F623"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b/>
                <w:bCs/>
                <w:sz w:val="18"/>
                <w:szCs w:val="18"/>
                <w:lang w:eastAsia="en-GB"/>
              </w:rPr>
            </w:pPr>
            <w:r w:rsidRPr="005F0A67">
              <w:rPr>
                <w:rFonts w:asciiTheme="majorBidi" w:eastAsia="Times New Roman" w:hAnsiTheme="majorBidi" w:cstheme="majorBidi"/>
                <w:sz w:val="18"/>
                <w:szCs w:val="18"/>
                <w:lang w:eastAsia="en-GB"/>
              </w:rPr>
              <w:t>Biotechnology</w:t>
            </w:r>
          </w:p>
        </w:tc>
        <w:tc>
          <w:tcPr>
            <w:tcW w:w="508" w:type="pct"/>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vAlign w:val="center"/>
          </w:tcPr>
          <w:p w14:paraId="343F7548"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ahoma" w:hAnsiTheme="majorBidi" w:cstheme="majorBidi"/>
                <w:sz w:val="18"/>
                <w:szCs w:val="18"/>
                <w:lang w:eastAsia="en-GB"/>
              </w:rPr>
            </w:pPr>
            <w:r w:rsidRPr="005F0A67">
              <w:rPr>
                <w:rFonts w:asciiTheme="majorBidi" w:eastAsia="Times New Roman" w:hAnsiTheme="majorBidi" w:cstheme="majorBidi"/>
                <w:sz w:val="18"/>
                <w:szCs w:val="18"/>
                <w:lang w:eastAsia="en-GB"/>
              </w:rPr>
              <w:t>3,709</w:t>
            </w:r>
          </w:p>
        </w:tc>
        <w:tc>
          <w:tcPr>
            <w:tcW w:w="1035" w:type="pct"/>
            <w:tcBorders>
              <w:top w:val="single" w:sz="1" w:space="0" w:color="AAAAAA"/>
              <w:left w:val="single" w:sz="1" w:space="0" w:color="AAAAAA"/>
              <w:bottom w:val="single" w:sz="1" w:space="0" w:color="AAAAAA"/>
              <w:right w:val="single" w:sz="1" w:space="0" w:color="AAAAAA"/>
            </w:tcBorders>
            <w:vAlign w:val="center"/>
          </w:tcPr>
          <w:p w14:paraId="01831976"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36.0</w:t>
            </w:r>
          </w:p>
        </w:tc>
        <w:tc>
          <w:tcPr>
            <w:tcW w:w="1035" w:type="pct"/>
            <w:tcBorders>
              <w:top w:val="single" w:sz="1" w:space="0" w:color="AAAAAA"/>
              <w:left w:val="single" w:sz="1" w:space="0" w:color="AAAAAA"/>
              <w:bottom w:val="single" w:sz="1" w:space="0" w:color="AAAAAA"/>
              <w:right w:val="single" w:sz="1" w:space="0" w:color="AAAAAA"/>
            </w:tcBorders>
            <w:vAlign w:val="center"/>
          </w:tcPr>
          <w:p w14:paraId="1D74703A"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43.0</w:t>
            </w:r>
          </w:p>
        </w:tc>
        <w:tc>
          <w:tcPr>
            <w:tcW w:w="1034" w:type="pct"/>
            <w:tcBorders>
              <w:top w:val="single" w:sz="1" w:space="0" w:color="AAAAAA"/>
              <w:left w:val="single" w:sz="1" w:space="0" w:color="AAAAAA"/>
              <w:bottom w:val="single" w:sz="1" w:space="0" w:color="AAAAAA"/>
              <w:right w:val="single" w:sz="1" w:space="0" w:color="AAAAAA"/>
            </w:tcBorders>
            <w:vAlign w:val="center"/>
          </w:tcPr>
          <w:p w14:paraId="170228EE"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21.0</w:t>
            </w:r>
          </w:p>
        </w:tc>
      </w:tr>
      <w:tr w:rsidR="005F0A67" w:rsidRPr="005F0A67" w14:paraId="245C6F5F" w14:textId="77777777" w:rsidTr="005F0A67">
        <w:trPr>
          <w:trHeight w:val="144"/>
        </w:trPr>
        <w:tc>
          <w:tcPr>
            <w:tcW w:w="1388"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2C9FC935"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b/>
                <w:bCs/>
                <w:sz w:val="18"/>
                <w:szCs w:val="18"/>
                <w:lang w:eastAsia="en-GB"/>
              </w:rPr>
            </w:pPr>
            <w:r w:rsidRPr="005F0A67">
              <w:rPr>
                <w:rFonts w:asciiTheme="majorBidi" w:eastAsia="Times New Roman" w:hAnsiTheme="majorBidi" w:cstheme="majorBidi"/>
                <w:sz w:val="18"/>
                <w:szCs w:val="18"/>
                <w:lang w:eastAsia="en-GB"/>
              </w:rPr>
              <w:t>Pharmaceuticals</w:t>
            </w:r>
          </w:p>
        </w:tc>
        <w:tc>
          <w:tcPr>
            <w:tcW w:w="508" w:type="pct"/>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vAlign w:val="center"/>
          </w:tcPr>
          <w:p w14:paraId="08F6B7BF"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3,401</w:t>
            </w:r>
          </w:p>
        </w:tc>
        <w:tc>
          <w:tcPr>
            <w:tcW w:w="1035" w:type="pct"/>
            <w:tcBorders>
              <w:top w:val="single" w:sz="1" w:space="0" w:color="AAAAAA"/>
              <w:left w:val="single" w:sz="1" w:space="0" w:color="AAAAAA"/>
              <w:bottom w:val="single" w:sz="1" w:space="0" w:color="AAAAAA"/>
              <w:right w:val="single" w:sz="1" w:space="0" w:color="AAAAAA"/>
            </w:tcBorders>
            <w:vAlign w:val="center"/>
          </w:tcPr>
          <w:p w14:paraId="7BF3C46B"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51.0</w:t>
            </w:r>
          </w:p>
        </w:tc>
        <w:tc>
          <w:tcPr>
            <w:tcW w:w="1035" w:type="pct"/>
            <w:tcBorders>
              <w:top w:val="single" w:sz="1" w:space="0" w:color="AAAAAA"/>
              <w:left w:val="single" w:sz="1" w:space="0" w:color="AAAAAA"/>
              <w:bottom w:val="single" w:sz="1" w:space="0" w:color="AAAAAA"/>
              <w:right w:val="single" w:sz="1" w:space="0" w:color="AAAAAA"/>
            </w:tcBorders>
            <w:vAlign w:val="center"/>
          </w:tcPr>
          <w:p w14:paraId="51C33940"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36.0</w:t>
            </w:r>
          </w:p>
        </w:tc>
        <w:tc>
          <w:tcPr>
            <w:tcW w:w="1034" w:type="pct"/>
            <w:tcBorders>
              <w:top w:val="single" w:sz="1" w:space="0" w:color="AAAAAA"/>
              <w:left w:val="single" w:sz="1" w:space="0" w:color="AAAAAA"/>
              <w:bottom w:val="single" w:sz="1" w:space="0" w:color="AAAAAA"/>
              <w:right w:val="single" w:sz="1" w:space="0" w:color="AAAAAA"/>
            </w:tcBorders>
            <w:vAlign w:val="center"/>
          </w:tcPr>
          <w:p w14:paraId="49783A2B"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13.0</w:t>
            </w:r>
          </w:p>
        </w:tc>
      </w:tr>
      <w:tr w:rsidR="005F0A67" w:rsidRPr="005F0A67" w14:paraId="43756DAF" w14:textId="77777777" w:rsidTr="005F0A67">
        <w:trPr>
          <w:trHeight w:val="144"/>
        </w:trPr>
        <w:tc>
          <w:tcPr>
            <w:tcW w:w="1388"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09294AA2"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b/>
                <w:bCs/>
                <w:sz w:val="18"/>
                <w:szCs w:val="18"/>
                <w:lang w:eastAsia="en-GB"/>
              </w:rPr>
            </w:pPr>
            <w:r w:rsidRPr="005F0A67">
              <w:rPr>
                <w:rFonts w:asciiTheme="majorBidi" w:eastAsia="Times New Roman" w:hAnsiTheme="majorBidi" w:cstheme="majorBidi"/>
                <w:sz w:val="18"/>
                <w:szCs w:val="18"/>
                <w:lang w:eastAsia="en-GB"/>
              </w:rPr>
              <w:t>Laboratory equipment</w:t>
            </w:r>
          </w:p>
        </w:tc>
        <w:tc>
          <w:tcPr>
            <w:tcW w:w="508" w:type="pct"/>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vAlign w:val="center"/>
          </w:tcPr>
          <w:p w14:paraId="1020E865"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2,846</w:t>
            </w:r>
          </w:p>
        </w:tc>
        <w:tc>
          <w:tcPr>
            <w:tcW w:w="1035" w:type="pct"/>
            <w:tcBorders>
              <w:top w:val="single" w:sz="1" w:space="0" w:color="AAAAAA"/>
              <w:left w:val="single" w:sz="1" w:space="0" w:color="AAAAAA"/>
              <w:bottom w:val="single" w:sz="1" w:space="0" w:color="AAAAAA"/>
              <w:right w:val="single" w:sz="1" w:space="0" w:color="AAAAAA"/>
            </w:tcBorders>
            <w:vAlign w:val="center"/>
          </w:tcPr>
          <w:p w14:paraId="59801F5D"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43.0</w:t>
            </w:r>
          </w:p>
        </w:tc>
        <w:tc>
          <w:tcPr>
            <w:tcW w:w="1035" w:type="pct"/>
            <w:tcBorders>
              <w:top w:val="single" w:sz="1" w:space="0" w:color="AAAAAA"/>
              <w:left w:val="single" w:sz="1" w:space="0" w:color="AAAAAA"/>
              <w:bottom w:val="single" w:sz="1" w:space="0" w:color="AAAAAA"/>
              <w:right w:val="single" w:sz="1" w:space="0" w:color="AAAAAA"/>
            </w:tcBorders>
            <w:vAlign w:val="center"/>
          </w:tcPr>
          <w:p w14:paraId="2340273A"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43.0</w:t>
            </w:r>
          </w:p>
        </w:tc>
        <w:tc>
          <w:tcPr>
            <w:tcW w:w="1034" w:type="pct"/>
            <w:tcBorders>
              <w:top w:val="single" w:sz="1" w:space="0" w:color="AAAAAA"/>
              <w:left w:val="single" w:sz="1" w:space="0" w:color="AAAAAA"/>
              <w:bottom w:val="single" w:sz="1" w:space="0" w:color="AAAAAA"/>
              <w:right w:val="single" w:sz="1" w:space="0" w:color="AAAAAA"/>
            </w:tcBorders>
            <w:vAlign w:val="center"/>
          </w:tcPr>
          <w:p w14:paraId="6F2D99E2"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13.0</w:t>
            </w:r>
          </w:p>
        </w:tc>
      </w:tr>
      <w:tr w:rsidR="005F0A67" w:rsidRPr="005F0A67" w14:paraId="306C5F48" w14:textId="77777777" w:rsidTr="005F0A67">
        <w:trPr>
          <w:trHeight w:val="144"/>
        </w:trPr>
        <w:tc>
          <w:tcPr>
            <w:tcW w:w="1388"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0AFDB2B6"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b/>
                <w:bCs/>
                <w:sz w:val="18"/>
                <w:szCs w:val="18"/>
                <w:lang w:eastAsia="en-GB"/>
              </w:rPr>
            </w:pPr>
            <w:r w:rsidRPr="005F0A67">
              <w:rPr>
                <w:rFonts w:asciiTheme="majorBidi" w:eastAsia="Times New Roman" w:hAnsiTheme="majorBidi" w:cstheme="majorBidi"/>
                <w:sz w:val="18"/>
                <w:szCs w:val="18"/>
                <w:lang w:eastAsia="en-GB"/>
              </w:rPr>
              <w:t>Nutraceuticals</w:t>
            </w:r>
          </w:p>
        </w:tc>
        <w:tc>
          <w:tcPr>
            <w:tcW w:w="508" w:type="pct"/>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vAlign w:val="center"/>
          </w:tcPr>
          <w:p w14:paraId="41BDA551"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1,513</w:t>
            </w:r>
          </w:p>
        </w:tc>
        <w:tc>
          <w:tcPr>
            <w:tcW w:w="1035" w:type="pct"/>
            <w:tcBorders>
              <w:top w:val="single" w:sz="1" w:space="0" w:color="AAAAAA"/>
              <w:left w:val="single" w:sz="1" w:space="0" w:color="AAAAAA"/>
              <w:bottom w:val="single" w:sz="1" w:space="0" w:color="AAAAAA"/>
              <w:right w:val="single" w:sz="1" w:space="0" w:color="AAAAAA"/>
            </w:tcBorders>
            <w:vAlign w:val="center"/>
          </w:tcPr>
          <w:p w14:paraId="237BECEB"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25.0</w:t>
            </w:r>
          </w:p>
        </w:tc>
        <w:tc>
          <w:tcPr>
            <w:tcW w:w="1035" w:type="pct"/>
            <w:tcBorders>
              <w:top w:val="single" w:sz="1" w:space="0" w:color="AAAAAA"/>
              <w:left w:val="single" w:sz="1" w:space="0" w:color="AAAAAA"/>
              <w:bottom w:val="single" w:sz="1" w:space="0" w:color="AAAAAA"/>
              <w:right w:val="single" w:sz="1" w:space="0" w:color="AAAAAA"/>
            </w:tcBorders>
            <w:vAlign w:val="center"/>
          </w:tcPr>
          <w:p w14:paraId="643CBAB3"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59.0</w:t>
            </w:r>
          </w:p>
        </w:tc>
        <w:tc>
          <w:tcPr>
            <w:tcW w:w="1034" w:type="pct"/>
            <w:tcBorders>
              <w:top w:val="single" w:sz="1" w:space="0" w:color="AAAAAA"/>
              <w:left w:val="single" w:sz="1" w:space="0" w:color="AAAAAA"/>
              <w:bottom w:val="single" w:sz="1" w:space="0" w:color="AAAAAA"/>
              <w:right w:val="single" w:sz="1" w:space="0" w:color="AAAAAA"/>
            </w:tcBorders>
            <w:vAlign w:val="center"/>
          </w:tcPr>
          <w:p w14:paraId="08D3623C"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16.0</w:t>
            </w:r>
          </w:p>
        </w:tc>
      </w:tr>
      <w:tr w:rsidR="005F0A67" w:rsidRPr="005F0A67" w14:paraId="2591AB53" w14:textId="77777777" w:rsidTr="005F0A67">
        <w:trPr>
          <w:trHeight w:val="144"/>
        </w:trPr>
        <w:tc>
          <w:tcPr>
            <w:tcW w:w="1388"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48900B92"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b/>
                <w:bCs/>
                <w:sz w:val="18"/>
                <w:szCs w:val="18"/>
                <w:lang w:eastAsia="en-GB"/>
              </w:rPr>
            </w:pPr>
            <w:r w:rsidRPr="005F0A67">
              <w:rPr>
                <w:rFonts w:asciiTheme="majorBidi" w:eastAsia="Times New Roman" w:hAnsiTheme="majorBidi" w:cstheme="majorBidi"/>
                <w:sz w:val="18"/>
                <w:szCs w:val="18"/>
                <w:lang w:eastAsia="en-GB"/>
              </w:rPr>
              <w:t>Cosmetics</w:t>
            </w:r>
          </w:p>
        </w:tc>
        <w:tc>
          <w:tcPr>
            <w:tcW w:w="508" w:type="pct"/>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vAlign w:val="center"/>
          </w:tcPr>
          <w:p w14:paraId="5918C5A4"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753</w:t>
            </w:r>
          </w:p>
        </w:tc>
        <w:tc>
          <w:tcPr>
            <w:tcW w:w="1035" w:type="pct"/>
            <w:tcBorders>
              <w:top w:val="single" w:sz="1" w:space="0" w:color="AAAAAA"/>
              <w:left w:val="single" w:sz="1" w:space="0" w:color="AAAAAA"/>
              <w:bottom w:val="single" w:sz="1" w:space="0" w:color="AAAAAA"/>
              <w:right w:val="single" w:sz="1" w:space="0" w:color="AAAAAA"/>
            </w:tcBorders>
            <w:vAlign w:val="center"/>
          </w:tcPr>
          <w:p w14:paraId="26630A1C"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32.0</w:t>
            </w:r>
          </w:p>
        </w:tc>
        <w:tc>
          <w:tcPr>
            <w:tcW w:w="1035" w:type="pct"/>
            <w:tcBorders>
              <w:top w:val="single" w:sz="1" w:space="0" w:color="AAAAAA"/>
              <w:left w:val="single" w:sz="1" w:space="0" w:color="AAAAAA"/>
              <w:bottom w:val="single" w:sz="1" w:space="0" w:color="AAAAAA"/>
              <w:right w:val="single" w:sz="1" w:space="0" w:color="AAAAAA"/>
            </w:tcBorders>
            <w:vAlign w:val="center"/>
          </w:tcPr>
          <w:p w14:paraId="40878C5E"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57.0</w:t>
            </w:r>
          </w:p>
        </w:tc>
        <w:tc>
          <w:tcPr>
            <w:tcW w:w="1034" w:type="pct"/>
            <w:tcBorders>
              <w:top w:val="single" w:sz="1" w:space="0" w:color="AAAAAA"/>
              <w:left w:val="single" w:sz="1" w:space="0" w:color="AAAAAA"/>
              <w:bottom w:val="single" w:sz="1" w:space="0" w:color="AAAAAA"/>
              <w:right w:val="single" w:sz="1" w:space="0" w:color="AAAAAA"/>
            </w:tcBorders>
            <w:vAlign w:val="center"/>
          </w:tcPr>
          <w:p w14:paraId="2B20D4D5"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11.0</w:t>
            </w:r>
          </w:p>
        </w:tc>
      </w:tr>
      <w:tr w:rsidR="005F0A67" w:rsidRPr="005F0A67" w14:paraId="1F4DB117" w14:textId="77777777" w:rsidTr="005F0A67">
        <w:trPr>
          <w:trHeight w:val="19"/>
        </w:trPr>
        <w:tc>
          <w:tcPr>
            <w:tcW w:w="1388" w:type="pct"/>
            <w:tcBorders>
              <w:top w:val="single" w:sz="1" w:space="0" w:color="AAAAAA"/>
              <w:left w:val="single" w:sz="1" w:space="0" w:color="AAAAAA"/>
              <w:bottom w:val="single" w:sz="1" w:space="0" w:color="AAAAAA"/>
              <w:right w:val="single" w:sz="1" w:space="0" w:color="AAAAAA"/>
            </w:tcBorders>
            <w:shd w:val="clear" w:color="auto" w:fill="DAE9F7"/>
            <w:tcMar>
              <w:top w:w="60" w:type="dxa"/>
              <w:left w:w="100" w:type="dxa"/>
              <w:bottom w:w="60" w:type="dxa"/>
              <w:right w:w="100" w:type="dxa"/>
            </w:tcMar>
            <w:vAlign w:val="center"/>
          </w:tcPr>
          <w:p w14:paraId="60664E9D"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b/>
                <w:bCs/>
                <w:sz w:val="18"/>
                <w:szCs w:val="18"/>
                <w:lang w:eastAsia="en-GB"/>
              </w:rPr>
            </w:pPr>
            <w:r w:rsidRPr="005F0A67">
              <w:rPr>
                <w:rFonts w:asciiTheme="majorBidi" w:eastAsia="Times New Roman" w:hAnsiTheme="majorBidi" w:cstheme="majorBidi"/>
                <w:b/>
                <w:bCs/>
                <w:sz w:val="18"/>
                <w:szCs w:val="18"/>
                <w:lang w:eastAsia="en-GB"/>
              </w:rPr>
              <w:t>All sectors</w:t>
            </w:r>
          </w:p>
        </w:tc>
        <w:tc>
          <w:tcPr>
            <w:tcW w:w="508" w:type="pct"/>
            <w:tcBorders>
              <w:top w:val="single" w:sz="1" w:space="0" w:color="AAAAAA"/>
              <w:left w:val="single" w:sz="1" w:space="0" w:color="AAAAAA"/>
              <w:bottom w:val="single" w:sz="1" w:space="0" w:color="AAAAAA"/>
              <w:right w:val="single" w:sz="1" w:space="0" w:color="AAAAAA"/>
            </w:tcBorders>
            <w:shd w:val="clear" w:color="auto" w:fill="DAE9F7"/>
            <w:tcMar>
              <w:top w:w="60" w:type="dxa"/>
              <w:left w:w="100" w:type="dxa"/>
              <w:bottom w:w="60" w:type="dxa"/>
              <w:right w:w="100" w:type="dxa"/>
            </w:tcMar>
            <w:vAlign w:val="center"/>
          </w:tcPr>
          <w:p w14:paraId="4FE2D778"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b/>
                <w:bCs/>
                <w:sz w:val="18"/>
                <w:szCs w:val="18"/>
                <w:lang w:eastAsia="en-GB"/>
              </w:rPr>
              <w:t>21,690</w:t>
            </w:r>
          </w:p>
        </w:tc>
        <w:tc>
          <w:tcPr>
            <w:tcW w:w="1035" w:type="pct"/>
            <w:tcBorders>
              <w:top w:val="single" w:sz="1" w:space="0" w:color="AAAAAA"/>
              <w:left w:val="single" w:sz="1" w:space="0" w:color="AAAAAA"/>
              <w:bottom w:val="single" w:sz="1" w:space="0" w:color="AAAAAA"/>
              <w:right w:val="single" w:sz="1" w:space="0" w:color="AAAAAA"/>
            </w:tcBorders>
            <w:shd w:val="clear" w:color="auto" w:fill="DAE9F7"/>
            <w:vAlign w:val="center"/>
          </w:tcPr>
          <w:p w14:paraId="4C70E8CA"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b/>
                <w:bCs/>
                <w:sz w:val="18"/>
                <w:szCs w:val="18"/>
                <w:lang w:eastAsia="en-GB"/>
              </w:rPr>
              <w:t>38.6</w:t>
            </w:r>
          </w:p>
        </w:tc>
        <w:tc>
          <w:tcPr>
            <w:tcW w:w="1035" w:type="pct"/>
            <w:tcBorders>
              <w:top w:val="single" w:sz="1" w:space="0" w:color="AAAAAA"/>
              <w:left w:val="single" w:sz="1" w:space="0" w:color="AAAAAA"/>
              <w:bottom w:val="single" w:sz="1" w:space="0" w:color="AAAAAA"/>
              <w:right w:val="single" w:sz="1" w:space="0" w:color="AAAAAA"/>
            </w:tcBorders>
            <w:shd w:val="clear" w:color="auto" w:fill="DAE9F7"/>
            <w:vAlign w:val="center"/>
          </w:tcPr>
          <w:p w14:paraId="229F7130"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b/>
                <w:bCs/>
                <w:sz w:val="18"/>
                <w:szCs w:val="18"/>
                <w:lang w:eastAsia="en-GB"/>
              </w:rPr>
              <w:t>43.8</w:t>
            </w:r>
          </w:p>
        </w:tc>
        <w:tc>
          <w:tcPr>
            <w:tcW w:w="1034" w:type="pct"/>
            <w:tcBorders>
              <w:top w:val="single" w:sz="1" w:space="0" w:color="AAAAAA"/>
              <w:left w:val="single" w:sz="1" w:space="0" w:color="AAAAAA"/>
              <w:bottom w:val="single" w:sz="1" w:space="0" w:color="AAAAAA"/>
              <w:right w:val="single" w:sz="1" w:space="0" w:color="AAAAAA"/>
            </w:tcBorders>
            <w:shd w:val="clear" w:color="auto" w:fill="DAE9F7"/>
            <w:vAlign w:val="center"/>
          </w:tcPr>
          <w:p w14:paraId="59C6162D"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b/>
                <w:bCs/>
                <w:sz w:val="18"/>
                <w:szCs w:val="18"/>
                <w:lang w:eastAsia="en-GB"/>
              </w:rPr>
              <w:t>17.5</w:t>
            </w:r>
          </w:p>
        </w:tc>
      </w:tr>
    </w:tbl>
    <w:p w14:paraId="028F72AF" w14:textId="77777777" w:rsidR="005F0A67" w:rsidRPr="005F0A67" w:rsidRDefault="005F0A67" w:rsidP="005F0A67">
      <w:pPr>
        <w:tabs>
          <w:tab w:val="clear" w:pos="567"/>
          <w:tab w:val="clear" w:pos="1134"/>
          <w:tab w:val="clear" w:pos="1701"/>
          <w:tab w:val="clear" w:pos="2268"/>
        </w:tabs>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i/>
          <w:iCs/>
          <w:sz w:val="18"/>
          <w:szCs w:val="18"/>
          <w:lang w:val="en-CA" w:eastAsia="en-GB"/>
        </w:rPr>
        <w:t xml:space="preserve">Note: </w:t>
      </w:r>
      <w:r w:rsidRPr="005F0A67">
        <w:rPr>
          <w:rFonts w:asciiTheme="majorBidi" w:eastAsia="Times New Roman" w:hAnsiTheme="majorBidi" w:cstheme="majorBidi"/>
          <w:sz w:val="18"/>
          <w:szCs w:val="18"/>
          <w:lang w:val="en-CA" w:eastAsia="en-GB"/>
        </w:rPr>
        <w:t xml:space="preserve">Revenue-base payers are firms with a three-year average profit margin exceeding 10%, for whom the revenue levy is cost-minimising under the current contribution structure. Profit-base payers report margins between 0% and 10%. Zero-contributors report </w:t>
      </w:r>
      <w:r w:rsidRPr="005F0A67">
        <w:rPr>
          <w:rFonts w:asciiTheme="majorBidi" w:eastAsia="Times New Roman" w:hAnsiTheme="majorBidi" w:cstheme="majorBidi"/>
          <w:sz w:val="18"/>
          <w:szCs w:val="18"/>
          <w:lang w:val="en-CA" w:eastAsia="en-GB"/>
        </w:rPr>
        <w:lastRenderedPageBreak/>
        <w:t>negative average profits and pay nothing under the profit base. Shares may not sum to 100% due to rounding. Three-year average financials 2021-2023.</w:t>
      </w:r>
    </w:p>
    <w:p w14:paraId="542F674F" w14:textId="77777777" w:rsidR="005F0A67" w:rsidRPr="005F0A67" w:rsidRDefault="005F0A67" w:rsidP="005F0A67">
      <w:pPr>
        <w:tabs>
          <w:tab w:val="clear" w:pos="567"/>
          <w:tab w:val="clear" w:pos="1134"/>
          <w:tab w:val="clear" w:pos="1701"/>
          <w:tab w:val="clear" w:pos="2268"/>
        </w:tabs>
        <w:spacing w:line="293" w:lineRule="auto"/>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i/>
          <w:iCs/>
          <w:sz w:val="18"/>
          <w:szCs w:val="18"/>
          <w:lang w:val="en-CA" w:eastAsia="en-GB"/>
        </w:rPr>
        <w:t xml:space="preserve">Source: </w:t>
      </w:r>
      <w:r w:rsidRPr="005F0A67">
        <w:rPr>
          <w:rFonts w:asciiTheme="majorBidi" w:eastAsia="Times New Roman" w:hAnsiTheme="majorBidi" w:cstheme="majorBidi"/>
          <w:sz w:val="18"/>
          <w:szCs w:val="18"/>
          <w:lang w:val="en-CA" w:eastAsia="en-GB"/>
        </w:rPr>
        <w:t>Author’s calculations based on</w:t>
      </w:r>
      <w:r w:rsidRPr="005F0A67">
        <w:rPr>
          <w:rFonts w:asciiTheme="majorBidi" w:eastAsia="Times New Roman" w:hAnsiTheme="majorBidi" w:cstheme="majorBidi"/>
          <w:i/>
          <w:iCs/>
          <w:sz w:val="18"/>
          <w:szCs w:val="18"/>
          <w:lang w:val="en-CA" w:eastAsia="en-GB"/>
        </w:rPr>
        <w:t xml:space="preserve"> </w:t>
      </w:r>
      <w:r w:rsidRPr="005F0A67">
        <w:rPr>
          <w:rFonts w:asciiTheme="majorBidi" w:eastAsia="Times New Roman" w:hAnsiTheme="majorBidi" w:cstheme="majorBidi"/>
          <w:sz w:val="18"/>
          <w:szCs w:val="18"/>
          <w:lang w:val="en-CA" w:eastAsia="en-GB"/>
        </w:rPr>
        <w:t xml:space="preserve">Makowska-Curran </w:t>
      </w:r>
      <w:r w:rsidRPr="005F0A67">
        <w:rPr>
          <w:rFonts w:asciiTheme="majorBidi" w:eastAsia="Times New Roman" w:hAnsiTheme="majorBidi" w:cstheme="majorBidi"/>
          <w:sz w:val="18"/>
          <w:szCs w:val="18"/>
          <w:lang w:val="en-CA" w:eastAsia="en-GB"/>
        </w:rPr>
        <w:fldChar w:fldCharType="begin"/>
      </w:r>
      <w:r w:rsidRPr="005F0A67">
        <w:rPr>
          <w:rFonts w:asciiTheme="majorBidi" w:eastAsia="Times New Roman" w:hAnsiTheme="majorBidi" w:cstheme="majorBidi"/>
          <w:sz w:val="18"/>
          <w:szCs w:val="18"/>
          <w:lang w:val="en-CA" w:eastAsia="en-GB"/>
        </w:rPr>
        <w:instrText xml:space="preserve"> ADDIN ZOTERO_ITEM CSL_CITATION {"citationID":"Ci2DNCqD","properties":{"unsorted":false,"formattedCitation":"(2026)","plainCitation":"(2026)","noteIndex":0},"citationItems":[{"id":77,"uris":["http://zotero.org/users/14977742/items/2PI55QKT"],"itemData":{"id":77,"type":"article-journal","abstract":"This paper provides the first global, firm-level analysis of what the Cali Fund, designed to support global conservation, is likely to raise and how resources would be distributed.","citation-key":"GlobalBiodiversityCommitments","container-title":"Grantham Research Institute on climate change and the environment","language":"en-GB","publisher":"London School of Economics and Political Science (LSE)","title":"From global biodiversity commitments to local action: revenue potential and allocation dynamics of the Cali Fund","title-short":"From global biodiversity commitments to local action","URL":"https://www.lse.ac.uk/granthaminstitute/publication/from-global-biodiversity-commitments-to-local-action-revenue-potential-and-allocation-dynamics-of-the-cali-fund/","author":[{"family":"Makowska-Curran","given":"Agata"}],"accessed":{"date-parts":[["2026",6,3]]},"issued":{"date-parts":[["2026",6]]}},"suppress-author":true}],"schema":"https://github.com/citation-style-language/schema/raw/master/csl-citation.json"} </w:instrText>
      </w:r>
      <w:r w:rsidRPr="005F0A67">
        <w:rPr>
          <w:rFonts w:asciiTheme="majorBidi" w:eastAsia="Times New Roman" w:hAnsiTheme="majorBidi" w:cstheme="majorBidi"/>
          <w:sz w:val="18"/>
          <w:szCs w:val="18"/>
          <w:lang w:val="en-CA" w:eastAsia="en-GB"/>
        </w:rPr>
        <w:fldChar w:fldCharType="separate"/>
      </w:r>
      <w:r w:rsidRPr="005F0A67">
        <w:rPr>
          <w:rFonts w:asciiTheme="majorBidi" w:eastAsia="Times New Roman" w:hAnsiTheme="majorBidi" w:cstheme="majorBidi"/>
          <w:sz w:val="18"/>
          <w:szCs w:val="18"/>
          <w:lang w:val="en-CA" w:eastAsia="en-GB"/>
        </w:rPr>
        <w:t>(2026)</w:t>
      </w:r>
      <w:r w:rsidRPr="005F0A67">
        <w:rPr>
          <w:rFonts w:asciiTheme="majorBidi" w:eastAsia="Times New Roman" w:hAnsiTheme="majorBidi" w:cstheme="majorBidi"/>
          <w:sz w:val="18"/>
          <w:szCs w:val="18"/>
          <w:lang w:val="en-CA" w:eastAsia="en-GB"/>
        </w:rPr>
        <w:fldChar w:fldCharType="end"/>
      </w:r>
      <w:r w:rsidRPr="005F0A67">
        <w:rPr>
          <w:rFonts w:asciiTheme="majorBidi" w:eastAsia="Times New Roman" w:hAnsiTheme="majorBidi" w:cstheme="majorBidi"/>
          <w:sz w:val="18"/>
          <w:szCs w:val="18"/>
          <w:lang w:val="en-CA" w:eastAsia="en-GB"/>
        </w:rPr>
        <w:t>.</w:t>
      </w:r>
    </w:p>
    <w:p w14:paraId="399B2355" w14:textId="77777777" w:rsidR="005F0A67" w:rsidRPr="005F0A67" w:rsidRDefault="005F0A67" w:rsidP="005F0A67">
      <w:pPr>
        <w:tabs>
          <w:tab w:val="clear" w:pos="567"/>
          <w:tab w:val="clear" w:pos="1134"/>
          <w:tab w:val="clear" w:pos="1701"/>
          <w:tab w:val="clear" w:pos="2268"/>
        </w:tabs>
        <w:spacing w:line="293" w:lineRule="auto"/>
        <w:rPr>
          <w:rFonts w:asciiTheme="majorBidi" w:eastAsia="Times New Roman" w:hAnsiTheme="majorBidi" w:cstheme="majorBidi"/>
          <w:sz w:val="18"/>
          <w:szCs w:val="18"/>
          <w:lang w:val="en-CA" w:eastAsia="en-GB"/>
        </w:rPr>
      </w:pPr>
    </w:p>
    <w:p w14:paraId="0FA7585C"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The contribution structure also produces two distinct regime-switching risks across reference periods. The first concerns firms near the zero-profit boundary moving from profit-base contributor to zero-contributor status if profitability falls in the contribution year, without any change in their underlying DSI activity. The second, less severe but worth noting, concerns firms near the 10% threshold moving from the stable revenue-base regime into the more volatile profit-base regime if their margin compresses. Both dynamics introduce an inherent tension between the protective function of the contribution structure (i.e. exempting genuinely loss-making firms) and the predictability of the fund's revenue base. The revenue stability findings are examined in Part II (Section “Minimum-of-two design and revenue </w:t>
      </w:r>
      <w:proofErr w:type="spellStart"/>
      <w:r w:rsidRPr="005F0A67">
        <w:rPr>
          <w:rFonts w:asciiTheme="majorBidi" w:eastAsia="Times New Roman" w:hAnsiTheme="majorBidi" w:cstheme="majorBidi"/>
          <w:lang w:val="en-CA" w:eastAsia="en-GB"/>
        </w:rPr>
        <w:t>stabillity</w:t>
      </w:r>
      <w:proofErr w:type="spellEnd"/>
      <w:r w:rsidRPr="005F0A67">
        <w:rPr>
          <w:rFonts w:asciiTheme="majorBidi" w:eastAsia="Times New Roman" w:hAnsiTheme="majorBidi" w:cstheme="majorBidi"/>
          <w:lang w:val="en-CA" w:eastAsia="en-GB"/>
        </w:rPr>
        <w:t>”).</w:t>
      </w:r>
    </w:p>
    <w:p w14:paraId="21F58B27"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The contribution structure produces a set of trade-offs that reflect the broader design challenge of balancing revenue generation against the protection of firms facing genuine financial constraints. The profit floor means that firms reporting losses contribute nothing regardless of their revenue or DSI activity. Submissions from Parties and industry stakeholders noted that this protects early-stage firms, particularly in the biotechnology and pharmaceutical R&amp;D from obligations arising before commercial returns materialise. At the same time, as noted in the uncertainty register and conditional on participation, the same feature creates a structural incentive for profit management among firms with low but positive margins, a phenomenon well documented for profit-based taxation and systems generally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{"citationID":"kazEtJ2Y","properties":{"unsorted":false,"formattedCitation":"(Sahay, 2013; Choi, Furusawa and Ishikawa, 2020; Sebele-Mpofu, Mashiri and Schwartz, 2021)","plainCitation":"(Sahay, 2013; Choi, Furusawa and Ishikawa, 2020; Sebele-Mpofu, Mashiri and Schwartz, 2021)","noteIndex":0},"citationItems":[{"id":245,"uris":["http://zotero.org/users/14977742/items/78D5UAIM"],"itemData":{"id":245,"type":"chapter","abstract":"This paper intends to explore transfer pricing and some popular transfer pricing methods. Since transfer prices are used to assess the incomes of the firm&amp;#8217;s divisions, choice of a transfer pricing policy can influence many important operational and strategic...","citation-key":"sahayFinancialControlTransfer2013","container-title":"Encyclopedia of Finance","DOI":"10.1007/978-1-4614-5360-4_67","ISBN":"978-1-4614-5360-4","language":"en","note":"DOI: 10.1007/978-1-4614-5360-4_67","page":"783-794","publisher":"Springer, Boston, MA","source":"link.springer.com","title":"Financial Control and Transfer Pricing","URL":"https://link.springer.com/rwe/10.1007/978-1-4614-5360-4_67","author":[{"family":"Sahay","given":"Savita A."}],"accessed":{"date-parts":[["2026",5,16]]},"issued":{"date-parts":[["2013"]]}}},{"id":243,"uris":["http://zotero.org/users/14977742/items/UQV7D2LK"],"itemData":{"id":243,"type":"article-journal","abstract":"The paper analyzes multinational enterprises' incentives to manipulate internal transfer prices to take advantage of tax differences across countries, and implications of transfer-pricing regulations as a countermeasure against such profit shifting. We find that tax-motivated foreign direct investment (FDI) may entail inefficient internal production but may benefit consumers. Thus, encouraging transfer-pricing behavior to some extent can enhance social welfare. Furthermore, we consider tax competition between two countries to explore its interplay with transfer-pricing regulations. We show that the FDI source country will be willing to set a higher tax rate and tolerate some profit shifting to a tax haven country if the regulation is tight enough. We also indicate a novel mechanism through which it is the larger country that undertakes tax-motivated FDI, the pattern we often observe in reality.","citation-key":"choiTransferPricingRegulation2020","container-title":"Journal of International Economics","DOI":"10.1016/j.jinteco.2020.103367","ISSN":"0022-1996","journalAbbreviation":"Journal of International Economics","page":"103367","source":"ScienceDirect","title":"Transfer pricing regulation and tax competition","volume":"127","author":[{"family":"Choi","given":"Jay Pil"},{"family":"Furusawa","given":"Taiji"},{"family":"Ishikawa","given":"Jota"}],"issued":{"date-parts":[["2020",11,1]]}}},{"id":244,"uris":["http://zotero.org/users/14977742/items/A4X3Y2UF"],"itemData":{"id":244,"type":"article-journal","abstract":"The abuse of transfer pricing by multinational enterprises (MNEs) is a topical issue the world over. Abusive transfer pricing results in the erosion of tax bases and profit shifting from countries with high tax rates to those with lower tax rates, thus enabling tax avoidance and evasion. Developing countries are argued to suffer most under the negative impacts of transfer pricing manipulation. This study investigates the strategies employed by MNEs to minimise their tax burden in developing countries. An understanding of the motives and strategies is fundamental in tax policy crafting and improvements that effectively respond to transfer pricing. Adopting the interpretivist research philosophy with the use of in-depth interviews with tax officers, tax consultants and Ministry of Finance Officials, the study established that amongst the transfer pricing schemes used by MNEs in Zimbabwe, the predominant one was the use of service fees. The most notable being management fees, this was a contribution to knowledge as this strategy was found to be scarcely discussed in literature and there was very little empirical evidence to back its existence. The study recommended use of targeted approaches by the revenue authority to minimise revenue losses through intragroup services. The findings serve as vital information for policymakers, revenue authorities and tax auditors.","citation-key":"sebele-mpofuExpositionTransferPricing2021","container-title":"Cogent Business &amp; Management","DOI":"10.1080/23311975.2021.1944007","ISSN":"null","issue":"1","note":"_eprint: https://doi.org/10.1080/23311975.2021.1944007","page":"1944007","publisher":"Cogent OA","source":"Taylor and Francis+NEJM","title":"An exposition of transfer pricing motives, strategies and their implementation in tax avoidance by MNEs in developing countries","volume":"8","author":[{"family":"Sebele-Mpofu","given":"Favourate"},{"family":"Mashiri","given":"Eukeria"},{"family":"Schwartz","given":"Samantha Chantelle"}],"editor":[{"family":"Ntim","given":"Collins G."}],"issued":{"date-parts":[["2021",1,1]]}}}],"schema":"https://github.com/citation-style-language/schema/raw/master/csl-citation.json"}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(Sahay, 2013; Choi, Furusawa and Ishikawa, 2020; Sebele-Mpofu, Mashiri and Schwartz, 2021)</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though existing financial reporting standards, audit requirements, and tax transparency measures in many jurisdictions may limit the scope for such behaviour in practice. The revenue implications of which are discussed in Section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_Ref229996514 \r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6.4</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The broader distributional implications of the contribution structure across firm types and sectors are examined in Part III.</w:t>
      </w:r>
    </w:p>
    <w:p w14:paraId="63E826D1" w14:textId="77777777" w:rsidR="005F0A67" w:rsidRPr="005F0A67" w:rsidRDefault="005F0A67" w:rsidP="005F0A67">
      <w:pPr>
        <w:numPr>
          <w:ilvl w:val="1"/>
          <w:numId w:val="12"/>
        </w:numPr>
        <w:tabs>
          <w:tab w:val="clear" w:pos="567"/>
          <w:tab w:val="clear" w:pos="1134"/>
          <w:tab w:val="clear" w:pos="1701"/>
          <w:tab w:val="clear" w:pos="2268"/>
        </w:tabs>
        <w:spacing w:before="320" w:after="160"/>
        <w:ind w:left="576" w:hanging="576"/>
        <w:jc w:val="left"/>
        <w:outlineLvl w:val="1"/>
        <w:rPr>
          <w:rFonts w:asciiTheme="majorBidi" w:eastAsia="Arial" w:hAnsiTheme="majorBidi" w:cstheme="majorBidi"/>
          <w:b/>
          <w:bCs/>
          <w:color w:val="1A1A1A"/>
          <w:sz w:val="23"/>
          <w:szCs w:val="23"/>
          <w:lang w:val="en-CA" w:eastAsia="en-GB"/>
        </w:rPr>
      </w:pPr>
      <w:bookmarkStart w:id="118" w:name="_Ref229996514"/>
      <w:bookmarkStart w:id="119" w:name="_Toc234579580"/>
      <w:r w:rsidRPr="005F0A67">
        <w:rPr>
          <w:rFonts w:asciiTheme="majorBidi" w:eastAsia="Arial" w:hAnsiTheme="majorBidi" w:cstheme="majorBidi"/>
          <w:b/>
          <w:bCs/>
          <w:color w:val="1A1A1A"/>
          <w:sz w:val="23"/>
          <w:szCs w:val="23"/>
          <w:lang w:val="en-CA" w:eastAsia="en-GB"/>
        </w:rPr>
        <w:t>Results</w:t>
      </w:r>
      <w:bookmarkEnd w:id="118"/>
      <w:bookmarkEnd w:id="119"/>
    </w:p>
    <w:p w14:paraId="5C25FCFC"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_Ref230090932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Table 12</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shows revenue estimates from Makowska-Curran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{"citationID":"W20vmssx","properties":{"unsorted":false,"formattedCitation":"(2026)","plainCitation":"(2026)","noteIndex":0},"citationItems":[{"id":77,"uris":["http://zotero.org/users/14977742/items/2PI55QKT"],"itemData":{"id":77,"type":"article-journal","abstract":"This paper provides the first global, firm-level analysis of what the Cali Fund, designed to support global conservation, is likely to raise and how resources would be distributed.","citation-key":"GlobalBiodiversityCommitments","container-title":"Grantham Research Institute on climate change and the environment","language":"en-GB","publisher":"London School of Economics and Political Science (LSE)","title":"From global biodiversity commitments to local action: revenue potential and allocation dynamics of the Cali Fund","title-short":"From global biodiversity commitments to local action","URL":"https://www.lse.ac.uk/granthaminstitute/publication/from-global-biodiversity-commitments-to-local-action-revenue-potential-and-allocation-dynamics-of-the-cali-fund/","author":[{"family":"Makowska-Curran","given":"Agata"}],"accessed":{"date-parts":[["2026",6,3]]},"issued":{"date-parts":[["2026",6]]}},"suppress-author":true}],"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(2026)</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for five scenarios, along with NPV projections at a 3% discount rate. These estimates draw on the best available evidence, but because no voluntary scheme with the Cali Fund's specific design features has been observed, the participation assumptions behind them are necessarily calibrated from other contexts rather than the Fund itself. The range presented here should be read as the plausible bounds implied by that evidence, not as a forecast of what the Fund will raise. Actual outcomes will depend on the Conference of the Parties' eventual decisions on thresholds and rates, subsequent national implementation measures, and how participation and corporate behaviour evolve once Decision 16/2 is operational. If all 21,690 eligible entities fully comply, they would contribute approximately USD 3.6 billion each year (S0,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_Ref230090932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Table 12</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The central S3 estimate is USD 929 million, which is about one quarter of the full compliance figure. This reduction reflects differences in sector-level participation, ownership, and DSI intensity across the eligible population. The S1 and S2 estimates of approximately USD 1,2 billion are somewhat higher than S3 because they do not include the downward DSI intensity adjustment. For the S4 scenario, which assumes a gradual increase in participation, the total revenue by 2035 (discounted at 3%) is USD 4.3 billion. This is USD 3.9 billion less than the USD 8.2 billion projected under the static S3 scenario, showing the impact of slower early participation compared to steady-state involvement.</w:t>
      </w:r>
    </w:p>
    <w:p w14:paraId="5CAC90CE" w14:textId="77777777" w:rsidR="00B54840" w:rsidRDefault="00B54840" w:rsidP="005F0A67">
      <w:pPr>
        <w:tabs>
          <w:tab w:val="clear" w:pos="567"/>
          <w:tab w:val="clear" w:pos="1134"/>
          <w:tab w:val="clear" w:pos="1701"/>
          <w:tab w:val="clear" w:pos="2268"/>
        </w:tabs>
        <w:spacing w:before="240" w:after="200" w:line="312" w:lineRule="auto"/>
        <w:contextualSpacing/>
        <w:rPr>
          <w:rFonts w:asciiTheme="majorBidi" w:eastAsia="Georgia" w:hAnsiTheme="majorBidi" w:cstheme="majorBidi"/>
          <w:b/>
          <w:bCs/>
          <w:color w:val="419844"/>
          <w:lang w:val="en-US" w:eastAsia="ja-JP"/>
        </w:rPr>
      </w:pPr>
      <w:bookmarkStart w:id="120" w:name="_Ref230090932"/>
      <w:bookmarkStart w:id="121" w:name="_Ref235032810"/>
    </w:p>
    <w:p w14:paraId="53EB9A3D" w14:textId="77777777" w:rsidR="00B54840" w:rsidRDefault="00B54840" w:rsidP="005F0A67">
      <w:pPr>
        <w:tabs>
          <w:tab w:val="clear" w:pos="567"/>
          <w:tab w:val="clear" w:pos="1134"/>
          <w:tab w:val="clear" w:pos="1701"/>
          <w:tab w:val="clear" w:pos="2268"/>
        </w:tabs>
        <w:spacing w:before="240" w:after="200" w:line="312" w:lineRule="auto"/>
        <w:contextualSpacing/>
        <w:rPr>
          <w:rFonts w:asciiTheme="majorBidi" w:eastAsia="Georgia" w:hAnsiTheme="majorBidi" w:cstheme="majorBidi"/>
          <w:b/>
          <w:bCs/>
          <w:color w:val="419844"/>
          <w:lang w:val="en-US" w:eastAsia="ja-JP"/>
        </w:rPr>
      </w:pPr>
    </w:p>
    <w:p w14:paraId="38674051" w14:textId="52925C4B" w:rsidR="005F0A67" w:rsidRPr="005F0A67" w:rsidRDefault="005F0A67" w:rsidP="005F0A67">
      <w:pPr>
        <w:tabs>
          <w:tab w:val="clear" w:pos="567"/>
          <w:tab w:val="clear" w:pos="1134"/>
          <w:tab w:val="clear" w:pos="1701"/>
          <w:tab w:val="clear" w:pos="2268"/>
        </w:tabs>
        <w:spacing w:before="240" w:after="200" w:line="312" w:lineRule="auto"/>
        <w:contextualSpacing/>
        <w:rPr>
          <w:rFonts w:asciiTheme="majorBidi" w:eastAsia="Georgia" w:hAnsiTheme="majorBidi" w:cstheme="majorBidi"/>
          <w:b/>
          <w:bCs/>
          <w:color w:val="419844"/>
          <w:lang w:eastAsia="en-GB"/>
        </w:rPr>
      </w:pPr>
      <w:r w:rsidRPr="005F0A67">
        <w:rPr>
          <w:rFonts w:asciiTheme="majorBidi" w:eastAsia="Georgia" w:hAnsiTheme="majorBidi" w:cstheme="majorBidi"/>
          <w:b/>
          <w:bCs/>
          <w:color w:val="419844"/>
          <w:lang w:val="en-US" w:eastAsia="ja-JP"/>
        </w:rPr>
        <w:lastRenderedPageBreak/>
        <w:t xml:space="preserve">Table </w:t>
      </w:r>
      <w:r w:rsidRPr="005F0A67">
        <w:rPr>
          <w:rFonts w:asciiTheme="majorBidi" w:eastAsia="Georgia" w:hAnsiTheme="majorBidi" w:cstheme="majorBidi"/>
          <w:b/>
          <w:bCs/>
          <w:color w:val="419844"/>
          <w:lang w:eastAsia="en-GB"/>
        </w:rPr>
        <w:fldChar w:fldCharType="begin"/>
      </w:r>
      <w:r w:rsidRPr="005F0A67">
        <w:rPr>
          <w:rFonts w:asciiTheme="majorBidi" w:eastAsia="Georgia" w:hAnsiTheme="majorBidi" w:cstheme="majorBidi"/>
          <w:b/>
          <w:bCs/>
          <w:color w:val="419844"/>
          <w:lang w:eastAsia="en-GB"/>
        </w:rPr>
        <w:instrText xml:space="preserve"> SEQ Table \* ARABIC </w:instrText>
      </w:r>
      <w:r w:rsidRPr="005F0A67">
        <w:rPr>
          <w:rFonts w:asciiTheme="majorBidi" w:eastAsia="Georgia" w:hAnsiTheme="majorBidi" w:cstheme="majorBidi"/>
          <w:b/>
          <w:bCs/>
          <w:color w:val="419844"/>
          <w:lang w:eastAsia="en-GB"/>
        </w:rPr>
        <w:fldChar w:fldCharType="separate"/>
      </w:r>
      <w:r w:rsidRPr="005F0A67">
        <w:rPr>
          <w:rFonts w:asciiTheme="majorBidi" w:eastAsia="Georgia" w:hAnsiTheme="majorBidi" w:cstheme="majorBidi"/>
          <w:b/>
          <w:bCs/>
          <w:noProof/>
          <w:color w:val="419844"/>
          <w:lang w:eastAsia="en-GB"/>
        </w:rPr>
        <w:t>12</w:t>
      </w:r>
      <w:r w:rsidRPr="005F0A67">
        <w:rPr>
          <w:rFonts w:asciiTheme="majorBidi" w:eastAsia="Georgia" w:hAnsiTheme="majorBidi" w:cstheme="majorBidi"/>
          <w:b/>
          <w:bCs/>
          <w:color w:val="419844"/>
          <w:lang w:eastAsia="en-GB"/>
        </w:rPr>
        <w:fldChar w:fldCharType="end"/>
      </w:r>
      <w:bookmarkEnd w:id="120"/>
      <w:r w:rsidRPr="005F0A67">
        <w:rPr>
          <w:rFonts w:asciiTheme="majorBidi" w:eastAsia="Georgia" w:hAnsiTheme="majorBidi" w:cstheme="majorBidi"/>
          <w:b/>
          <w:bCs/>
          <w:color w:val="419844"/>
          <w:lang w:val="en-US" w:eastAsia="ja-JP"/>
        </w:rPr>
        <w:t xml:space="preserve"> Estimated annual contributions and NPV projections</w:t>
      </w:r>
      <w:bookmarkEnd w:id="12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2228"/>
        <w:gridCol w:w="1496"/>
        <w:gridCol w:w="1499"/>
        <w:gridCol w:w="1497"/>
        <w:gridCol w:w="1499"/>
        <w:gridCol w:w="1499"/>
      </w:tblGrid>
      <w:tr w:rsidR="005F0A67" w:rsidRPr="005F0A67" w14:paraId="1C09A95E" w14:textId="77777777" w:rsidTr="00FB671B">
        <w:trPr>
          <w:trHeight w:val="108"/>
          <w:tblHeader/>
        </w:trPr>
        <w:tc>
          <w:tcPr>
            <w:tcW w:w="1147" w:type="pct"/>
            <w:tcBorders>
              <w:top w:val="single" w:sz="1" w:space="0" w:color="AAAAAA"/>
              <w:left w:val="single" w:sz="1" w:space="0" w:color="AAAAAA"/>
              <w:bottom w:val="single" w:sz="1" w:space="0" w:color="AAAAAA"/>
              <w:right w:val="single" w:sz="1" w:space="0" w:color="AAAAAA"/>
            </w:tcBorders>
            <w:shd w:val="clear" w:color="auto" w:fill="1F4E6B"/>
            <w:tcMar>
              <w:top w:w="60" w:type="dxa"/>
              <w:left w:w="100" w:type="dxa"/>
              <w:bottom w:w="60" w:type="dxa"/>
              <w:right w:w="100" w:type="dxa"/>
            </w:tcMar>
            <w:vAlign w:val="center"/>
          </w:tcPr>
          <w:p w14:paraId="6C1B2510"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FFFFFF"/>
                <w:sz w:val="18"/>
                <w:szCs w:val="18"/>
                <w:lang w:val="en-CA" w:eastAsia="en-GB"/>
              </w:rPr>
            </w:pPr>
            <w:r w:rsidRPr="005F0A67">
              <w:rPr>
                <w:rFonts w:asciiTheme="majorBidi" w:eastAsia="Times New Roman" w:hAnsiTheme="majorBidi" w:cstheme="majorBidi"/>
                <w:b/>
                <w:bCs/>
                <w:color w:val="FFFFFF"/>
                <w:sz w:val="18"/>
                <w:szCs w:val="18"/>
                <w:lang w:val="en-CA" w:eastAsia="en-GB"/>
              </w:rPr>
              <w:t>Scenario</w:t>
            </w:r>
          </w:p>
        </w:tc>
        <w:tc>
          <w:tcPr>
            <w:tcW w:w="770" w:type="pct"/>
            <w:tcBorders>
              <w:top w:val="single" w:sz="1" w:space="0" w:color="AAAAAA"/>
              <w:left w:val="single" w:sz="1" w:space="0" w:color="AAAAAA"/>
              <w:bottom w:val="single" w:sz="1" w:space="0" w:color="AAAAAA"/>
              <w:right w:val="single" w:sz="1" w:space="0" w:color="AAAAAA"/>
            </w:tcBorders>
            <w:shd w:val="clear" w:color="auto" w:fill="1F4E6B"/>
            <w:tcMar>
              <w:top w:w="60" w:type="dxa"/>
              <w:left w:w="100" w:type="dxa"/>
              <w:bottom w:w="60" w:type="dxa"/>
              <w:right w:w="100" w:type="dxa"/>
            </w:tcMar>
            <w:vAlign w:val="center"/>
          </w:tcPr>
          <w:p w14:paraId="6869B525"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FFFFFF"/>
                <w:sz w:val="18"/>
                <w:szCs w:val="18"/>
                <w:lang w:val="en-CA" w:eastAsia="en-GB"/>
              </w:rPr>
            </w:pPr>
            <w:r w:rsidRPr="005F0A67">
              <w:rPr>
                <w:rFonts w:asciiTheme="majorBidi" w:eastAsia="Times New Roman" w:hAnsiTheme="majorBidi" w:cstheme="majorBidi"/>
                <w:b/>
                <w:bCs/>
                <w:color w:val="FFFFFF"/>
                <w:sz w:val="18"/>
                <w:szCs w:val="18"/>
                <w:lang w:val="en-CA" w:eastAsia="en-GB"/>
              </w:rPr>
              <w:t>Annual mean (USD billion)</w:t>
            </w:r>
          </w:p>
        </w:tc>
        <w:tc>
          <w:tcPr>
            <w:tcW w:w="771" w:type="pct"/>
            <w:tcBorders>
              <w:top w:val="single" w:sz="1" w:space="0" w:color="AAAAAA"/>
              <w:left w:val="single" w:sz="1" w:space="0" w:color="AAAAAA"/>
              <w:bottom w:val="single" w:sz="1" w:space="0" w:color="AAAAAA"/>
              <w:right w:val="single" w:sz="1" w:space="0" w:color="AAAAAA"/>
            </w:tcBorders>
            <w:shd w:val="clear" w:color="auto" w:fill="1F4E6B"/>
            <w:vAlign w:val="center"/>
          </w:tcPr>
          <w:p w14:paraId="3A5740A8"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FFFFFF"/>
                <w:sz w:val="18"/>
                <w:szCs w:val="18"/>
                <w:lang w:val="en-CA" w:eastAsia="en-GB"/>
              </w:rPr>
            </w:pPr>
            <w:r w:rsidRPr="005F0A67">
              <w:rPr>
                <w:rFonts w:asciiTheme="majorBidi" w:eastAsia="Times New Roman" w:hAnsiTheme="majorBidi" w:cstheme="majorBidi"/>
                <w:b/>
                <w:bCs/>
                <w:color w:val="FFFFFF"/>
                <w:sz w:val="18"/>
                <w:szCs w:val="18"/>
                <w:lang w:val="en-CA" w:eastAsia="en-GB"/>
              </w:rPr>
              <w:t>P5-P95 range</w:t>
            </w:r>
          </w:p>
        </w:tc>
        <w:tc>
          <w:tcPr>
            <w:tcW w:w="770" w:type="pct"/>
            <w:tcBorders>
              <w:top w:val="single" w:sz="1" w:space="0" w:color="AAAAAA"/>
              <w:left w:val="single" w:sz="1" w:space="0" w:color="AAAAAA"/>
              <w:bottom w:val="single" w:sz="1" w:space="0" w:color="AAAAAA"/>
              <w:right w:val="single" w:sz="1" w:space="0" w:color="AAAAAA"/>
            </w:tcBorders>
            <w:shd w:val="clear" w:color="auto" w:fill="1F4E6B"/>
            <w:vAlign w:val="center"/>
          </w:tcPr>
          <w:p w14:paraId="40583C4E"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FFFFFF"/>
                <w:sz w:val="18"/>
                <w:szCs w:val="18"/>
                <w:lang w:val="en-CA" w:eastAsia="en-GB"/>
              </w:rPr>
            </w:pPr>
            <w:r w:rsidRPr="005F0A67">
              <w:rPr>
                <w:rFonts w:asciiTheme="majorBidi" w:eastAsia="Times New Roman" w:hAnsiTheme="majorBidi" w:cstheme="majorBidi"/>
                <w:b/>
                <w:bCs/>
                <w:color w:val="FFFFFF"/>
                <w:sz w:val="18"/>
                <w:szCs w:val="18"/>
                <w:lang w:val="en-CA" w:eastAsia="en-GB"/>
              </w:rPr>
              <w:t>% of S0</w:t>
            </w:r>
          </w:p>
        </w:tc>
        <w:tc>
          <w:tcPr>
            <w:tcW w:w="771" w:type="pct"/>
            <w:tcBorders>
              <w:top w:val="single" w:sz="1" w:space="0" w:color="AAAAAA"/>
              <w:left w:val="single" w:sz="1" w:space="0" w:color="AAAAAA"/>
              <w:bottom w:val="single" w:sz="1" w:space="0" w:color="AAAAAA"/>
              <w:right w:val="single" w:sz="1" w:space="0" w:color="AAAAAA"/>
            </w:tcBorders>
            <w:shd w:val="clear" w:color="auto" w:fill="1F4E6B"/>
            <w:vAlign w:val="center"/>
          </w:tcPr>
          <w:p w14:paraId="140E5CEC"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FFFFFF"/>
                <w:sz w:val="18"/>
                <w:szCs w:val="18"/>
                <w:lang w:val="en-CA" w:eastAsia="en-GB"/>
              </w:rPr>
            </w:pPr>
            <w:r w:rsidRPr="005F0A67">
              <w:rPr>
                <w:rFonts w:asciiTheme="majorBidi" w:eastAsia="Times New Roman" w:hAnsiTheme="majorBidi" w:cstheme="majorBidi"/>
                <w:b/>
                <w:bCs/>
                <w:color w:val="FFFFFF"/>
                <w:sz w:val="18"/>
                <w:szCs w:val="18"/>
                <w:lang w:val="en-CA" w:eastAsia="en-GB"/>
              </w:rPr>
              <w:t>NPV to 2030 (USD billion)</w:t>
            </w:r>
          </w:p>
        </w:tc>
        <w:tc>
          <w:tcPr>
            <w:tcW w:w="771" w:type="pct"/>
            <w:tcBorders>
              <w:top w:val="single" w:sz="1" w:space="0" w:color="AAAAAA"/>
              <w:left w:val="single" w:sz="1" w:space="0" w:color="AAAAAA"/>
              <w:bottom w:val="single" w:sz="1" w:space="0" w:color="AAAAAA"/>
              <w:right w:val="single" w:sz="1" w:space="0" w:color="AAAAAA"/>
            </w:tcBorders>
            <w:shd w:val="clear" w:color="auto" w:fill="1F4E6B"/>
            <w:vAlign w:val="center"/>
          </w:tcPr>
          <w:p w14:paraId="060F8262"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FFFFFF"/>
                <w:sz w:val="18"/>
                <w:szCs w:val="18"/>
                <w:lang w:val="en-CA" w:eastAsia="en-GB"/>
              </w:rPr>
            </w:pPr>
            <w:r w:rsidRPr="005F0A67">
              <w:rPr>
                <w:rFonts w:asciiTheme="majorBidi" w:eastAsia="Times New Roman" w:hAnsiTheme="majorBidi" w:cstheme="majorBidi"/>
                <w:b/>
                <w:bCs/>
                <w:color w:val="FFFFFF"/>
                <w:sz w:val="18"/>
                <w:szCs w:val="18"/>
                <w:lang w:val="en-CA" w:eastAsia="en-GB"/>
              </w:rPr>
              <w:t>NPV to 2035 (USD billion)</w:t>
            </w:r>
          </w:p>
        </w:tc>
      </w:tr>
      <w:tr w:rsidR="005F0A67" w:rsidRPr="005F0A67" w14:paraId="723E036F" w14:textId="77777777" w:rsidTr="005F0A67">
        <w:trPr>
          <w:trHeight w:val="358"/>
        </w:trPr>
        <w:tc>
          <w:tcPr>
            <w:tcW w:w="1147"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39B344BB"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b/>
                <w:bCs/>
                <w:sz w:val="18"/>
                <w:szCs w:val="18"/>
                <w:lang w:eastAsia="en-GB"/>
              </w:rPr>
            </w:pPr>
            <w:r w:rsidRPr="005F0A67">
              <w:rPr>
                <w:rFonts w:asciiTheme="majorBidi" w:eastAsia="Times New Roman" w:hAnsiTheme="majorBidi" w:cstheme="majorBidi"/>
                <w:b/>
                <w:bCs/>
                <w:sz w:val="18"/>
                <w:szCs w:val="18"/>
                <w:lang w:eastAsia="en-GB"/>
              </w:rPr>
              <w:t>S0 Full participation</w:t>
            </w:r>
          </w:p>
        </w:tc>
        <w:tc>
          <w:tcPr>
            <w:tcW w:w="770" w:type="pct"/>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vAlign w:val="center"/>
          </w:tcPr>
          <w:p w14:paraId="2D607BA6"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ahoma" w:hAnsiTheme="majorBidi" w:cstheme="majorBidi"/>
                <w:sz w:val="18"/>
                <w:szCs w:val="18"/>
                <w:lang w:eastAsia="en-GB"/>
              </w:rPr>
            </w:pPr>
            <w:r w:rsidRPr="005F0A67">
              <w:rPr>
                <w:rFonts w:asciiTheme="majorBidi" w:eastAsia="Times New Roman" w:hAnsiTheme="majorBidi" w:cstheme="majorBidi"/>
                <w:sz w:val="18"/>
                <w:szCs w:val="18"/>
                <w:lang w:eastAsia="en-GB"/>
              </w:rPr>
              <w:t>3.65</w:t>
            </w:r>
          </w:p>
        </w:tc>
        <w:tc>
          <w:tcPr>
            <w:tcW w:w="771" w:type="pct"/>
            <w:tcBorders>
              <w:top w:val="single" w:sz="1" w:space="0" w:color="AAAAAA"/>
              <w:left w:val="single" w:sz="1" w:space="0" w:color="AAAAAA"/>
              <w:bottom w:val="single" w:sz="1" w:space="0" w:color="AAAAAA"/>
              <w:right w:val="single" w:sz="1" w:space="0" w:color="AAAAAA"/>
            </w:tcBorders>
            <w:vAlign w:val="center"/>
          </w:tcPr>
          <w:p w14:paraId="69744E3E"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w:t>
            </w:r>
          </w:p>
        </w:tc>
        <w:tc>
          <w:tcPr>
            <w:tcW w:w="770" w:type="pct"/>
            <w:tcBorders>
              <w:top w:val="single" w:sz="1" w:space="0" w:color="AAAAAA"/>
              <w:left w:val="single" w:sz="1" w:space="0" w:color="AAAAAA"/>
              <w:bottom w:val="single" w:sz="1" w:space="0" w:color="AAAAAA"/>
              <w:right w:val="single" w:sz="1" w:space="0" w:color="AAAAAA"/>
            </w:tcBorders>
            <w:vAlign w:val="center"/>
          </w:tcPr>
          <w:p w14:paraId="2DEA908B"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100.0</w:t>
            </w:r>
          </w:p>
        </w:tc>
        <w:tc>
          <w:tcPr>
            <w:tcW w:w="771" w:type="pct"/>
            <w:tcBorders>
              <w:top w:val="single" w:sz="1" w:space="0" w:color="AAAAAA"/>
              <w:left w:val="single" w:sz="1" w:space="0" w:color="AAAAAA"/>
              <w:bottom w:val="single" w:sz="1" w:space="0" w:color="AAAAAA"/>
              <w:right w:val="single" w:sz="1" w:space="0" w:color="AAAAAA"/>
            </w:tcBorders>
            <w:vAlign w:val="center"/>
          </w:tcPr>
          <w:p w14:paraId="1AB7ED2E"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17.2</w:t>
            </w:r>
          </w:p>
        </w:tc>
        <w:tc>
          <w:tcPr>
            <w:tcW w:w="771" w:type="pct"/>
            <w:tcBorders>
              <w:top w:val="single" w:sz="1" w:space="0" w:color="AAAAAA"/>
              <w:left w:val="single" w:sz="1" w:space="0" w:color="AAAAAA"/>
              <w:bottom w:val="single" w:sz="1" w:space="0" w:color="AAAAAA"/>
              <w:right w:val="single" w:sz="1" w:space="0" w:color="AAAAAA"/>
            </w:tcBorders>
            <w:vAlign w:val="center"/>
          </w:tcPr>
          <w:p w14:paraId="1D12B888"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32.0</w:t>
            </w:r>
          </w:p>
        </w:tc>
      </w:tr>
      <w:tr w:rsidR="005F0A67" w:rsidRPr="005F0A67" w14:paraId="01F2EEB6" w14:textId="77777777" w:rsidTr="005F0A67">
        <w:trPr>
          <w:trHeight w:val="144"/>
        </w:trPr>
        <w:tc>
          <w:tcPr>
            <w:tcW w:w="1147"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5016A4D8"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b/>
                <w:bCs/>
                <w:sz w:val="18"/>
                <w:szCs w:val="18"/>
                <w:lang w:eastAsia="en-GB"/>
              </w:rPr>
            </w:pPr>
            <w:r w:rsidRPr="005F0A67">
              <w:rPr>
                <w:rFonts w:asciiTheme="majorBidi" w:eastAsia="Times New Roman" w:hAnsiTheme="majorBidi" w:cstheme="majorBidi"/>
                <w:b/>
                <w:bCs/>
                <w:sz w:val="18"/>
                <w:szCs w:val="18"/>
                <w:lang w:eastAsia="en-GB"/>
              </w:rPr>
              <w:t>S1 Sector variation</w:t>
            </w:r>
          </w:p>
        </w:tc>
        <w:tc>
          <w:tcPr>
            <w:tcW w:w="770" w:type="pct"/>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vAlign w:val="center"/>
          </w:tcPr>
          <w:p w14:paraId="0FBEE57D"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ahoma" w:hAnsiTheme="majorBidi" w:cstheme="majorBidi"/>
                <w:sz w:val="18"/>
                <w:szCs w:val="18"/>
                <w:lang w:eastAsia="en-GB"/>
              </w:rPr>
            </w:pPr>
            <w:r w:rsidRPr="005F0A67">
              <w:rPr>
                <w:rFonts w:asciiTheme="majorBidi" w:eastAsia="Times New Roman" w:hAnsiTheme="majorBidi" w:cstheme="majorBidi"/>
                <w:sz w:val="18"/>
                <w:szCs w:val="18"/>
                <w:lang w:eastAsia="en-GB"/>
              </w:rPr>
              <w:t>1.16</w:t>
            </w:r>
          </w:p>
        </w:tc>
        <w:tc>
          <w:tcPr>
            <w:tcW w:w="771" w:type="pct"/>
            <w:tcBorders>
              <w:top w:val="single" w:sz="1" w:space="0" w:color="AAAAAA"/>
              <w:left w:val="single" w:sz="1" w:space="0" w:color="AAAAAA"/>
              <w:bottom w:val="single" w:sz="1" w:space="0" w:color="AAAAAA"/>
              <w:right w:val="single" w:sz="1" w:space="0" w:color="AAAAAA"/>
            </w:tcBorders>
            <w:vAlign w:val="center"/>
          </w:tcPr>
          <w:p w14:paraId="297698EB"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0.81-1.53</w:t>
            </w:r>
          </w:p>
        </w:tc>
        <w:tc>
          <w:tcPr>
            <w:tcW w:w="770" w:type="pct"/>
            <w:tcBorders>
              <w:top w:val="single" w:sz="1" w:space="0" w:color="AAAAAA"/>
              <w:left w:val="single" w:sz="1" w:space="0" w:color="AAAAAA"/>
              <w:bottom w:val="single" w:sz="1" w:space="0" w:color="AAAAAA"/>
              <w:right w:val="single" w:sz="1" w:space="0" w:color="AAAAAA"/>
            </w:tcBorders>
            <w:vAlign w:val="center"/>
          </w:tcPr>
          <w:p w14:paraId="45D5452A"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31.9</w:t>
            </w:r>
          </w:p>
        </w:tc>
        <w:tc>
          <w:tcPr>
            <w:tcW w:w="771" w:type="pct"/>
            <w:tcBorders>
              <w:top w:val="single" w:sz="1" w:space="0" w:color="AAAAAA"/>
              <w:left w:val="single" w:sz="1" w:space="0" w:color="AAAAAA"/>
              <w:bottom w:val="single" w:sz="1" w:space="0" w:color="AAAAAA"/>
              <w:right w:val="single" w:sz="1" w:space="0" w:color="AAAAAA"/>
            </w:tcBorders>
            <w:vAlign w:val="center"/>
          </w:tcPr>
          <w:p w14:paraId="21CB3546"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5.5</w:t>
            </w:r>
          </w:p>
        </w:tc>
        <w:tc>
          <w:tcPr>
            <w:tcW w:w="771" w:type="pct"/>
            <w:tcBorders>
              <w:top w:val="single" w:sz="1" w:space="0" w:color="AAAAAA"/>
              <w:left w:val="single" w:sz="1" w:space="0" w:color="AAAAAA"/>
              <w:bottom w:val="single" w:sz="1" w:space="0" w:color="AAAAAA"/>
              <w:right w:val="single" w:sz="1" w:space="0" w:color="AAAAAA"/>
            </w:tcBorders>
            <w:vAlign w:val="center"/>
          </w:tcPr>
          <w:p w14:paraId="0BC7902E"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10.2</w:t>
            </w:r>
          </w:p>
        </w:tc>
      </w:tr>
      <w:tr w:rsidR="005F0A67" w:rsidRPr="005F0A67" w14:paraId="35BA13F0" w14:textId="77777777" w:rsidTr="005F0A67">
        <w:trPr>
          <w:trHeight w:val="144"/>
        </w:trPr>
        <w:tc>
          <w:tcPr>
            <w:tcW w:w="1147"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5FBC5FDB"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b/>
                <w:bCs/>
                <w:sz w:val="18"/>
                <w:szCs w:val="18"/>
                <w:lang w:eastAsia="en-GB"/>
              </w:rPr>
            </w:pPr>
            <w:r w:rsidRPr="005F0A67">
              <w:rPr>
                <w:rFonts w:asciiTheme="majorBidi" w:eastAsia="Times New Roman" w:hAnsiTheme="majorBidi" w:cstheme="majorBidi"/>
                <w:b/>
                <w:bCs/>
                <w:sz w:val="18"/>
                <w:szCs w:val="18"/>
                <w:lang w:eastAsia="en-GB"/>
              </w:rPr>
              <w:t>S2 Sector and firm variation</w:t>
            </w:r>
          </w:p>
        </w:tc>
        <w:tc>
          <w:tcPr>
            <w:tcW w:w="770" w:type="pct"/>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vAlign w:val="center"/>
          </w:tcPr>
          <w:p w14:paraId="58B6470D"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ahoma" w:hAnsiTheme="majorBidi" w:cstheme="majorBidi"/>
                <w:sz w:val="18"/>
                <w:szCs w:val="18"/>
                <w:lang w:eastAsia="en-GB"/>
              </w:rPr>
            </w:pPr>
            <w:r w:rsidRPr="005F0A67">
              <w:rPr>
                <w:rFonts w:asciiTheme="majorBidi" w:eastAsia="Times New Roman" w:hAnsiTheme="majorBidi" w:cstheme="majorBidi"/>
                <w:sz w:val="18"/>
                <w:szCs w:val="18"/>
                <w:lang w:eastAsia="en-GB"/>
              </w:rPr>
              <w:t>1.20</w:t>
            </w:r>
          </w:p>
        </w:tc>
        <w:tc>
          <w:tcPr>
            <w:tcW w:w="771" w:type="pct"/>
            <w:tcBorders>
              <w:top w:val="single" w:sz="1" w:space="0" w:color="AAAAAA"/>
              <w:left w:val="single" w:sz="1" w:space="0" w:color="AAAAAA"/>
              <w:bottom w:val="single" w:sz="1" w:space="0" w:color="AAAAAA"/>
              <w:right w:val="single" w:sz="1" w:space="0" w:color="AAAAAA"/>
            </w:tcBorders>
            <w:vAlign w:val="center"/>
          </w:tcPr>
          <w:p w14:paraId="63D09D2E"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0.83-1.60</w:t>
            </w:r>
          </w:p>
        </w:tc>
        <w:tc>
          <w:tcPr>
            <w:tcW w:w="770" w:type="pct"/>
            <w:tcBorders>
              <w:top w:val="single" w:sz="1" w:space="0" w:color="AAAAAA"/>
              <w:left w:val="single" w:sz="1" w:space="0" w:color="AAAAAA"/>
              <w:bottom w:val="single" w:sz="1" w:space="0" w:color="AAAAAA"/>
              <w:right w:val="single" w:sz="1" w:space="0" w:color="AAAAAA"/>
            </w:tcBorders>
            <w:vAlign w:val="center"/>
          </w:tcPr>
          <w:p w14:paraId="552AD749"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33.0</w:t>
            </w:r>
          </w:p>
        </w:tc>
        <w:tc>
          <w:tcPr>
            <w:tcW w:w="771" w:type="pct"/>
            <w:tcBorders>
              <w:top w:val="single" w:sz="1" w:space="0" w:color="AAAAAA"/>
              <w:left w:val="single" w:sz="1" w:space="0" w:color="AAAAAA"/>
              <w:bottom w:val="single" w:sz="1" w:space="0" w:color="AAAAAA"/>
              <w:right w:val="single" w:sz="1" w:space="0" w:color="AAAAAA"/>
            </w:tcBorders>
            <w:vAlign w:val="center"/>
          </w:tcPr>
          <w:p w14:paraId="6791E2BC"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5.7</w:t>
            </w:r>
          </w:p>
        </w:tc>
        <w:tc>
          <w:tcPr>
            <w:tcW w:w="771" w:type="pct"/>
            <w:tcBorders>
              <w:top w:val="single" w:sz="1" w:space="0" w:color="AAAAAA"/>
              <w:left w:val="single" w:sz="1" w:space="0" w:color="AAAAAA"/>
              <w:bottom w:val="single" w:sz="1" w:space="0" w:color="AAAAAA"/>
              <w:right w:val="single" w:sz="1" w:space="0" w:color="AAAAAA"/>
            </w:tcBorders>
            <w:vAlign w:val="center"/>
          </w:tcPr>
          <w:p w14:paraId="62B4309E"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10.6</w:t>
            </w:r>
          </w:p>
        </w:tc>
      </w:tr>
      <w:tr w:rsidR="005F0A67" w:rsidRPr="005F0A67" w14:paraId="58C30DE7" w14:textId="77777777" w:rsidTr="005F0A67">
        <w:trPr>
          <w:trHeight w:val="144"/>
        </w:trPr>
        <w:tc>
          <w:tcPr>
            <w:tcW w:w="1147"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3E9B9F4D"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b/>
                <w:bCs/>
                <w:sz w:val="18"/>
                <w:szCs w:val="18"/>
                <w:lang w:eastAsia="en-GB"/>
              </w:rPr>
            </w:pPr>
            <w:r w:rsidRPr="005F0A67">
              <w:rPr>
                <w:rFonts w:asciiTheme="majorBidi" w:eastAsia="Times New Roman" w:hAnsiTheme="majorBidi" w:cstheme="majorBidi"/>
                <w:b/>
                <w:bCs/>
                <w:sz w:val="18"/>
                <w:szCs w:val="18"/>
                <w:lang w:eastAsia="en-GB"/>
              </w:rPr>
              <w:t>S3 DSI adjustment</w:t>
            </w:r>
          </w:p>
        </w:tc>
        <w:tc>
          <w:tcPr>
            <w:tcW w:w="770" w:type="pct"/>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vAlign w:val="center"/>
          </w:tcPr>
          <w:p w14:paraId="733B20E4"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0.93</w:t>
            </w:r>
          </w:p>
        </w:tc>
        <w:tc>
          <w:tcPr>
            <w:tcW w:w="771" w:type="pct"/>
            <w:tcBorders>
              <w:top w:val="single" w:sz="1" w:space="0" w:color="AAAAAA"/>
              <w:left w:val="single" w:sz="1" w:space="0" w:color="AAAAAA"/>
              <w:bottom w:val="single" w:sz="1" w:space="0" w:color="AAAAAA"/>
              <w:right w:val="single" w:sz="1" w:space="0" w:color="AAAAAA"/>
            </w:tcBorders>
            <w:vAlign w:val="center"/>
          </w:tcPr>
          <w:p w14:paraId="3E69B574"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0.59-1.30</w:t>
            </w:r>
          </w:p>
        </w:tc>
        <w:tc>
          <w:tcPr>
            <w:tcW w:w="770" w:type="pct"/>
            <w:tcBorders>
              <w:top w:val="single" w:sz="1" w:space="0" w:color="AAAAAA"/>
              <w:left w:val="single" w:sz="1" w:space="0" w:color="AAAAAA"/>
              <w:bottom w:val="single" w:sz="1" w:space="0" w:color="AAAAAA"/>
              <w:right w:val="single" w:sz="1" w:space="0" w:color="AAAAAA"/>
            </w:tcBorders>
            <w:vAlign w:val="center"/>
          </w:tcPr>
          <w:p w14:paraId="7862E8E5"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25.5</w:t>
            </w:r>
          </w:p>
        </w:tc>
        <w:tc>
          <w:tcPr>
            <w:tcW w:w="771" w:type="pct"/>
            <w:tcBorders>
              <w:top w:val="single" w:sz="1" w:space="0" w:color="AAAAAA"/>
              <w:left w:val="single" w:sz="1" w:space="0" w:color="AAAAAA"/>
              <w:bottom w:val="single" w:sz="1" w:space="0" w:color="AAAAAA"/>
              <w:right w:val="single" w:sz="1" w:space="0" w:color="AAAAAA"/>
            </w:tcBorders>
            <w:vAlign w:val="center"/>
          </w:tcPr>
          <w:p w14:paraId="058D9D85"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4.4</w:t>
            </w:r>
          </w:p>
        </w:tc>
        <w:tc>
          <w:tcPr>
            <w:tcW w:w="771" w:type="pct"/>
            <w:tcBorders>
              <w:top w:val="single" w:sz="1" w:space="0" w:color="AAAAAA"/>
              <w:left w:val="single" w:sz="1" w:space="0" w:color="AAAAAA"/>
              <w:bottom w:val="single" w:sz="1" w:space="0" w:color="AAAAAA"/>
              <w:right w:val="single" w:sz="1" w:space="0" w:color="AAAAAA"/>
            </w:tcBorders>
            <w:vAlign w:val="center"/>
          </w:tcPr>
          <w:p w14:paraId="24E0A267"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8.2</w:t>
            </w:r>
          </w:p>
        </w:tc>
      </w:tr>
      <w:tr w:rsidR="005F0A67" w:rsidRPr="005F0A67" w14:paraId="0166E91A" w14:textId="77777777" w:rsidTr="005F0A67">
        <w:trPr>
          <w:trHeight w:val="144"/>
        </w:trPr>
        <w:tc>
          <w:tcPr>
            <w:tcW w:w="1147"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4DF93181"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b/>
                <w:bCs/>
                <w:sz w:val="18"/>
                <w:szCs w:val="18"/>
                <w:lang w:eastAsia="en-GB"/>
              </w:rPr>
            </w:pPr>
            <w:r w:rsidRPr="005F0A67">
              <w:rPr>
                <w:rFonts w:asciiTheme="majorBidi" w:eastAsia="Times New Roman" w:hAnsiTheme="majorBidi" w:cstheme="majorBidi"/>
                <w:b/>
                <w:bCs/>
                <w:sz w:val="18"/>
                <w:szCs w:val="18"/>
                <w:lang w:eastAsia="en-GB"/>
              </w:rPr>
              <w:t>S4 Progressive uptake</w:t>
            </w:r>
          </w:p>
        </w:tc>
        <w:tc>
          <w:tcPr>
            <w:tcW w:w="770" w:type="pct"/>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vAlign w:val="center"/>
          </w:tcPr>
          <w:p w14:paraId="6BED12DA"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w:t>
            </w:r>
          </w:p>
        </w:tc>
        <w:tc>
          <w:tcPr>
            <w:tcW w:w="771" w:type="pct"/>
            <w:tcBorders>
              <w:top w:val="single" w:sz="1" w:space="0" w:color="AAAAAA"/>
              <w:left w:val="single" w:sz="1" w:space="0" w:color="AAAAAA"/>
              <w:bottom w:val="single" w:sz="1" w:space="0" w:color="AAAAAA"/>
              <w:right w:val="single" w:sz="1" w:space="0" w:color="AAAAAA"/>
            </w:tcBorders>
            <w:vAlign w:val="center"/>
          </w:tcPr>
          <w:p w14:paraId="00F9321B"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w:t>
            </w:r>
          </w:p>
        </w:tc>
        <w:tc>
          <w:tcPr>
            <w:tcW w:w="770" w:type="pct"/>
            <w:tcBorders>
              <w:top w:val="single" w:sz="1" w:space="0" w:color="AAAAAA"/>
              <w:left w:val="single" w:sz="1" w:space="0" w:color="AAAAAA"/>
              <w:bottom w:val="single" w:sz="1" w:space="0" w:color="AAAAAA"/>
              <w:right w:val="single" w:sz="1" w:space="0" w:color="AAAAAA"/>
            </w:tcBorders>
            <w:vAlign w:val="center"/>
          </w:tcPr>
          <w:p w14:paraId="7303E17D"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w:t>
            </w:r>
          </w:p>
        </w:tc>
        <w:tc>
          <w:tcPr>
            <w:tcW w:w="771" w:type="pct"/>
            <w:tcBorders>
              <w:top w:val="single" w:sz="1" w:space="0" w:color="AAAAAA"/>
              <w:left w:val="single" w:sz="1" w:space="0" w:color="AAAAAA"/>
              <w:bottom w:val="single" w:sz="1" w:space="0" w:color="AAAAAA"/>
              <w:right w:val="single" w:sz="1" w:space="0" w:color="AAAAAA"/>
            </w:tcBorders>
            <w:vAlign w:val="center"/>
          </w:tcPr>
          <w:p w14:paraId="76EE74A4"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1.3</w:t>
            </w:r>
          </w:p>
        </w:tc>
        <w:tc>
          <w:tcPr>
            <w:tcW w:w="771" w:type="pct"/>
            <w:tcBorders>
              <w:top w:val="single" w:sz="1" w:space="0" w:color="AAAAAA"/>
              <w:left w:val="single" w:sz="1" w:space="0" w:color="AAAAAA"/>
              <w:bottom w:val="single" w:sz="1" w:space="0" w:color="AAAAAA"/>
              <w:right w:val="single" w:sz="1" w:space="0" w:color="AAAAAA"/>
            </w:tcBorders>
            <w:vAlign w:val="center"/>
          </w:tcPr>
          <w:p w14:paraId="34FDA31A"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4.3</w:t>
            </w:r>
          </w:p>
        </w:tc>
      </w:tr>
    </w:tbl>
    <w:p w14:paraId="640936F3" w14:textId="77777777" w:rsidR="005F0A67" w:rsidRPr="005F0A67" w:rsidRDefault="005F0A67" w:rsidP="005F0A67">
      <w:pPr>
        <w:tabs>
          <w:tab w:val="clear" w:pos="567"/>
          <w:tab w:val="clear" w:pos="1134"/>
          <w:tab w:val="clear" w:pos="1701"/>
          <w:tab w:val="clear" w:pos="2268"/>
        </w:tabs>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i/>
          <w:iCs/>
          <w:sz w:val="18"/>
          <w:szCs w:val="18"/>
          <w:lang w:val="en-CA" w:eastAsia="en-GB"/>
        </w:rPr>
        <w:t xml:space="preserve">Note: </w:t>
      </w:r>
      <w:r w:rsidRPr="005F0A67">
        <w:rPr>
          <w:rFonts w:asciiTheme="majorBidi" w:eastAsia="Times New Roman" w:hAnsiTheme="majorBidi" w:cstheme="majorBidi"/>
          <w:sz w:val="18"/>
          <w:szCs w:val="18"/>
          <w:lang w:val="en-CA" w:eastAsia="en-GB"/>
        </w:rPr>
        <w:t>The participation share for each sector is calibrated from the empirical literature on voluntary environmental schemes, drawing on evidence from comparable mechanisms (ABS bilateral agreements, voluntary sustainability initiatives, and private-sector environmental disclosure frameworks). Because the Cali Fund has no direct precedent, this calibration carries genuine uncertainty: the P5 and P95 columns indicate the range within which participation rates plausibly fall, based on 10,000 simulation draws over the parameter distributions. The mean column is the central estimate; P5 represents the more cautious bound (lower participation), P95 the more optimistic bound (higher participation). NPV at 3% discount rate. S4 applies a participation scalar rising linearly from 10% of S3 rates in 2026 to 100% by 2035</w:t>
      </w:r>
    </w:p>
    <w:p w14:paraId="508E046F" w14:textId="77777777" w:rsidR="005F0A67" w:rsidRPr="005F0A67" w:rsidRDefault="005F0A67" w:rsidP="005F0A67">
      <w:pPr>
        <w:tabs>
          <w:tab w:val="clear" w:pos="567"/>
          <w:tab w:val="clear" w:pos="1134"/>
          <w:tab w:val="clear" w:pos="1701"/>
          <w:tab w:val="clear" w:pos="2268"/>
        </w:tabs>
        <w:spacing w:line="293" w:lineRule="auto"/>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i/>
          <w:iCs/>
          <w:sz w:val="18"/>
          <w:szCs w:val="18"/>
          <w:lang w:val="en-CA" w:eastAsia="en-GB"/>
        </w:rPr>
        <w:t xml:space="preserve">Source: </w:t>
      </w:r>
      <w:r w:rsidRPr="005F0A67">
        <w:rPr>
          <w:rFonts w:asciiTheme="majorBidi" w:eastAsia="Times New Roman" w:hAnsiTheme="majorBidi" w:cstheme="majorBidi"/>
          <w:sz w:val="18"/>
          <w:szCs w:val="18"/>
          <w:lang w:val="en-CA" w:eastAsia="en-GB"/>
        </w:rPr>
        <w:t xml:space="preserve">Makowska-Curran </w:t>
      </w:r>
      <w:r w:rsidRPr="005F0A67">
        <w:rPr>
          <w:rFonts w:asciiTheme="majorBidi" w:eastAsia="Times New Roman" w:hAnsiTheme="majorBidi" w:cstheme="majorBidi"/>
          <w:sz w:val="18"/>
          <w:szCs w:val="18"/>
          <w:lang w:val="en-CA" w:eastAsia="en-GB"/>
        </w:rPr>
        <w:fldChar w:fldCharType="begin"/>
      </w:r>
      <w:r w:rsidRPr="005F0A67">
        <w:rPr>
          <w:rFonts w:asciiTheme="majorBidi" w:eastAsia="Times New Roman" w:hAnsiTheme="majorBidi" w:cstheme="majorBidi"/>
          <w:sz w:val="18"/>
          <w:szCs w:val="18"/>
          <w:lang w:val="en-CA" w:eastAsia="en-GB"/>
        </w:rPr>
        <w:instrText xml:space="preserve"> ADDIN ZOTERO_ITEM CSL_CITATION {"citationID":"K46XrEfL","properties":{"unsorted":false,"formattedCitation":"(2026)","plainCitation":"(2026)","noteIndex":0},"citationItems":[{"id":77,"uris":["http://zotero.org/users/14977742/items/2PI55QKT"],"itemData":{"id":77,"type":"article-journal","abstract":"This paper provides the first global, firm-level analysis of what the Cali Fund, designed to support global conservation, is likely to raise and how resources would be distributed.","citation-key":"GlobalBiodiversityCommitments","container-title":"Grantham Research Institute on climate change and the environment","language":"en-GB","publisher":"London School of Economics and Political Science (LSE)","title":"From global biodiversity commitments to local action: revenue potential and allocation dynamics of the Cali Fund","title-short":"From global biodiversity commitments to local action","URL":"https://www.lse.ac.uk/granthaminstitute/publication/from-global-biodiversity-commitments-to-local-action-revenue-potential-and-allocation-dynamics-of-the-cali-fund/","author":[{"family":"Makowska-Curran","given":"Agata"}],"accessed":{"date-parts":[["2026",6,3]]},"issued":{"date-parts":[["2026",6]]}},"suppress-author":true}],"schema":"https://github.com/citation-style-language/schema/raw/master/csl-citation.json"} </w:instrText>
      </w:r>
      <w:r w:rsidRPr="005F0A67">
        <w:rPr>
          <w:rFonts w:asciiTheme="majorBidi" w:eastAsia="Times New Roman" w:hAnsiTheme="majorBidi" w:cstheme="majorBidi"/>
          <w:sz w:val="18"/>
          <w:szCs w:val="18"/>
          <w:lang w:val="en-CA" w:eastAsia="en-GB"/>
        </w:rPr>
        <w:fldChar w:fldCharType="separate"/>
      </w:r>
      <w:r w:rsidRPr="005F0A67">
        <w:rPr>
          <w:rFonts w:asciiTheme="majorBidi" w:eastAsia="Times New Roman" w:hAnsiTheme="majorBidi" w:cstheme="majorBidi"/>
          <w:sz w:val="18"/>
          <w:szCs w:val="18"/>
          <w:lang w:val="en-CA" w:eastAsia="en-GB"/>
        </w:rPr>
        <w:t>(2026)</w:t>
      </w:r>
      <w:r w:rsidRPr="005F0A67">
        <w:rPr>
          <w:rFonts w:asciiTheme="majorBidi" w:eastAsia="Times New Roman" w:hAnsiTheme="majorBidi" w:cstheme="majorBidi"/>
          <w:sz w:val="18"/>
          <w:szCs w:val="18"/>
          <w:lang w:val="en-CA" w:eastAsia="en-GB"/>
        </w:rPr>
        <w:fldChar w:fldCharType="end"/>
      </w:r>
      <w:r w:rsidRPr="005F0A67">
        <w:rPr>
          <w:rFonts w:asciiTheme="majorBidi" w:eastAsia="Times New Roman" w:hAnsiTheme="majorBidi" w:cstheme="majorBidi"/>
          <w:sz w:val="18"/>
          <w:szCs w:val="18"/>
          <w:lang w:val="en-CA" w:eastAsia="en-GB"/>
        </w:rPr>
        <w:t>.</w:t>
      </w:r>
    </w:p>
    <w:p w14:paraId="734CFACD" w14:textId="77777777" w:rsidR="005F0A67" w:rsidRPr="005F0A67" w:rsidRDefault="005F0A67" w:rsidP="005F0A67">
      <w:pPr>
        <w:tabs>
          <w:tab w:val="clear" w:pos="567"/>
          <w:tab w:val="clear" w:pos="1134"/>
          <w:tab w:val="clear" w:pos="1701"/>
          <w:tab w:val="clear" w:pos="2268"/>
        </w:tabs>
        <w:spacing w:before="240" w:after="180" w:line="293"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The revenue estimates mask a highly uneven distribution across the eligible population. Pharmaceuticals and information and AI services together contribute approximately half of all revenues under full compliance, despite representing only 40% of eligible firms. In the central S3 scenario, the sectoral composition changes significantly: pharmaceuticals increase from 26.3% to 49.6% of total contributions, reflecting a relatively high participation rate, high DSI intensity calibration, and stable revenue-base payers within the sector. In contrast, information and AI declines from 25.2% to 11.1%, consistent with its low participation calibration due to its high volatility.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_Ref230109751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Figure 5</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illustrates this shift. </w:t>
      </w:r>
    </w:p>
    <w:p w14:paraId="6B3E7A90" w14:textId="77777777" w:rsidR="005F0A67" w:rsidRPr="005F0A67" w:rsidRDefault="005F0A67" w:rsidP="005F0A67">
      <w:pPr>
        <w:tabs>
          <w:tab w:val="clear" w:pos="567"/>
          <w:tab w:val="clear" w:pos="1134"/>
          <w:tab w:val="clear" w:pos="1701"/>
          <w:tab w:val="clear" w:pos="2268"/>
        </w:tabs>
        <w:spacing w:before="240" w:after="180" w:line="293"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This concentration produces significant effects on the fund's financial characteristics. The pharmaceutical sector is the largest contributor to total revenue under the more realistic participation scenarios, the only sector in which most eligible firms contribute based on a stable revenue base rather than a volatile profit base. These two factors are mutually reinforcing. On the one hand, pharmaceutical participation increases revenue but also stabilises it. In contrast, low participation from the pharmaceutical sector would decrease total revenue, increase annual volatility, and weaken the revenue base essential for the mechanism's predictability. No other sector simultaneously exhibits all three effects. Note that Cosmetics is the smallest Enclosure I sector by firm count (748 eligible firms), so its total is more sensitive than other sectors to which firms the underlying database happens to capture.</w:t>
      </w:r>
    </w:p>
    <w:p w14:paraId="56F0DC53" w14:textId="77777777" w:rsidR="005F0A67" w:rsidRPr="005F0A67" w:rsidRDefault="005F0A67" w:rsidP="005F0A67">
      <w:pPr>
        <w:tabs>
          <w:tab w:val="clear" w:pos="567"/>
          <w:tab w:val="clear" w:pos="1134"/>
          <w:tab w:val="clear" w:pos="1701"/>
          <w:tab w:val="clear" w:pos="2268"/>
        </w:tabs>
        <w:spacing w:before="240" w:after="180" w:line="293"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In terms of the across-sector concentration, at the firm level, the ten largest contributors account for 8.6% of the S0 (full participation) scenario in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_Ref230090932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Table 12</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while the top 100 account for 27.6%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{"citationID":"R7sum0Ji","properties":{"unsorted":false,"formattedCitation":"(Makowska-Curran, 2026)","plainCitation":"(Makowska-Curran, 2026)","noteIndex":0},"citationItems":[{"id":77,"uris":["http://zotero.org/users/14977742/items/2PI55QKT"],"itemData":{"id":77,"type":"article-journal","abstract":"This paper provides the first global, firm-level analysis of what the Cali Fund, designed to support global conservation, is likely to raise and how resources would be distributed.","citation-key":"GlobalBiodiversityCommitments","container-title":"Grantham Research Institute on climate change and the environment","language":"en-GB","publisher":"London School of Economics and Political Science (LSE)","title":"From global biodiversity commitments to local action: revenue potential and allocation dynamics of the Cali Fund","title-short":"From global biodiversity commitments to local action","URL":"https://www.lse.ac.uk/granthaminstitute/publication/from-global-biodiversity-commitments-to-local-action-revenue-potential-and-allocation-dynamics-of-the-cali-fund/","author":[{"family":"Makowska-Curran","given":"Agata"}],"accessed":{"date-parts":[["2026",6,3]]},"issued":{"date-parts":[["2026",6]]}}}],"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(Makowska-Curran, 2026)</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This indicates that the fund's revenue base is concentrated within a small and identifiable group of firms. Under more realistic participation assumptions, this concentration intensifies (12.2% and 32.3%, respectively), making the fund's revenue prospects increasingly dependent on the engagement of large pharmaceutical firms.</w:t>
      </w:r>
    </w:p>
    <w:p w14:paraId="2BBAD7AE" w14:textId="77777777" w:rsidR="00B54840" w:rsidRDefault="00B54840" w:rsidP="005F0A67">
      <w:pPr>
        <w:numPr>
          <w:ilvl w:val="4"/>
          <w:numId w:val="0"/>
        </w:numPr>
        <w:tabs>
          <w:tab w:val="clear" w:pos="567"/>
          <w:tab w:val="clear" w:pos="1134"/>
          <w:tab w:val="clear" w:pos="1701"/>
          <w:tab w:val="clear" w:pos="2268"/>
        </w:tabs>
        <w:spacing w:before="240" w:after="120" w:line="293" w:lineRule="auto"/>
        <w:jc w:val="left"/>
        <w:outlineLvl w:val="4"/>
        <w:rPr>
          <w:rFonts w:asciiTheme="majorBidi" w:eastAsia="Georgia" w:hAnsiTheme="majorBidi" w:cstheme="majorBidi"/>
          <w:b/>
          <w:bCs/>
          <w:color w:val="419844"/>
          <w:lang w:eastAsia="en-GB"/>
        </w:rPr>
      </w:pPr>
      <w:bookmarkStart w:id="122" w:name="_Ref230109751"/>
    </w:p>
    <w:p w14:paraId="10FF9597" w14:textId="77777777" w:rsidR="00B54840" w:rsidRDefault="00B54840" w:rsidP="005F0A67">
      <w:pPr>
        <w:numPr>
          <w:ilvl w:val="4"/>
          <w:numId w:val="0"/>
        </w:numPr>
        <w:tabs>
          <w:tab w:val="clear" w:pos="567"/>
          <w:tab w:val="clear" w:pos="1134"/>
          <w:tab w:val="clear" w:pos="1701"/>
          <w:tab w:val="clear" w:pos="2268"/>
        </w:tabs>
        <w:spacing w:before="240" w:after="120" w:line="293" w:lineRule="auto"/>
        <w:jc w:val="left"/>
        <w:outlineLvl w:val="4"/>
        <w:rPr>
          <w:rFonts w:asciiTheme="majorBidi" w:eastAsia="Georgia" w:hAnsiTheme="majorBidi" w:cstheme="majorBidi"/>
          <w:b/>
          <w:bCs/>
          <w:color w:val="419844"/>
          <w:lang w:eastAsia="en-GB"/>
        </w:rPr>
      </w:pPr>
    </w:p>
    <w:p w14:paraId="71413949" w14:textId="18019D63" w:rsidR="005F0A67" w:rsidRPr="005F0A67" w:rsidRDefault="005F0A67" w:rsidP="005F0A67">
      <w:pPr>
        <w:numPr>
          <w:ilvl w:val="4"/>
          <w:numId w:val="0"/>
        </w:numPr>
        <w:tabs>
          <w:tab w:val="clear" w:pos="567"/>
          <w:tab w:val="clear" w:pos="1134"/>
          <w:tab w:val="clear" w:pos="1701"/>
          <w:tab w:val="clear" w:pos="2268"/>
        </w:tabs>
        <w:spacing w:before="240" w:after="120" w:line="293" w:lineRule="auto"/>
        <w:jc w:val="left"/>
        <w:outlineLvl w:val="4"/>
        <w:rPr>
          <w:rFonts w:asciiTheme="majorBidi" w:eastAsia="Georgia" w:hAnsiTheme="majorBidi" w:cstheme="majorBidi"/>
          <w:b/>
          <w:bCs/>
          <w:color w:val="419844"/>
          <w:lang w:eastAsia="en-GB"/>
        </w:rPr>
      </w:pPr>
      <w:r w:rsidRPr="005F0A67">
        <w:rPr>
          <w:rFonts w:asciiTheme="majorBidi" w:eastAsia="Georgia" w:hAnsiTheme="majorBidi" w:cstheme="majorBidi"/>
          <w:b/>
          <w:bCs/>
          <w:color w:val="419844"/>
          <w:lang w:eastAsia="en-GB"/>
        </w:rPr>
        <w:lastRenderedPageBreak/>
        <w:t xml:space="preserve">Figure </w:t>
      </w:r>
      <w:r w:rsidRPr="005F0A67">
        <w:rPr>
          <w:rFonts w:asciiTheme="majorBidi" w:eastAsia="Georgia" w:hAnsiTheme="majorBidi" w:cstheme="majorBidi"/>
          <w:b/>
          <w:bCs/>
          <w:color w:val="419844"/>
          <w:lang w:eastAsia="en-GB"/>
        </w:rPr>
        <w:fldChar w:fldCharType="begin"/>
      </w:r>
      <w:r w:rsidRPr="005F0A67">
        <w:rPr>
          <w:rFonts w:asciiTheme="majorBidi" w:eastAsia="Georgia" w:hAnsiTheme="majorBidi" w:cstheme="majorBidi"/>
          <w:b/>
          <w:bCs/>
          <w:color w:val="419844"/>
          <w:lang w:eastAsia="en-GB"/>
        </w:rPr>
        <w:instrText>SEQ Figure \* ARABIC</w:instrText>
      </w:r>
      <w:r w:rsidRPr="005F0A67">
        <w:rPr>
          <w:rFonts w:asciiTheme="majorBidi" w:eastAsia="Georgia" w:hAnsiTheme="majorBidi" w:cstheme="majorBidi"/>
          <w:b/>
          <w:bCs/>
          <w:color w:val="419844"/>
          <w:lang w:eastAsia="en-GB"/>
        </w:rPr>
        <w:fldChar w:fldCharType="separate"/>
      </w:r>
      <w:r w:rsidRPr="005F0A67">
        <w:rPr>
          <w:rFonts w:asciiTheme="majorBidi" w:eastAsia="Georgia" w:hAnsiTheme="majorBidi" w:cstheme="majorBidi"/>
          <w:b/>
          <w:bCs/>
          <w:noProof/>
          <w:color w:val="419844"/>
          <w:lang w:eastAsia="en-GB"/>
        </w:rPr>
        <w:t>5</w:t>
      </w:r>
      <w:r w:rsidRPr="005F0A67">
        <w:rPr>
          <w:rFonts w:asciiTheme="majorBidi" w:eastAsia="Georgia" w:hAnsiTheme="majorBidi" w:cstheme="majorBidi"/>
          <w:b/>
          <w:bCs/>
          <w:color w:val="419844"/>
          <w:lang w:eastAsia="en-GB"/>
        </w:rPr>
        <w:fldChar w:fldCharType="end"/>
      </w:r>
      <w:bookmarkEnd w:id="122"/>
      <w:r w:rsidRPr="005F0A67">
        <w:rPr>
          <w:rFonts w:asciiTheme="majorBidi" w:eastAsia="Georgia" w:hAnsiTheme="majorBidi" w:cstheme="majorBidi"/>
          <w:b/>
          <w:bCs/>
          <w:color w:val="419844"/>
          <w:lang w:eastAsia="en-GB"/>
        </w:rPr>
        <w:t xml:space="preserve"> Sectoral distribution as a % share of total estimated contributions under full compliance (S0) and the central participation scenario (S3) </w:t>
      </w:r>
    </w:p>
    <w:p w14:paraId="6E3F9D41"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noProof/>
          <w:lang w:val="en-CA" w:eastAsia="en-GB"/>
        </w:rPr>
        <w:drawing>
          <wp:inline distT="0" distB="0" distL="0" distR="0" wp14:anchorId="7111425F" wp14:editId="3E2C2782">
            <wp:extent cx="6172200" cy="3572510"/>
            <wp:effectExtent l="0" t="0" r="0" b="0"/>
            <wp:docPr id="18068258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682582" name="Picture 180682582"/>
                    <pic:cNvPicPr/>
                  </pic:nvPicPr>
                  <pic:blipFill>
                    <a:blip r:embed="rId29"/>
                    <a:stretch>
                      <a:fillRect/>
                    </a:stretch>
                  </pic:blipFill>
                  <pic:spPr>
                    <a:xfrm>
                      <a:off x="0" y="0"/>
                      <a:ext cx="6172200" cy="3572510"/>
                    </a:xfrm>
                    <a:prstGeom prst="rect">
                      <a:avLst/>
                    </a:prstGeom>
                  </pic:spPr>
                </pic:pic>
              </a:graphicData>
            </a:graphic>
          </wp:inline>
        </w:drawing>
      </w:r>
    </w:p>
    <w:p w14:paraId="1980AAA5" w14:textId="77777777" w:rsidR="005F0A67" w:rsidRPr="005F0A67" w:rsidRDefault="005F0A67" w:rsidP="005F0A67">
      <w:pPr>
        <w:tabs>
          <w:tab w:val="clear" w:pos="567"/>
          <w:tab w:val="clear" w:pos="1134"/>
          <w:tab w:val="clear" w:pos="1701"/>
          <w:tab w:val="clear" w:pos="2268"/>
        </w:tabs>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i/>
          <w:iCs/>
          <w:sz w:val="18"/>
          <w:szCs w:val="18"/>
          <w:lang w:val="en-CA" w:eastAsia="en-GB"/>
        </w:rPr>
        <w:t xml:space="preserve">Note: </w:t>
      </w:r>
      <w:r w:rsidRPr="005F0A67">
        <w:rPr>
          <w:rFonts w:asciiTheme="majorBidi" w:eastAsia="Times New Roman" w:hAnsiTheme="majorBidi" w:cstheme="majorBidi"/>
          <w:sz w:val="18"/>
          <w:szCs w:val="18"/>
          <w:lang w:val="en-CA" w:eastAsia="en-GB"/>
        </w:rPr>
        <w:t>Each sector shows two bars: lighter shading represents the share of total S0 contributions under full compliance; darker shading represents the share under S3, which applies sector-level and ownership-type participation rates calibrated from the voluntary scheme literature. Percentage labels are shown for sectors with a contribution share of 5% or above. Sector totals should be read with the possibility of double counting in mind: where a firm is treated as an indirect user because contribution expectations are assumed to pass through the value chain from an upstream direct user, the same underlying DSI use may be reflected in more than one sector's estimated contribution.</w:t>
      </w:r>
    </w:p>
    <w:p w14:paraId="781F424C" w14:textId="77777777" w:rsidR="005F0A67" w:rsidRPr="005F0A67" w:rsidRDefault="005F0A67" w:rsidP="005F0A67">
      <w:pPr>
        <w:tabs>
          <w:tab w:val="clear" w:pos="567"/>
          <w:tab w:val="clear" w:pos="1134"/>
          <w:tab w:val="clear" w:pos="1701"/>
          <w:tab w:val="clear" w:pos="2268"/>
        </w:tabs>
        <w:spacing w:line="293" w:lineRule="auto"/>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i/>
          <w:iCs/>
          <w:sz w:val="18"/>
          <w:szCs w:val="18"/>
          <w:lang w:val="en-CA" w:eastAsia="en-GB"/>
        </w:rPr>
        <w:t xml:space="preserve">Source: </w:t>
      </w:r>
      <w:r w:rsidRPr="005F0A67">
        <w:rPr>
          <w:rFonts w:asciiTheme="majorBidi" w:eastAsia="Times New Roman" w:hAnsiTheme="majorBidi" w:cstheme="majorBidi"/>
          <w:sz w:val="18"/>
          <w:szCs w:val="18"/>
          <w:lang w:val="en-CA" w:eastAsia="en-GB"/>
        </w:rPr>
        <w:t xml:space="preserve">Author’s calculations based on Makowska-Curran </w:t>
      </w:r>
      <w:r w:rsidRPr="005F0A67">
        <w:rPr>
          <w:rFonts w:asciiTheme="majorBidi" w:eastAsia="Times New Roman" w:hAnsiTheme="majorBidi" w:cstheme="majorBidi"/>
          <w:sz w:val="18"/>
          <w:szCs w:val="18"/>
          <w:lang w:val="en-CA" w:eastAsia="en-GB"/>
        </w:rPr>
        <w:fldChar w:fldCharType="begin"/>
      </w:r>
      <w:r w:rsidRPr="005F0A67">
        <w:rPr>
          <w:rFonts w:asciiTheme="majorBidi" w:eastAsia="Times New Roman" w:hAnsiTheme="majorBidi" w:cstheme="majorBidi"/>
          <w:sz w:val="18"/>
          <w:szCs w:val="18"/>
          <w:lang w:val="en-CA" w:eastAsia="en-GB"/>
        </w:rPr>
        <w:instrText xml:space="preserve"> ADDIN ZOTERO_ITEM CSL_CITATION {"citationID":"LWOHcnJo","properties":{"unsorted":false,"formattedCitation":"(2026)","plainCitation":"(2026)","noteIndex":0},"citationItems":[{"id":77,"uris":["http://zotero.org/users/14977742/items/2PI55QKT"],"itemData":{"id":77,"type":"article-journal","abstract":"This paper provides the first global, firm-level analysis of what the Cali Fund, designed to support global conservation, is likely to raise and how resources would be distributed.","citation-key":"GlobalBiodiversityCommitments","container-title":"Grantham Research Institute on climate change and the environment","language":"en-GB","publisher":"London School of Economics and Political Science (LSE)","title":"From global biodiversity commitments to local action: revenue potential and allocation dynamics of the Cali Fund","title-short":"From global biodiversity commitments to local action","URL":"https://www.lse.ac.uk/granthaminstitute/publication/from-global-biodiversity-commitments-to-local-action-revenue-potential-and-allocation-dynamics-of-the-cali-fund/","author":[{"family":"Makowska-Curran","given":"Agata"}],"accessed":{"date-parts":[["2026",6,3]]},"issued":{"date-parts":[["2026",6]]}},"suppress-author":true}],"schema":"https://github.com/citation-style-language/schema/raw/master/csl-citation.json"} </w:instrText>
      </w:r>
      <w:r w:rsidRPr="005F0A67">
        <w:rPr>
          <w:rFonts w:asciiTheme="majorBidi" w:eastAsia="Times New Roman" w:hAnsiTheme="majorBidi" w:cstheme="majorBidi"/>
          <w:sz w:val="18"/>
          <w:szCs w:val="18"/>
          <w:lang w:val="en-CA" w:eastAsia="en-GB"/>
        </w:rPr>
        <w:fldChar w:fldCharType="separate"/>
      </w:r>
      <w:r w:rsidRPr="005F0A67">
        <w:rPr>
          <w:rFonts w:asciiTheme="majorBidi" w:eastAsia="Times New Roman" w:hAnsiTheme="majorBidi" w:cstheme="majorBidi"/>
          <w:sz w:val="18"/>
          <w:szCs w:val="18"/>
          <w:lang w:val="en-CA" w:eastAsia="en-GB"/>
        </w:rPr>
        <w:t>(2026)</w:t>
      </w:r>
      <w:r w:rsidRPr="005F0A67">
        <w:rPr>
          <w:rFonts w:asciiTheme="majorBidi" w:eastAsia="Times New Roman" w:hAnsiTheme="majorBidi" w:cstheme="majorBidi"/>
          <w:sz w:val="18"/>
          <w:szCs w:val="18"/>
          <w:lang w:val="en-CA" w:eastAsia="en-GB"/>
        </w:rPr>
        <w:fldChar w:fldCharType="end"/>
      </w:r>
      <w:r w:rsidRPr="005F0A67">
        <w:rPr>
          <w:rFonts w:asciiTheme="majorBidi" w:eastAsia="Times New Roman" w:hAnsiTheme="majorBidi" w:cstheme="majorBidi"/>
          <w:sz w:val="18"/>
          <w:szCs w:val="18"/>
          <w:lang w:val="en-CA" w:eastAsia="en-GB"/>
        </w:rPr>
        <w:t>.</w:t>
      </w:r>
    </w:p>
    <w:p w14:paraId="623F4CF3" w14:textId="4AE865EA" w:rsidR="005F0A67" w:rsidRPr="005F0A67" w:rsidRDefault="005F0A67" w:rsidP="005F0A67">
      <w:pPr>
        <w:tabs>
          <w:tab w:val="clear" w:pos="567"/>
          <w:tab w:val="clear" w:pos="1134"/>
          <w:tab w:val="clear" w:pos="1701"/>
          <w:tab w:val="clear" w:pos="2268"/>
        </w:tabs>
        <w:spacing w:before="120" w:after="180" w:line="293"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_Ref230110385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 xml:space="preserve">Figure </w:t>
      </w:r>
      <w:r w:rsidRPr="005F0A67">
        <w:rPr>
          <w:rFonts w:asciiTheme="majorBidi" w:eastAsia="Times New Roman" w:hAnsiTheme="majorBidi" w:cstheme="majorBidi"/>
          <w:noProof/>
          <w:lang w:val="en-CA" w:eastAsia="en-GB"/>
        </w:rPr>
        <w:t>6</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presents the geographic distribution of S3 contributions by World Bank income group and CBD regional group. High-income countries represent approximately 54% of the central scenario total, while upper-middle-income countries contribute an additional 38%. Lower-middle-income and low-income countries collectively account for the remainder, which reflects the limited presence of firms meeting the Decision 16/2 eligibility thresholds in these economies</w:t>
      </w:r>
      <w:r w:rsidRPr="005F0A67">
        <w:rPr>
          <w:rFonts w:asciiTheme="majorBidi" w:eastAsia="Times New Roman" w:hAnsiTheme="majorBidi" w:cstheme="majorBidi"/>
          <w:vertAlign w:val="superscript"/>
          <w:lang w:val="en-CA" w:eastAsia="en-GB"/>
        </w:rPr>
        <w:footnoteReference w:id="56"/>
      </w:r>
      <w:r w:rsidRPr="005F0A67">
        <w:rPr>
          <w:rFonts w:asciiTheme="majorBidi" w:eastAsia="Times New Roman" w:hAnsiTheme="majorBidi" w:cstheme="majorBidi"/>
          <w:lang w:val="en-CA" w:eastAsia="en-GB"/>
        </w:rPr>
        <w:t xml:space="preserve">. The CBD regional breakdown is similarly concentrated: the Asia-Pacific region and the Western European and Others Group (WEOG) together account for approximately 93% of central scenario contributions, primarily due to large DSI-dependent industries in China, Japan, Germany, the United Kingdom, and Switzerland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{"citationID":"IW3bzjSF","properties":{"unsorted":false,"formattedCitation":"(Makowska-Curran, 2026)","plainCitation":"(Makowska-Curran, 2026)","noteIndex":0},"citationItems":[{"id":77,"uris":["http://zotero.org/users/14977742/items/2PI55QKT"],"itemData":{"id":77,"type":"article-journal","abstract":"This paper provides the first global, firm-level analysis of what the Cali Fund, designed to support global conservation, is likely to raise and how resources would be distributed.","citation-key":"GlobalBiodiversityCommitments","container-title":"Grantham Research Institute on climate change and the environment","language":"en-GB","publisher":"London School of Economics and Political Science (LSE)","title":"From global biodiversity commitments to local action: revenue potential and allocation dynamics of the Cali Fund","title-short":"From global biodiversity commitments to local action","URL":"https://www.lse.ac.uk/granthaminstitute/publication/from-global-biodiversity-commitments-to-local-action-revenue-potential-and-allocation-dynamics-of-the-cali-fund/","author":[{"family":"Makowska-Curran","given":"Agata"}],"accessed":{"date-parts":[["2026",6,3]]},"issued":{"date-parts":[["2026",6]]}}}],"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(Makowska-Curran, 2026)</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African States contribute very little in comparison under the central scenario, which is consistent with the low number of eligible firms in the region. This regional concentration should be read alongside the data coverage limitations discussed in Section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_Ref231664660 \r \h </w:instrText>
      </w:r>
      <w:r>
        <w:rPr>
          <w:rFonts w:asciiTheme="majorBidi" w:eastAsia="Times New Roman" w:hAnsiTheme="majorBidi" w:cstheme="majorBidi"/>
          <w:lang w:val="en-CA" w:eastAsia="en-GB"/>
        </w:rPr>
        <w:instrText xml:space="preserve">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6.2</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under-coverage in Sub-Saharan Africa and parts of Asia-Pacific likely understates the true eligible population in these regions, which risks understating their share of contributions relative to their actual economic exposure to DSI-dependent activity.</w:t>
      </w:r>
    </w:p>
    <w:p w14:paraId="2A6D7F8D" w14:textId="77777777" w:rsidR="00B54840" w:rsidRDefault="00B54840" w:rsidP="005F0A67">
      <w:pPr>
        <w:numPr>
          <w:ilvl w:val="4"/>
          <w:numId w:val="0"/>
        </w:numPr>
        <w:tabs>
          <w:tab w:val="clear" w:pos="567"/>
          <w:tab w:val="clear" w:pos="1134"/>
          <w:tab w:val="clear" w:pos="1701"/>
          <w:tab w:val="clear" w:pos="2268"/>
        </w:tabs>
        <w:spacing w:after="120"/>
        <w:jc w:val="left"/>
        <w:outlineLvl w:val="4"/>
        <w:rPr>
          <w:rFonts w:asciiTheme="majorBidi" w:eastAsia="Georgia" w:hAnsiTheme="majorBidi" w:cstheme="majorBidi"/>
          <w:b/>
          <w:bCs/>
          <w:color w:val="419844"/>
          <w:lang w:eastAsia="en-GB"/>
        </w:rPr>
      </w:pPr>
      <w:bookmarkStart w:id="123" w:name="_Ref230110385"/>
    </w:p>
    <w:p w14:paraId="0C25B8C1" w14:textId="77777777" w:rsidR="00B54840" w:rsidRDefault="00B54840" w:rsidP="005F0A67">
      <w:pPr>
        <w:numPr>
          <w:ilvl w:val="4"/>
          <w:numId w:val="0"/>
        </w:numPr>
        <w:tabs>
          <w:tab w:val="clear" w:pos="567"/>
          <w:tab w:val="clear" w:pos="1134"/>
          <w:tab w:val="clear" w:pos="1701"/>
          <w:tab w:val="clear" w:pos="2268"/>
        </w:tabs>
        <w:spacing w:after="120"/>
        <w:jc w:val="left"/>
        <w:outlineLvl w:val="4"/>
        <w:rPr>
          <w:rFonts w:asciiTheme="majorBidi" w:eastAsia="Georgia" w:hAnsiTheme="majorBidi" w:cstheme="majorBidi"/>
          <w:b/>
          <w:bCs/>
          <w:color w:val="419844"/>
          <w:lang w:eastAsia="en-GB"/>
        </w:rPr>
      </w:pPr>
    </w:p>
    <w:p w14:paraId="3178037C" w14:textId="7552FFA1" w:rsidR="005F0A67" w:rsidRPr="005F0A67" w:rsidRDefault="005F0A67" w:rsidP="005F0A67">
      <w:pPr>
        <w:numPr>
          <w:ilvl w:val="4"/>
          <w:numId w:val="0"/>
        </w:numPr>
        <w:tabs>
          <w:tab w:val="clear" w:pos="567"/>
          <w:tab w:val="clear" w:pos="1134"/>
          <w:tab w:val="clear" w:pos="1701"/>
          <w:tab w:val="clear" w:pos="2268"/>
        </w:tabs>
        <w:spacing w:after="120"/>
        <w:jc w:val="left"/>
        <w:outlineLvl w:val="4"/>
        <w:rPr>
          <w:rFonts w:asciiTheme="majorBidi" w:eastAsia="Georgia" w:hAnsiTheme="majorBidi" w:cstheme="majorBidi"/>
          <w:b/>
          <w:bCs/>
          <w:color w:val="419844"/>
          <w:lang w:eastAsia="en-GB"/>
        </w:rPr>
      </w:pPr>
      <w:r w:rsidRPr="005F0A67">
        <w:rPr>
          <w:rFonts w:asciiTheme="majorBidi" w:eastAsia="Georgia" w:hAnsiTheme="majorBidi" w:cstheme="majorBidi"/>
          <w:b/>
          <w:bCs/>
          <w:color w:val="419844"/>
          <w:lang w:eastAsia="en-GB"/>
        </w:rPr>
        <w:t xml:space="preserve">Figure </w:t>
      </w:r>
      <w:r w:rsidRPr="005F0A67">
        <w:rPr>
          <w:rFonts w:asciiTheme="majorBidi" w:eastAsia="Georgia" w:hAnsiTheme="majorBidi" w:cstheme="majorBidi"/>
          <w:b/>
          <w:bCs/>
          <w:color w:val="419844"/>
          <w:lang w:eastAsia="en-GB"/>
        </w:rPr>
        <w:fldChar w:fldCharType="begin"/>
      </w:r>
      <w:r w:rsidRPr="005F0A67">
        <w:rPr>
          <w:rFonts w:asciiTheme="majorBidi" w:eastAsia="Georgia" w:hAnsiTheme="majorBidi" w:cstheme="majorBidi"/>
          <w:b/>
          <w:bCs/>
          <w:color w:val="419844"/>
          <w:lang w:eastAsia="en-GB"/>
        </w:rPr>
        <w:instrText>SEQ Figure \* ARABIC</w:instrText>
      </w:r>
      <w:r w:rsidRPr="005F0A67">
        <w:rPr>
          <w:rFonts w:asciiTheme="majorBidi" w:eastAsia="Georgia" w:hAnsiTheme="majorBidi" w:cstheme="majorBidi"/>
          <w:b/>
          <w:bCs/>
          <w:color w:val="419844"/>
          <w:lang w:eastAsia="en-GB"/>
        </w:rPr>
        <w:fldChar w:fldCharType="separate"/>
      </w:r>
      <w:r w:rsidRPr="005F0A67">
        <w:rPr>
          <w:rFonts w:asciiTheme="majorBidi" w:eastAsia="Georgia" w:hAnsiTheme="majorBidi" w:cstheme="majorBidi"/>
          <w:b/>
          <w:bCs/>
          <w:noProof/>
          <w:color w:val="419844"/>
          <w:lang w:eastAsia="en-GB"/>
        </w:rPr>
        <w:t>6</w:t>
      </w:r>
      <w:r w:rsidRPr="005F0A67">
        <w:rPr>
          <w:rFonts w:asciiTheme="majorBidi" w:eastAsia="Georgia" w:hAnsiTheme="majorBidi" w:cstheme="majorBidi"/>
          <w:b/>
          <w:bCs/>
          <w:color w:val="419844"/>
          <w:lang w:eastAsia="en-GB"/>
        </w:rPr>
        <w:fldChar w:fldCharType="end"/>
      </w:r>
      <w:bookmarkEnd w:id="123"/>
      <w:r w:rsidRPr="005F0A67">
        <w:rPr>
          <w:rFonts w:asciiTheme="majorBidi" w:eastAsia="Georgia" w:hAnsiTheme="majorBidi" w:cstheme="majorBidi"/>
          <w:b/>
          <w:bCs/>
          <w:color w:val="419844"/>
          <w:lang w:eastAsia="en-GB"/>
        </w:rPr>
        <w:t xml:space="preserve"> Estimated S3 contribution shares by World Bank income group and CBD regional group</w:t>
      </w:r>
    </w:p>
    <w:p w14:paraId="642A7387"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noProof/>
          <w:lang w:val="en-CA" w:eastAsia="en-GB"/>
        </w:rPr>
        <w:drawing>
          <wp:inline distT="0" distB="0" distL="0" distR="0" wp14:anchorId="3EF46D7C" wp14:editId="4218FDEC">
            <wp:extent cx="6172200" cy="2394585"/>
            <wp:effectExtent l="0" t="0" r="0" b="5715"/>
            <wp:docPr id="79562091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620914" name="Picture 795620914"/>
                    <pic:cNvPicPr/>
                  </pic:nvPicPr>
                  <pic:blipFill>
                    <a:blip r:embed="rId30"/>
                    <a:stretch>
                      <a:fillRect/>
                    </a:stretch>
                  </pic:blipFill>
                  <pic:spPr>
                    <a:xfrm>
                      <a:off x="0" y="0"/>
                      <a:ext cx="6172200" cy="2394585"/>
                    </a:xfrm>
                    <a:prstGeom prst="rect">
                      <a:avLst/>
                    </a:prstGeom>
                  </pic:spPr>
                </pic:pic>
              </a:graphicData>
            </a:graphic>
          </wp:inline>
        </w:drawing>
      </w:r>
    </w:p>
    <w:p w14:paraId="4B9EE6D2" w14:textId="77777777" w:rsidR="005F0A67" w:rsidRPr="005F0A67" w:rsidRDefault="005F0A67" w:rsidP="005F0A67">
      <w:pPr>
        <w:tabs>
          <w:tab w:val="clear" w:pos="567"/>
          <w:tab w:val="clear" w:pos="1134"/>
          <w:tab w:val="clear" w:pos="1701"/>
          <w:tab w:val="clear" w:pos="2268"/>
        </w:tabs>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i/>
          <w:iCs/>
          <w:sz w:val="18"/>
          <w:szCs w:val="18"/>
          <w:lang w:val="en-CA" w:eastAsia="en-GB"/>
        </w:rPr>
        <w:t xml:space="preserve">Note: </w:t>
      </w:r>
      <w:r w:rsidRPr="005F0A67">
        <w:rPr>
          <w:rFonts w:asciiTheme="majorBidi" w:eastAsia="Times New Roman" w:hAnsiTheme="majorBidi" w:cstheme="majorBidi"/>
          <w:sz w:val="18"/>
          <w:szCs w:val="18"/>
          <w:lang w:val="en-CA" w:eastAsia="en-GB"/>
        </w:rPr>
        <w:t>Bars show each group's share of total S3 contributions ($929m). S3 applies sector-level participation rates, ownership-type multipliers, and DSI intensity adjustments to the eligible firm population. WEOG refers to Western European and Other Group; Eastern European refers to the CBD's Central and Eastern European regional group (CEE); Lat. America refers to the CBD's Group of Latin American and Caribbean States (GRULAC).</w:t>
      </w:r>
    </w:p>
    <w:p w14:paraId="2A09EBE5" w14:textId="77777777" w:rsidR="005F0A67" w:rsidRPr="005F0A67" w:rsidRDefault="005F0A67" w:rsidP="005F0A67">
      <w:pPr>
        <w:tabs>
          <w:tab w:val="clear" w:pos="567"/>
          <w:tab w:val="clear" w:pos="1134"/>
          <w:tab w:val="clear" w:pos="1701"/>
          <w:tab w:val="clear" w:pos="2268"/>
        </w:tabs>
        <w:spacing w:line="293" w:lineRule="auto"/>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i/>
          <w:iCs/>
          <w:sz w:val="18"/>
          <w:szCs w:val="18"/>
          <w:lang w:val="en-CA" w:eastAsia="en-GB"/>
        </w:rPr>
        <w:t xml:space="preserve">Source: </w:t>
      </w:r>
      <w:r w:rsidRPr="005F0A67">
        <w:rPr>
          <w:rFonts w:asciiTheme="majorBidi" w:eastAsia="Times New Roman" w:hAnsiTheme="majorBidi" w:cstheme="majorBidi"/>
          <w:sz w:val="18"/>
          <w:szCs w:val="18"/>
          <w:lang w:val="en-CA" w:eastAsia="en-GB"/>
        </w:rPr>
        <w:t xml:space="preserve">Adopted from Makowska-Curran </w:t>
      </w:r>
      <w:r w:rsidRPr="005F0A67">
        <w:rPr>
          <w:rFonts w:asciiTheme="majorBidi" w:eastAsia="Times New Roman" w:hAnsiTheme="majorBidi" w:cstheme="majorBidi"/>
          <w:sz w:val="18"/>
          <w:szCs w:val="18"/>
          <w:lang w:val="en-CA" w:eastAsia="en-GB"/>
        </w:rPr>
        <w:fldChar w:fldCharType="begin"/>
      </w:r>
      <w:r w:rsidRPr="005F0A67">
        <w:rPr>
          <w:rFonts w:asciiTheme="majorBidi" w:eastAsia="Times New Roman" w:hAnsiTheme="majorBidi" w:cstheme="majorBidi"/>
          <w:sz w:val="18"/>
          <w:szCs w:val="18"/>
          <w:lang w:val="en-CA" w:eastAsia="en-GB"/>
        </w:rPr>
        <w:instrText xml:space="preserve"> ADDIN ZOTERO_ITEM CSL_CITATION {"citationID":"viJWv6vJ","properties":{"unsorted":false,"formattedCitation":"(2026)","plainCitation":"(2026)","noteIndex":0},"citationItems":[{"id":77,"uris":["http://zotero.org/users/14977742/items/2PI55QKT"],"itemData":{"id":77,"type":"article-journal","abstract":"This paper provides the first global, firm-level analysis of what the Cali Fund, designed to support global conservation, is likely to raise and how resources would be distributed.","citation-key":"GlobalBiodiversityCommitments","container-title":"Grantham Research Institute on climate change and the environment","language":"en-GB","publisher":"London School of Economics and Political Science (LSE)","title":"From global biodiversity commitments to local action: revenue potential and allocation dynamics of the Cali Fund","title-short":"From global biodiversity commitments to local action","URL":"https://www.lse.ac.uk/granthaminstitute/publication/from-global-biodiversity-commitments-to-local-action-revenue-potential-and-allocation-dynamics-of-the-cali-fund/","author":[{"family":"Makowska-Curran","given":"Agata"}],"accessed":{"date-parts":[["2026",6,3]]},"issued":{"date-parts":[["2026",6]]}},"suppress-author":true}],"schema":"https://github.com/citation-style-language/schema/raw/master/csl-citation.json"} </w:instrText>
      </w:r>
      <w:r w:rsidRPr="005F0A67">
        <w:rPr>
          <w:rFonts w:asciiTheme="majorBidi" w:eastAsia="Times New Roman" w:hAnsiTheme="majorBidi" w:cstheme="majorBidi"/>
          <w:sz w:val="18"/>
          <w:szCs w:val="18"/>
          <w:lang w:val="en-CA" w:eastAsia="en-GB"/>
        </w:rPr>
        <w:fldChar w:fldCharType="separate"/>
      </w:r>
      <w:r w:rsidRPr="005F0A67">
        <w:rPr>
          <w:rFonts w:asciiTheme="majorBidi" w:eastAsia="Times New Roman" w:hAnsiTheme="majorBidi" w:cstheme="majorBidi"/>
          <w:sz w:val="18"/>
          <w:szCs w:val="18"/>
          <w:lang w:val="en-CA" w:eastAsia="en-GB"/>
        </w:rPr>
        <w:t>(2026)</w:t>
      </w:r>
      <w:r w:rsidRPr="005F0A67">
        <w:rPr>
          <w:rFonts w:asciiTheme="majorBidi" w:eastAsia="Times New Roman" w:hAnsiTheme="majorBidi" w:cstheme="majorBidi"/>
          <w:sz w:val="18"/>
          <w:szCs w:val="18"/>
          <w:lang w:val="en-CA" w:eastAsia="en-GB"/>
        </w:rPr>
        <w:fldChar w:fldCharType="end"/>
      </w:r>
      <w:r w:rsidRPr="005F0A67">
        <w:rPr>
          <w:rFonts w:asciiTheme="majorBidi" w:eastAsia="Times New Roman" w:hAnsiTheme="majorBidi" w:cstheme="majorBidi"/>
          <w:sz w:val="18"/>
          <w:szCs w:val="18"/>
          <w:lang w:val="en-CA" w:eastAsia="en-GB"/>
        </w:rPr>
        <w:t>.</w:t>
      </w:r>
    </w:p>
    <w:p w14:paraId="59AB6F5B" w14:textId="77777777" w:rsidR="005F0A67" w:rsidRPr="005F0A67" w:rsidRDefault="005F0A67" w:rsidP="005F0A67">
      <w:pPr>
        <w:tabs>
          <w:tab w:val="clear" w:pos="567"/>
          <w:tab w:val="clear" w:pos="1134"/>
          <w:tab w:val="clear" w:pos="1701"/>
          <w:tab w:val="clear" w:pos="2268"/>
        </w:tabs>
        <w:spacing w:line="293" w:lineRule="auto"/>
        <w:rPr>
          <w:rFonts w:asciiTheme="majorBidi" w:eastAsia="Times New Roman" w:hAnsiTheme="majorBidi" w:cstheme="majorBidi"/>
          <w:sz w:val="18"/>
          <w:szCs w:val="18"/>
          <w:lang w:val="en-CA" w:eastAsia="en-GB"/>
        </w:rPr>
      </w:pPr>
    </w:p>
    <w:p w14:paraId="20DBD49F"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lang w:val="en-CA" w:eastAsia="en-GB"/>
        </w:rPr>
        <w:t>The ten largest contributing jurisdictions collectively account for an estimated 74% of the fund's total annual revenue under more realistic participation assumptions (S3). Contributions are highly concentrated: China alone accounts for over a quarter of the total, and the top four jurisdictions (China, the United Kingdom, India, and Japan) together represent more than half.</w:t>
      </w:r>
    </w:p>
    <w:p w14:paraId="2C789415"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These figures should be interpreted with caution. The estimates are based on contributions from entities registered in each jurisdiction, not on the location of actual commercial operations or ultimate ownership. When multinationals register subsidiaries in specific countries for tax or administrative reasons, the figures may overstate those countries' true economic exposure to the mechanism. Ireland's estimate of USD 52 million illustrates this, as the underlying study attributes it mainly to multinational registration activity rather than commercial presence.</w:t>
      </w:r>
    </w:p>
    <w:p w14:paraId="28D5A593"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The United Kingdom estimate is particularly uncertain. When limited to unconsolidated accounts, which better align with the subsidiary-level scope intended by Decision 16/2, the UK figure drops significantly. The headline figure should be considered an upper bound, rather than a reliable point estimate.</w:t>
      </w:r>
    </w:p>
    <w:p w14:paraId="273DB7DE"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Some major source jurisdictions are likely underrepresented for the opposite reason. The underlying study identifies Switzerland and Canada as probable undercounts due to incomplete coverage of unconsolidated accounts for large multinationals headquartered in those countries. Their true contribution potential is higher than reported, but the gap cannot be quantified without better firm-level data. Hence, their contribution flow estimates should be treated as a conservative lower bound. </w:t>
      </w:r>
    </w:p>
    <w:p w14:paraId="05C393B9"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The country-level breakdown should be viewed as an indicative jurisdictional mapping, not a precise attribution of contribution flows. The aggregate figure of USD 929 million is more reliable than individual country estimates, so the disaggregation should be interpreted with appropriate caution.</w:t>
      </w:r>
    </w:p>
    <w:p w14:paraId="5F16C588" w14:textId="77777777" w:rsidR="00B54840" w:rsidRDefault="00B54840" w:rsidP="005F0A67">
      <w:pPr>
        <w:tabs>
          <w:tab w:val="clear" w:pos="567"/>
          <w:tab w:val="clear" w:pos="1134"/>
          <w:tab w:val="clear" w:pos="1701"/>
          <w:tab w:val="clear" w:pos="2268"/>
        </w:tabs>
        <w:spacing w:before="240" w:after="200" w:line="312" w:lineRule="auto"/>
        <w:contextualSpacing/>
        <w:rPr>
          <w:rFonts w:asciiTheme="majorBidi" w:eastAsia="Georgia" w:hAnsiTheme="majorBidi" w:cstheme="majorBidi"/>
          <w:b/>
          <w:bCs/>
          <w:color w:val="419844"/>
          <w:lang w:val="en-US" w:eastAsia="ja-JP"/>
        </w:rPr>
      </w:pPr>
    </w:p>
    <w:p w14:paraId="3B06CC0A" w14:textId="37700258" w:rsidR="005F0A67" w:rsidRPr="005F0A67" w:rsidRDefault="005F0A67" w:rsidP="005F0A67">
      <w:pPr>
        <w:tabs>
          <w:tab w:val="clear" w:pos="567"/>
          <w:tab w:val="clear" w:pos="1134"/>
          <w:tab w:val="clear" w:pos="1701"/>
          <w:tab w:val="clear" w:pos="2268"/>
        </w:tabs>
        <w:spacing w:before="240" w:after="200" w:line="312" w:lineRule="auto"/>
        <w:contextualSpacing/>
        <w:rPr>
          <w:rFonts w:asciiTheme="majorBidi" w:eastAsia="Georgia" w:hAnsiTheme="majorBidi" w:cstheme="majorBidi"/>
          <w:b/>
          <w:bCs/>
          <w:color w:val="419844"/>
          <w:lang w:eastAsia="en-GB"/>
        </w:rPr>
      </w:pPr>
      <w:r w:rsidRPr="005F0A67">
        <w:rPr>
          <w:rFonts w:asciiTheme="majorBidi" w:eastAsia="Georgia" w:hAnsiTheme="majorBidi" w:cstheme="majorBidi"/>
          <w:b/>
          <w:bCs/>
          <w:color w:val="419844"/>
          <w:lang w:val="en-US" w:eastAsia="ja-JP"/>
        </w:rPr>
        <w:t xml:space="preserve">Table </w:t>
      </w:r>
      <w:r w:rsidRPr="005F0A67">
        <w:rPr>
          <w:rFonts w:asciiTheme="majorBidi" w:eastAsia="Georgia" w:hAnsiTheme="majorBidi" w:cstheme="majorBidi"/>
          <w:b/>
          <w:bCs/>
          <w:color w:val="419844"/>
          <w:lang w:eastAsia="en-GB"/>
        </w:rPr>
        <w:fldChar w:fldCharType="begin"/>
      </w:r>
      <w:r w:rsidRPr="005F0A67">
        <w:rPr>
          <w:rFonts w:asciiTheme="majorBidi" w:eastAsia="Georgia" w:hAnsiTheme="majorBidi" w:cstheme="majorBidi"/>
          <w:b/>
          <w:bCs/>
          <w:color w:val="419844"/>
          <w:lang w:eastAsia="en-GB"/>
        </w:rPr>
        <w:instrText xml:space="preserve"> SEQ Table \* ARABIC </w:instrText>
      </w:r>
      <w:r w:rsidRPr="005F0A67">
        <w:rPr>
          <w:rFonts w:asciiTheme="majorBidi" w:eastAsia="Georgia" w:hAnsiTheme="majorBidi" w:cstheme="majorBidi"/>
          <w:b/>
          <w:bCs/>
          <w:color w:val="419844"/>
          <w:lang w:eastAsia="en-GB"/>
        </w:rPr>
        <w:fldChar w:fldCharType="separate"/>
      </w:r>
      <w:r w:rsidRPr="005F0A67">
        <w:rPr>
          <w:rFonts w:asciiTheme="majorBidi" w:eastAsia="Georgia" w:hAnsiTheme="majorBidi" w:cstheme="majorBidi"/>
          <w:b/>
          <w:bCs/>
          <w:noProof/>
          <w:color w:val="419844"/>
          <w:lang w:eastAsia="en-GB"/>
        </w:rPr>
        <w:t>13</w:t>
      </w:r>
      <w:r w:rsidRPr="005F0A67">
        <w:rPr>
          <w:rFonts w:asciiTheme="majorBidi" w:eastAsia="Georgia" w:hAnsiTheme="majorBidi" w:cstheme="majorBidi"/>
          <w:b/>
          <w:bCs/>
          <w:color w:val="419844"/>
          <w:lang w:eastAsia="en-GB"/>
        </w:rPr>
        <w:fldChar w:fldCharType="end"/>
      </w:r>
      <w:r w:rsidRPr="005F0A67">
        <w:rPr>
          <w:rFonts w:asciiTheme="majorBidi" w:eastAsia="Georgia" w:hAnsiTheme="majorBidi" w:cstheme="majorBidi"/>
          <w:b/>
          <w:bCs/>
          <w:color w:val="419844"/>
          <w:lang w:val="en-US" w:eastAsia="ja-JP"/>
        </w:rPr>
        <w:t xml:space="preserve"> Estimated S3 annual contributions by top 10 countries (S3 central scenario)</w:t>
      </w:r>
    </w:p>
    <w:tbl>
      <w:tblPr>
        <w:tblW w:w="268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842"/>
        <w:gridCol w:w="1881"/>
        <w:gridCol w:w="1499"/>
      </w:tblGrid>
      <w:tr w:rsidR="005F0A67" w:rsidRPr="005F0A67" w14:paraId="215CB9EF" w14:textId="77777777" w:rsidTr="00FB671B">
        <w:trPr>
          <w:trHeight w:val="108"/>
          <w:tblHeader/>
          <w:jc w:val="center"/>
        </w:trPr>
        <w:tc>
          <w:tcPr>
            <w:tcW w:w="1764" w:type="pct"/>
            <w:tcBorders>
              <w:top w:val="single" w:sz="1" w:space="0" w:color="AAAAAA"/>
              <w:left w:val="single" w:sz="1" w:space="0" w:color="AAAAAA"/>
              <w:bottom w:val="single" w:sz="1" w:space="0" w:color="AAAAAA"/>
              <w:right w:val="single" w:sz="1" w:space="0" w:color="AAAAAA"/>
            </w:tcBorders>
            <w:shd w:val="clear" w:color="auto" w:fill="1F4E6B"/>
            <w:tcMar>
              <w:top w:w="60" w:type="dxa"/>
              <w:left w:w="100" w:type="dxa"/>
              <w:bottom w:w="60" w:type="dxa"/>
              <w:right w:w="100" w:type="dxa"/>
            </w:tcMar>
            <w:vAlign w:val="center"/>
          </w:tcPr>
          <w:p w14:paraId="0ECE7F71"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b/>
                <w:bCs/>
                <w:color w:val="FFFFFF"/>
                <w:sz w:val="18"/>
                <w:szCs w:val="18"/>
                <w:lang w:val="en-CA" w:eastAsia="en-GB"/>
              </w:rPr>
            </w:pPr>
            <w:r w:rsidRPr="005F0A67">
              <w:rPr>
                <w:rFonts w:asciiTheme="majorBidi" w:eastAsia="Times New Roman" w:hAnsiTheme="majorBidi" w:cstheme="majorBidi"/>
                <w:b/>
                <w:bCs/>
                <w:color w:val="FFFFFF"/>
                <w:sz w:val="18"/>
                <w:szCs w:val="18"/>
                <w:lang w:val="en-CA" w:eastAsia="en-GB"/>
              </w:rPr>
              <w:t>CBD Party</w:t>
            </w:r>
          </w:p>
        </w:tc>
        <w:tc>
          <w:tcPr>
            <w:tcW w:w="1801" w:type="pct"/>
            <w:tcBorders>
              <w:top w:val="single" w:sz="1" w:space="0" w:color="AAAAAA"/>
              <w:left w:val="single" w:sz="1" w:space="0" w:color="AAAAAA"/>
              <w:bottom w:val="single" w:sz="1" w:space="0" w:color="AAAAAA"/>
              <w:right w:val="single" w:sz="1" w:space="0" w:color="AAAAAA"/>
            </w:tcBorders>
            <w:shd w:val="clear" w:color="auto" w:fill="1F4E6B"/>
            <w:tcMar>
              <w:top w:w="60" w:type="dxa"/>
              <w:left w:w="100" w:type="dxa"/>
              <w:bottom w:w="60" w:type="dxa"/>
              <w:right w:w="100" w:type="dxa"/>
            </w:tcMar>
            <w:vAlign w:val="center"/>
          </w:tcPr>
          <w:p w14:paraId="22FBC36E"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b/>
                <w:bCs/>
                <w:color w:val="FFFFFF"/>
                <w:sz w:val="18"/>
                <w:szCs w:val="18"/>
                <w:lang w:val="en-CA" w:eastAsia="en-GB"/>
              </w:rPr>
            </w:pPr>
            <w:r w:rsidRPr="005F0A67">
              <w:rPr>
                <w:rFonts w:asciiTheme="majorBidi" w:eastAsia="Times New Roman" w:hAnsiTheme="majorBidi" w:cstheme="majorBidi"/>
                <w:b/>
                <w:bCs/>
                <w:color w:val="FFFFFF"/>
                <w:sz w:val="18"/>
                <w:szCs w:val="18"/>
                <w:lang w:val="en-CA" w:eastAsia="en-GB"/>
              </w:rPr>
              <w:t>Estimated annual contribution (USD million)</w:t>
            </w:r>
          </w:p>
        </w:tc>
        <w:tc>
          <w:tcPr>
            <w:tcW w:w="1435" w:type="pct"/>
            <w:tcBorders>
              <w:top w:val="single" w:sz="1" w:space="0" w:color="AAAAAA"/>
              <w:left w:val="single" w:sz="1" w:space="0" w:color="AAAAAA"/>
              <w:bottom w:val="single" w:sz="1" w:space="0" w:color="AAAAAA"/>
              <w:right w:val="single" w:sz="1" w:space="0" w:color="AAAAAA"/>
            </w:tcBorders>
            <w:shd w:val="clear" w:color="auto" w:fill="1F4E6B"/>
            <w:vAlign w:val="center"/>
          </w:tcPr>
          <w:p w14:paraId="2F852156"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b/>
                <w:bCs/>
                <w:color w:val="FFFFFF"/>
                <w:sz w:val="18"/>
                <w:szCs w:val="18"/>
                <w:lang w:val="en-CA" w:eastAsia="en-GB"/>
              </w:rPr>
            </w:pPr>
            <w:r w:rsidRPr="005F0A67">
              <w:rPr>
                <w:rFonts w:asciiTheme="majorBidi" w:eastAsia="Times New Roman" w:hAnsiTheme="majorBidi" w:cstheme="majorBidi"/>
                <w:b/>
                <w:bCs/>
                <w:color w:val="FFFFFF"/>
                <w:sz w:val="18"/>
                <w:szCs w:val="18"/>
                <w:lang w:val="en-CA" w:eastAsia="en-GB"/>
              </w:rPr>
              <w:t>Share (%)</w:t>
            </w:r>
          </w:p>
        </w:tc>
      </w:tr>
      <w:tr w:rsidR="005F0A67" w:rsidRPr="005F0A67" w14:paraId="63C7DDF9" w14:textId="77777777" w:rsidTr="005F0A67">
        <w:trPr>
          <w:trHeight w:val="358"/>
          <w:jc w:val="center"/>
        </w:trPr>
        <w:tc>
          <w:tcPr>
            <w:tcW w:w="1764"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7D55C98E"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China</w:t>
            </w:r>
          </w:p>
        </w:tc>
        <w:tc>
          <w:tcPr>
            <w:tcW w:w="1801" w:type="pct"/>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vAlign w:val="center"/>
          </w:tcPr>
          <w:p w14:paraId="5F225494"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248</w:t>
            </w:r>
          </w:p>
        </w:tc>
        <w:tc>
          <w:tcPr>
            <w:tcW w:w="1435" w:type="pct"/>
            <w:tcBorders>
              <w:top w:val="single" w:sz="1" w:space="0" w:color="AAAAAA"/>
              <w:left w:val="single" w:sz="1" w:space="0" w:color="AAAAAA"/>
              <w:bottom w:val="single" w:sz="1" w:space="0" w:color="AAAAAA"/>
              <w:right w:val="single" w:sz="1" w:space="0" w:color="AAAAAA"/>
            </w:tcBorders>
            <w:vAlign w:val="center"/>
          </w:tcPr>
          <w:p w14:paraId="4313A5AE"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26.6%</w:t>
            </w:r>
          </w:p>
        </w:tc>
      </w:tr>
      <w:tr w:rsidR="005F0A67" w:rsidRPr="005F0A67" w14:paraId="7A56FAF0" w14:textId="77777777" w:rsidTr="005F0A67">
        <w:trPr>
          <w:trHeight w:val="358"/>
          <w:jc w:val="center"/>
        </w:trPr>
        <w:tc>
          <w:tcPr>
            <w:tcW w:w="1764"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059B8A87"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b/>
                <w:bCs/>
                <w:sz w:val="18"/>
                <w:szCs w:val="18"/>
                <w:lang w:eastAsia="en-GB"/>
              </w:rPr>
            </w:pPr>
            <w:r w:rsidRPr="005F0A67">
              <w:rPr>
                <w:rFonts w:asciiTheme="majorBidi" w:eastAsia="Times New Roman" w:hAnsiTheme="majorBidi" w:cstheme="majorBidi"/>
                <w:sz w:val="18"/>
                <w:szCs w:val="18"/>
                <w:lang w:eastAsia="en-GB"/>
              </w:rPr>
              <w:t>United Kingdom†</w:t>
            </w:r>
          </w:p>
        </w:tc>
        <w:tc>
          <w:tcPr>
            <w:tcW w:w="1801" w:type="pct"/>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vAlign w:val="center"/>
          </w:tcPr>
          <w:p w14:paraId="3B1E1431"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ahoma" w:hAnsiTheme="majorBidi" w:cstheme="majorBidi"/>
                <w:sz w:val="18"/>
                <w:szCs w:val="18"/>
                <w:lang w:eastAsia="en-GB"/>
              </w:rPr>
            </w:pPr>
            <w:r w:rsidRPr="005F0A67">
              <w:rPr>
                <w:rFonts w:asciiTheme="majorBidi" w:eastAsia="Times New Roman" w:hAnsiTheme="majorBidi" w:cstheme="majorBidi"/>
                <w:sz w:val="18"/>
                <w:szCs w:val="18"/>
                <w:lang w:eastAsia="en-GB"/>
              </w:rPr>
              <w:t>90</w:t>
            </w:r>
          </w:p>
        </w:tc>
        <w:tc>
          <w:tcPr>
            <w:tcW w:w="1435" w:type="pct"/>
            <w:tcBorders>
              <w:top w:val="single" w:sz="1" w:space="0" w:color="AAAAAA"/>
              <w:left w:val="single" w:sz="1" w:space="0" w:color="AAAAAA"/>
              <w:bottom w:val="single" w:sz="1" w:space="0" w:color="AAAAAA"/>
              <w:right w:val="single" w:sz="1" w:space="0" w:color="AAAAAA"/>
            </w:tcBorders>
            <w:vAlign w:val="center"/>
          </w:tcPr>
          <w:p w14:paraId="0BF969A8"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9.7%</w:t>
            </w:r>
          </w:p>
        </w:tc>
      </w:tr>
      <w:tr w:rsidR="005F0A67" w:rsidRPr="005F0A67" w14:paraId="6D89C690" w14:textId="77777777" w:rsidTr="005F0A67">
        <w:trPr>
          <w:trHeight w:val="144"/>
          <w:jc w:val="center"/>
        </w:trPr>
        <w:tc>
          <w:tcPr>
            <w:tcW w:w="1764"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75E5D021"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b/>
                <w:bCs/>
                <w:sz w:val="18"/>
                <w:szCs w:val="18"/>
                <w:lang w:eastAsia="en-GB"/>
              </w:rPr>
            </w:pPr>
            <w:r w:rsidRPr="005F0A67">
              <w:rPr>
                <w:rFonts w:asciiTheme="majorBidi" w:eastAsia="Times New Roman" w:hAnsiTheme="majorBidi" w:cstheme="majorBidi"/>
                <w:sz w:val="18"/>
                <w:szCs w:val="18"/>
                <w:lang w:eastAsia="en-GB"/>
              </w:rPr>
              <w:t>India</w:t>
            </w:r>
          </w:p>
        </w:tc>
        <w:tc>
          <w:tcPr>
            <w:tcW w:w="1801" w:type="pct"/>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vAlign w:val="center"/>
          </w:tcPr>
          <w:p w14:paraId="0C6E8770"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ahoma" w:hAnsiTheme="majorBidi" w:cstheme="majorBidi"/>
                <w:sz w:val="18"/>
                <w:szCs w:val="18"/>
                <w:lang w:eastAsia="en-GB"/>
              </w:rPr>
            </w:pPr>
            <w:r w:rsidRPr="005F0A67">
              <w:rPr>
                <w:rFonts w:asciiTheme="majorBidi" w:eastAsia="Times New Roman" w:hAnsiTheme="majorBidi" w:cstheme="majorBidi"/>
                <w:sz w:val="18"/>
                <w:szCs w:val="18"/>
                <w:lang w:eastAsia="en-GB"/>
              </w:rPr>
              <w:t>79</w:t>
            </w:r>
          </w:p>
        </w:tc>
        <w:tc>
          <w:tcPr>
            <w:tcW w:w="1435" w:type="pct"/>
            <w:tcBorders>
              <w:top w:val="single" w:sz="1" w:space="0" w:color="AAAAAA"/>
              <w:left w:val="single" w:sz="1" w:space="0" w:color="AAAAAA"/>
              <w:bottom w:val="single" w:sz="1" w:space="0" w:color="AAAAAA"/>
              <w:right w:val="single" w:sz="1" w:space="0" w:color="AAAAAA"/>
            </w:tcBorders>
            <w:vAlign w:val="center"/>
          </w:tcPr>
          <w:p w14:paraId="074E9A80"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8.5%</w:t>
            </w:r>
          </w:p>
        </w:tc>
      </w:tr>
      <w:tr w:rsidR="005F0A67" w:rsidRPr="005F0A67" w14:paraId="3A33C6A4" w14:textId="77777777" w:rsidTr="005F0A67">
        <w:trPr>
          <w:trHeight w:val="144"/>
          <w:jc w:val="center"/>
        </w:trPr>
        <w:tc>
          <w:tcPr>
            <w:tcW w:w="1764"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599366A4"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b/>
                <w:bCs/>
                <w:sz w:val="18"/>
                <w:szCs w:val="18"/>
                <w:lang w:eastAsia="en-GB"/>
              </w:rPr>
            </w:pPr>
            <w:r w:rsidRPr="005F0A67">
              <w:rPr>
                <w:rFonts w:asciiTheme="majorBidi" w:eastAsia="Times New Roman" w:hAnsiTheme="majorBidi" w:cstheme="majorBidi"/>
                <w:sz w:val="18"/>
                <w:szCs w:val="18"/>
                <w:lang w:eastAsia="en-GB"/>
              </w:rPr>
              <w:t>Japan</w:t>
            </w:r>
          </w:p>
        </w:tc>
        <w:tc>
          <w:tcPr>
            <w:tcW w:w="1801" w:type="pct"/>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vAlign w:val="center"/>
          </w:tcPr>
          <w:p w14:paraId="06D583D0"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ahoma" w:hAnsiTheme="majorBidi" w:cstheme="majorBidi"/>
                <w:sz w:val="18"/>
                <w:szCs w:val="18"/>
                <w:lang w:eastAsia="en-GB"/>
              </w:rPr>
            </w:pPr>
            <w:r w:rsidRPr="005F0A67">
              <w:rPr>
                <w:rFonts w:asciiTheme="majorBidi" w:eastAsia="Times New Roman" w:hAnsiTheme="majorBidi" w:cstheme="majorBidi"/>
                <w:sz w:val="18"/>
                <w:szCs w:val="18"/>
                <w:lang w:eastAsia="en-GB"/>
              </w:rPr>
              <w:t>65</w:t>
            </w:r>
          </w:p>
        </w:tc>
        <w:tc>
          <w:tcPr>
            <w:tcW w:w="1435" w:type="pct"/>
            <w:tcBorders>
              <w:top w:val="single" w:sz="1" w:space="0" w:color="AAAAAA"/>
              <w:left w:val="single" w:sz="1" w:space="0" w:color="AAAAAA"/>
              <w:bottom w:val="single" w:sz="1" w:space="0" w:color="AAAAAA"/>
              <w:right w:val="single" w:sz="1" w:space="0" w:color="AAAAAA"/>
            </w:tcBorders>
            <w:vAlign w:val="center"/>
          </w:tcPr>
          <w:p w14:paraId="482E7B0F"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7.0%</w:t>
            </w:r>
          </w:p>
        </w:tc>
      </w:tr>
      <w:tr w:rsidR="005F0A67" w:rsidRPr="005F0A67" w14:paraId="06A0F6DE" w14:textId="77777777" w:rsidTr="005F0A67">
        <w:trPr>
          <w:trHeight w:val="144"/>
          <w:jc w:val="center"/>
        </w:trPr>
        <w:tc>
          <w:tcPr>
            <w:tcW w:w="1764"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6F585366"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Ireland‡</w:t>
            </w:r>
          </w:p>
        </w:tc>
        <w:tc>
          <w:tcPr>
            <w:tcW w:w="1801" w:type="pct"/>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vAlign w:val="center"/>
          </w:tcPr>
          <w:p w14:paraId="2A845762"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52</w:t>
            </w:r>
          </w:p>
        </w:tc>
        <w:tc>
          <w:tcPr>
            <w:tcW w:w="1435" w:type="pct"/>
            <w:tcBorders>
              <w:top w:val="single" w:sz="1" w:space="0" w:color="AAAAAA"/>
              <w:left w:val="single" w:sz="1" w:space="0" w:color="AAAAAA"/>
              <w:bottom w:val="single" w:sz="1" w:space="0" w:color="AAAAAA"/>
              <w:right w:val="single" w:sz="1" w:space="0" w:color="AAAAAA"/>
            </w:tcBorders>
            <w:vAlign w:val="center"/>
          </w:tcPr>
          <w:p w14:paraId="321910A9"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5.6%</w:t>
            </w:r>
          </w:p>
        </w:tc>
      </w:tr>
      <w:tr w:rsidR="005F0A67" w:rsidRPr="005F0A67" w14:paraId="01BEAE52" w14:textId="77777777" w:rsidTr="005F0A67">
        <w:trPr>
          <w:trHeight w:val="144"/>
          <w:jc w:val="center"/>
        </w:trPr>
        <w:tc>
          <w:tcPr>
            <w:tcW w:w="1764"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682B6376"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Germany</w:t>
            </w:r>
          </w:p>
        </w:tc>
        <w:tc>
          <w:tcPr>
            <w:tcW w:w="1801" w:type="pct"/>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vAlign w:val="center"/>
          </w:tcPr>
          <w:p w14:paraId="63938446"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39</w:t>
            </w:r>
          </w:p>
        </w:tc>
        <w:tc>
          <w:tcPr>
            <w:tcW w:w="1435" w:type="pct"/>
            <w:tcBorders>
              <w:top w:val="single" w:sz="1" w:space="0" w:color="AAAAAA"/>
              <w:left w:val="single" w:sz="1" w:space="0" w:color="AAAAAA"/>
              <w:bottom w:val="single" w:sz="1" w:space="0" w:color="AAAAAA"/>
              <w:right w:val="single" w:sz="1" w:space="0" w:color="AAAAAA"/>
            </w:tcBorders>
            <w:vAlign w:val="center"/>
          </w:tcPr>
          <w:p w14:paraId="2D466C8A"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4.2%</w:t>
            </w:r>
          </w:p>
        </w:tc>
      </w:tr>
      <w:tr w:rsidR="005F0A67" w:rsidRPr="005F0A67" w14:paraId="296A76AB" w14:textId="77777777" w:rsidTr="005F0A67">
        <w:trPr>
          <w:trHeight w:val="144"/>
          <w:jc w:val="center"/>
        </w:trPr>
        <w:tc>
          <w:tcPr>
            <w:tcW w:w="1764"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0B323E82"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France</w:t>
            </w:r>
          </w:p>
        </w:tc>
        <w:tc>
          <w:tcPr>
            <w:tcW w:w="1801" w:type="pct"/>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vAlign w:val="center"/>
          </w:tcPr>
          <w:p w14:paraId="2194B5FB"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38</w:t>
            </w:r>
          </w:p>
        </w:tc>
        <w:tc>
          <w:tcPr>
            <w:tcW w:w="1435" w:type="pct"/>
            <w:tcBorders>
              <w:top w:val="single" w:sz="1" w:space="0" w:color="AAAAAA"/>
              <w:left w:val="single" w:sz="1" w:space="0" w:color="AAAAAA"/>
              <w:bottom w:val="single" w:sz="1" w:space="0" w:color="AAAAAA"/>
              <w:right w:val="single" w:sz="1" w:space="0" w:color="AAAAAA"/>
            </w:tcBorders>
            <w:vAlign w:val="center"/>
          </w:tcPr>
          <w:p w14:paraId="611623DB"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4.1%</w:t>
            </w:r>
          </w:p>
        </w:tc>
      </w:tr>
      <w:tr w:rsidR="005F0A67" w:rsidRPr="005F0A67" w14:paraId="0CD5F70F" w14:textId="77777777" w:rsidTr="005F0A67">
        <w:trPr>
          <w:trHeight w:val="144"/>
          <w:jc w:val="center"/>
        </w:trPr>
        <w:tc>
          <w:tcPr>
            <w:tcW w:w="1764"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745741B4"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Russia</w:t>
            </w:r>
          </w:p>
        </w:tc>
        <w:tc>
          <w:tcPr>
            <w:tcW w:w="1801" w:type="pct"/>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vAlign w:val="center"/>
          </w:tcPr>
          <w:p w14:paraId="52809073"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29</w:t>
            </w:r>
          </w:p>
        </w:tc>
        <w:tc>
          <w:tcPr>
            <w:tcW w:w="1435" w:type="pct"/>
            <w:tcBorders>
              <w:top w:val="single" w:sz="1" w:space="0" w:color="AAAAAA"/>
              <w:left w:val="single" w:sz="1" w:space="0" w:color="AAAAAA"/>
              <w:bottom w:val="single" w:sz="1" w:space="0" w:color="AAAAAA"/>
              <w:right w:val="single" w:sz="1" w:space="0" w:color="AAAAAA"/>
            </w:tcBorders>
            <w:vAlign w:val="center"/>
          </w:tcPr>
          <w:p w14:paraId="29326192"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3.1%</w:t>
            </w:r>
          </w:p>
        </w:tc>
      </w:tr>
      <w:tr w:rsidR="005F0A67" w:rsidRPr="005F0A67" w14:paraId="6D75F367" w14:textId="77777777" w:rsidTr="005F0A67">
        <w:trPr>
          <w:trHeight w:val="144"/>
          <w:jc w:val="center"/>
        </w:trPr>
        <w:tc>
          <w:tcPr>
            <w:tcW w:w="1764"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0773A5D6"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Belgium</w:t>
            </w:r>
          </w:p>
        </w:tc>
        <w:tc>
          <w:tcPr>
            <w:tcW w:w="1801" w:type="pct"/>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vAlign w:val="center"/>
          </w:tcPr>
          <w:p w14:paraId="7AADBCBC"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23</w:t>
            </w:r>
          </w:p>
        </w:tc>
        <w:tc>
          <w:tcPr>
            <w:tcW w:w="1435" w:type="pct"/>
            <w:tcBorders>
              <w:top w:val="single" w:sz="1" w:space="0" w:color="AAAAAA"/>
              <w:left w:val="single" w:sz="1" w:space="0" w:color="AAAAAA"/>
              <w:bottom w:val="single" w:sz="1" w:space="0" w:color="AAAAAA"/>
              <w:right w:val="single" w:sz="1" w:space="0" w:color="AAAAAA"/>
            </w:tcBorders>
            <w:vAlign w:val="center"/>
          </w:tcPr>
          <w:p w14:paraId="762E68C3"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2.4%</w:t>
            </w:r>
          </w:p>
        </w:tc>
      </w:tr>
      <w:tr w:rsidR="005F0A67" w:rsidRPr="005F0A67" w14:paraId="6230329D" w14:textId="77777777" w:rsidTr="005F0A67">
        <w:trPr>
          <w:trHeight w:val="144"/>
          <w:jc w:val="center"/>
        </w:trPr>
        <w:tc>
          <w:tcPr>
            <w:tcW w:w="1764"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6107AC47"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b/>
                <w:bCs/>
                <w:sz w:val="18"/>
                <w:szCs w:val="18"/>
                <w:lang w:eastAsia="en-GB"/>
              </w:rPr>
            </w:pPr>
            <w:r w:rsidRPr="005F0A67">
              <w:rPr>
                <w:rFonts w:asciiTheme="majorBidi" w:eastAsia="Times New Roman" w:hAnsiTheme="majorBidi" w:cstheme="majorBidi"/>
                <w:sz w:val="18"/>
                <w:szCs w:val="18"/>
                <w:lang w:eastAsia="en-GB"/>
              </w:rPr>
              <w:t>Singapore</w:t>
            </w:r>
          </w:p>
        </w:tc>
        <w:tc>
          <w:tcPr>
            <w:tcW w:w="1801" w:type="pct"/>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vAlign w:val="center"/>
          </w:tcPr>
          <w:p w14:paraId="7E69155A"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21</w:t>
            </w:r>
          </w:p>
        </w:tc>
        <w:tc>
          <w:tcPr>
            <w:tcW w:w="1435" w:type="pct"/>
            <w:tcBorders>
              <w:top w:val="single" w:sz="1" w:space="0" w:color="AAAAAA"/>
              <w:left w:val="single" w:sz="1" w:space="0" w:color="AAAAAA"/>
              <w:bottom w:val="single" w:sz="1" w:space="0" w:color="AAAAAA"/>
              <w:right w:val="single" w:sz="1" w:space="0" w:color="AAAAAA"/>
            </w:tcBorders>
            <w:vAlign w:val="center"/>
          </w:tcPr>
          <w:p w14:paraId="20651DAD"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2.3%</w:t>
            </w:r>
          </w:p>
        </w:tc>
      </w:tr>
      <w:tr w:rsidR="005F0A67" w:rsidRPr="005F0A67" w14:paraId="7C11A215" w14:textId="77777777" w:rsidTr="005F0A67">
        <w:trPr>
          <w:trHeight w:val="144"/>
          <w:jc w:val="center"/>
        </w:trPr>
        <w:tc>
          <w:tcPr>
            <w:tcW w:w="1764" w:type="pct"/>
            <w:tcBorders>
              <w:top w:val="single" w:sz="1" w:space="0" w:color="AAAAAA"/>
              <w:left w:val="single" w:sz="1" w:space="0" w:color="AAAAAA"/>
              <w:bottom w:val="single" w:sz="1" w:space="0" w:color="AAAAAA"/>
              <w:right w:val="single" w:sz="1" w:space="0" w:color="AAAAAA"/>
            </w:tcBorders>
            <w:shd w:val="clear" w:color="auto" w:fill="D9D9D9"/>
            <w:tcMar>
              <w:top w:w="60" w:type="dxa"/>
              <w:left w:w="100" w:type="dxa"/>
              <w:bottom w:w="60" w:type="dxa"/>
              <w:right w:w="100" w:type="dxa"/>
            </w:tcMar>
            <w:vAlign w:val="center"/>
          </w:tcPr>
          <w:p w14:paraId="6E1296C9"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b/>
                <w:bCs/>
                <w:sz w:val="18"/>
                <w:szCs w:val="18"/>
                <w:lang w:eastAsia="en-GB"/>
              </w:rPr>
              <w:t>Top 10 total</w:t>
            </w:r>
          </w:p>
        </w:tc>
        <w:tc>
          <w:tcPr>
            <w:tcW w:w="1801" w:type="pct"/>
            <w:tcBorders>
              <w:top w:val="single" w:sz="1" w:space="0" w:color="AAAAAA"/>
              <w:left w:val="single" w:sz="1" w:space="0" w:color="AAAAAA"/>
              <w:bottom w:val="single" w:sz="1" w:space="0" w:color="AAAAAA"/>
              <w:right w:val="single" w:sz="1" w:space="0" w:color="AAAAAA"/>
            </w:tcBorders>
            <w:shd w:val="clear" w:color="auto" w:fill="D9D9D9"/>
            <w:tcMar>
              <w:top w:w="60" w:type="dxa"/>
              <w:left w:w="100" w:type="dxa"/>
              <w:bottom w:w="60" w:type="dxa"/>
              <w:right w:w="100" w:type="dxa"/>
            </w:tcMar>
            <w:vAlign w:val="center"/>
          </w:tcPr>
          <w:p w14:paraId="5A2F907C"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b/>
                <w:bCs/>
                <w:sz w:val="18"/>
                <w:szCs w:val="18"/>
                <w:lang w:eastAsia="en-GB"/>
              </w:rPr>
              <w:t>684</w:t>
            </w:r>
          </w:p>
        </w:tc>
        <w:tc>
          <w:tcPr>
            <w:tcW w:w="1435" w:type="pct"/>
            <w:tcBorders>
              <w:top w:val="single" w:sz="1" w:space="0" w:color="AAAAAA"/>
              <w:left w:val="single" w:sz="1" w:space="0" w:color="AAAAAA"/>
              <w:bottom w:val="single" w:sz="1" w:space="0" w:color="AAAAAA"/>
              <w:right w:val="single" w:sz="1" w:space="0" w:color="AAAAAA"/>
            </w:tcBorders>
            <w:shd w:val="clear" w:color="auto" w:fill="D9D9D9"/>
            <w:vAlign w:val="center"/>
          </w:tcPr>
          <w:p w14:paraId="6DC6BB70"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b/>
                <w:bCs/>
                <w:sz w:val="18"/>
                <w:szCs w:val="18"/>
                <w:lang w:eastAsia="en-GB"/>
              </w:rPr>
              <w:t>73.6%</w:t>
            </w:r>
          </w:p>
        </w:tc>
      </w:tr>
      <w:tr w:rsidR="005F0A67" w:rsidRPr="005F0A67" w14:paraId="3FB9C55A" w14:textId="77777777" w:rsidTr="005F0A67">
        <w:trPr>
          <w:trHeight w:val="144"/>
          <w:jc w:val="center"/>
        </w:trPr>
        <w:tc>
          <w:tcPr>
            <w:tcW w:w="1764" w:type="pct"/>
            <w:tcBorders>
              <w:top w:val="single" w:sz="1" w:space="0" w:color="AAAAAA"/>
              <w:left w:val="single" w:sz="1" w:space="0" w:color="AAAAAA"/>
              <w:bottom w:val="single" w:sz="1" w:space="0" w:color="AAAAAA"/>
              <w:right w:val="single" w:sz="1" w:space="0" w:color="AAAAAA"/>
            </w:tcBorders>
            <w:shd w:val="clear" w:color="auto" w:fill="D9D9D9"/>
            <w:tcMar>
              <w:top w:w="60" w:type="dxa"/>
              <w:left w:w="100" w:type="dxa"/>
              <w:bottom w:w="60" w:type="dxa"/>
              <w:right w:w="100" w:type="dxa"/>
            </w:tcMar>
            <w:vAlign w:val="center"/>
          </w:tcPr>
          <w:p w14:paraId="4B83FD22"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i/>
                <w:iCs/>
                <w:sz w:val="18"/>
                <w:szCs w:val="18"/>
                <w:lang w:eastAsia="en-GB"/>
              </w:rPr>
            </w:pPr>
            <w:r w:rsidRPr="005F0A67">
              <w:rPr>
                <w:rFonts w:asciiTheme="majorBidi" w:eastAsia="Times New Roman" w:hAnsiTheme="majorBidi" w:cstheme="majorBidi"/>
                <w:sz w:val="18"/>
                <w:szCs w:val="18"/>
                <w:lang w:eastAsia="en-GB"/>
              </w:rPr>
              <w:t>S3 full sample</w:t>
            </w:r>
          </w:p>
        </w:tc>
        <w:tc>
          <w:tcPr>
            <w:tcW w:w="1801" w:type="pct"/>
            <w:tcBorders>
              <w:top w:val="single" w:sz="1" w:space="0" w:color="AAAAAA"/>
              <w:left w:val="single" w:sz="1" w:space="0" w:color="AAAAAA"/>
              <w:bottom w:val="single" w:sz="1" w:space="0" w:color="AAAAAA"/>
              <w:right w:val="single" w:sz="1" w:space="0" w:color="AAAAAA"/>
            </w:tcBorders>
            <w:shd w:val="clear" w:color="auto" w:fill="D9D9D9"/>
            <w:tcMar>
              <w:top w:w="60" w:type="dxa"/>
              <w:left w:w="100" w:type="dxa"/>
              <w:bottom w:w="60" w:type="dxa"/>
              <w:right w:w="100" w:type="dxa"/>
            </w:tcMar>
            <w:vAlign w:val="center"/>
          </w:tcPr>
          <w:p w14:paraId="2192E4C9"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i/>
                <w:iCs/>
                <w:sz w:val="18"/>
                <w:szCs w:val="18"/>
                <w:lang w:eastAsia="en-GB"/>
              </w:rPr>
            </w:pPr>
            <w:r w:rsidRPr="005F0A67">
              <w:rPr>
                <w:rFonts w:asciiTheme="majorBidi" w:eastAsia="Times New Roman" w:hAnsiTheme="majorBidi" w:cstheme="majorBidi"/>
                <w:sz w:val="18"/>
                <w:szCs w:val="18"/>
                <w:lang w:eastAsia="en-GB"/>
              </w:rPr>
              <w:t>929</w:t>
            </w:r>
          </w:p>
        </w:tc>
        <w:tc>
          <w:tcPr>
            <w:tcW w:w="1435" w:type="pct"/>
            <w:tcBorders>
              <w:top w:val="single" w:sz="1" w:space="0" w:color="AAAAAA"/>
              <w:left w:val="single" w:sz="1" w:space="0" w:color="AAAAAA"/>
              <w:bottom w:val="single" w:sz="1" w:space="0" w:color="AAAAAA"/>
              <w:right w:val="single" w:sz="1" w:space="0" w:color="AAAAAA"/>
            </w:tcBorders>
            <w:shd w:val="clear" w:color="auto" w:fill="D9D9D9"/>
            <w:vAlign w:val="center"/>
          </w:tcPr>
          <w:p w14:paraId="1B5FA7EC"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i/>
                <w:iCs/>
                <w:sz w:val="18"/>
                <w:szCs w:val="18"/>
                <w:lang w:eastAsia="en-GB"/>
              </w:rPr>
            </w:pPr>
            <w:r w:rsidRPr="005F0A67">
              <w:rPr>
                <w:rFonts w:asciiTheme="majorBidi" w:eastAsia="Times New Roman" w:hAnsiTheme="majorBidi" w:cstheme="majorBidi"/>
                <w:sz w:val="18"/>
                <w:szCs w:val="18"/>
                <w:lang w:eastAsia="en-GB"/>
              </w:rPr>
              <w:t>100%</w:t>
            </w:r>
          </w:p>
        </w:tc>
      </w:tr>
    </w:tbl>
    <w:p w14:paraId="54D4E583" w14:textId="77777777" w:rsidR="005F0A67" w:rsidRPr="005F0A67" w:rsidRDefault="005F0A67" w:rsidP="005F0A67">
      <w:pPr>
        <w:tabs>
          <w:tab w:val="clear" w:pos="567"/>
          <w:tab w:val="clear" w:pos="1134"/>
          <w:tab w:val="clear" w:pos="1701"/>
          <w:tab w:val="clear" w:pos="2268"/>
        </w:tabs>
        <w:spacing w:line="293" w:lineRule="auto"/>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i/>
          <w:iCs/>
          <w:sz w:val="18"/>
          <w:szCs w:val="18"/>
          <w:lang w:val="en-CA" w:eastAsia="en-GB"/>
        </w:rPr>
        <w:t>Note:</w:t>
      </w:r>
      <w:r w:rsidRPr="005F0A67">
        <w:rPr>
          <w:rFonts w:asciiTheme="majorBidi" w:eastAsia="Times New Roman" w:hAnsiTheme="majorBidi" w:cstheme="majorBidi"/>
          <w:sz w:val="18"/>
          <w:szCs w:val="18"/>
          <w:lang w:val="en-CA" w:eastAsia="en-GB"/>
        </w:rPr>
        <w:t xml:space="preserve"> Figures represent estimated contributions from eligible entities registered in each jurisdiction, not contributions attributable to the country of ultimate economic activity. Contributions from multinationals are allocated to the jurisdiction of entity registration, which may differ from the location of DSI-dependent commercial operations or the headquarters of the ultimate parent. Values derived by applying each jurisdiction's S0 contribution share to the S3 central scenario total of $929 million; country-level breakdowns from the Monte Carlo simulation are not separately reported. † UK figure sensitive to inclusion of consolidated-account (C1) entities; unconsolidated-only estimate is $170 million. ‡ Ireland figure may primarily reflect multinationals registered for tax purposes. The United States is excluded as a non-Party to the CBD.</w:t>
      </w:r>
    </w:p>
    <w:p w14:paraId="0675A7F0" w14:textId="77777777" w:rsidR="005F0A67" w:rsidRPr="005F0A67" w:rsidRDefault="005F0A67" w:rsidP="005F0A67">
      <w:pPr>
        <w:tabs>
          <w:tab w:val="clear" w:pos="567"/>
          <w:tab w:val="clear" w:pos="1134"/>
          <w:tab w:val="clear" w:pos="1701"/>
          <w:tab w:val="clear" w:pos="2268"/>
        </w:tabs>
        <w:spacing w:line="293" w:lineRule="auto"/>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i/>
          <w:iCs/>
          <w:sz w:val="18"/>
          <w:szCs w:val="18"/>
          <w:lang w:val="en-CA" w:eastAsia="en-GB"/>
        </w:rPr>
        <w:t xml:space="preserve">Source: </w:t>
      </w:r>
      <w:r w:rsidRPr="005F0A67">
        <w:rPr>
          <w:rFonts w:asciiTheme="majorBidi" w:eastAsia="Times New Roman" w:hAnsiTheme="majorBidi" w:cstheme="majorBidi"/>
          <w:sz w:val="18"/>
          <w:szCs w:val="18"/>
          <w:lang w:val="en-CA" w:eastAsia="en-GB"/>
        </w:rPr>
        <w:t xml:space="preserve">Author’s calculations based on Makowska-Curran </w:t>
      </w:r>
      <w:r w:rsidRPr="005F0A67">
        <w:rPr>
          <w:rFonts w:asciiTheme="majorBidi" w:eastAsia="Times New Roman" w:hAnsiTheme="majorBidi" w:cstheme="majorBidi"/>
          <w:sz w:val="18"/>
          <w:szCs w:val="18"/>
          <w:lang w:val="en-CA" w:eastAsia="en-GB"/>
        </w:rPr>
        <w:fldChar w:fldCharType="begin"/>
      </w:r>
      <w:r w:rsidRPr="005F0A67">
        <w:rPr>
          <w:rFonts w:asciiTheme="majorBidi" w:eastAsia="Times New Roman" w:hAnsiTheme="majorBidi" w:cstheme="majorBidi"/>
          <w:sz w:val="18"/>
          <w:szCs w:val="18"/>
          <w:lang w:val="en-CA" w:eastAsia="en-GB"/>
        </w:rPr>
        <w:instrText xml:space="preserve"> ADDIN ZOTERO_ITEM CSL_CITATION {"citationID":"nEYDCsdq","properties":{"unsorted":false,"formattedCitation":"(2026)","plainCitation":"(2026)","noteIndex":0},"citationItems":[{"id":77,"uris":["http://zotero.org/users/14977742/items/2PI55QKT"],"itemData":{"id":77,"type":"article-journal","abstract":"This paper provides the first global, firm-level analysis of what the Cali Fund, designed to support global conservation, is likely to raise and how resources would be distributed.","citation-key":"GlobalBiodiversityCommitments","container-title":"Grantham Research Institute on climate change and the environment","language":"en-GB","publisher":"London School of Economics and Political Science (LSE)","title":"From global biodiversity commitments to local action: revenue potential and allocation dynamics of the Cali Fund","title-short":"From global biodiversity commitments to local action","URL":"https://www.lse.ac.uk/granthaminstitute/publication/from-global-biodiversity-commitments-to-local-action-revenue-potential-and-allocation-dynamics-of-the-cali-fund/","author":[{"family":"Makowska-Curran","given":"Agata"}],"accessed":{"date-parts":[["2026",6,3]]},"issued":{"date-parts":[["2026",6]]}},"suppress-author":true}],"schema":"https://github.com/citation-style-language/schema/raw/master/csl-citation.json"} </w:instrText>
      </w:r>
      <w:r w:rsidRPr="005F0A67">
        <w:rPr>
          <w:rFonts w:asciiTheme="majorBidi" w:eastAsia="Times New Roman" w:hAnsiTheme="majorBidi" w:cstheme="majorBidi"/>
          <w:sz w:val="18"/>
          <w:szCs w:val="18"/>
          <w:lang w:val="en-CA" w:eastAsia="en-GB"/>
        </w:rPr>
        <w:fldChar w:fldCharType="separate"/>
      </w:r>
      <w:r w:rsidRPr="005F0A67">
        <w:rPr>
          <w:rFonts w:asciiTheme="majorBidi" w:eastAsia="Times New Roman" w:hAnsiTheme="majorBidi" w:cstheme="majorBidi"/>
          <w:sz w:val="18"/>
          <w:szCs w:val="18"/>
          <w:lang w:val="en-CA" w:eastAsia="en-GB"/>
        </w:rPr>
        <w:t>(2026)</w:t>
      </w:r>
      <w:r w:rsidRPr="005F0A67">
        <w:rPr>
          <w:rFonts w:asciiTheme="majorBidi" w:eastAsia="Times New Roman" w:hAnsiTheme="majorBidi" w:cstheme="majorBidi"/>
          <w:sz w:val="18"/>
          <w:szCs w:val="18"/>
          <w:lang w:val="en-CA" w:eastAsia="en-GB"/>
        </w:rPr>
        <w:fldChar w:fldCharType="end"/>
      </w:r>
      <w:r w:rsidRPr="005F0A67">
        <w:rPr>
          <w:rFonts w:asciiTheme="majorBidi" w:eastAsia="Times New Roman" w:hAnsiTheme="majorBidi" w:cstheme="majorBidi"/>
          <w:sz w:val="18"/>
          <w:szCs w:val="18"/>
          <w:lang w:val="en-CA" w:eastAsia="en-GB"/>
        </w:rPr>
        <w:t>.</w:t>
      </w:r>
    </w:p>
    <w:p w14:paraId="6AB85164" w14:textId="441D427D" w:rsidR="005F0A67" w:rsidRPr="00B54840" w:rsidRDefault="005F0A67" w:rsidP="00B54840">
      <w:pPr>
        <w:tabs>
          <w:tab w:val="clear" w:pos="567"/>
          <w:tab w:val="clear" w:pos="1134"/>
          <w:tab w:val="clear" w:pos="1701"/>
          <w:tab w:val="clear" w:pos="2268"/>
        </w:tabs>
        <w:spacing w:before="320" w:after="160"/>
        <w:ind w:left="720"/>
        <w:jc w:val="left"/>
        <w:outlineLvl w:val="2"/>
        <w:rPr>
          <w:rFonts w:asciiTheme="majorBidi" w:eastAsia="Arial" w:hAnsiTheme="majorBidi" w:cstheme="majorBidi"/>
          <w:b/>
          <w:bCs/>
          <w:color w:val="7F7F7F"/>
          <w:sz w:val="23"/>
          <w:szCs w:val="23"/>
          <w:lang w:val="en-CA" w:eastAsia="en-GB"/>
        </w:rPr>
      </w:pPr>
      <w:bookmarkStart w:id="124" w:name="_Ref230121016"/>
      <w:bookmarkStart w:id="125" w:name="_Toc234579581"/>
      <w:r w:rsidRPr="00B54840">
        <w:rPr>
          <w:rFonts w:asciiTheme="majorBidi" w:eastAsia="Arial" w:hAnsiTheme="majorBidi" w:cstheme="majorBidi"/>
          <w:b/>
          <w:bCs/>
          <w:color w:val="7F7F7F"/>
          <w:sz w:val="23"/>
          <w:szCs w:val="23"/>
          <w:lang w:val="en-CA" w:eastAsia="en-GB"/>
        </w:rPr>
        <w:t>Uncertainty-adjusted revenue range</w:t>
      </w:r>
      <w:bookmarkEnd w:id="124"/>
      <w:bookmarkEnd w:id="125"/>
    </w:p>
    <w:p w14:paraId="3C1753CD"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The uncertainty-adjusted range derived spans from approximately USD 5 million per year at the lower bound to USD 0.9 billion at the S3 ceiling. As illustrated in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_Ref230116413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Figure 7</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the two bounds differ by a factor of 186, and represent two, radically different scenarios, rather than a statistical interval around a central estimate. The range presented here should be read as the plausible bounds implied by that evidence, not as a forecast of what the Fund will raise. The lower bound reflects what the fund could collect if the structural features that suppressed ITPGRFA’ MLS’ user-based payments over fifteen years were to repeat under the Cali Fund, while the upper bound reflects the revenue achievable if the key uncertainties identified in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_Ref229844376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Table 1</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are substantially resolved by the COP. The distance between the two bounds is therefore determined by design choices, many of which remain open. The S2 ceiling is expressed under the current Decision 16/2 modalities, which do not include a DSI attribution mechanism; with such an adjustment, the effective ceiling would shift downward toward the S3 estimate.</w:t>
      </w:r>
    </w:p>
    <w:p w14:paraId="0A895E95" w14:textId="77777777" w:rsidR="00B54840" w:rsidRDefault="00B54840" w:rsidP="005F0A67">
      <w:pPr>
        <w:numPr>
          <w:ilvl w:val="4"/>
          <w:numId w:val="0"/>
        </w:numPr>
        <w:tabs>
          <w:tab w:val="clear" w:pos="567"/>
          <w:tab w:val="clear" w:pos="1134"/>
          <w:tab w:val="clear" w:pos="1701"/>
          <w:tab w:val="clear" w:pos="2268"/>
        </w:tabs>
        <w:spacing w:after="120"/>
        <w:jc w:val="left"/>
        <w:outlineLvl w:val="4"/>
        <w:rPr>
          <w:rFonts w:asciiTheme="majorBidi" w:eastAsia="Georgia" w:hAnsiTheme="majorBidi" w:cstheme="majorBidi"/>
          <w:b/>
          <w:bCs/>
          <w:color w:val="419844"/>
          <w:lang w:eastAsia="en-GB"/>
        </w:rPr>
      </w:pPr>
      <w:bookmarkStart w:id="126" w:name="_Ref230116413"/>
    </w:p>
    <w:p w14:paraId="503155A8" w14:textId="77777777" w:rsidR="00B54840" w:rsidRDefault="00B54840" w:rsidP="005F0A67">
      <w:pPr>
        <w:numPr>
          <w:ilvl w:val="4"/>
          <w:numId w:val="0"/>
        </w:numPr>
        <w:tabs>
          <w:tab w:val="clear" w:pos="567"/>
          <w:tab w:val="clear" w:pos="1134"/>
          <w:tab w:val="clear" w:pos="1701"/>
          <w:tab w:val="clear" w:pos="2268"/>
        </w:tabs>
        <w:spacing w:after="120"/>
        <w:jc w:val="left"/>
        <w:outlineLvl w:val="4"/>
        <w:rPr>
          <w:rFonts w:asciiTheme="majorBidi" w:eastAsia="Georgia" w:hAnsiTheme="majorBidi" w:cstheme="majorBidi"/>
          <w:b/>
          <w:bCs/>
          <w:color w:val="419844"/>
          <w:lang w:eastAsia="en-GB"/>
        </w:rPr>
      </w:pPr>
    </w:p>
    <w:p w14:paraId="4B8F65DE" w14:textId="77777777" w:rsidR="00B54840" w:rsidRDefault="00B54840" w:rsidP="005F0A67">
      <w:pPr>
        <w:numPr>
          <w:ilvl w:val="4"/>
          <w:numId w:val="0"/>
        </w:numPr>
        <w:tabs>
          <w:tab w:val="clear" w:pos="567"/>
          <w:tab w:val="clear" w:pos="1134"/>
          <w:tab w:val="clear" w:pos="1701"/>
          <w:tab w:val="clear" w:pos="2268"/>
        </w:tabs>
        <w:spacing w:after="120"/>
        <w:jc w:val="left"/>
        <w:outlineLvl w:val="4"/>
        <w:rPr>
          <w:rFonts w:asciiTheme="majorBidi" w:eastAsia="Georgia" w:hAnsiTheme="majorBidi" w:cstheme="majorBidi"/>
          <w:b/>
          <w:bCs/>
          <w:color w:val="419844"/>
          <w:lang w:eastAsia="en-GB"/>
        </w:rPr>
      </w:pPr>
    </w:p>
    <w:p w14:paraId="140DC3B3" w14:textId="77777777" w:rsidR="00B54840" w:rsidRDefault="00B54840" w:rsidP="005F0A67">
      <w:pPr>
        <w:numPr>
          <w:ilvl w:val="4"/>
          <w:numId w:val="0"/>
        </w:numPr>
        <w:tabs>
          <w:tab w:val="clear" w:pos="567"/>
          <w:tab w:val="clear" w:pos="1134"/>
          <w:tab w:val="clear" w:pos="1701"/>
          <w:tab w:val="clear" w:pos="2268"/>
        </w:tabs>
        <w:spacing w:after="120"/>
        <w:jc w:val="left"/>
        <w:outlineLvl w:val="4"/>
        <w:rPr>
          <w:rFonts w:asciiTheme="majorBidi" w:eastAsia="Georgia" w:hAnsiTheme="majorBidi" w:cstheme="majorBidi"/>
          <w:b/>
          <w:bCs/>
          <w:color w:val="419844"/>
          <w:lang w:eastAsia="en-GB"/>
        </w:rPr>
      </w:pPr>
    </w:p>
    <w:p w14:paraId="65F6BD95" w14:textId="4AD2CCF6" w:rsidR="005F0A67" w:rsidRPr="005F0A67" w:rsidRDefault="005F0A67" w:rsidP="005F0A67">
      <w:pPr>
        <w:numPr>
          <w:ilvl w:val="4"/>
          <w:numId w:val="0"/>
        </w:numPr>
        <w:tabs>
          <w:tab w:val="clear" w:pos="567"/>
          <w:tab w:val="clear" w:pos="1134"/>
          <w:tab w:val="clear" w:pos="1701"/>
          <w:tab w:val="clear" w:pos="2268"/>
        </w:tabs>
        <w:spacing w:after="120"/>
        <w:jc w:val="left"/>
        <w:outlineLvl w:val="4"/>
        <w:rPr>
          <w:rFonts w:asciiTheme="majorBidi" w:eastAsia="Georgia" w:hAnsiTheme="majorBidi" w:cstheme="majorBidi"/>
          <w:b/>
          <w:bCs/>
          <w:color w:val="419844"/>
          <w:lang w:eastAsia="en-GB"/>
        </w:rPr>
      </w:pPr>
      <w:r w:rsidRPr="005F0A67">
        <w:rPr>
          <w:rFonts w:asciiTheme="majorBidi" w:eastAsia="Georgia" w:hAnsiTheme="majorBidi" w:cstheme="majorBidi"/>
          <w:b/>
          <w:bCs/>
          <w:color w:val="419844"/>
          <w:lang w:eastAsia="en-GB"/>
        </w:rPr>
        <w:t xml:space="preserve">Figure </w:t>
      </w:r>
      <w:r w:rsidRPr="005F0A67">
        <w:rPr>
          <w:rFonts w:asciiTheme="majorBidi" w:eastAsia="Georgia" w:hAnsiTheme="majorBidi" w:cstheme="majorBidi"/>
          <w:b/>
          <w:bCs/>
          <w:color w:val="419844"/>
          <w:lang w:eastAsia="en-GB"/>
        </w:rPr>
        <w:fldChar w:fldCharType="begin"/>
      </w:r>
      <w:r w:rsidRPr="005F0A67">
        <w:rPr>
          <w:rFonts w:asciiTheme="majorBidi" w:eastAsia="Georgia" w:hAnsiTheme="majorBidi" w:cstheme="majorBidi"/>
          <w:b/>
          <w:bCs/>
          <w:color w:val="419844"/>
          <w:lang w:eastAsia="en-GB"/>
        </w:rPr>
        <w:instrText>SEQ Figure \* ARABIC</w:instrText>
      </w:r>
      <w:r w:rsidRPr="005F0A67">
        <w:rPr>
          <w:rFonts w:asciiTheme="majorBidi" w:eastAsia="Georgia" w:hAnsiTheme="majorBidi" w:cstheme="majorBidi"/>
          <w:b/>
          <w:bCs/>
          <w:color w:val="419844"/>
          <w:lang w:eastAsia="en-GB"/>
        </w:rPr>
        <w:fldChar w:fldCharType="separate"/>
      </w:r>
      <w:r w:rsidRPr="005F0A67">
        <w:rPr>
          <w:rFonts w:asciiTheme="majorBidi" w:eastAsia="Georgia" w:hAnsiTheme="majorBidi" w:cstheme="majorBidi"/>
          <w:b/>
          <w:bCs/>
          <w:noProof/>
          <w:color w:val="419844"/>
          <w:lang w:eastAsia="en-GB"/>
        </w:rPr>
        <w:t>7</w:t>
      </w:r>
      <w:r w:rsidRPr="005F0A67">
        <w:rPr>
          <w:rFonts w:asciiTheme="majorBidi" w:eastAsia="Georgia" w:hAnsiTheme="majorBidi" w:cstheme="majorBidi"/>
          <w:b/>
          <w:bCs/>
          <w:color w:val="419844"/>
          <w:lang w:eastAsia="en-GB"/>
        </w:rPr>
        <w:fldChar w:fldCharType="end"/>
      </w:r>
      <w:bookmarkEnd w:id="126"/>
      <w:r w:rsidRPr="005F0A67">
        <w:rPr>
          <w:rFonts w:asciiTheme="majorBidi" w:eastAsia="Georgia" w:hAnsiTheme="majorBidi" w:cstheme="majorBidi"/>
          <w:b/>
          <w:bCs/>
          <w:color w:val="419844"/>
          <w:lang w:eastAsia="en-GB"/>
        </w:rPr>
        <w:t xml:space="preserve"> Estimated annual Cali Fund revenue at maturity under alternative resolution of key design uncertainties</w:t>
      </w:r>
    </w:p>
    <w:p w14:paraId="45D3DC5D" w14:textId="77777777" w:rsidR="005F0A67" w:rsidRPr="005F0A67" w:rsidRDefault="005F0A67" w:rsidP="005F0A67">
      <w:pPr>
        <w:tabs>
          <w:tab w:val="clear" w:pos="567"/>
          <w:tab w:val="clear" w:pos="1134"/>
          <w:tab w:val="clear" w:pos="1701"/>
          <w:tab w:val="clear" w:pos="2268"/>
        </w:tabs>
        <w:spacing w:after="180" w:line="292" w:lineRule="auto"/>
        <w:jc w:val="center"/>
        <w:rPr>
          <w:rFonts w:asciiTheme="majorBidi" w:eastAsia="Times New Roman" w:hAnsiTheme="majorBidi" w:cstheme="majorBidi"/>
          <w:lang w:val="en-CA" w:eastAsia="en-GB"/>
        </w:rPr>
      </w:pPr>
      <w:r w:rsidRPr="005F0A67">
        <w:rPr>
          <w:rFonts w:asciiTheme="majorBidi" w:eastAsia="Times New Roman" w:hAnsiTheme="majorBidi" w:cstheme="majorBidi"/>
          <w:noProof/>
          <w:lang w:val="en-CA" w:eastAsia="en-GB"/>
        </w:rPr>
        <w:drawing>
          <wp:inline distT="0" distB="0" distL="0" distR="0" wp14:anchorId="53D21256" wp14:editId="3D1651A6">
            <wp:extent cx="5121998" cy="3501613"/>
            <wp:effectExtent l="0" t="0" r="0" b="3810"/>
            <wp:docPr id="3663857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38572" name="Picture 36638572"/>
                    <pic:cNvPicPr/>
                  </pic:nvPicPr>
                  <pic:blipFill>
                    <a:blip r:embed="rId31"/>
                    <a:stretch>
                      <a:fillRect/>
                    </a:stretch>
                  </pic:blipFill>
                  <pic:spPr>
                    <a:xfrm>
                      <a:off x="0" y="0"/>
                      <a:ext cx="5155174" cy="3524293"/>
                    </a:xfrm>
                    <a:prstGeom prst="rect">
                      <a:avLst/>
                    </a:prstGeom>
                  </pic:spPr>
                </pic:pic>
              </a:graphicData>
            </a:graphic>
          </wp:inline>
        </w:drawing>
      </w:r>
    </w:p>
    <w:p w14:paraId="6BB9B074"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i/>
          <w:iCs/>
          <w:sz w:val="18"/>
          <w:szCs w:val="18"/>
          <w:lang w:val="en-CA" w:eastAsia="en-GB"/>
        </w:rPr>
        <w:t xml:space="preserve">Note: </w:t>
      </w:r>
      <w:r w:rsidRPr="005F0A67">
        <w:rPr>
          <w:rFonts w:asciiTheme="majorBidi" w:eastAsia="Times New Roman" w:hAnsiTheme="majorBidi" w:cstheme="majorBidi"/>
          <w:sz w:val="18"/>
          <w:szCs w:val="18"/>
          <w:lang w:val="en-CA" w:eastAsia="en-GB"/>
        </w:rPr>
        <w:t>Bar heights are illustrative; scale is not preserved owing to the magnitude of the difference between the two estimates. Lower bound derived by applying the ITPGRFA MLS’ observed payment ratio to the S3 central estimate. S3: central participation scenario, assuming key design uncertainties are substantially resolved.</w:t>
      </w:r>
    </w:p>
    <w:p w14:paraId="4DB335B8" w14:textId="77777777" w:rsidR="005F0A67" w:rsidRPr="005F0A67" w:rsidRDefault="005F0A67" w:rsidP="005F0A67">
      <w:pPr>
        <w:tabs>
          <w:tab w:val="clear" w:pos="567"/>
          <w:tab w:val="clear" w:pos="1134"/>
          <w:tab w:val="clear" w:pos="1701"/>
          <w:tab w:val="clear" w:pos="2268"/>
        </w:tabs>
        <w:spacing w:line="293" w:lineRule="auto"/>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i/>
          <w:iCs/>
          <w:sz w:val="18"/>
          <w:szCs w:val="18"/>
          <w:lang w:val="en-CA" w:eastAsia="en-GB"/>
        </w:rPr>
        <w:t xml:space="preserve">Source: </w:t>
      </w:r>
      <w:r w:rsidRPr="005F0A67">
        <w:rPr>
          <w:rFonts w:asciiTheme="majorBidi" w:eastAsia="Times New Roman" w:hAnsiTheme="majorBidi" w:cstheme="majorBidi"/>
          <w:sz w:val="18"/>
          <w:szCs w:val="18"/>
          <w:lang w:val="en-CA" w:eastAsia="en-GB"/>
        </w:rPr>
        <w:t xml:space="preserve">Adopted from Makowska-Curran </w:t>
      </w:r>
      <w:r w:rsidRPr="005F0A67">
        <w:rPr>
          <w:rFonts w:asciiTheme="majorBidi" w:eastAsia="Times New Roman" w:hAnsiTheme="majorBidi" w:cstheme="majorBidi"/>
          <w:sz w:val="18"/>
          <w:szCs w:val="18"/>
          <w:lang w:val="en-CA" w:eastAsia="en-GB"/>
        </w:rPr>
        <w:fldChar w:fldCharType="begin"/>
      </w:r>
      <w:r w:rsidRPr="005F0A67">
        <w:rPr>
          <w:rFonts w:asciiTheme="majorBidi" w:eastAsia="Times New Roman" w:hAnsiTheme="majorBidi" w:cstheme="majorBidi"/>
          <w:sz w:val="18"/>
          <w:szCs w:val="18"/>
          <w:lang w:val="en-CA" w:eastAsia="en-GB"/>
        </w:rPr>
        <w:instrText xml:space="preserve"> ADDIN ZOTERO_ITEM CSL_CITATION {"citationID":"O6FGh9J1","properties":{"unsorted":false,"formattedCitation":"(2026)","plainCitation":"(2026)","noteIndex":0},"citationItems":[{"id":77,"uris":["http://zotero.org/users/14977742/items/2PI55QKT"],"itemData":{"id":77,"type":"article-journal","abstract":"This paper provides the first global, firm-level analysis of what the Cali Fund, designed to support global conservation, is likely to raise and how resources would be distributed.","citation-key":"GlobalBiodiversityCommitments","container-title":"Grantham Research Institute on climate change and the environment","language":"en-GB","publisher":"London School of Economics and Political Science (LSE)","title":"From global biodiversity commitments to local action: revenue potential and allocation dynamics of the Cali Fund","title-short":"From global biodiversity commitments to local action","URL":"https://www.lse.ac.uk/granthaminstitute/publication/from-global-biodiversity-commitments-to-local-action-revenue-potential-and-allocation-dynamics-of-the-cali-fund/","author":[{"family":"Makowska-Curran","given":"Agata"}],"accessed":{"date-parts":[["2026",6,3]]},"issued":{"date-parts":[["2026",6]]}},"suppress-author":true}],"schema":"https://github.com/citation-style-language/schema/raw/master/csl-citation.json"} </w:instrText>
      </w:r>
      <w:r w:rsidRPr="005F0A67">
        <w:rPr>
          <w:rFonts w:asciiTheme="majorBidi" w:eastAsia="Times New Roman" w:hAnsiTheme="majorBidi" w:cstheme="majorBidi"/>
          <w:sz w:val="18"/>
          <w:szCs w:val="18"/>
          <w:lang w:val="en-CA" w:eastAsia="en-GB"/>
        </w:rPr>
        <w:fldChar w:fldCharType="separate"/>
      </w:r>
      <w:r w:rsidRPr="005F0A67">
        <w:rPr>
          <w:rFonts w:asciiTheme="majorBidi" w:eastAsia="Times New Roman" w:hAnsiTheme="majorBidi" w:cstheme="majorBidi"/>
          <w:sz w:val="18"/>
          <w:szCs w:val="18"/>
          <w:lang w:val="en-CA" w:eastAsia="en-GB"/>
        </w:rPr>
        <w:t>(2026)</w:t>
      </w:r>
      <w:r w:rsidRPr="005F0A67">
        <w:rPr>
          <w:rFonts w:asciiTheme="majorBidi" w:eastAsia="Times New Roman" w:hAnsiTheme="majorBidi" w:cstheme="majorBidi"/>
          <w:sz w:val="18"/>
          <w:szCs w:val="18"/>
          <w:lang w:val="en-CA" w:eastAsia="en-GB"/>
        </w:rPr>
        <w:fldChar w:fldCharType="end"/>
      </w:r>
      <w:r w:rsidRPr="005F0A67">
        <w:rPr>
          <w:rFonts w:asciiTheme="majorBidi" w:eastAsia="Times New Roman" w:hAnsiTheme="majorBidi" w:cstheme="majorBidi"/>
          <w:sz w:val="18"/>
          <w:szCs w:val="18"/>
          <w:lang w:val="en-CA" w:eastAsia="en-GB"/>
        </w:rPr>
        <w:t>.</w:t>
      </w:r>
    </w:p>
    <w:p w14:paraId="6F20BD1E"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p>
    <w:p w14:paraId="5604099B"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The timing of how quickly participation materialises compounds the effect of the annual revenue level. Even where the long-run ceiling is identical, slow early adoption carries a substantial NPV cost. Within the 2035 projection horizon, the timing of participation has a compounding effect on cumulative value that is independent of the eventual full-maturity revenue level. Design parameters that shape early participation, such as the operational value of the certificate and the clarity of contribution scope, carry revenue implications that extend beyond their direct effect on the annual ceiling.</w:t>
      </w:r>
    </w:p>
    <w:p w14:paraId="73F153C0"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_Ref230919506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Figure 8</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presents cumulative NPV projections to 2035 for three timing variants applied to the S3 ceiling, along with the lower-bound trajectory for reference. Under fast uptake, cumulative NPV reaches USD 4.3 billion by 2035. Moderate uptake, with near-zero participation in years one through three, reduces this to USD 2.9 billion. Slow uptake, consistent with the ITPGRFA BSF’s first decade, yields only USD 0.15 billion - a reduction of over 90% relative to the fast scenario, despite the same theoretical annual maximum. The lower bound produces negligible NPV under any timing assumption. Table 12 summarises the underlying figures.</w:t>
      </w:r>
    </w:p>
    <w:p w14:paraId="0C26E1CB"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bookmarkStart w:id="127" w:name="_Ref230117220"/>
      <w:r w:rsidRPr="005F0A67">
        <w:rPr>
          <w:rFonts w:asciiTheme="majorBidi" w:eastAsia="Times New Roman" w:hAnsiTheme="majorBidi" w:cstheme="majorBidi"/>
          <w:lang w:val="en-CA" w:eastAsia="en-GB"/>
        </w:rPr>
        <w:t>Design parameters that shape early participation, such as the operational value of the certificate and the clarity of contribution scope, carry revenue implications that extend beyond their direct effect on the annual ceiling.</w:t>
      </w:r>
    </w:p>
    <w:p w14:paraId="5427B898" w14:textId="77777777" w:rsidR="00B54840" w:rsidRDefault="00B54840" w:rsidP="005F0A67">
      <w:pPr>
        <w:numPr>
          <w:ilvl w:val="4"/>
          <w:numId w:val="0"/>
        </w:numPr>
        <w:tabs>
          <w:tab w:val="clear" w:pos="567"/>
          <w:tab w:val="clear" w:pos="1134"/>
          <w:tab w:val="clear" w:pos="1701"/>
          <w:tab w:val="clear" w:pos="2268"/>
        </w:tabs>
        <w:spacing w:after="120"/>
        <w:jc w:val="left"/>
        <w:outlineLvl w:val="4"/>
        <w:rPr>
          <w:rFonts w:asciiTheme="majorBidi" w:eastAsia="Georgia" w:hAnsiTheme="majorBidi" w:cstheme="majorBidi"/>
          <w:b/>
          <w:bCs/>
          <w:color w:val="419844"/>
          <w:lang w:eastAsia="en-GB"/>
        </w:rPr>
      </w:pPr>
      <w:bookmarkStart w:id="128" w:name="_Ref230919506"/>
    </w:p>
    <w:p w14:paraId="74A92209" w14:textId="77777777" w:rsidR="00B54840" w:rsidRDefault="00B54840" w:rsidP="005F0A67">
      <w:pPr>
        <w:numPr>
          <w:ilvl w:val="4"/>
          <w:numId w:val="0"/>
        </w:numPr>
        <w:tabs>
          <w:tab w:val="clear" w:pos="567"/>
          <w:tab w:val="clear" w:pos="1134"/>
          <w:tab w:val="clear" w:pos="1701"/>
          <w:tab w:val="clear" w:pos="2268"/>
        </w:tabs>
        <w:spacing w:after="120"/>
        <w:jc w:val="left"/>
        <w:outlineLvl w:val="4"/>
        <w:rPr>
          <w:rFonts w:asciiTheme="majorBidi" w:eastAsia="Georgia" w:hAnsiTheme="majorBidi" w:cstheme="majorBidi"/>
          <w:b/>
          <w:bCs/>
          <w:color w:val="419844"/>
          <w:lang w:eastAsia="en-GB"/>
        </w:rPr>
      </w:pPr>
    </w:p>
    <w:p w14:paraId="564FC57D" w14:textId="77777777" w:rsidR="00B54840" w:rsidRDefault="00B54840" w:rsidP="005F0A67">
      <w:pPr>
        <w:numPr>
          <w:ilvl w:val="4"/>
          <w:numId w:val="0"/>
        </w:numPr>
        <w:tabs>
          <w:tab w:val="clear" w:pos="567"/>
          <w:tab w:val="clear" w:pos="1134"/>
          <w:tab w:val="clear" w:pos="1701"/>
          <w:tab w:val="clear" w:pos="2268"/>
        </w:tabs>
        <w:spacing w:after="120"/>
        <w:jc w:val="left"/>
        <w:outlineLvl w:val="4"/>
        <w:rPr>
          <w:rFonts w:asciiTheme="majorBidi" w:eastAsia="Georgia" w:hAnsiTheme="majorBidi" w:cstheme="majorBidi"/>
          <w:b/>
          <w:bCs/>
          <w:color w:val="419844"/>
          <w:lang w:eastAsia="en-GB"/>
        </w:rPr>
      </w:pPr>
    </w:p>
    <w:p w14:paraId="4AB0D1BB" w14:textId="5A324A0D" w:rsidR="005F0A67" w:rsidRPr="005F0A67" w:rsidRDefault="005F0A67" w:rsidP="005F0A67">
      <w:pPr>
        <w:numPr>
          <w:ilvl w:val="4"/>
          <w:numId w:val="0"/>
        </w:numPr>
        <w:tabs>
          <w:tab w:val="clear" w:pos="567"/>
          <w:tab w:val="clear" w:pos="1134"/>
          <w:tab w:val="clear" w:pos="1701"/>
          <w:tab w:val="clear" w:pos="2268"/>
        </w:tabs>
        <w:spacing w:after="120"/>
        <w:jc w:val="left"/>
        <w:outlineLvl w:val="4"/>
        <w:rPr>
          <w:rFonts w:asciiTheme="majorBidi" w:eastAsia="Georgia" w:hAnsiTheme="majorBidi" w:cstheme="majorBidi"/>
          <w:b/>
          <w:bCs/>
          <w:color w:val="419844"/>
          <w:lang w:eastAsia="en-GB"/>
        </w:rPr>
      </w:pPr>
      <w:r w:rsidRPr="005F0A67">
        <w:rPr>
          <w:rFonts w:asciiTheme="majorBidi" w:eastAsia="Georgia" w:hAnsiTheme="majorBidi" w:cstheme="majorBidi"/>
          <w:b/>
          <w:bCs/>
          <w:color w:val="419844"/>
          <w:lang w:eastAsia="en-GB"/>
        </w:rPr>
        <w:t xml:space="preserve">Figure </w:t>
      </w:r>
      <w:r w:rsidRPr="005F0A67">
        <w:rPr>
          <w:rFonts w:asciiTheme="majorBidi" w:eastAsia="Georgia" w:hAnsiTheme="majorBidi" w:cstheme="majorBidi"/>
          <w:b/>
          <w:bCs/>
          <w:color w:val="419844"/>
          <w:lang w:eastAsia="en-GB"/>
        </w:rPr>
        <w:fldChar w:fldCharType="begin"/>
      </w:r>
      <w:r w:rsidRPr="005F0A67">
        <w:rPr>
          <w:rFonts w:asciiTheme="majorBidi" w:eastAsia="Georgia" w:hAnsiTheme="majorBidi" w:cstheme="majorBidi"/>
          <w:b/>
          <w:bCs/>
          <w:color w:val="419844"/>
          <w:lang w:eastAsia="en-GB"/>
        </w:rPr>
        <w:instrText>SEQ Figure \* ARABIC</w:instrText>
      </w:r>
      <w:r w:rsidRPr="005F0A67">
        <w:rPr>
          <w:rFonts w:asciiTheme="majorBidi" w:eastAsia="Georgia" w:hAnsiTheme="majorBidi" w:cstheme="majorBidi"/>
          <w:b/>
          <w:bCs/>
          <w:color w:val="419844"/>
          <w:lang w:eastAsia="en-GB"/>
        </w:rPr>
        <w:fldChar w:fldCharType="separate"/>
      </w:r>
      <w:r w:rsidRPr="005F0A67">
        <w:rPr>
          <w:rFonts w:asciiTheme="majorBidi" w:eastAsia="Georgia" w:hAnsiTheme="majorBidi" w:cstheme="majorBidi"/>
          <w:b/>
          <w:bCs/>
          <w:noProof/>
          <w:color w:val="419844"/>
          <w:lang w:eastAsia="en-GB"/>
        </w:rPr>
        <w:t>8</w:t>
      </w:r>
      <w:r w:rsidRPr="005F0A67">
        <w:rPr>
          <w:rFonts w:asciiTheme="majorBidi" w:eastAsia="Georgia" w:hAnsiTheme="majorBidi" w:cstheme="majorBidi"/>
          <w:b/>
          <w:bCs/>
          <w:color w:val="419844"/>
          <w:lang w:eastAsia="en-GB"/>
        </w:rPr>
        <w:fldChar w:fldCharType="end"/>
      </w:r>
      <w:bookmarkEnd w:id="127"/>
      <w:bookmarkEnd w:id="128"/>
      <w:r w:rsidRPr="005F0A67">
        <w:rPr>
          <w:rFonts w:asciiTheme="majorBidi" w:eastAsia="Georgia" w:hAnsiTheme="majorBidi" w:cstheme="majorBidi"/>
          <w:b/>
          <w:bCs/>
          <w:color w:val="419844"/>
          <w:lang w:eastAsia="en-GB"/>
        </w:rPr>
        <w:t xml:space="preserve"> Cumulative NPV of Cali Fund contributions to 2035 under alternative timing variants (3% discount rate, USD billion)</w:t>
      </w:r>
    </w:p>
    <w:p w14:paraId="7C6ADA7B"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noProof/>
          <w:lang w:val="en-CA" w:eastAsia="en-GB"/>
        </w:rPr>
        <w:drawing>
          <wp:inline distT="0" distB="0" distL="0" distR="0" wp14:anchorId="1C471011" wp14:editId="6D402FF1">
            <wp:extent cx="6322979" cy="4397463"/>
            <wp:effectExtent l="0" t="0" r="1905" b="0"/>
            <wp:docPr id="7" name="Picture 6">
              <a:extLst xmlns:a="http://schemas.openxmlformats.org/drawingml/2006/main">
                <a:ext uri="{FF2B5EF4-FFF2-40B4-BE49-F238E27FC236}">
                  <a16:creationId xmlns:a16="http://schemas.microsoft.com/office/drawing/2014/main" id="{20ECE1FB-54C0-3229-AB8D-C1A74CBE685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20ECE1FB-54C0-3229-AB8D-C1A74CBE6853}"/>
                        </a:ext>
                      </a:extLst>
                    </pic:cNvPr>
                    <pic:cNvPicPr>
                      <a:picLocks noChangeAspect="1"/>
                    </pic:cNvPicPr>
                  </pic:nvPicPr>
                  <pic:blipFill>
                    <a:blip r:embed="rId32"/>
                    <a:stretch>
                      <a:fillRect/>
                    </a:stretch>
                  </pic:blipFill>
                  <pic:spPr>
                    <a:xfrm>
                      <a:off x="0" y="0"/>
                      <a:ext cx="6327687" cy="4400737"/>
                    </a:xfrm>
                    <a:prstGeom prst="rect">
                      <a:avLst/>
                    </a:prstGeom>
                  </pic:spPr>
                </pic:pic>
              </a:graphicData>
            </a:graphic>
          </wp:inline>
        </w:drawing>
      </w:r>
    </w:p>
    <w:p w14:paraId="2A4CA1F0" w14:textId="77777777" w:rsidR="005F0A67" w:rsidRPr="005F0A67" w:rsidRDefault="005F0A67" w:rsidP="005F0A67">
      <w:pPr>
        <w:tabs>
          <w:tab w:val="clear" w:pos="567"/>
          <w:tab w:val="clear" w:pos="1134"/>
          <w:tab w:val="clear" w:pos="1701"/>
          <w:tab w:val="clear" w:pos="2268"/>
        </w:tabs>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i/>
          <w:iCs/>
          <w:sz w:val="18"/>
          <w:szCs w:val="18"/>
          <w:lang w:val="en-CA" w:eastAsia="en-GB"/>
        </w:rPr>
        <w:t xml:space="preserve">Note: </w:t>
      </w:r>
      <w:r w:rsidRPr="005F0A67">
        <w:rPr>
          <w:rFonts w:asciiTheme="majorBidi" w:eastAsia="Times New Roman" w:hAnsiTheme="majorBidi" w:cstheme="majorBidi"/>
          <w:sz w:val="18"/>
          <w:szCs w:val="18"/>
          <w:lang w:val="en-CA" w:eastAsia="en-GB"/>
        </w:rPr>
        <w:t>Fast uptake follows the S4 maturation path (10% of the S2 participation rate in 2026, rising linearly to 100% by 2035). Moderate uptake assumes near-zero participation in years one to three, followed by an S4-style ramp from year four. Slow uptake assumes near-zero participation through year nine, consistent with the ITPGRFA BSF’s first decade, followed by very slow growth. The lower bound applies the ITPGRFA' MLS’ observed payment ratio to the S2 estimate throughout. The dotted line shows the S2 static ceiling assuming no uptake lag. The shaded band spans the full uncertainty range.</w:t>
      </w:r>
    </w:p>
    <w:p w14:paraId="58ED3466" w14:textId="77777777" w:rsidR="005F0A67" w:rsidRPr="005F0A67" w:rsidRDefault="005F0A67" w:rsidP="005F0A67">
      <w:pPr>
        <w:tabs>
          <w:tab w:val="clear" w:pos="567"/>
          <w:tab w:val="clear" w:pos="1134"/>
          <w:tab w:val="clear" w:pos="1701"/>
          <w:tab w:val="clear" w:pos="2268"/>
        </w:tabs>
        <w:spacing w:line="293" w:lineRule="auto"/>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i/>
          <w:iCs/>
          <w:sz w:val="18"/>
          <w:szCs w:val="18"/>
          <w:lang w:val="en-CA" w:eastAsia="en-GB"/>
        </w:rPr>
        <w:t xml:space="preserve">Source: </w:t>
      </w:r>
      <w:r w:rsidRPr="005F0A67">
        <w:rPr>
          <w:rFonts w:asciiTheme="majorBidi" w:eastAsia="Times New Roman" w:hAnsiTheme="majorBidi" w:cstheme="majorBidi"/>
          <w:sz w:val="18"/>
          <w:szCs w:val="18"/>
          <w:lang w:val="en-CA" w:eastAsia="en-GB"/>
        </w:rPr>
        <w:t xml:space="preserve">Author’s calculations based on Makowska-Curran </w:t>
      </w:r>
      <w:r w:rsidRPr="005F0A67">
        <w:rPr>
          <w:rFonts w:asciiTheme="majorBidi" w:eastAsia="Times New Roman" w:hAnsiTheme="majorBidi" w:cstheme="majorBidi"/>
          <w:sz w:val="18"/>
          <w:szCs w:val="18"/>
          <w:lang w:val="en-CA" w:eastAsia="en-GB"/>
        </w:rPr>
        <w:fldChar w:fldCharType="begin"/>
      </w:r>
      <w:r w:rsidRPr="005F0A67">
        <w:rPr>
          <w:rFonts w:asciiTheme="majorBidi" w:eastAsia="Times New Roman" w:hAnsiTheme="majorBidi" w:cstheme="majorBidi"/>
          <w:sz w:val="18"/>
          <w:szCs w:val="18"/>
          <w:lang w:val="en-CA" w:eastAsia="en-GB"/>
        </w:rPr>
        <w:instrText xml:space="preserve"> ADDIN ZOTERO_ITEM CSL_CITATION {"citationID":"o9WHbjnO","properties":{"unsorted":false,"formattedCitation":"(2026)","plainCitation":"(2026)","noteIndex":0},"citationItems":[{"id":77,"uris":["http://zotero.org/users/14977742/items/2PI55QKT"],"itemData":{"id":77,"type":"article-journal","abstract":"This paper provides the first global, firm-level analysis of what the Cali Fund, designed to support global conservation, is likely to raise and how resources would be distributed.","citation-key":"GlobalBiodiversityCommitments","container-title":"Grantham Research Institute on climate change and the environment","language":"en-GB","publisher":"London School of Economics and Political Science (LSE)","title":"From global biodiversity commitments to local action: revenue potential and allocation dynamics of the Cali Fund","title-short":"From global biodiversity commitments to local action","URL":"https://www.lse.ac.uk/granthaminstitute/publication/from-global-biodiversity-commitments-to-local-action-revenue-potential-and-allocation-dynamics-of-the-cali-fund/","author":[{"family":"Makowska-Curran","given":"Agata"}],"accessed":{"date-parts":[["2026",6,3]]},"issued":{"date-parts":[["2026",6]]}},"suppress-author":true}],"schema":"https://github.com/citation-style-language/schema/raw/master/csl-citation.json"} </w:instrText>
      </w:r>
      <w:r w:rsidRPr="005F0A67">
        <w:rPr>
          <w:rFonts w:asciiTheme="majorBidi" w:eastAsia="Times New Roman" w:hAnsiTheme="majorBidi" w:cstheme="majorBidi"/>
          <w:sz w:val="18"/>
          <w:szCs w:val="18"/>
          <w:lang w:val="en-CA" w:eastAsia="en-GB"/>
        </w:rPr>
        <w:fldChar w:fldCharType="separate"/>
      </w:r>
      <w:r w:rsidRPr="005F0A67">
        <w:rPr>
          <w:rFonts w:asciiTheme="majorBidi" w:eastAsia="Times New Roman" w:hAnsiTheme="majorBidi" w:cstheme="majorBidi"/>
          <w:sz w:val="18"/>
          <w:szCs w:val="18"/>
          <w:lang w:val="en-CA" w:eastAsia="en-GB"/>
        </w:rPr>
        <w:t>(2026)</w:t>
      </w:r>
      <w:r w:rsidRPr="005F0A67">
        <w:rPr>
          <w:rFonts w:asciiTheme="majorBidi" w:eastAsia="Times New Roman" w:hAnsiTheme="majorBidi" w:cstheme="majorBidi"/>
          <w:sz w:val="18"/>
          <w:szCs w:val="18"/>
          <w:lang w:val="en-CA" w:eastAsia="en-GB"/>
        </w:rPr>
        <w:fldChar w:fldCharType="end"/>
      </w:r>
      <w:r w:rsidRPr="005F0A67">
        <w:rPr>
          <w:rFonts w:asciiTheme="majorBidi" w:eastAsia="Times New Roman" w:hAnsiTheme="majorBidi" w:cstheme="majorBidi"/>
          <w:sz w:val="18"/>
          <w:szCs w:val="18"/>
          <w:lang w:val="en-CA" w:eastAsia="en-GB"/>
        </w:rPr>
        <w:t>.</w:t>
      </w:r>
    </w:p>
    <w:p w14:paraId="2CDF312D" w14:textId="77777777" w:rsidR="00B54840" w:rsidRDefault="00B54840" w:rsidP="005F0A67">
      <w:pPr>
        <w:tabs>
          <w:tab w:val="clear" w:pos="567"/>
          <w:tab w:val="clear" w:pos="1134"/>
          <w:tab w:val="clear" w:pos="1701"/>
          <w:tab w:val="clear" w:pos="2268"/>
        </w:tabs>
        <w:spacing w:before="240" w:after="200" w:line="312" w:lineRule="auto"/>
        <w:contextualSpacing/>
        <w:rPr>
          <w:rFonts w:asciiTheme="majorBidi" w:eastAsia="Georgia" w:hAnsiTheme="majorBidi" w:cstheme="majorBidi"/>
          <w:b/>
          <w:bCs/>
          <w:color w:val="419844"/>
          <w:lang w:val="en-US" w:eastAsia="ja-JP"/>
        </w:rPr>
      </w:pPr>
    </w:p>
    <w:p w14:paraId="1F002072" w14:textId="58040275" w:rsidR="005F0A67" w:rsidRPr="005F0A67" w:rsidRDefault="005F0A67" w:rsidP="005F0A67">
      <w:pPr>
        <w:tabs>
          <w:tab w:val="clear" w:pos="567"/>
          <w:tab w:val="clear" w:pos="1134"/>
          <w:tab w:val="clear" w:pos="1701"/>
          <w:tab w:val="clear" w:pos="2268"/>
        </w:tabs>
        <w:spacing w:before="240" w:after="200" w:line="312" w:lineRule="auto"/>
        <w:contextualSpacing/>
        <w:rPr>
          <w:rFonts w:asciiTheme="majorBidi" w:eastAsia="Georgia" w:hAnsiTheme="majorBidi" w:cstheme="majorBidi"/>
          <w:b/>
          <w:bCs/>
          <w:color w:val="419844"/>
          <w:lang w:eastAsia="en-GB"/>
        </w:rPr>
      </w:pPr>
      <w:r w:rsidRPr="005F0A67">
        <w:rPr>
          <w:rFonts w:asciiTheme="majorBidi" w:eastAsia="Georgia" w:hAnsiTheme="majorBidi" w:cstheme="majorBidi"/>
          <w:b/>
          <w:bCs/>
          <w:color w:val="419844"/>
          <w:lang w:val="en-US" w:eastAsia="ja-JP"/>
        </w:rPr>
        <w:t xml:space="preserve">Table </w:t>
      </w:r>
      <w:r w:rsidRPr="005F0A67">
        <w:rPr>
          <w:rFonts w:asciiTheme="majorBidi" w:eastAsia="Georgia" w:hAnsiTheme="majorBidi" w:cstheme="majorBidi"/>
          <w:b/>
          <w:bCs/>
          <w:color w:val="419844"/>
          <w:lang w:eastAsia="en-GB"/>
        </w:rPr>
        <w:fldChar w:fldCharType="begin"/>
      </w:r>
      <w:r w:rsidRPr="005F0A67">
        <w:rPr>
          <w:rFonts w:asciiTheme="majorBidi" w:eastAsia="Georgia" w:hAnsiTheme="majorBidi" w:cstheme="majorBidi"/>
          <w:b/>
          <w:bCs/>
          <w:color w:val="419844"/>
          <w:lang w:eastAsia="en-GB"/>
        </w:rPr>
        <w:instrText xml:space="preserve"> SEQ Table \* ARABIC </w:instrText>
      </w:r>
      <w:r w:rsidRPr="005F0A67">
        <w:rPr>
          <w:rFonts w:asciiTheme="majorBidi" w:eastAsia="Georgia" w:hAnsiTheme="majorBidi" w:cstheme="majorBidi"/>
          <w:b/>
          <w:bCs/>
          <w:color w:val="419844"/>
          <w:lang w:eastAsia="en-GB"/>
        </w:rPr>
        <w:fldChar w:fldCharType="separate"/>
      </w:r>
      <w:r w:rsidRPr="005F0A67">
        <w:rPr>
          <w:rFonts w:asciiTheme="majorBidi" w:eastAsia="Georgia" w:hAnsiTheme="majorBidi" w:cstheme="majorBidi"/>
          <w:b/>
          <w:bCs/>
          <w:noProof/>
          <w:color w:val="419844"/>
          <w:lang w:eastAsia="en-GB"/>
        </w:rPr>
        <w:t>14</w:t>
      </w:r>
      <w:r w:rsidRPr="005F0A67">
        <w:rPr>
          <w:rFonts w:asciiTheme="majorBidi" w:eastAsia="Georgia" w:hAnsiTheme="majorBidi" w:cstheme="majorBidi"/>
          <w:b/>
          <w:bCs/>
          <w:color w:val="419844"/>
          <w:lang w:eastAsia="en-GB"/>
        </w:rPr>
        <w:fldChar w:fldCharType="end"/>
      </w:r>
      <w:r w:rsidRPr="005F0A67">
        <w:rPr>
          <w:rFonts w:asciiTheme="majorBidi" w:eastAsia="Georgia" w:hAnsiTheme="majorBidi" w:cstheme="majorBidi"/>
          <w:b/>
          <w:bCs/>
          <w:color w:val="419844"/>
          <w:lang w:val="en-US" w:eastAsia="ja-JP"/>
        </w:rPr>
        <w:t xml:space="preserve"> NPV projections under alternative timing variants (S3 ceiling, 3% discount rate)</w:t>
      </w:r>
    </w:p>
    <w:tbl>
      <w:tblPr>
        <w:tblW w:w="268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2226"/>
        <w:gridCol w:w="1497"/>
        <w:gridCol w:w="1499"/>
      </w:tblGrid>
      <w:tr w:rsidR="005F0A67" w:rsidRPr="005F0A67" w14:paraId="0D7EF37C" w14:textId="77777777" w:rsidTr="00FB671B">
        <w:trPr>
          <w:trHeight w:val="108"/>
          <w:tblHeader/>
          <w:jc w:val="center"/>
        </w:trPr>
        <w:tc>
          <w:tcPr>
            <w:tcW w:w="2131" w:type="pct"/>
            <w:tcBorders>
              <w:top w:val="single" w:sz="1" w:space="0" w:color="AAAAAA"/>
              <w:left w:val="single" w:sz="1" w:space="0" w:color="AAAAAA"/>
              <w:bottom w:val="single" w:sz="1" w:space="0" w:color="AAAAAA"/>
              <w:right w:val="single" w:sz="1" w:space="0" w:color="AAAAAA"/>
            </w:tcBorders>
            <w:shd w:val="clear" w:color="auto" w:fill="1F4E6B"/>
            <w:tcMar>
              <w:top w:w="60" w:type="dxa"/>
              <w:left w:w="100" w:type="dxa"/>
              <w:bottom w:w="60" w:type="dxa"/>
              <w:right w:w="100" w:type="dxa"/>
            </w:tcMar>
            <w:vAlign w:val="center"/>
          </w:tcPr>
          <w:p w14:paraId="62E984C3"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b/>
                <w:bCs/>
                <w:color w:val="FFFFFF"/>
                <w:sz w:val="18"/>
                <w:szCs w:val="18"/>
                <w:lang w:val="en-CA" w:eastAsia="en-GB"/>
              </w:rPr>
            </w:pPr>
            <w:r w:rsidRPr="005F0A67">
              <w:rPr>
                <w:rFonts w:asciiTheme="majorBidi" w:eastAsia="Times New Roman" w:hAnsiTheme="majorBidi" w:cstheme="majorBidi"/>
                <w:b/>
                <w:bCs/>
                <w:color w:val="FFFFFF"/>
                <w:sz w:val="18"/>
                <w:szCs w:val="18"/>
                <w:lang w:val="en-CA" w:eastAsia="en-GB"/>
              </w:rPr>
              <w:t>Timing variant</w:t>
            </w:r>
          </w:p>
        </w:tc>
        <w:tc>
          <w:tcPr>
            <w:tcW w:w="1433" w:type="pct"/>
            <w:tcBorders>
              <w:top w:val="single" w:sz="1" w:space="0" w:color="AAAAAA"/>
              <w:left w:val="single" w:sz="1" w:space="0" w:color="AAAAAA"/>
              <w:bottom w:val="single" w:sz="1" w:space="0" w:color="AAAAAA"/>
              <w:right w:val="single" w:sz="1" w:space="0" w:color="AAAAAA"/>
            </w:tcBorders>
            <w:shd w:val="clear" w:color="auto" w:fill="1F4E6B"/>
            <w:tcMar>
              <w:top w:w="60" w:type="dxa"/>
              <w:left w:w="100" w:type="dxa"/>
              <w:bottom w:w="60" w:type="dxa"/>
              <w:right w:w="100" w:type="dxa"/>
            </w:tcMar>
            <w:vAlign w:val="center"/>
          </w:tcPr>
          <w:p w14:paraId="33971464"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b/>
                <w:bCs/>
                <w:color w:val="FFFFFF"/>
                <w:sz w:val="18"/>
                <w:szCs w:val="18"/>
                <w:lang w:val="en-CA" w:eastAsia="en-GB"/>
              </w:rPr>
            </w:pPr>
            <w:r w:rsidRPr="005F0A67">
              <w:rPr>
                <w:rFonts w:asciiTheme="majorBidi" w:eastAsia="Times New Roman" w:hAnsiTheme="majorBidi" w:cstheme="majorBidi"/>
                <w:b/>
                <w:bCs/>
                <w:color w:val="FFFFFF"/>
                <w:sz w:val="18"/>
                <w:szCs w:val="18"/>
                <w:lang w:val="en-CA" w:eastAsia="en-GB"/>
              </w:rPr>
              <w:t>NPV to 2030 (USD billion)</w:t>
            </w:r>
          </w:p>
        </w:tc>
        <w:tc>
          <w:tcPr>
            <w:tcW w:w="1435" w:type="pct"/>
            <w:tcBorders>
              <w:top w:val="single" w:sz="1" w:space="0" w:color="AAAAAA"/>
              <w:left w:val="single" w:sz="1" w:space="0" w:color="AAAAAA"/>
              <w:bottom w:val="single" w:sz="1" w:space="0" w:color="AAAAAA"/>
              <w:right w:val="single" w:sz="1" w:space="0" w:color="AAAAAA"/>
            </w:tcBorders>
            <w:shd w:val="clear" w:color="auto" w:fill="1F4E6B"/>
            <w:vAlign w:val="center"/>
          </w:tcPr>
          <w:p w14:paraId="45F61B37"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b/>
                <w:bCs/>
                <w:color w:val="FFFFFF"/>
                <w:sz w:val="18"/>
                <w:szCs w:val="18"/>
                <w:lang w:val="en-CA" w:eastAsia="en-GB"/>
              </w:rPr>
            </w:pPr>
            <w:r w:rsidRPr="005F0A67">
              <w:rPr>
                <w:rFonts w:asciiTheme="majorBidi" w:eastAsia="Times New Roman" w:hAnsiTheme="majorBidi" w:cstheme="majorBidi"/>
                <w:b/>
                <w:bCs/>
                <w:color w:val="FFFFFF"/>
                <w:sz w:val="18"/>
                <w:szCs w:val="18"/>
                <w:lang w:val="en-CA" w:eastAsia="en-GB"/>
              </w:rPr>
              <w:t>NPV to 2035 (USD billion)</w:t>
            </w:r>
          </w:p>
        </w:tc>
      </w:tr>
      <w:tr w:rsidR="005F0A67" w:rsidRPr="005F0A67" w14:paraId="073B6B82" w14:textId="77777777" w:rsidTr="005F0A67">
        <w:trPr>
          <w:trHeight w:val="358"/>
          <w:jc w:val="center"/>
        </w:trPr>
        <w:tc>
          <w:tcPr>
            <w:tcW w:w="2131"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5A4FA21B"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S3 static ceiling (no uptake lag)</w:t>
            </w:r>
          </w:p>
        </w:tc>
        <w:tc>
          <w:tcPr>
            <w:tcW w:w="1433" w:type="pct"/>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vAlign w:val="center"/>
          </w:tcPr>
          <w:p w14:paraId="3C0AB947"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4.4</w:t>
            </w:r>
          </w:p>
        </w:tc>
        <w:tc>
          <w:tcPr>
            <w:tcW w:w="1435" w:type="pct"/>
            <w:tcBorders>
              <w:top w:val="single" w:sz="1" w:space="0" w:color="AAAAAA"/>
              <w:left w:val="single" w:sz="1" w:space="0" w:color="AAAAAA"/>
              <w:bottom w:val="single" w:sz="1" w:space="0" w:color="AAAAAA"/>
              <w:right w:val="single" w:sz="1" w:space="0" w:color="AAAAAA"/>
            </w:tcBorders>
            <w:vAlign w:val="center"/>
          </w:tcPr>
          <w:p w14:paraId="0272BFF9"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8.2</w:t>
            </w:r>
          </w:p>
        </w:tc>
      </w:tr>
      <w:tr w:rsidR="005F0A67" w:rsidRPr="005F0A67" w14:paraId="70995D82" w14:textId="77777777" w:rsidTr="005F0A67">
        <w:trPr>
          <w:trHeight w:val="358"/>
          <w:jc w:val="center"/>
        </w:trPr>
        <w:tc>
          <w:tcPr>
            <w:tcW w:w="2131"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0D98089D"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b/>
                <w:bCs/>
                <w:sz w:val="18"/>
                <w:szCs w:val="18"/>
                <w:lang w:eastAsia="en-GB"/>
              </w:rPr>
            </w:pPr>
            <w:r w:rsidRPr="005F0A67">
              <w:rPr>
                <w:rFonts w:asciiTheme="majorBidi" w:eastAsia="Times New Roman" w:hAnsiTheme="majorBidi" w:cstheme="majorBidi"/>
                <w:sz w:val="18"/>
                <w:szCs w:val="18"/>
                <w:lang w:eastAsia="en-GB"/>
              </w:rPr>
              <w:t>Fast uptake (S4 path)</w:t>
            </w:r>
          </w:p>
        </w:tc>
        <w:tc>
          <w:tcPr>
            <w:tcW w:w="1433" w:type="pct"/>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vAlign w:val="center"/>
          </w:tcPr>
          <w:p w14:paraId="1C8F23DA"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ahoma" w:hAnsiTheme="majorBidi" w:cstheme="majorBidi"/>
                <w:sz w:val="18"/>
                <w:szCs w:val="18"/>
                <w:lang w:eastAsia="en-GB"/>
              </w:rPr>
            </w:pPr>
            <w:r w:rsidRPr="005F0A67">
              <w:rPr>
                <w:rFonts w:asciiTheme="majorBidi" w:eastAsia="Times New Roman" w:hAnsiTheme="majorBidi" w:cstheme="majorBidi"/>
                <w:sz w:val="18"/>
                <w:szCs w:val="18"/>
                <w:lang w:eastAsia="en-GB"/>
              </w:rPr>
              <w:t>1.3</w:t>
            </w:r>
          </w:p>
        </w:tc>
        <w:tc>
          <w:tcPr>
            <w:tcW w:w="1435" w:type="pct"/>
            <w:tcBorders>
              <w:top w:val="single" w:sz="1" w:space="0" w:color="AAAAAA"/>
              <w:left w:val="single" w:sz="1" w:space="0" w:color="AAAAAA"/>
              <w:bottom w:val="single" w:sz="1" w:space="0" w:color="AAAAAA"/>
              <w:right w:val="single" w:sz="1" w:space="0" w:color="AAAAAA"/>
            </w:tcBorders>
            <w:vAlign w:val="center"/>
          </w:tcPr>
          <w:p w14:paraId="3A5F2EF6"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4.3</w:t>
            </w:r>
          </w:p>
        </w:tc>
      </w:tr>
      <w:tr w:rsidR="005F0A67" w:rsidRPr="005F0A67" w14:paraId="2FED35D8" w14:textId="77777777" w:rsidTr="005F0A67">
        <w:trPr>
          <w:trHeight w:val="144"/>
          <w:jc w:val="center"/>
        </w:trPr>
        <w:tc>
          <w:tcPr>
            <w:tcW w:w="2131"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46A526FB"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b/>
                <w:bCs/>
                <w:sz w:val="18"/>
                <w:szCs w:val="18"/>
                <w:lang w:eastAsia="en-GB"/>
              </w:rPr>
            </w:pPr>
            <w:r w:rsidRPr="005F0A67">
              <w:rPr>
                <w:rFonts w:asciiTheme="majorBidi" w:eastAsia="Times New Roman" w:hAnsiTheme="majorBidi" w:cstheme="majorBidi"/>
                <w:sz w:val="18"/>
                <w:szCs w:val="18"/>
                <w:lang w:eastAsia="en-GB"/>
              </w:rPr>
              <w:t>Moderate uptake</w:t>
            </w:r>
          </w:p>
        </w:tc>
        <w:tc>
          <w:tcPr>
            <w:tcW w:w="1433" w:type="pct"/>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vAlign w:val="center"/>
          </w:tcPr>
          <w:p w14:paraId="48D5549C"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ahoma" w:hAnsiTheme="majorBidi" w:cstheme="majorBidi"/>
                <w:sz w:val="18"/>
                <w:szCs w:val="18"/>
                <w:lang w:eastAsia="en-GB"/>
              </w:rPr>
            </w:pPr>
            <w:r w:rsidRPr="005F0A67">
              <w:rPr>
                <w:rFonts w:asciiTheme="majorBidi" w:eastAsia="Times New Roman" w:hAnsiTheme="majorBidi" w:cstheme="majorBidi"/>
                <w:sz w:val="18"/>
                <w:szCs w:val="18"/>
                <w:lang w:eastAsia="en-GB"/>
              </w:rPr>
              <w:t>0.3</w:t>
            </w:r>
          </w:p>
        </w:tc>
        <w:tc>
          <w:tcPr>
            <w:tcW w:w="1435" w:type="pct"/>
            <w:tcBorders>
              <w:top w:val="single" w:sz="1" w:space="0" w:color="AAAAAA"/>
              <w:left w:val="single" w:sz="1" w:space="0" w:color="AAAAAA"/>
              <w:bottom w:val="single" w:sz="1" w:space="0" w:color="AAAAAA"/>
              <w:right w:val="single" w:sz="1" w:space="0" w:color="AAAAAA"/>
            </w:tcBorders>
            <w:vAlign w:val="center"/>
          </w:tcPr>
          <w:p w14:paraId="3B1BADF4"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2.9</w:t>
            </w:r>
          </w:p>
        </w:tc>
      </w:tr>
      <w:tr w:rsidR="005F0A67" w:rsidRPr="005F0A67" w14:paraId="35B5C61C" w14:textId="77777777" w:rsidTr="005F0A67">
        <w:trPr>
          <w:trHeight w:val="144"/>
          <w:jc w:val="center"/>
        </w:trPr>
        <w:tc>
          <w:tcPr>
            <w:tcW w:w="2131"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3A376EE5"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b/>
                <w:bCs/>
                <w:sz w:val="18"/>
                <w:szCs w:val="18"/>
                <w:lang w:eastAsia="en-GB"/>
              </w:rPr>
            </w:pPr>
            <w:r w:rsidRPr="005F0A67">
              <w:rPr>
                <w:rFonts w:asciiTheme="majorBidi" w:eastAsia="Times New Roman" w:hAnsiTheme="majorBidi" w:cstheme="majorBidi"/>
                <w:sz w:val="18"/>
                <w:szCs w:val="18"/>
                <w:lang w:eastAsia="en-GB"/>
              </w:rPr>
              <w:t>Slow uptake (ITPGRFA-like ramp)</w:t>
            </w:r>
          </w:p>
        </w:tc>
        <w:tc>
          <w:tcPr>
            <w:tcW w:w="1433" w:type="pct"/>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vAlign w:val="center"/>
          </w:tcPr>
          <w:p w14:paraId="7BA60F58"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ahoma" w:hAnsiTheme="majorBidi" w:cstheme="majorBidi"/>
                <w:sz w:val="18"/>
                <w:szCs w:val="18"/>
                <w:lang w:eastAsia="en-GB"/>
              </w:rPr>
            </w:pPr>
            <w:r w:rsidRPr="005F0A67">
              <w:rPr>
                <w:rFonts w:asciiTheme="majorBidi" w:eastAsia="Times New Roman" w:hAnsiTheme="majorBidi" w:cstheme="majorBidi"/>
                <w:sz w:val="18"/>
                <w:szCs w:val="18"/>
                <w:lang w:eastAsia="en-GB"/>
              </w:rPr>
              <w:t>0.04</w:t>
            </w:r>
          </w:p>
        </w:tc>
        <w:tc>
          <w:tcPr>
            <w:tcW w:w="1435" w:type="pct"/>
            <w:tcBorders>
              <w:top w:val="single" w:sz="1" w:space="0" w:color="AAAAAA"/>
              <w:left w:val="single" w:sz="1" w:space="0" w:color="AAAAAA"/>
              <w:bottom w:val="single" w:sz="1" w:space="0" w:color="AAAAAA"/>
              <w:right w:val="single" w:sz="1" w:space="0" w:color="AAAAAA"/>
            </w:tcBorders>
            <w:vAlign w:val="center"/>
          </w:tcPr>
          <w:p w14:paraId="2CA7A01A"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0.15</w:t>
            </w:r>
          </w:p>
        </w:tc>
      </w:tr>
      <w:tr w:rsidR="005F0A67" w:rsidRPr="005F0A67" w14:paraId="592B4C50" w14:textId="77777777" w:rsidTr="005F0A67">
        <w:trPr>
          <w:trHeight w:val="144"/>
          <w:jc w:val="center"/>
        </w:trPr>
        <w:tc>
          <w:tcPr>
            <w:tcW w:w="2131"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197DF0A6"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b/>
                <w:bCs/>
                <w:sz w:val="18"/>
                <w:szCs w:val="18"/>
                <w:lang w:eastAsia="en-GB"/>
              </w:rPr>
            </w:pPr>
            <w:r w:rsidRPr="005F0A67">
              <w:rPr>
                <w:rFonts w:asciiTheme="majorBidi" w:eastAsia="Times New Roman" w:hAnsiTheme="majorBidi" w:cstheme="majorBidi"/>
                <w:sz w:val="18"/>
                <w:szCs w:val="18"/>
                <w:lang w:eastAsia="en-GB"/>
              </w:rPr>
              <w:t>ITPGRFA lower bound (reference)</w:t>
            </w:r>
          </w:p>
        </w:tc>
        <w:tc>
          <w:tcPr>
            <w:tcW w:w="1433" w:type="pct"/>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vAlign w:val="center"/>
          </w:tcPr>
          <w:p w14:paraId="0F85C6EE"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0.02</w:t>
            </w:r>
          </w:p>
        </w:tc>
        <w:tc>
          <w:tcPr>
            <w:tcW w:w="1435" w:type="pct"/>
            <w:tcBorders>
              <w:top w:val="single" w:sz="1" w:space="0" w:color="AAAAAA"/>
              <w:left w:val="single" w:sz="1" w:space="0" w:color="AAAAAA"/>
              <w:bottom w:val="single" w:sz="1" w:space="0" w:color="AAAAAA"/>
              <w:right w:val="single" w:sz="1" w:space="0" w:color="AAAAAA"/>
            </w:tcBorders>
            <w:vAlign w:val="center"/>
          </w:tcPr>
          <w:p w14:paraId="1A2D5BE6"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0.04</w:t>
            </w:r>
          </w:p>
        </w:tc>
      </w:tr>
    </w:tbl>
    <w:p w14:paraId="6D1B7705" w14:textId="77777777" w:rsidR="005F0A67" w:rsidRPr="005F0A67" w:rsidRDefault="005F0A67" w:rsidP="005F0A67">
      <w:pPr>
        <w:tabs>
          <w:tab w:val="clear" w:pos="567"/>
          <w:tab w:val="clear" w:pos="1134"/>
          <w:tab w:val="clear" w:pos="1701"/>
          <w:tab w:val="clear" w:pos="2268"/>
        </w:tabs>
        <w:spacing w:line="293" w:lineRule="auto"/>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i/>
          <w:iCs/>
          <w:sz w:val="18"/>
          <w:szCs w:val="18"/>
          <w:lang w:val="en-CA" w:eastAsia="en-GB"/>
        </w:rPr>
        <w:t xml:space="preserve">Source: </w:t>
      </w:r>
      <w:r w:rsidRPr="005F0A67">
        <w:rPr>
          <w:rFonts w:asciiTheme="majorBidi" w:eastAsia="Times New Roman" w:hAnsiTheme="majorBidi" w:cstheme="majorBidi"/>
          <w:sz w:val="18"/>
          <w:szCs w:val="18"/>
          <w:lang w:val="en-CA" w:eastAsia="en-GB"/>
        </w:rPr>
        <w:t xml:space="preserve">Author’s calculations based on Makowska-Curran </w:t>
      </w:r>
      <w:r w:rsidRPr="005F0A67">
        <w:rPr>
          <w:rFonts w:asciiTheme="majorBidi" w:eastAsia="Times New Roman" w:hAnsiTheme="majorBidi" w:cstheme="majorBidi"/>
          <w:sz w:val="18"/>
          <w:szCs w:val="18"/>
          <w:lang w:val="en-CA" w:eastAsia="en-GB"/>
        </w:rPr>
        <w:fldChar w:fldCharType="begin"/>
      </w:r>
      <w:r w:rsidRPr="005F0A67">
        <w:rPr>
          <w:rFonts w:asciiTheme="majorBidi" w:eastAsia="Times New Roman" w:hAnsiTheme="majorBidi" w:cstheme="majorBidi"/>
          <w:sz w:val="18"/>
          <w:szCs w:val="18"/>
          <w:lang w:val="en-CA" w:eastAsia="en-GB"/>
        </w:rPr>
        <w:instrText xml:space="preserve"> ADDIN ZOTERO_ITEM CSL_CITATION {"citationID":"6dnqsNxm","properties":{"unsorted":false,"formattedCitation":"(2026)","plainCitation":"(2026)","noteIndex":0},"citationItems":[{"id":77,"uris":["http://zotero.org/users/14977742/items/2PI55QKT"],"itemData":{"id":77,"type":"article-journal","abstract":"This paper provides the first global, firm-level analysis of what the Cali Fund, designed to support global conservation, is likely to raise and how resources would be distributed.","citation-key":"GlobalBiodiversityCommitments","container-title":"Grantham Research Institute on climate change and the environment","language":"en-GB","publisher":"London School of Economics and Political Science (LSE)","title":"From global biodiversity commitments to local action: revenue potential and allocation dynamics of the Cali Fund","title-short":"From global biodiversity commitments to local action","URL":"https://www.lse.ac.uk/granthaminstitute/publication/from-global-biodiversity-commitments-to-local-action-revenue-potential-and-allocation-dynamics-of-the-cali-fund/","author":[{"family":"Makowska-Curran","given":"Agata"}],"accessed":{"date-parts":[["2026",6,3]]},"issued":{"date-parts":[["2026",6]]}},"suppress-author":true}],"schema":"https://github.com/citation-style-language/schema/raw/master/csl-citation.json"} </w:instrText>
      </w:r>
      <w:r w:rsidRPr="005F0A67">
        <w:rPr>
          <w:rFonts w:asciiTheme="majorBidi" w:eastAsia="Times New Roman" w:hAnsiTheme="majorBidi" w:cstheme="majorBidi"/>
          <w:sz w:val="18"/>
          <w:szCs w:val="18"/>
          <w:lang w:val="en-CA" w:eastAsia="en-GB"/>
        </w:rPr>
        <w:fldChar w:fldCharType="separate"/>
      </w:r>
      <w:r w:rsidRPr="005F0A67">
        <w:rPr>
          <w:rFonts w:asciiTheme="majorBidi" w:eastAsia="Times New Roman" w:hAnsiTheme="majorBidi" w:cstheme="majorBidi"/>
          <w:sz w:val="18"/>
          <w:szCs w:val="18"/>
          <w:lang w:val="en-CA" w:eastAsia="en-GB"/>
        </w:rPr>
        <w:t>(2026)</w:t>
      </w:r>
      <w:r w:rsidRPr="005F0A67">
        <w:rPr>
          <w:rFonts w:asciiTheme="majorBidi" w:eastAsia="Times New Roman" w:hAnsiTheme="majorBidi" w:cstheme="majorBidi"/>
          <w:sz w:val="18"/>
          <w:szCs w:val="18"/>
          <w:lang w:val="en-CA" w:eastAsia="en-GB"/>
        </w:rPr>
        <w:fldChar w:fldCharType="end"/>
      </w:r>
      <w:r w:rsidRPr="005F0A67">
        <w:rPr>
          <w:rFonts w:asciiTheme="majorBidi" w:eastAsia="Times New Roman" w:hAnsiTheme="majorBidi" w:cstheme="majorBidi"/>
          <w:sz w:val="18"/>
          <w:szCs w:val="18"/>
          <w:lang w:val="en-CA" w:eastAsia="en-GB"/>
        </w:rPr>
        <w:t>.</w:t>
      </w:r>
    </w:p>
    <w:p w14:paraId="51B1F27A" w14:textId="77777777" w:rsidR="005F0A67" w:rsidRPr="005F0A67" w:rsidRDefault="005F0A67" w:rsidP="00B54840">
      <w:pPr>
        <w:tabs>
          <w:tab w:val="clear" w:pos="567"/>
          <w:tab w:val="clear" w:pos="1134"/>
          <w:tab w:val="clear" w:pos="1701"/>
          <w:tab w:val="clear" w:pos="2268"/>
        </w:tabs>
        <w:spacing w:before="320" w:after="160"/>
        <w:ind w:left="720"/>
        <w:jc w:val="left"/>
        <w:outlineLvl w:val="2"/>
        <w:rPr>
          <w:rFonts w:asciiTheme="majorBidi" w:eastAsia="Arial" w:hAnsiTheme="majorBidi" w:cstheme="majorBidi"/>
          <w:b/>
          <w:bCs/>
          <w:color w:val="7F7F7F"/>
          <w:sz w:val="23"/>
          <w:szCs w:val="23"/>
          <w:lang w:val="en-CA" w:eastAsia="en-GB"/>
        </w:rPr>
      </w:pPr>
      <w:bookmarkStart w:id="129" w:name="_Ref230121315"/>
      <w:bookmarkStart w:id="130" w:name="_Toc234579582"/>
      <w:r w:rsidRPr="005F0A67">
        <w:rPr>
          <w:rFonts w:asciiTheme="majorBidi" w:eastAsia="Arial" w:hAnsiTheme="majorBidi" w:cstheme="majorBidi"/>
          <w:b/>
          <w:bCs/>
          <w:color w:val="7F7F7F"/>
          <w:sz w:val="23"/>
          <w:szCs w:val="23"/>
          <w:lang w:val="en-CA" w:eastAsia="en-GB"/>
        </w:rPr>
        <w:lastRenderedPageBreak/>
        <w:t>Rate and base design sensitivity</w:t>
      </w:r>
      <w:bookmarkEnd w:id="129"/>
      <w:bookmarkEnd w:id="130"/>
      <w:r w:rsidRPr="005F0A67">
        <w:rPr>
          <w:rFonts w:asciiTheme="majorBidi" w:eastAsia="Arial" w:hAnsiTheme="majorBidi" w:cstheme="majorBidi"/>
          <w:b/>
          <w:bCs/>
          <w:color w:val="7F7F7F"/>
          <w:sz w:val="23"/>
          <w:szCs w:val="23"/>
          <w:lang w:val="en-CA" w:eastAsia="en-GB"/>
        </w:rPr>
        <w:t xml:space="preserve"> </w:t>
      </w:r>
    </w:p>
    <w:p w14:paraId="32B00F4F"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Threshold sensitivity analysis demonstrates a structural characteristic of the Cali Fund's eligible population with potential implications for future design decisions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_Ref230119147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Figure 9</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Contributions are predominantly concentrated among the largest firms, resulting in a revenue base that remains stable across various threshold adjustments. Doubling all three Decision 16/2 thresholds to USD 40 million in assets, USD 100 million in sales, and USD 10 million in profit would exclude approximately 9,441 firms, reducing the eligible population by 43.5%, yet S0 contributions would decrease by only 7.4%, from USD 3.65 billion to USD 3.38 billion. Firms excluded under higher thresholds are significantly smaller than those retained, and the revenue base is sustained primarily by large pharmaceuticals. </w:t>
      </w:r>
    </w:p>
    <w:p w14:paraId="27480D23"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lang w:val="en-CA" w:eastAsia="en-GB"/>
        </w:rPr>
        <w:t>A similar pattern emerges when thresholds are lowered. Halving all thresholds would more than double the number of in-scope firms, adding 14,317 entities, yet full-compliance contributions would increase by only 5.5%. Newly eligible firms near the lower end of the distribution are too small to significantly impact aggregate revenues.</w:t>
      </w:r>
    </w:p>
    <w:p w14:paraId="122CBD7A"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This asymmetry underscores a structural feature of the eligible population relevant to threshold design. Higher thresholds limit the contributor pool to the largest and most commercially prominent firms, which the voluntary scheme literature associates with stronger reputational scrutiny for their biodiversity practices. However, increasing thresholds also reduces sectoral diversity among contributors, as smaller firms in sectors such as nutraceuticals, cosmetics, and animal and plant breeding are increasingly excluded from the mechanism’s scope. This shift increases the mechanism’s dependence on a limited range of industries. These two effects partially counterbalance each other in terms of participation: there are fewer firms, but they may become more visible and more easily targeted, with the additional reputational pressure providing stronger individual incentives to participate. The overall impact on fund revenue depends on which effect prevails and cannot be determined based on the current evidence. In contrast, lower thresholds substantially expand the contributor pool by including more smaller firms across all sectors. Nonetheless, this expansion could result in higher administrative costs for a larger number of companies, without potentially generating proportional revenue gains.</w:t>
      </w:r>
    </w:p>
    <w:p w14:paraId="5D5C6AD7" w14:textId="77777777" w:rsidR="00B54840" w:rsidRDefault="00B54840" w:rsidP="005F0A67">
      <w:pPr>
        <w:numPr>
          <w:ilvl w:val="4"/>
          <w:numId w:val="0"/>
        </w:numPr>
        <w:tabs>
          <w:tab w:val="clear" w:pos="567"/>
          <w:tab w:val="clear" w:pos="1134"/>
          <w:tab w:val="clear" w:pos="1701"/>
          <w:tab w:val="clear" w:pos="2268"/>
        </w:tabs>
        <w:spacing w:after="120"/>
        <w:jc w:val="left"/>
        <w:outlineLvl w:val="4"/>
        <w:rPr>
          <w:rFonts w:asciiTheme="majorBidi" w:eastAsia="Georgia" w:hAnsiTheme="majorBidi" w:cstheme="majorBidi"/>
          <w:b/>
          <w:bCs/>
          <w:color w:val="419844"/>
          <w:lang w:eastAsia="en-GB"/>
        </w:rPr>
      </w:pPr>
      <w:bookmarkStart w:id="131" w:name="_Ref230119147"/>
    </w:p>
    <w:p w14:paraId="405F4802" w14:textId="77777777" w:rsidR="00B54840" w:rsidRDefault="00B54840" w:rsidP="005F0A67">
      <w:pPr>
        <w:numPr>
          <w:ilvl w:val="4"/>
          <w:numId w:val="0"/>
        </w:numPr>
        <w:tabs>
          <w:tab w:val="clear" w:pos="567"/>
          <w:tab w:val="clear" w:pos="1134"/>
          <w:tab w:val="clear" w:pos="1701"/>
          <w:tab w:val="clear" w:pos="2268"/>
        </w:tabs>
        <w:spacing w:after="120"/>
        <w:jc w:val="left"/>
        <w:outlineLvl w:val="4"/>
        <w:rPr>
          <w:rFonts w:asciiTheme="majorBidi" w:eastAsia="Georgia" w:hAnsiTheme="majorBidi" w:cstheme="majorBidi"/>
          <w:b/>
          <w:bCs/>
          <w:color w:val="419844"/>
          <w:lang w:eastAsia="en-GB"/>
        </w:rPr>
      </w:pPr>
    </w:p>
    <w:p w14:paraId="1AC92C33" w14:textId="77777777" w:rsidR="00B54840" w:rsidRDefault="00B54840" w:rsidP="005F0A67">
      <w:pPr>
        <w:numPr>
          <w:ilvl w:val="4"/>
          <w:numId w:val="0"/>
        </w:numPr>
        <w:tabs>
          <w:tab w:val="clear" w:pos="567"/>
          <w:tab w:val="clear" w:pos="1134"/>
          <w:tab w:val="clear" w:pos="1701"/>
          <w:tab w:val="clear" w:pos="2268"/>
        </w:tabs>
        <w:spacing w:after="120"/>
        <w:jc w:val="left"/>
        <w:outlineLvl w:val="4"/>
        <w:rPr>
          <w:rFonts w:asciiTheme="majorBidi" w:eastAsia="Georgia" w:hAnsiTheme="majorBidi" w:cstheme="majorBidi"/>
          <w:b/>
          <w:bCs/>
          <w:color w:val="419844"/>
          <w:lang w:eastAsia="en-GB"/>
        </w:rPr>
      </w:pPr>
    </w:p>
    <w:p w14:paraId="2C10101E" w14:textId="77777777" w:rsidR="00B54840" w:rsidRDefault="00B54840" w:rsidP="005F0A67">
      <w:pPr>
        <w:numPr>
          <w:ilvl w:val="4"/>
          <w:numId w:val="0"/>
        </w:numPr>
        <w:tabs>
          <w:tab w:val="clear" w:pos="567"/>
          <w:tab w:val="clear" w:pos="1134"/>
          <w:tab w:val="clear" w:pos="1701"/>
          <w:tab w:val="clear" w:pos="2268"/>
        </w:tabs>
        <w:spacing w:after="120"/>
        <w:jc w:val="left"/>
        <w:outlineLvl w:val="4"/>
        <w:rPr>
          <w:rFonts w:asciiTheme="majorBidi" w:eastAsia="Georgia" w:hAnsiTheme="majorBidi" w:cstheme="majorBidi"/>
          <w:b/>
          <w:bCs/>
          <w:color w:val="419844"/>
          <w:lang w:eastAsia="en-GB"/>
        </w:rPr>
      </w:pPr>
    </w:p>
    <w:p w14:paraId="0BA74235" w14:textId="77777777" w:rsidR="00B54840" w:rsidRDefault="00B54840" w:rsidP="005F0A67">
      <w:pPr>
        <w:numPr>
          <w:ilvl w:val="4"/>
          <w:numId w:val="0"/>
        </w:numPr>
        <w:tabs>
          <w:tab w:val="clear" w:pos="567"/>
          <w:tab w:val="clear" w:pos="1134"/>
          <w:tab w:val="clear" w:pos="1701"/>
          <w:tab w:val="clear" w:pos="2268"/>
        </w:tabs>
        <w:spacing w:after="120"/>
        <w:jc w:val="left"/>
        <w:outlineLvl w:val="4"/>
        <w:rPr>
          <w:rFonts w:asciiTheme="majorBidi" w:eastAsia="Georgia" w:hAnsiTheme="majorBidi" w:cstheme="majorBidi"/>
          <w:b/>
          <w:bCs/>
          <w:color w:val="419844"/>
          <w:lang w:eastAsia="en-GB"/>
        </w:rPr>
      </w:pPr>
    </w:p>
    <w:p w14:paraId="122A3CAA" w14:textId="77777777" w:rsidR="00B54840" w:rsidRDefault="00B54840" w:rsidP="005F0A67">
      <w:pPr>
        <w:numPr>
          <w:ilvl w:val="4"/>
          <w:numId w:val="0"/>
        </w:numPr>
        <w:tabs>
          <w:tab w:val="clear" w:pos="567"/>
          <w:tab w:val="clear" w:pos="1134"/>
          <w:tab w:val="clear" w:pos="1701"/>
          <w:tab w:val="clear" w:pos="2268"/>
        </w:tabs>
        <w:spacing w:after="120"/>
        <w:jc w:val="left"/>
        <w:outlineLvl w:val="4"/>
        <w:rPr>
          <w:rFonts w:asciiTheme="majorBidi" w:eastAsia="Georgia" w:hAnsiTheme="majorBidi" w:cstheme="majorBidi"/>
          <w:b/>
          <w:bCs/>
          <w:color w:val="419844"/>
          <w:lang w:eastAsia="en-GB"/>
        </w:rPr>
      </w:pPr>
    </w:p>
    <w:p w14:paraId="7084FDA4" w14:textId="77777777" w:rsidR="00B54840" w:rsidRDefault="00B54840" w:rsidP="005F0A67">
      <w:pPr>
        <w:numPr>
          <w:ilvl w:val="4"/>
          <w:numId w:val="0"/>
        </w:numPr>
        <w:tabs>
          <w:tab w:val="clear" w:pos="567"/>
          <w:tab w:val="clear" w:pos="1134"/>
          <w:tab w:val="clear" w:pos="1701"/>
          <w:tab w:val="clear" w:pos="2268"/>
        </w:tabs>
        <w:spacing w:after="120"/>
        <w:jc w:val="left"/>
        <w:outlineLvl w:val="4"/>
        <w:rPr>
          <w:rFonts w:asciiTheme="majorBidi" w:eastAsia="Georgia" w:hAnsiTheme="majorBidi" w:cstheme="majorBidi"/>
          <w:b/>
          <w:bCs/>
          <w:color w:val="419844"/>
          <w:lang w:eastAsia="en-GB"/>
        </w:rPr>
      </w:pPr>
    </w:p>
    <w:p w14:paraId="04DD0933" w14:textId="77777777" w:rsidR="00B54840" w:rsidRDefault="00B54840" w:rsidP="005F0A67">
      <w:pPr>
        <w:numPr>
          <w:ilvl w:val="4"/>
          <w:numId w:val="0"/>
        </w:numPr>
        <w:tabs>
          <w:tab w:val="clear" w:pos="567"/>
          <w:tab w:val="clear" w:pos="1134"/>
          <w:tab w:val="clear" w:pos="1701"/>
          <w:tab w:val="clear" w:pos="2268"/>
        </w:tabs>
        <w:spacing w:after="120"/>
        <w:jc w:val="left"/>
        <w:outlineLvl w:val="4"/>
        <w:rPr>
          <w:rFonts w:asciiTheme="majorBidi" w:eastAsia="Georgia" w:hAnsiTheme="majorBidi" w:cstheme="majorBidi"/>
          <w:b/>
          <w:bCs/>
          <w:color w:val="419844"/>
          <w:lang w:eastAsia="en-GB"/>
        </w:rPr>
      </w:pPr>
    </w:p>
    <w:p w14:paraId="1676A0BC" w14:textId="77777777" w:rsidR="00B54840" w:rsidRDefault="00B54840" w:rsidP="005F0A67">
      <w:pPr>
        <w:numPr>
          <w:ilvl w:val="4"/>
          <w:numId w:val="0"/>
        </w:numPr>
        <w:tabs>
          <w:tab w:val="clear" w:pos="567"/>
          <w:tab w:val="clear" w:pos="1134"/>
          <w:tab w:val="clear" w:pos="1701"/>
          <w:tab w:val="clear" w:pos="2268"/>
        </w:tabs>
        <w:spacing w:after="120"/>
        <w:jc w:val="left"/>
        <w:outlineLvl w:val="4"/>
        <w:rPr>
          <w:rFonts w:asciiTheme="majorBidi" w:eastAsia="Georgia" w:hAnsiTheme="majorBidi" w:cstheme="majorBidi"/>
          <w:b/>
          <w:bCs/>
          <w:color w:val="419844"/>
          <w:lang w:eastAsia="en-GB"/>
        </w:rPr>
      </w:pPr>
    </w:p>
    <w:p w14:paraId="4D07CE19" w14:textId="77777777" w:rsidR="00B54840" w:rsidRDefault="00B54840" w:rsidP="005F0A67">
      <w:pPr>
        <w:numPr>
          <w:ilvl w:val="4"/>
          <w:numId w:val="0"/>
        </w:numPr>
        <w:tabs>
          <w:tab w:val="clear" w:pos="567"/>
          <w:tab w:val="clear" w:pos="1134"/>
          <w:tab w:val="clear" w:pos="1701"/>
          <w:tab w:val="clear" w:pos="2268"/>
        </w:tabs>
        <w:spacing w:after="120"/>
        <w:jc w:val="left"/>
        <w:outlineLvl w:val="4"/>
        <w:rPr>
          <w:rFonts w:asciiTheme="majorBidi" w:eastAsia="Georgia" w:hAnsiTheme="majorBidi" w:cstheme="majorBidi"/>
          <w:b/>
          <w:bCs/>
          <w:color w:val="419844"/>
          <w:lang w:eastAsia="en-GB"/>
        </w:rPr>
      </w:pPr>
    </w:p>
    <w:p w14:paraId="3F370E57" w14:textId="77777777" w:rsidR="00B54840" w:rsidRDefault="00B54840" w:rsidP="005F0A67">
      <w:pPr>
        <w:numPr>
          <w:ilvl w:val="4"/>
          <w:numId w:val="0"/>
        </w:numPr>
        <w:tabs>
          <w:tab w:val="clear" w:pos="567"/>
          <w:tab w:val="clear" w:pos="1134"/>
          <w:tab w:val="clear" w:pos="1701"/>
          <w:tab w:val="clear" w:pos="2268"/>
        </w:tabs>
        <w:spacing w:after="120"/>
        <w:jc w:val="left"/>
        <w:outlineLvl w:val="4"/>
        <w:rPr>
          <w:rFonts w:asciiTheme="majorBidi" w:eastAsia="Georgia" w:hAnsiTheme="majorBidi" w:cstheme="majorBidi"/>
          <w:b/>
          <w:bCs/>
          <w:color w:val="419844"/>
          <w:lang w:eastAsia="en-GB"/>
        </w:rPr>
      </w:pPr>
    </w:p>
    <w:p w14:paraId="7D7F7C9D" w14:textId="77777777" w:rsidR="00B54840" w:rsidRDefault="00B54840" w:rsidP="005F0A67">
      <w:pPr>
        <w:numPr>
          <w:ilvl w:val="4"/>
          <w:numId w:val="0"/>
        </w:numPr>
        <w:tabs>
          <w:tab w:val="clear" w:pos="567"/>
          <w:tab w:val="clear" w:pos="1134"/>
          <w:tab w:val="clear" w:pos="1701"/>
          <w:tab w:val="clear" w:pos="2268"/>
        </w:tabs>
        <w:spacing w:after="120"/>
        <w:jc w:val="left"/>
        <w:outlineLvl w:val="4"/>
        <w:rPr>
          <w:rFonts w:asciiTheme="majorBidi" w:eastAsia="Georgia" w:hAnsiTheme="majorBidi" w:cstheme="majorBidi"/>
          <w:b/>
          <w:bCs/>
          <w:color w:val="419844"/>
          <w:lang w:eastAsia="en-GB"/>
        </w:rPr>
      </w:pPr>
    </w:p>
    <w:p w14:paraId="515AC45B" w14:textId="77777777" w:rsidR="00B54840" w:rsidRDefault="00B54840" w:rsidP="005F0A67">
      <w:pPr>
        <w:numPr>
          <w:ilvl w:val="4"/>
          <w:numId w:val="0"/>
        </w:numPr>
        <w:tabs>
          <w:tab w:val="clear" w:pos="567"/>
          <w:tab w:val="clear" w:pos="1134"/>
          <w:tab w:val="clear" w:pos="1701"/>
          <w:tab w:val="clear" w:pos="2268"/>
        </w:tabs>
        <w:spacing w:after="120"/>
        <w:jc w:val="left"/>
        <w:outlineLvl w:val="4"/>
        <w:rPr>
          <w:rFonts w:asciiTheme="majorBidi" w:eastAsia="Georgia" w:hAnsiTheme="majorBidi" w:cstheme="majorBidi"/>
          <w:b/>
          <w:bCs/>
          <w:color w:val="419844"/>
          <w:lang w:eastAsia="en-GB"/>
        </w:rPr>
      </w:pPr>
    </w:p>
    <w:p w14:paraId="596DA8EA" w14:textId="249709AC" w:rsidR="005F0A67" w:rsidRPr="005F0A67" w:rsidRDefault="005F0A67" w:rsidP="005F0A67">
      <w:pPr>
        <w:numPr>
          <w:ilvl w:val="4"/>
          <w:numId w:val="0"/>
        </w:numPr>
        <w:tabs>
          <w:tab w:val="clear" w:pos="567"/>
          <w:tab w:val="clear" w:pos="1134"/>
          <w:tab w:val="clear" w:pos="1701"/>
          <w:tab w:val="clear" w:pos="2268"/>
        </w:tabs>
        <w:spacing w:after="120"/>
        <w:jc w:val="left"/>
        <w:outlineLvl w:val="4"/>
        <w:rPr>
          <w:rFonts w:asciiTheme="majorBidi" w:eastAsia="Georgia" w:hAnsiTheme="majorBidi" w:cstheme="majorBidi"/>
          <w:b/>
          <w:bCs/>
          <w:color w:val="419844"/>
          <w:lang w:eastAsia="en-GB"/>
        </w:rPr>
      </w:pPr>
      <w:r w:rsidRPr="005F0A67">
        <w:rPr>
          <w:rFonts w:asciiTheme="majorBidi" w:eastAsia="Georgia" w:hAnsiTheme="majorBidi" w:cstheme="majorBidi"/>
          <w:b/>
          <w:bCs/>
          <w:color w:val="419844"/>
          <w:lang w:eastAsia="en-GB"/>
        </w:rPr>
        <w:lastRenderedPageBreak/>
        <w:t xml:space="preserve">Figure </w:t>
      </w:r>
      <w:r w:rsidRPr="005F0A67">
        <w:rPr>
          <w:rFonts w:asciiTheme="majorBidi" w:eastAsia="Georgia" w:hAnsiTheme="majorBidi" w:cstheme="majorBidi"/>
          <w:b/>
          <w:bCs/>
          <w:color w:val="419844"/>
          <w:lang w:eastAsia="en-GB"/>
        </w:rPr>
        <w:fldChar w:fldCharType="begin"/>
      </w:r>
      <w:r w:rsidRPr="005F0A67">
        <w:rPr>
          <w:rFonts w:asciiTheme="majorBidi" w:eastAsia="Georgia" w:hAnsiTheme="majorBidi" w:cstheme="majorBidi"/>
          <w:b/>
          <w:bCs/>
          <w:color w:val="419844"/>
          <w:lang w:eastAsia="en-GB"/>
        </w:rPr>
        <w:instrText>SEQ Figure \* ARABIC</w:instrText>
      </w:r>
      <w:r w:rsidRPr="005F0A67">
        <w:rPr>
          <w:rFonts w:asciiTheme="majorBidi" w:eastAsia="Georgia" w:hAnsiTheme="majorBidi" w:cstheme="majorBidi"/>
          <w:b/>
          <w:bCs/>
          <w:color w:val="419844"/>
          <w:lang w:eastAsia="en-GB"/>
        </w:rPr>
        <w:fldChar w:fldCharType="separate"/>
      </w:r>
      <w:r w:rsidRPr="005F0A67">
        <w:rPr>
          <w:rFonts w:asciiTheme="majorBidi" w:eastAsia="Georgia" w:hAnsiTheme="majorBidi" w:cstheme="majorBidi"/>
          <w:b/>
          <w:bCs/>
          <w:noProof/>
          <w:color w:val="419844"/>
          <w:lang w:eastAsia="en-GB"/>
        </w:rPr>
        <w:t>9</w:t>
      </w:r>
      <w:r w:rsidRPr="005F0A67">
        <w:rPr>
          <w:rFonts w:asciiTheme="majorBidi" w:eastAsia="Georgia" w:hAnsiTheme="majorBidi" w:cstheme="majorBidi"/>
          <w:b/>
          <w:bCs/>
          <w:color w:val="419844"/>
          <w:lang w:eastAsia="en-GB"/>
        </w:rPr>
        <w:fldChar w:fldCharType="end"/>
      </w:r>
      <w:bookmarkEnd w:id="131"/>
      <w:r w:rsidRPr="005F0A67">
        <w:rPr>
          <w:rFonts w:asciiTheme="majorBidi" w:eastAsia="Georgia" w:hAnsiTheme="majorBidi" w:cstheme="majorBidi"/>
          <w:b/>
          <w:bCs/>
          <w:color w:val="419844"/>
          <w:lang w:eastAsia="en-GB"/>
        </w:rPr>
        <w:t xml:space="preserve"> Sensitivity of eligible firm counts and contributions to alternative eligibility threshold combinations</w:t>
      </w:r>
    </w:p>
    <w:p w14:paraId="5EF610AB"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noProof/>
          <w:lang w:val="en-CA" w:eastAsia="en-GB"/>
        </w:rPr>
        <w:drawing>
          <wp:inline distT="0" distB="0" distL="0" distR="0" wp14:anchorId="527C3399" wp14:editId="01D468F3">
            <wp:extent cx="6065822" cy="4156211"/>
            <wp:effectExtent l="0" t="0" r="0" b="635"/>
            <wp:docPr id="1477223754" name="Picture 10" descr="A graph showing different colored triang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223754" name="Picture 10" descr="A graph showing different colored triangles&#10;&#10;AI-generated content may be incorrect."/>
                    <pic:cNvPicPr/>
                  </pic:nvPicPr>
                  <pic:blipFill>
                    <a:blip r:embed="rId33" cstate="print">
                      <a:extLst>
                        <a:ext uri="{28A0092B-C50C-407E-A947-70E740481C1C}">
                          <a14:useLocalDpi xmlns:a14="http://schemas.microsoft.com/office/drawing/2010/main" val="0"/>
                        </a:ext>
                      </a:extLst>
                    </a:blip>
                    <a:stretch>
                      <a:fillRect/>
                    </a:stretch>
                  </pic:blipFill>
                  <pic:spPr>
                    <a:xfrm>
                      <a:off x="0" y="0"/>
                      <a:ext cx="6065822" cy="4156211"/>
                    </a:xfrm>
                    <a:prstGeom prst="rect">
                      <a:avLst/>
                    </a:prstGeom>
                  </pic:spPr>
                </pic:pic>
              </a:graphicData>
            </a:graphic>
          </wp:inline>
        </w:drawing>
      </w:r>
    </w:p>
    <w:p w14:paraId="20EA4D09" w14:textId="77777777" w:rsidR="005F0A67" w:rsidRPr="005F0A67" w:rsidRDefault="005F0A67" w:rsidP="005F0A67">
      <w:pPr>
        <w:tabs>
          <w:tab w:val="clear" w:pos="567"/>
          <w:tab w:val="clear" w:pos="1134"/>
          <w:tab w:val="clear" w:pos="1701"/>
          <w:tab w:val="clear" w:pos="2268"/>
        </w:tabs>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i/>
          <w:iCs/>
          <w:sz w:val="18"/>
          <w:szCs w:val="18"/>
          <w:lang w:val="en-CA" w:eastAsia="en-GB"/>
        </w:rPr>
        <w:t xml:space="preserve">Note: </w:t>
      </w:r>
      <w:r w:rsidRPr="005F0A67">
        <w:rPr>
          <w:rFonts w:asciiTheme="majorBidi" w:eastAsia="Times New Roman" w:hAnsiTheme="majorBidi" w:cstheme="majorBidi"/>
          <w:sz w:val="18"/>
          <w:szCs w:val="18"/>
          <w:lang w:val="en-CA" w:eastAsia="en-GB"/>
        </w:rPr>
        <w:t>Each point represents one threshold scenario. The horizontal axis shows the percentage change in the number of eligible firms relative to the Decision 16/2 baseline of 21,690 firms; the vertical axis shows the corresponding percentage change in S0 contributions relative to the baseline of USD 3.646 billion. Upward-pointing triangles denote scenarios where thresholds are raised; downward-pointing triangles denote scenarios where thresholds are lowered. Labels show the percentage revision applied to the relevant threshold. Colour identifies the threshold revised: assets (green), sales (yellow), profit (purple), all three thresholds simultaneously (orange). The shaded band spans the full range of contribution outcomes across all scenarios. Downward revision scenarios are computed from the full in-scope firm population; upward revision scenarios are computed from the baseline eligible sample. S0 assumes full participation at the indicative contribution rates of 0.1% of revenue and 1% of profit.</w:t>
      </w:r>
    </w:p>
    <w:p w14:paraId="579A0EBC" w14:textId="77777777" w:rsidR="005F0A67" w:rsidRPr="005F0A67" w:rsidRDefault="005F0A67" w:rsidP="005F0A67">
      <w:pPr>
        <w:tabs>
          <w:tab w:val="clear" w:pos="567"/>
          <w:tab w:val="clear" w:pos="1134"/>
          <w:tab w:val="clear" w:pos="1701"/>
          <w:tab w:val="clear" w:pos="2268"/>
        </w:tabs>
        <w:spacing w:line="293" w:lineRule="auto"/>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i/>
          <w:iCs/>
          <w:sz w:val="18"/>
          <w:szCs w:val="18"/>
          <w:lang w:val="en-CA" w:eastAsia="en-GB"/>
        </w:rPr>
        <w:t xml:space="preserve">Source: </w:t>
      </w:r>
      <w:r w:rsidRPr="005F0A67">
        <w:rPr>
          <w:rFonts w:asciiTheme="majorBidi" w:eastAsia="Times New Roman" w:hAnsiTheme="majorBidi" w:cstheme="majorBidi"/>
          <w:sz w:val="18"/>
          <w:szCs w:val="18"/>
          <w:lang w:val="en-CA" w:eastAsia="en-GB"/>
        </w:rPr>
        <w:t xml:space="preserve">Author’s calculations based on Makowska-Curran </w:t>
      </w:r>
      <w:r w:rsidRPr="005F0A67">
        <w:rPr>
          <w:rFonts w:asciiTheme="majorBidi" w:eastAsia="Times New Roman" w:hAnsiTheme="majorBidi" w:cstheme="majorBidi"/>
          <w:sz w:val="18"/>
          <w:szCs w:val="18"/>
          <w:lang w:val="en-CA" w:eastAsia="en-GB"/>
        </w:rPr>
        <w:fldChar w:fldCharType="begin"/>
      </w:r>
      <w:r w:rsidRPr="005F0A67">
        <w:rPr>
          <w:rFonts w:asciiTheme="majorBidi" w:eastAsia="Times New Roman" w:hAnsiTheme="majorBidi" w:cstheme="majorBidi"/>
          <w:sz w:val="18"/>
          <w:szCs w:val="18"/>
          <w:lang w:val="en-CA" w:eastAsia="en-GB"/>
        </w:rPr>
        <w:instrText xml:space="preserve"> ADDIN ZOTERO_ITEM CSL_CITATION {"citationID":"Oi6bNXj3","properties":{"unsorted":false,"formattedCitation":"(2026)","plainCitation":"(2026)","noteIndex":0},"citationItems":[{"id":77,"uris":["http://zotero.org/users/14977742/items/2PI55QKT"],"itemData":{"id":77,"type":"article-journal","abstract":"This paper provides the first global, firm-level analysis of what the Cali Fund, designed to support global conservation, is likely to raise and how resources would be distributed.","citation-key":"GlobalBiodiversityCommitments","container-title":"Grantham Research Institute on climate change and the environment","language":"en-GB","publisher":"London School of Economics and Political Science (LSE)","title":"From global biodiversity commitments to local action: revenue potential and allocation dynamics of the Cali Fund","title-short":"From global biodiversity commitments to local action","URL":"https://www.lse.ac.uk/granthaminstitute/publication/from-global-biodiversity-commitments-to-local-action-revenue-potential-and-allocation-dynamics-of-the-cali-fund/","author":[{"family":"Makowska-Curran","given":"Agata"}],"accessed":{"date-parts":[["2026",6,3]]},"issued":{"date-parts":[["2026",6]]}},"suppress-author":true}],"schema":"https://github.com/citation-style-language/schema/raw/master/csl-citation.json"} </w:instrText>
      </w:r>
      <w:r w:rsidRPr="005F0A67">
        <w:rPr>
          <w:rFonts w:asciiTheme="majorBidi" w:eastAsia="Times New Roman" w:hAnsiTheme="majorBidi" w:cstheme="majorBidi"/>
          <w:sz w:val="18"/>
          <w:szCs w:val="18"/>
          <w:lang w:val="en-CA" w:eastAsia="en-GB"/>
        </w:rPr>
        <w:fldChar w:fldCharType="separate"/>
      </w:r>
      <w:r w:rsidRPr="005F0A67">
        <w:rPr>
          <w:rFonts w:asciiTheme="majorBidi" w:eastAsia="Times New Roman" w:hAnsiTheme="majorBidi" w:cstheme="majorBidi"/>
          <w:sz w:val="18"/>
          <w:szCs w:val="18"/>
          <w:lang w:val="en-CA" w:eastAsia="en-GB"/>
        </w:rPr>
        <w:t>(2026)</w:t>
      </w:r>
      <w:r w:rsidRPr="005F0A67">
        <w:rPr>
          <w:rFonts w:asciiTheme="majorBidi" w:eastAsia="Times New Roman" w:hAnsiTheme="majorBidi" w:cstheme="majorBidi"/>
          <w:sz w:val="18"/>
          <w:szCs w:val="18"/>
          <w:lang w:val="en-CA" w:eastAsia="en-GB"/>
        </w:rPr>
        <w:fldChar w:fldCharType="end"/>
      </w:r>
      <w:r w:rsidRPr="005F0A67">
        <w:rPr>
          <w:rFonts w:asciiTheme="majorBidi" w:eastAsia="Times New Roman" w:hAnsiTheme="majorBidi" w:cstheme="majorBidi"/>
          <w:sz w:val="18"/>
          <w:szCs w:val="18"/>
          <w:lang w:val="en-CA" w:eastAsia="en-GB"/>
        </w:rPr>
        <w:t>.</w:t>
      </w:r>
    </w:p>
    <w:p w14:paraId="4C34328A" w14:textId="77777777" w:rsidR="005F0A67" w:rsidRPr="005F0A67" w:rsidRDefault="005F0A67" w:rsidP="005F0A67">
      <w:pPr>
        <w:tabs>
          <w:tab w:val="clear" w:pos="567"/>
          <w:tab w:val="clear" w:pos="1134"/>
          <w:tab w:val="clear" w:pos="1701"/>
          <w:tab w:val="clear" w:pos="2268"/>
        </w:tabs>
        <w:spacing w:before="240" w:after="180" w:line="293" w:lineRule="auto"/>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lang w:val="en-CA" w:eastAsia="en-GB"/>
        </w:rPr>
        <w:t xml:space="preserve">The contribution rate sensitivity analysis looks at how the hypothetical full eligible sample (S0) contributions change when the indicative rates are adjusted.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_Ref230119090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Figure 10</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shows that if both rates are scaled up or down by the same proportion, revenue changes linearly. For example, at 50% of the indicative rates, S0 drops to about USD 1.8 billion, and at 150%, it increases to USD 5.5 billion. These changes are mostly balanced because scaling both rates by the same amount keeps the 10% indifference margin the same. This means the group of contributing firms does not change, only the amount each firm pays.</w:t>
      </w:r>
    </w:p>
    <w:p w14:paraId="0983B5B9"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Changing only one rate at a time, instead of both together, has a bigger impact on how revenue is collected. Increasing the profit rate while keeping the revenue rate the same lowers the indifference margin, so more firms move to the ‘stable’ revenue base. If only the revenue rate goes up, the effect is reversed. When only one rate is revised, the revenue gain is smaller than proportional scaling of both rates would produce, because the minimum-of-two structure automatically re-routes firms to whichever base becomes cheaper as the indifference margin shifts. The decision to potentially reconsider the contribution rate at COP17 could affect not just the </w:t>
      </w:r>
      <w:r w:rsidRPr="005F0A67">
        <w:rPr>
          <w:rFonts w:asciiTheme="majorBidi" w:eastAsia="Times New Roman" w:hAnsiTheme="majorBidi" w:cstheme="majorBidi"/>
          <w:lang w:val="en-CA" w:eastAsia="en-GB"/>
        </w:rPr>
        <w:lastRenderedPageBreak/>
        <w:t>total amount raised, but also which firms pay more and how steady those payments are over time. Section 6.4 (“Minimum-of-two design and revenue stability) looks at these stability issues in more detail.</w:t>
      </w:r>
    </w:p>
    <w:p w14:paraId="1CDF28AA" w14:textId="77777777" w:rsidR="005F0A67" w:rsidRPr="005F0A67" w:rsidRDefault="005F0A67" w:rsidP="005F0A67">
      <w:pPr>
        <w:tabs>
          <w:tab w:val="clear" w:pos="567"/>
          <w:tab w:val="clear" w:pos="1134"/>
          <w:tab w:val="clear" w:pos="1701"/>
          <w:tab w:val="clear" w:pos="2268"/>
        </w:tabs>
        <w:spacing w:line="293" w:lineRule="auto"/>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lang w:val="en-CA" w:eastAsia="en-GB"/>
        </w:rPr>
        <w:t>These rate sensitivities describe mechanical effects on total revenue; established economic principles suggest the rate level would also be expected to influence contributor behaviour more broadly. On the consumer side, standard price pass-through theory implies that as firms pass a larger share of a higher rate through to prices, demand for the affected goods or services would be expected to soften somewhat, though the extent depends on demand elasticity in each sector. On the firm side, the compliance and avoidance literature on voluntary schemes and taxation generally finds that higher effective costs increase the incentive to avoid or minimise exposure, whether by restructuring activity, relocating, or declining to participate altogether. These general principles are explored empirically for the Cali Fund's current indicative rates in Part III, which examines competitiveness and behavioural responses sector by sector; this section's rate sensitivities should be read alongside that discussion rather than in isolation.</w:t>
      </w:r>
    </w:p>
    <w:p w14:paraId="36A3808F" w14:textId="77777777" w:rsidR="00B54840" w:rsidRDefault="00B54840" w:rsidP="005F0A67">
      <w:pPr>
        <w:numPr>
          <w:ilvl w:val="4"/>
          <w:numId w:val="0"/>
        </w:numPr>
        <w:tabs>
          <w:tab w:val="clear" w:pos="567"/>
          <w:tab w:val="clear" w:pos="1134"/>
          <w:tab w:val="clear" w:pos="1701"/>
          <w:tab w:val="clear" w:pos="2268"/>
        </w:tabs>
        <w:spacing w:after="120"/>
        <w:jc w:val="left"/>
        <w:outlineLvl w:val="4"/>
        <w:rPr>
          <w:rFonts w:asciiTheme="majorBidi" w:eastAsia="Georgia" w:hAnsiTheme="majorBidi" w:cstheme="majorBidi"/>
          <w:b/>
          <w:bCs/>
          <w:color w:val="419844"/>
          <w:lang w:eastAsia="en-GB"/>
        </w:rPr>
      </w:pPr>
      <w:bookmarkStart w:id="132" w:name="_Ref230119090"/>
    </w:p>
    <w:p w14:paraId="3827CCE9" w14:textId="70924665" w:rsidR="005F0A67" w:rsidRPr="005F0A67" w:rsidRDefault="005F0A67" w:rsidP="005F0A67">
      <w:pPr>
        <w:numPr>
          <w:ilvl w:val="4"/>
          <w:numId w:val="0"/>
        </w:numPr>
        <w:tabs>
          <w:tab w:val="clear" w:pos="567"/>
          <w:tab w:val="clear" w:pos="1134"/>
          <w:tab w:val="clear" w:pos="1701"/>
          <w:tab w:val="clear" w:pos="2268"/>
        </w:tabs>
        <w:spacing w:after="120"/>
        <w:jc w:val="left"/>
        <w:outlineLvl w:val="4"/>
        <w:rPr>
          <w:rFonts w:asciiTheme="majorBidi" w:eastAsia="Georgia" w:hAnsiTheme="majorBidi" w:cstheme="majorBidi"/>
          <w:b/>
          <w:bCs/>
          <w:color w:val="419844"/>
          <w:lang w:eastAsia="en-GB"/>
        </w:rPr>
      </w:pPr>
      <w:r w:rsidRPr="005F0A67">
        <w:rPr>
          <w:rFonts w:asciiTheme="majorBidi" w:eastAsia="Georgia" w:hAnsiTheme="majorBidi" w:cstheme="majorBidi"/>
          <w:b/>
          <w:bCs/>
          <w:color w:val="419844"/>
          <w:lang w:eastAsia="en-GB"/>
        </w:rPr>
        <w:t xml:space="preserve">Figure </w:t>
      </w:r>
      <w:r w:rsidRPr="005F0A67">
        <w:rPr>
          <w:rFonts w:asciiTheme="majorBidi" w:eastAsia="Georgia" w:hAnsiTheme="majorBidi" w:cstheme="majorBidi"/>
          <w:b/>
          <w:bCs/>
          <w:color w:val="419844"/>
          <w:lang w:eastAsia="en-GB"/>
        </w:rPr>
        <w:fldChar w:fldCharType="begin"/>
      </w:r>
      <w:r w:rsidRPr="005F0A67">
        <w:rPr>
          <w:rFonts w:asciiTheme="majorBidi" w:eastAsia="Georgia" w:hAnsiTheme="majorBidi" w:cstheme="majorBidi"/>
          <w:b/>
          <w:bCs/>
          <w:color w:val="419844"/>
          <w:lang w:eastAsia="en-GB"/>
        </w:rPr>
        <w:instrText>SEQ Figure \* ARABIC</w:instrText>
      </w:r>
      <w:r w:rsidRPr="005F0A67">
        <w:rPr>
          <w:rFonts w:asciiTheme="majorBidi" w:eastAsia="Georgia" w:hAnsiTheme="majorBidi" w:cstheme="majorBidi"/>
          <w:b/>
          <w:bCs/>
          <w:color w:val="419844"/>
          <w:lang w:eastAsia="en-GB"/>
        </w:rPr>
        <w:fldChar w:fldCharType="separate"/>
      </w:r>
      <w:r w:rsidRPr="005F0A67">
        <w:rPr>
          <w:rFonts w:asciiTheme="majorBidi" w:eastAsia="Georgia" w:hAnsiTheme="majorBidi" w:cstheme="majorBidi"/>
          <w:b/>
          <w:bCs/>
          <w:noProof/>
          <w:color w:val="419844"/>
          <w:lang w:eastAsia="en-GB"/>
        </w:rPr>
        <w:t>10</w:t>
      </w:r>
      <w:r w:rsidRPr="005F0A67">
        <w:rPr>
          <w:rFonts w:asciiTheme="majorBidi" w:eastAsia="Georgia" w:hAnsiTheme="majorBidi" w:cstheme="majorBidi"/>
          <w:b/>
          <w:bCs/>
          <w:color w:val="419844"/>
          <w:lang w:eastAsia="en-GB"/>
        </w:rPr>
        <w:fldChar w:fldCharType="end"/>
      </w:r>
      <w:bookmarkEnd w:id="132"/>
      <w:r w:rsidRPr="005F0A67">
        <w:rPr>
          <w:rFonts w:asciiTheme="majorBidi" w:eastAsia="Georgia" w:hAnsiTheme="majorBidi" w:cstheme="majorBidi"/>
          <w:b/>
          <w:bCs/>
          <w:color w:val="419844"/>
          <w:lang w:eastAsia="en-GB"/>
        </w:rPr>
        <w:t xml:space="preserve"> Estimated contributions under alternative contribution rate combinations (% of Decision 16/2 baseline, full eligible sample)</w:t>
      </w:r>
    </w:p>
    <w:p w14:paraId="69ECE799"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noProof/>
          <w:lang w:val="en-CA" w:eastAsia="en-GB"/>
        </w:rPr>
        <w:drawing>
          <wp:inline distT="0" distB="0" distL="0" distR="0" wp14:anchorId="4CCAE920" wp14:editId="1F5E48F8">
            <wp:extent cx="6172200" cy="4291965"/>
            <wp:effectExtent l="0" t="0" r="0" b="635"/>
            <wp:docPr id="123244576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445767" name="Picture 1232445767"/>
                    <pic:cNvPicPr/>
                  </pic:nvPicPr>
                  <pic:blipFill>
                    <a:blip r:embed="rId34"/>
                    <a:stretch>
                      <a:fillRect/>
                    </a:stretch>
                  </pic:blipFill>
                  <pic:spPr>
                    <a:xfrm>
                      <a:off x="0" y="0"/>
                      <a:ext cx="6172200" cy="4291965"/>
                    </a:xfrm>
                    <a:prstGeom prst="rect">
                      <a:avLst/>
                    </a:prstGeom>
                  </pic:spPr>
                </pic:pic>
              </a:graphicData>
            </a:graphic>
          </wp:inline>
        </w:drawing>
      </w:r>
    </w:p>
    <w:p w14:paraId="407DDA6F"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i/>
          <w:iCs/>
          <w:sz w:val="18"/>
          <w:szCs w:val="18"/>
          <w:lang w:val="en-CA" w:eastAsia="en-GB"/>
        </w:rPr>
        <w:t xml:space="preserve">Note: </w:t>
      </w:r>
      <w:r w:rsidRPr="005F0A67">
        <w:rPr>
          <w:rFonts w:asciiTheme="majorBidi" w:eastAsia="Times New Roman" w:hAnsiTheme="majorBidi" w:cstheme="majorBidi"/>
          <w:sz w:val="18"/>
          <w:szCs w:val="18"/>
          <w:lang w:val="en-CA" w:eastAsia="en-GB"/>
        </w:rPr>
        <w:t>Each cell shows total estimated S0 contributions as a percentage of the baseline of USD 3.646 billion, computed under the corresponding combination of revenue rate (</w:t>
      </w:r>
      <w:proofErr w:type="spellStart"/>
      <w:r w:rsidRPr="005F0A67">
        <w:rPr>
          <w:rFonts w:asciiTheme="majorBidi" w:eastAsia="Times New Roman" w:hAnsiTheme="majorBidi" w:cstheme="majorBidi"/>
          <w:sz w:val="18"/>
          <w:szCs w:val="18"/>
          <w:lang w:val="en-CA" w:eastAsia="en-GB"/>
        </w:rPr>
        <w:t>τ_R</w:t>
      </w:r>
      <w:proofErr w:type="spellEnd"/>
      <w:r w:rsidRPr="005F0A67">
        <w:rPr>
          <w:rFonts w:asciiTheme="majorBidi" w:eastAsia="Times New Roman" w:hAnsiTheme="majorBidi" w:cstheme="majorBidi"/>
          <w:sz w:val="18"/>
          <w:szCs w:val="18"/>
          <w:lang w:val="en-CA" w:eastAsia="en-GB"/>
        </w:rPr>
        <w:t>) and profit rate (τ_π). The baseline reference cell (×1.00, ×1.00), corresponding to the indicative rates of 0.1% of revenue and 1% of profit, is outlined in bold. Proportional rate changes for both indicators are highlighted in dashed boxes across the diagonal. S0 assumes full participation.</w:t>
      </w:r>
    </w:p>
    <w:p w14:paraId="3731A5D9" w14:textId="77777777" w:rsidR="005F0A67" w:rsidRPr="005F0A67" w:rsidRDefault="005F0A67" w:rsidP="005F0A67">
      <w:pPr>
        <w:tabs>
          <w:tab w:val="clear" w:pos="567"/>
          <w:tab w:val="clear" w:pos="1134"/>
          <w:tab w:val="clear" w:pos="1701"/>
          <w:tab w:val="clear" w:pos="2268"/>
        </w:tabs>
        <w:spacing w:line="293" w:lineRule="auto"/>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i/>
          <w:iCs/>
          <w:sz w:val="18"/>
          <w:szCs w:val="18"/>
          <w:lang w:val="en-CA" w:eastAsia="en-GB"/>
        </w:rPr>
        <w:t xml:space="preserve">Source: </w:t>
      </w:r>
      <w:r w:rsidRPr="005F0A67">
        <w:rPr>
          <w:rFonts w:asciiTheme="majorBidi" w:eastAsia="Times New Roman" w:hAnsiTheme="majorBidi" w:cstheme="majorBidi"/>
          <w:sz w:val="18"/>
          <w:szCs w:val="18"/>
          <w:lang w:val="en-CA" w:eastAsia="en-GB"/>
        </w:rPr>
        <w:t xml:space="preserve">Adopted from Makowska-Curran </w:t>
      </w:r>
      <w:r w:rsidRPr="005F0A67">
        <w:rPr>
          <w:rFonts w:asciiTheme="majorBidi" w:eastAsia="Times New Roman" w:hAnsiTheme="majorBidi" w:cstheme="majorBidi"/>
          <w:sz w:val="18"/>
          <w:szCs w:val="18"/>
          <w:lang w:val="en-CA" w:eastAsia="en-GB"/>
        </w:rPr>
        <w:fldChar w:fldCharType="begin"/>
      </w:r>
      <w:r w:rsidRPr="005F0A67">
        <w:rPr>
          <w:rFonts w:asciiTheme="majorBidi" w:eastAsia="Times New Roman" w:hAnsiTheme="majorBidi" w:cstheme="majorBidi"/>
          <w:sz w:val="18"/>
          <w:szCs w:val="18"/>
          <w:lang w:val="en-CA" w:eastAsia="en-GB"/>
        </w:rPr>
        <w:instrText xml:space="preserve"> ADDIN ZOTERO_ITEM CSL_CITATION {"citationID":"7Zq8u6MP","properties":{"unsorted":false,"formattedCitation":"(2026)","plainCitation":"(2026)","noteIndex":0},"citationItems":[{"id":77,"uris":["http://zotero.org/users/14977742/items/2PI55QKT"],"itemData":{"id":77,"type":"article-journal","abstract":"This paper provides the first global, firm-level analysis of what the Cali Fund, designed to support global conservation, is likely to raise and how resources would be distributed.","citation-key":"GlobalBiodiversityCommitments","container-title":"Grantham Research Institute on climate change and the environment","language":"en-GB","publisher":"London School of Economics and Political Science (LSE)","title":"From global biodiversity commitments to local action: revenue potential and allocation dynamics of the Cali Fund","title-short":"From global biodiversity commitments to local action","URL":"https://www.lse.ac.uk/granthaminstitute/publication/from-global-biodiversity-commitments-to-local-action-revenue-potential-and-allocation-dynamics-of-the-cali-fund/","author":[{"family":"Makowska-Curran","given":"Agata"}],"accessed":{"date-parts":[["2026",6,3]]},"issued":{"date-parts":[["2026",6]]}},"suppress-author":true}],"schema":"https://github.com/citation-style-language/schema/raw/master/csl-citation.json"} </w:instrText>
      </w:r>
      <w:r w:rsidRPr="005F0A67">
        <w:rPr>
          <w:rFonts w:asciiTheme="majorBidi" w:eastAsia="Times New Roman" w:hAnsiTheme="majorBidi" w:cstheme="majorBidi"/>
          <w:sz w:val="18"/>
          <w:szCs w:val="18"/>
          <w:lang w:val="en-CA" w:eastAsia="en-GB"/>
        </w:rPr>
        <w:fldChar w:fldCharType="separate"/>
      </w:r>
      <w:r w:rsidRPr="005F0A67">
        <w:rPr>
          <w:rFonts w:asciiTheme="majorBidi" w:eastAsia="Times New Roman" w:hAnsiTheme="majorBidi" w:cstheme="majorBidi"/>
          <w:sz w:val="18"/>
          <w:szCs w:val="18"/>
          <w:lang w:val="en-CA" w:eastAsia="en-GB"/>
        </w:rPr>
        <w:t>(2026)</w:t>
      </w:r>
      <w:r w:rsidRPr="005F0A67">
        <w:rPr>
          <w:rFonts w:asciiTheme="majorBidi" w:eastAsia="Times New Roman" w:hAnsiTheme="majorBidi" w:cstheme="majorBidi"/>
          <w:sz w:val="18"/>
          <w:szCs w:val="18"/>
          <w:lang w:val="en-CA" w:eastAsia="en-GB"/>
        </w:rPr>
        <w:fldChar w:fldCharType="end"/>
      </w:r>
      <w:r w:rsidRPr="005F0A67">
        <w:rPr>
          <w:rFonts w:asciiTheme="majorBidi" w:eastAsia="Times New Roman" w:hAnsiTheme="majorBidi" w:cstheme="majorBidi"/>
          <w:sz w:val="18"/>
          <w:szCs w:val="18"/>
          <w:lang w:val="en-CA" w:eastAsia="en-GB"/>
        </w:rPr>
        <w:t>.</w:t>
      </w:r>
    </w:p>
    <w:p w14:paraId="06B4414A" w14:textId="77777777" w:rsidR="005F0A67" w:rsidRPr="005F0A67" w:rsidRDefault="005F0A67" w:rsidP="005F0A67">
      <w:pPr>
        <w:tabs>
          <w:tab w:val="clear" w:pos="567"/>
          <w:tab w:val="clear" w:pos="1134"/>
          <w:tab w:val="clear" w:pos="1701"/>
          <w:tab w:val="clear" w:pos="2268"/>
        </w:tabs>
        <w:spacing w:before="240" w:after="180" w:line="293"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lastRenderedPageBreak/>
        <w:t xml:space="preserve">Finally, the minimum-of-two design, detailed in the subsequent section, affects total revenue in ways that go beyond just the rate. Since this rule picks the lower payment for each firm, the total collected is much less than what either base would bring in on its own. If the minimum rule were replaced with a pure revenue levy at 0.1%, S3 would rise to about USD 1.6 billion. A pure profit levy at 1% would bring in USD 2.0 billion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{"citationID":"Uo3isWiJ","properties":{"unsorted":false,"formattedCitation":"(Makowska-Curran, 2026)","plainCitation":"(Makowska-Curran, 2026)","noteIndex":0},"citationItems":[{"id":77,"uris":["http://zotero.org/users/14977742/items/2PI55QKT"],"itemData":{"id":77,"type":"article-journal","abstract":"This paper provides the first global, firm-level analysis of what the Cali Fund, designed to support global conservation, is likely to raise and how resources would be distributed.","citation-key":"GlobalBiodiversityCommitments","container-title":"Grantham Research Institute on climate change and the environment","language":"en-GB","publisher":"London School of Economics and Political Science (LSE)","title":"From global biodiversity commitments to local action: revenue potential and allocation dynamics of the Cali Fund","title-short":"From global biodiversity commitments to local action","URL":"https://www.lse.ac.uk/granthaminstitute/publication/from-global-biodiversity-commitments-to-local-action-revenue-potential-and-allocation-dynamics-of-the-cali-fund/","author":[{"family":"Makowska-Curran","given":"Agata"}],"accessed":{"date-parts":[["2026",6,3]]},"issued":{"date-parts":[["2026",6]]}}}],"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(Makowska-Curran, 2026)</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Both options would roughly double the revenue compared to the minimum rule. If the goal is to collect more revenue without changing the rate, using a single base could achieve this. However, this would take away the protection the minimum rule gives to firms close to zero profit and would also remove the revenue stability benefit discussed in Section 6.4 (“Minimum-of-two design and revenue stability”) (only if choosing only a profit base).</w:t>
      </w:r>
    </w:p>
    <w:p w14:paraId="4C3963FD" w14:textId="77777777" w:rsidR="005F0A67" w:rsidRPr="005F0A67" w:rsidRDefault="005F0A67" w:rsidP="00B54840">
      <w:pPr>
        <w:tabs>
          <w:tab w:val="clear" w:pos="567"/>
          <w:tab w:val="clear" w:pos="1134"/>
          <w:tab w:val="clear" w:pos="1701"/>
          <w:tab w:val="clear" w:pos="2268"/>
        </w:tabs>
        <w:spacing w:before="320" w:after="160"/>
        <w:ind w:left="720"/>
        <w:jc w:val="left"/>
        <w:outlineLvl w:val="2"/>
        <w:rPr>
          <w:rFonts w:asciiTheme="majorBidi" w:eastAsia="Arial" w:hAnsiTheme="majorBidi" w:cstheme="majorBidi"/>
          <w:b/>
          <w:bCs/>
          <w:color w:val="7F7F7F"/>
          <w:sz w:val="23"/>
          <w:szCs w:val="23"/>
          <w:lang w:val="en-CA" w:eastAsia="en-GB"/>
        </w:rPr>
      </w:pPr>
      <w:bookmarkStart w:id="133" w:name="_Ref230162696"/>
      <w:bookmarkStart w:id="134" w:name="_Toc234579583"/>
      <w:r w:rsidRPr="005F0A67">
        <w:rPr>
          <w:rFonts w:asciiTheme="majorBidi" w:eastAsia="Arial" w:hAnsiTheme="majorBidi" w:cstheme="majorBidi"/>
          <w:b/>
          <w:bCs/>
          <w:color w:val="7F7F7F"/>
          <w:sz w:val="23"/>
          <w:szCs w:val="23"/>
          <w:lang w:val="en-CA" w:eastAsia="en-GB"/>
        </w:rPr>
        <w:t>Minimum-of-two design and revenue stability</w:t>
      </w:r>
      <w:bookmarkEnd w:id="133"/>
      <w:bookmarkEnd w:id="134"/>
    </w:p>
    <w:p w14:paraId="50BDABEA"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The contribution structure results in two groups of contributors, each with different potential revenue stability patterns. Of the eligible firms, 6.7% went from making positive contributions to none between the averaging period (2021-2023) and 2023 alone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{"citationID":"nRmRa68G","properties":{"unsorted":false,"formattedCitation":"(Makowska-Curran, 2026)","plainCitation":"(Makowska-Curran, 2026)","noteIndex":0},"citationItems":[{"id":77,"uris":["http://zotero.org/users/14977742/items/2PI55QKT"],"itemData":{"id":77,"type":"article-journal","abstract":"This paper provides the first global, firm-level analysis of what the Cali Fund, designed to support global conservation, is likely to raise and how resources would be distributed.","citation-key":"GlobalBiodiversityCommitments","container-title":"Grantham Research Institute on climate change and the environment","language":"en-GB","publisher":"London School of Economics and Political Science (LSE)","title":"From global biodiversity commitments to local action: revenue potential and allocation dynamics of the Cali Fund","title-short":"From global biodiversity commitments to local action","URL":"https://www.lse.ac.uk/granthaminstitute/publication/from-global-biodiversity-commitments-to-local-action-revenue-potential-and-allocation-dynamics-of-the-cali-fund/","author":[{"family":"Makowska-Curran","given":"Agata"}],"accessed":{"date-parts":[["2026",6,3]]},"issued":{"date-parts":[["2026",6]]}}}],"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(Makowska-Curran, 2026)</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These firms had profit margins just above zero during the averaging period, but reported losses in 2023. The decline in their contributions to zero resulted not from changes in DSI activity, but from the profit base being influenced by short-term earnings fluctuations rather than sustained changes in eligibility. Note however, that it is not possible to determine from a single cross-sectional comparison whether this dropout is a temporary fluctuation or a sustained decline in the contribution base. Multiple years of observation are needed to make this distinction.</w:t>
      </w:r>
    </w:p>
    <w:p w14:paraId="17790308"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Firms with revenue-based contributions above the 10% indifference margin stayed much more stable during this period. In the pharmaceuticals sector, most eligible firms are in this stable group, with a median margin of 10.2% and 51.0% paying based on revenue. In other sectors, most firms are below the indifference margin, so total contributions from those sectors change with yearly earnings. As a result, the fund’s revenue predictability may rely heavily on pharmaceutical firms, which increases the sector concentration risk discussed at the start of Section 6.4.</w:t>
      </w:r>
    </w:p>
    <w:p w14:paraId="18760746"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The literature highlights structural differences between profit-based and revenue-based contribution systems. An assessment for the UK Department for Environment, Food and Rural Affairs in the DSI context found that profit-based levies create year-to-year revenue volatility and risk profit-shifting to jurisdictions that do not implement these measures. This is especially relevant since one of the major DSI-using economies, the United States, is not a CBD Party. In contrast, revenues are more consistently and publicly disclosed than profits, making ad valorem systems easier to monitor and enforce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{"citationID":"cKEdr5ZD","properties":{"unsorted":false,"formattedCitation":"(Bassford {\\i{}et al.}, 2024)","plainCitation":"(Bassford et al., 2024)","noteIndex":0},"citationItems":[{"id":200,"uris":["http://zotero.org/users/14977742/items/LSDN2FGK"],"itemData":{"id":200,"type":"report","citation-key":"zotero-item-2227","publisher":"Defra","title":"Understanding the impact of introducing an obligatory payment on commercial users of Digital Sequence Information for genetic resources","author":[{"family":"Bassford","given":"Matt"},{"family":"Harding","given":"Ryan"},{"family":"Rose","given":"Sophie"},{"family":"Johnson","given":"Daniel"},{"family":"Shah","given":"Anushka"}],"issued":{"date-parts":[["2024",7]]}}}],"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Georgia" w:hAnsiTheme="majorBidi" w:cstheme="majorBidi"/>
          <w:lang w:val="en-CA" w:eastAsia="en-GB"/>
        </w:rPr>
        <w:t xml:space="preserve">(Bassford </w:t>
      </w:r>
      <w:r w:rsidRPr="005F0A67">
        <w:rPr>
          <w:rFonts w:asciiTheme="majorBidi" w:eastAsia="Georgia" w:hAnsiTheme="majorBidi" w:cstheme="majorBidi"/>
          <w:i/>
          <w:iCs/>
          <w:lang w:val="en-CA" w:eastAsia="en-GB"/>
        </w:rPr>
        <w:t>et al.</w:t>
      </w:r>
      <w:r w:rsidRPr="005F0A67">
        <w:rPr>
          <w:rFonts w:asciiTheme="majorBidi" w:eastAsia="Georgia" w:hAnsiTheme="majorBidi" w:cstheme="majorBidi"/>
          <w:lang w:val="en-CA" w:eastAsia="en-GB"/>
        </w:rPr>
        <w:t>, 2024)</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A similar economic assessment arises in the context of the ISA's payment regime for deep-sea mining, where trade-offs between revenue stability and risk-sharing with contributors have been extensively analysed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{"citationID":"0KpwJt1i","properties":{"unsorted":false,"formattedCitation":"(Kirchain {\\i{}et al.}, 2019)","plainCitation":"(Kirchain et al., 2019)","noteIndex":0},"citationItems":[{"id":281,"uris":["http://zotero.org/users/14977742/items/IMMMMMD9"],"itemData":{"id":281,"type":"report","citation-key":"zotero-item-2579","publisher":"MIT Materials Systems Laboratory","publisher-place":"Cambridge, MA USA","title":"Report to the International Seabed Authority on the Development of an Economic Model and System of Payments for the Exploitation of Polymetallic Nodules in the Area","URL":"https://isa.org.jm/wp-content/uploads/2022/12/paysysmodel-3jun.pdf","author":[{"family":"Kirchain","given":"Randolph"},{"family":"Roth","given":"Richard"},{"family":"Field III","given":"Frank R."},{"family":"Muñoz-Royo","given":"Carlos"},{"literal":"Thomas Peacock"}],"issued":{"date-parts":[["2019"]]}}}],"schema":"https://github.com/citation-style-language/schema/raw/master/csl-citation.json"}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Georgia" w:hAnsiTheme="majorBidi" w:cstheme="majorBidi"/>
          <w:lang w:val="en-CA" w:eastAsia="en-GB"/>
        </w:rPr>
        <w:t xml:space="preserve">(Kirchain </w:t>
      </w:r>
      <w:r w:rsidRPr="005F0A67">
        <w:rPr>
          <w:rFonts w:asciiTheme="majorBidi" w:eastAsia="Georgia" w:hAnsiTheme="majorBidi" w:cstheme="majorBidi"/>
          <w:i/>
          <w:iCs/>
          <w:lang w:val="en-CA" w:eastAsia="en-GB"/>
        </w:rPr>
        <w:t>et al.</w:t>
      </w:r>
      <w:r w:rsidRPr="005F0A67">
        <w:rPr>
          <w:rFonts w:asciiTheme="majorBidi" w:eastAsia="Georgia" w:hAnsiTheme="majorBidi" w:cstheme="majorBidi"/>
          <w:lang w:val="en-CA" w:eastAsia="en-GB"/>
        </w:rPr>
        <w:t>, 2019)</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Those studies also show that profit-based systems are more open to earnings management and reporting discretion, while simpler ad valorem systems are easier to enforce when disclosure and monitoring are limited. Hybrid ISA royalty designs try to balance these issues by requiring the higher of a value-based or profit-based payment, which protects the authority's revenue floor and shares commercial risk with contractors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{"citationID":"3Jwa0swv","properties":{"unsorted":false,"formattedCitation":"(Li {\\i{}et al.}, 2021)","plainCitation":"(Li et al., 2021)","noteIndex":0},"citationItems":[{"id":280,"uris":["http://zotero.org/users/14977742/items/8C9ZMI88"],"itemData":{"id":280,"type":"article-journal","abstract":"The international seabed area (i.e., the “Area”) is rich in mineral resources. According to the United Nations Convention on the Law of the Sea (UNCLOS) and the relevant implemented agreements, in 2012, the International Seabed Authority (ISA) began to develop the regulations for the exploitation of mineral resources in the Area. The most important part of the regulations involves determining the distribution of benefits from the exploitation of mineral resources in the Area between the ISA and the contractors. The establishment of a financial model to evaluate the economic benefits and compare the distribution scheme was the basic method relied on in the current study of payment mechanism. According to the characteristics of the exploitation project of mineral resources in the Area, the discounted cash flow method was selected to construct the financial model. Taking China’s deep-sea mineral resources development project in the Area as the background, the main parameters of the model were determined. A comparative study of similar financial models with Massachusetts Institute of Technology (MIT) and other foreign countries was carried out, in addition to a sensitivity analysis of parameters. On the basis of the assurance that the contractor’s internal rate of return was not lower than the level of the land mining enterprise, the financial model was used to calculate the internal rate of return and the revenue of royalty under different payment mechanisms and rates. The advantages and disadvantages of different payment mechanisms in the exploitation of mineral resources in the area were analyzed. Lastly, the possible impacts of deep-sea polymetallic nodule mining on Terrestrial metal markets were highlighted.","citation-key":"liAnalysisEffectPayment2021","container-title":"Minerals","DOI":"10.3390/min11020221","ISSN":"2075-163X","issue":"2","language":"en","license":"http://creativecommons.org/licenses/by/3.0/","page":"221","publisher":"Multidisciplinary Digital Publishing Institute","source":"www.mdpi.com","title":"Analysis of the Effect of Payment Mechanism on Exploitation of Polymetallic Nodules in the Area","volume":"11","author":[{"family":"Li","given":"Yan"},{"family":"Liu","given":"Chang"},{"family":"Su","given":"Sihan"},{"family":"Li","given":"Mengdan"},{"family":"Liu","given":"Shaojun"}],"issued":{"date-parts":[["2021",2]]}}}],"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Georgia" w:hAnsiTheme="majorBidi" w:cstheme="majorBidi"/>
          <w:lang w:val="en-CA" w:eastAsia="en-GB"/>
        </w:rPr>
        <w:t xml:space="preserve">(Li </w:t>
      </w:r>
      <w:r w:rsidRPr="005F0A67">
        <w:rPr>
          <w:rFonts w:asciiTheme="majorBidi" w:eastAsia="Georgia" w:hAnsiTheme="majorBidi" w:cstheme="majorBidi"/>
          <w:i/>
          <w:iCs/>
          <w:lang w:val="en-CA" w:eastAsia="en-GB"/>
        </w:rPr>
        <w:t>et al.</w:t>
      </w:r>
      <w:r w:rsidRPr="005F0A67">
        <w:rPr>
          <w:rFonts w:asciiTheme="majorBidi" w:eastAsia="Georgia" w:hAnsiTheme="majorBidi" w:cstheme="majorBidi"/>
          <w:lang w:val="en-CA" w:eastAsia="en-GB"/>
        </w:rPr>
        <w:t>, 2021)</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The Cali Fund's minimum rule takes the opposite approach: it uses the lower of the two amounts, protecting the contributor instead of the theoretical stability of the fund’s revenues. This fits the non-binding nature of the mechanism, but it leads to the instability described above and consistently lowers total revenue compared to either single-base system, as shown in Section 6.4 (“Minimum-of-two design and revenue stability”). </w:t>
      </w:r>
    </w:p>
    <w:p w14:paraId="0301D935"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lastRenderedPageBreak/>
        <w:t>These stability properties are, however, conditional on participation having occurred in the first place. In a mandatory tax system, switching between regimes causes real volatility in collections. In a voluntary system, the main source of instability is whether eligible firms choose to contribute at all, which is a more fundamental issue than the stability dynamics discussed here. The closer assessment of how the choice of contribution base affects firm-level burden across the eligible entity population, together with other consequences of firms choosing between the two bases, is taken up in Part III.</w:t>
      </w:r>
    </w:p>
    <w:p w14:paraId="78F67262" w14:textId="77777777" w:rsidR="005F0A67" w:rsidRPr="005F0A67" w:rsidRDefault="005F0A67" w:rsidP="005F0A67">
      <w:pPr>
        <w:numPr>
          <w:ilvl w:val="1"/>
          <w:numId w:val="12"/>
        </w:numPr>
        <w:tabs>
          <w:tab w:val="clear" w:pos="567"/>
          <w:tab w:val="clear" w:pos="1134"/>
          <w:tab w:val="clear" w:pos="1701"/>
          <w:tab w:val="clear" w:pos="2268"/>
        </w:tabs>
        <w:spacing w:before="320" w:after="160"/>
        <w:ind w:left="576" w:hanging="576"/>
        <w:jc w:val="left"/>
        <w:outlineLvl w:val="1"/>
        <w:rPr>
          <w:rFonts w:asciiTheme="majorBidi" w:eastAsia="Arial" w:hAnsiTheme="majorBidi" w:cstheme="majorBidi"/>
          <w:b/>
          <w:bCs/>
          <w:color w:val="1A1A1A"/>
          <w:sz w:val="23"/>
          <w:szCs w:val="23"/>
          <w:lang w:val="en-CA" w:eastAsia="en-GB"/>
        </w:rPr>
      </w:pPr>
      <w:bookmarkStart w:id="135" w:name="_Toc234579584"/>
      <w:bookmarkStart w:id="136" w:name="_Ref229996524"/>
      <w:r w:rsidRPr="005F0A67">
        <w:rPr>
          <w:rFonts w:asciiTheme="majorBidi" w:eastAsia="Arial" w:hAnsiTheme="majorBidi" w:cstheme="majorBidi"/>
          <w:b/>
          <w:bCs/>
          <w:color w:val="1A1A1A"/>
          <w:sz w:val="23"/>
          <w:szCs w:val="23"/>
          <w:lang w:val="en-CA" w:eastAsia="en-GB"/>
        </w:rPr>
        <w:t>Discussion and implications</w:t>
      </w:r>
      <w:bookmarkEnd w:id="135"/>
      <w:r w:rsidRPr="005F0A67">
        <w:rPr>
          <w:rFonts w:asciiTheme="majorBidi" w:eastAsia="Arial" w:hAnsiTheme="majorBidi" w:cstheme="majorBidi"/>
          <w:b/>
          <w:bCs/>
          <w:color w:val="1A1A1A"/>
          <w:sz w:val="23"/>
          <w:szCs w:val="23"/>
          <w:lang w:val="en-CA" w:eastAsia="en-GB"/>
        </w:rPr>
        <w:t xml:space="preserve"> </w:t>
      </w:r>
      <w:bookmarkEnd w:id="136"/>
    </w:p>
    <w:p w14:paraId="218F1949"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The findings in Section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_Ref229996514 \r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6.4</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point to four key implications for the design decisions open ahead of COP17. They are presented here not as recommendations but as analytical observations about the consequences of the choices before Parties. It should be noted that all implications are conditional on a prior question: whether eligible firms choose to participate. Participation decisions depend on firms' assessment of the net costs and benefits of contributing. The rate level, threshold design, and contribution base all influence the cost-benefit calculation, but their impact on revenue only matters if firms actually participate. Part III looks at whether contribution requirements put participating firms at a disadvantage compared to those that do not join.</w:t>
      </w:r>
    </w:p>
    <w:p w14:paraId="09C9BD7F" w14:textId="77777777" w:rsidR="005F0A67" w:rsidRPr="005F0A67" w:rsidRDefault="005F0A67" w:rsidP="005F0A67">
      <w:pPr>
        <w:numPr>
          <w:ilvl w:val="0"/>
          <w:numId w:val="41"/>
        </w:numPr>
        <w:tabs>
          <w:tab w:val="clear" w:pos="567"/>
          <w:tab w:val="clear" w:pos="1134"/>
          <w:tab w:val="clear" w:pos="1701"/>
          <w:tab w:val="clear" w:pos="2268"/>
        </w:tabs>
        <w:spacing w:after="180" w:line="292" w:lineRule="auto"/>
        <w:jc w:val="left"/>
        <w:rPr>
          <w:rFonts w:asciiTheme="majorBidi" w:eastAsia="Times New Roman" w:hAnsiTheme="majorBidi" w:cstheme="majorBidi"/>
          <w:b/>
          <w:bCs/>
          <w:lang w:val="en-CA" w:eastAsia="en-GB"/>
        </w:rPr>
      </w:pPr>
      <w:r w:rsidRPr="005F0A67">
        <w:rPr>
          <w:rFonts w:asciiTheme="majorBidi" w:eastAsia="Times New Roman" w:hAnsiTheme="majorBidi" w:cstheme="majorBidi"/>
          <w:b/>
          <w:bCs/>
          <w:lang w:val="en-CA" w:eastAsia="en-GB"/>
        </w:rPr>
        <w:t xml:space="preserve">Participation is the binding constraint, not the rate level: </w:t>
      </w:r>
      <w:r w:rsidRPr="005F0A67">
        <w:rPr>
          <w:rFonts w:asciiTheme="majorBidi" w:eastAsia="Times New Roman" w:hAnsiTheme="majorBidi" w:cstheme="majorBidi"/>
          <w:lang w:val="en-CA" w:eastAsia="en-GB"/>
        </w:rPr>
        <w:t xml:space="preserve">the uncertainty-adjusted revenue range spans from approximately USD 5 million to USD 929 million per year under the same indicative rates, a factor of 186. The range presented here should be read as the plausible bounds implied by that evidence, not as a forecast of what the Fund will raise. This range reflects unresolved design features rather than rate calibration, principally the operational value of the certificate of contribution, the clarity of contribution scope, the resolution of obligation stacking and the information asymmetry around DSI use, all of which may affect the decision to participate. Because the width of the range is determined by participation uncertainty rather than the rate level, revising rates without addressing those structural features would not materially change the fund's position within it. The rate level determines how much eligible participating firms contribute; the structural conditions for participation determine how many firms contribute at all. </w:t>
      </w:r>
    </w:p>
    <w:p w14:paraId="1B77588D" w14:textId="77777777" w:rsidR="005F0A67" w:rsidRPr="005F0A67" w:rsidRDefault="005F0A67" w:rsidP="005F0A67">
      <w:pPr>
        <w:numPr>
          <w:ilvl w:val="0"/>
          <w:numId w:val="41"/>
        </w:numPr>
        <w:tabs>
          <w:tab w:val="clear" w:pos="567"/>
          <w:tab w:val="clear" w:pos="1134"/>
          <w:tab w:val="clear" w:pos="1701"/>
          <w:tab w:val="clear" w:pos="2268"/>
        </w:tabs>
        <w:spacing w:after="180" w:line="292" w:lineRule="auto"/>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lang w:val="en-CA" w:eastAsia="en-GB"/>
        </w:rPr>
        <w:t xml:space="preserve">Threshold design is a governance and inclusivity decision, not primarily a fiscal one: </w:t>
      </w:r>
      <w:r w:rsidRPr="005F0A67">
        <w:rPr>
          <w:rFonts w:asciiTheme="majorBidi" w:eastAsia="Times New Roman" w:hAnsiTheme="majorBidi" w:cstheme="majorBidi"/>
          <w:lang w:val="en-CA" w:eastAsia="en-GB"/>
        </w:rPr>
        <w:t>if all thresholds are doubled, 43.5% of eligible firms are removed, but contributions drop by just 7.4%. Cutting thresholds in half adds 14,317 eligible firms, yet contributions only rise by 5.5%. This means that changing thresholds has a limited impact on revenue, since most contributions come from the largest firms no matter where the cutoff is set. Because of this, threshold changes may be a way to decide how many private sector firms are involved, not just as a way to maximise revenue.</w:t>
      </w:r>
    </w:p>
    <w:p w14:paraId="4C8CE187" w14:textId="77777777" w:rsidR="005F0A67" w:rsidRPr="005F0A67" w:rsidRDefault="005F0A67" w:rsidP="005F0A67">
      <w:pPr>
        <w:numPr>
          <w:ilvl w:val="0"/>
          <w:numId w:val="41"/>
        </w:numPr>
        <w:tabs>
          <w:tab w:val="clear" w:pos="567"/>
          <w:tab w:val="clear" w:pos="1134"/>
          <w:tab w:val="clear" w:pos="1701"/>
          <w:tab w:val="clear" w:pos="2268"/>
        </w:tabs>
        <w:spacing w:after="180" w:line="292" w:lineRule="auto"/>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lang w:val="en-CA" w:eastAsia="en-GB"/>
        </w:rPr>
        <w:t xml:space="preserve">Rate and base design affect who pays and how stable the contributions are, not just how much they pay: </w:t>
      </w:r>
      <w:r w:rsidRPr="005F0A67">
        <w:rPr>
          <w:rFonts w:asciiTheme="majorBidi" w:eastAsia="Times New Roman" w:hAnsiTheme="majorBidi" w:cstheme="majorBidi"/>
          <w:lang w:val="en-CA" w:eastAsia="en-GB"/>
        </w:rPr>
        <w:t xml:space="preserve">if both profit and revenue contribution rates are increased proportionally, revenue rises linearly because the indifference margin stays the same and each firm's contribution grows by the same amount. If only one rate changes, the 10% indifference margin shifts, moving firms between contribution categories. This reduces the revenue impact and changes the stability of the contributor group. Using only a revenue base would remove the profit-based instability discussed, but it would also take away protection for firms that are making losses. Under full compliance, a pure profit levy would bring in the most revenue at current rates, although this may not hold under realistic participation given the greater volatility of profit-base contributors. The minimum rule is a middle </w:t>
      </w:r>
      <w:r w:rsidRPr="005F0A67">
        <w:rPr>
          <w:rFonts w:asciiTheme="majorBidi" w:eastAsia="Times New Roman" w:hAnsiTheme="majorBidi" w:cstheme="majorBidi"/>
          <w:lang w:val="en-CA" w:eastAsia="en-GB"/>
        </w:rPr>
        <w:lastRenderedPageBreak/>
        <w:t>ground, offering protection to contributors but making revenue less predictable. However, as quantified in Section 6.4 (“Minimum-of-two design and revenue stability”), the revenue cost of this design is substantial (conditional on eligible firm participation): replacing the minimum rule with either a pure revenue levy or a pure profit levy at the current indicative rates would approximately double fund revenue under full compliance, from USD 0.9 billion to USD 1.6 billion and USD 2.0 billion respectively.</w:t>
      </w:r>
    </w:p>
    <w:p w14:paraId="53B4DCBF" w14:textId="77777777" w:rsidR="005F0A67" w:rsidRPr="005F0A67" w:rsidRDefault="005F0A67" w:rsidP="005F0A67">
      <w:pPr>
        <w:numPr>
          <w:ilvl w:val="0"/>
          <w:numId w:val="41"/>
        </w:numPr>
        <w:tabs>
          <w:tab w:val="clear" w:pos="567"/>
          <w:tab w:val="clear" w:pos="1134"/>
          <w:tab w:val="clear" w:pos="1701"/>
          <w:tab w:val="clear" w:pos="2268"/>
        </w:tabs>
        <w:spacing w:after="180" w:line="292" w:lineRule="auto"/>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lang w:val="en-CA" w:eastAsia="en-GB"/>
        </w:rPr>
        <w:t>Pharmaceutical concentration is structural and compounds across all design dimensions:</w:t>
      </w:r>
      <w:r w:rsidRPr="005F0A67">
        <w:rPr>
          <w:rFonts w:asciiTheme="majorBidi" w:eastAsia="Times New Roman" w:hAnsiTheme="majorBidi" w:cstheme="majorBidi"/>
          <w:sz w:val="24"/>
          <w:szCs w:val="24"/>
          <w:lang w:val="en-CA" w:eastAsia="en-GB"/>
        </w:rPr>
        <w:t xml:space="preserve"> </w:t>
      </w:r>
      <w:r w:rsidRPr="005F0A67">
        <w:rPr>
          <w:rFonts w:asciiTheme="majorBidi" w:eastAsia="Times New Roman" w:hAnsiTheme="majorBidi" w:cstheme="majorBidi"/>
          <w:lang w:val="en-CA" w:eastAsia="en-GB"/>
        </w:rPr>
        <w:t>if all eligible firms comply, pharmaceuticals make up 26.3% of contributions. In the central S3 scenario, this increases to 49.6%. The pharmaceutical sector also offers the most stable revenue, with a typical eligible firm paying on revenue, rather than profit. This concentration comes from how the mechanism is designed; none of the threshold, rate, or scope changes considered in this analysis significantly reduce this effect. Pharmaceutical sector participation represents the most significant determinant of fund revenue under realistic participation scenarios. Both the concentration and revenue stability identified in Section 6.4 (“Minimum-of-two design and revenue stability”) reflect the same underlying structural feature, that, under the scenarios analysed: the majority of pharmaceutical firms exceed the 10% indifference threshold which would likely make them choose revenue base instead of a volatile profit base. As a result, pharmaceutical participation is projected to have a substantial influence on both the level and predictability of fund revenue. However, these findings remain conditional on the assumptions underpinning the scenario analysis, particularly the assumed participation rates, DSI intensity calibration and firms' contribution behaviour. As DSI use expands in emerging fields such as artificial intelligence and synthetic biology, and as national implementation measures and participation evolve following COP17's decisions, the sectoral composition of Cali Fund contributions may shift over time.</w:t>
      </w:r>
    </w:p>
    <w:p w14:paraId="5C856A05" w14:textId="509AAD01" w:rsidR="005F0A67" w:rsidRPr="005F0A67" w:rsidRDefault="005F0A67" w:rsidP="005F0A67">
      <w:pPr>
        <w:numPr>
          <w:ilvl w:val="0"/>
          <w:numId w:val="41"/>
        </w:numPr>
        <w:tabs>
          <w:tab w:val="clear" w:pos="567"/>
          <w:tab w:val="clear" w:pos="1134"/>
          <w:tab w:val="clear" w:pos="1701"/>
          <w:tab w:val="clear" w:pos="2268"/>
        </w:tabs>
        <w:spacing w:after="180" w:line="292" w:lineRule="auto"/>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lang w:val="en-CA" w:eastAsia="en-GB"/>
        </w:rPr>
        <w:t>Geographic concentration and early operationalisation:</w:t>
      </w:r>
      <w:r w:rsidRPr="005F0A67">
        <w:rPr>
          <w:rFonts w:asciiTheme="majorBidi" w:eastAsia="Times New Roman" w:hAnsiTheme="majorBidi" w:cstheme="majorBidi"/>
          <w:lang w:val="en-CA" w:eastAsia="en-GB"/>
        </w:rPr>
        <w:t xml:space="preserve"> The top ten jurisdictions account for an estimated 74% of central scenario revenue, with China alone representing 26.6%, though these country-level estimates are indicative and subject to the data limitations discussed in Section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_Ref231664660 \r \h </w:instrText>
      </w:r>
      <w:r>
        <w:rPr>
          <w:rFonts w:asciiTheme="majorBidi" w:eastAsia="Times New Roman" w:hAnsiTheme="majorBidi" w:cstheme="majorBidi"/>
          <w:lang w:val="en-CA" w:eastAsia="en-GB"/>
        </w:rPr>
        <w:instrText xml:space="preserve">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6.2</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(jurisdictional mapping reflects entity registration rather than actual commercial operations or ultimate ownership). As a result, the fund's early revenue depends largely on the engagement of a few Parties. With that caveat in mind, the general pattern suggests the fund's early revenue may depend disproportionately on the engagement of a small number of Parties, and design features that support participation in these jurisdictions, such as clear contribution scope and certificate value, could plausibly matter more for early revenue than for the aggregate estimate as a whole.</w:t>
      </w:r>
    </w:p>
    <w:p w14:paraId="05412B78"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sz w:val="24"/>
          <w:szCs w:val="24"/>
          <w:lang w:val="en-CA" w:eastAsia="en-GB"/>
        </w:rPr>
      </w:pPr>
    </w:p>
    <w:p w14:paraId="302D526B" w14:textId="77777777" w:rsidR="005F0A67" w:rsidRPr="005F0A67" w:rsidRDefault="005F0A67" w:rsidP="005F0A67">
      <w:pPr>
        <w:tabs>
          <w:tab w:val="clear" w:pos="567"/>
          <w:tab w:val="clear" w:pos="1134"/>
          <w:tab w:val="clear" w:pos="1701"/>
          <w:tab w:val="clear" w:pos="2268"/>
        </w:tabs>
        <w:jc w:val="left"/>
        <w:rPr>
          <w:rFonts w:asciiTheme="majorBidi" w:eastAsia="Arial" w:hAnsiTheme="majorBidi" w:cstheme="majorBidi"/>
          <w:b/>
          <w:bCs/>
          <w:color w:val="1A1A1A"/>
          <w:sz w:val="28"/>
          <w:szCs w:val="28"/>
          <w:lang w:val="en-CA" w:eastAsia="en-GB"/>
        </w:rPr>
      </w:pPr>
      <w:r w:rsidRPr="005F0A67">
        <w:rPr>
          <w:rFonts w:asciiTheme="majorBidi" w:eastAsia="Times New Roman" w:hAnsiTheme="majorBidi" w:cstheme="majorBidi"/>
          <w:sz w:val="24"/>
          <w:szCs w:val="24"/>
          <w:lang w:val="en-CA" w:eastAsia="en-GB"/>
        </w:rPr>
        <w:br w:type="page"/>
      </w:r>
    </w:p>
    <w:p w14:paraId="55BF92B6" w14:textId="77777777" w:rsidR="005F0A67" w:rsidRPr="005F0A67" w:rsidRDefault="005F0A67" w:rsidP="005F0A67">
      <w:pPr>
        <w:numPr>
          <w:ilvl w:val="0"/>
          <w:numId w:val="12"/>
        </w:numPr>
        <w:pBdr>
          <w:bottom w:val="single" w:sz="2" w:space="6" w:color="D9D9D9"/>
        </w:pBdr>
        <w:tabs>
          <w:tab w:val="clear" w:pos="567"/>
          <w:tab w:val="clear" w:pos="1134"/>
          <w:tab w:val="clear" w:pos="1701"/>
          <w:tab w:val="clear" w:pos="2268"/>
        </w:tabs>
        <w:spacing w:before="400" w:after="60"/>
        <w:ind w:left="432" w:hanging="432"/>
        <w:jc w:val="left"/>
        <w:outlineLvl w:val="0"/>
        <w:rPr>
          <w:rFonts w:asciiTheme="majorBidi" w:eastAsia="Arial" w:hAnsiTheme="majorBidi" w:cstheme="majorBidi"/>
          <w:b/>
          <w:bCs/>
          <w:color w:val="1A1A1A"/>
          <w:sz w:val="28"/>
          <w:szCs w:val="28"/>
          <w:lang w:val="en-CA" w:eastAsia="en-GB"/>
        </w:rPr>
      </w:pPr>
      <w:bookmarkStart w:id="137" w:name="_Toc234579585"/>
      <w:bookmarkStart w:id="138" w:name="_Toc234579788"/>
      <w:r w:rsidRPr="005F0A67">
        <w:rPr>
          <w:rFonts w:asciiTheme="majorBidi" w:eastAsia="Arial" w:hAnsiTheme="majorBidi" w:cstheme="majorBidi"/>
          <w:b/>
          <w:bCs/>
          <w:color w:val="1A1A1A"/>
          <w:sz w:val="28"/>
          <w:szCs w:val="28"/>
          <w:lang w:val="en-CA" w:eastAsia="en-GB"/>
        </w:rPr>
        <w:lastRenderedPageBreak/>
        <w:t>Part III: Competitiveness implications of Cali Fund contributions</w:t>
      </w:r>
      <w:bookmarkEnd w:id="137"/>
      <w:bookmarkEnd w:id="138"/>
    </w:p>
    <w:tbl>
      <w:tblPr>
        <w:tblW w:w="101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167"/>
      </w:tblGrid>
      <w:tr w:rsidR="005F0A67" w:rsidRPr="005F0A67" w14:paraId="2B6B14CC" w14:textId="77777777" w:rsidTr="00FB671B">
        <w:trPr>
          <w:trHeight w:val="3495"/>
        </w:trPr>
        <w:tc>
          <w:tcPr>
            <w:tcW w:w="10167" w:type="dxa"/>
            <w:shd w:val="clear" w:color="auto" w:fill="E0F3E3"/>
            <w:tcMar>
              <w:top w:w="200" w:type="dxa"/>
              <w:left w:w="280" w:type="dxa"/>
              <w:bottom w:w="0" w:type="dxa"/>
              <w:right w:w="280" w:type="dxa"/>
            </w:tcMar>
            <w:vAlign w:val="center"/>
          </w:tcPr>
          <w:p w14:paraId="316C20AB"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This part responds to the economic competitiveness dimension of Decision 16/2 paragraph 6(e), which requested a study on the implications of contribution rates for economic competitiveness of firms operating in Indicative Enclosure I sectors. It examines whether the Cali Fund contribution requirements might put participating firms at a competitive disadvantage relative to non-participating competitors and assesses how the distributional implications of the current contribution structure vary across sectors and firm types.</w:t>
            </w:r>
          </w:p>
          <w:p w14:paraId="1C2DFDB7"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Part III is subject to greater data limitations than Parts I and II because the Cali Fund is not yet operational and contribution behaviour cannot be directly observed. The analysis is therefore prospective and produces a structured, expert-judged qualitative assessment with quantitative anchors where data permit.</w:t>
            </w:r>
          </w:p>
        </w:tc>
      </w:tr>
      <w:tr w:rsidR="005F0A67" w:rsidRPr="005F0A67" w14:paraId="79BBD0F5" w14:textId="77777777" w:rsidTr="00FB671B">
        <w:trPr>
          <w:trHeight w:val="300"/>
        </w:trPr>
        <w:tc>
          <w:tcPr>
            <w:tcW w:w="10167" w:type="dxa"/>
            <w:shd w:val="clear" w:color="auto" w:fill="2C5F2E"/>
          </w:tcPr>
          <w:p w14:paraId="46099C3E"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ahoma" w:hAnsiTheme="majorBidi" w:cstheme="majorBidi"/>
                <w:lang w:val="en-CA" w:eastAsia="en-GB"/>
              </w:rPr>
            </w:pPr>
          </w:p>
        </w:tc>
      </w:tr>
    </w:tbl>
    <w:p w14:paraId="354C506C" w14:textId="77777777" w:rsidR="005F0A67" w:rsidRPr="005F0A67" w:rsidRDefault="005F0A67" w:rsidP="005F0A67">
      <w:pPr>
        <w:numPr>
          <w:ilvl w:val="1"/>
          <w:numId w:val="12"/>
        </w:numPr>
        <w:tabs>
          <w:tab w:val="clear" w:pos="567"/>
          <w:tab w:val="clear" w:pos="1134"/>
          <w:tab w:val="clear" w:pos="1701"/>
          <w:tab w:val="clear" w:pos="2268"/>
        </w:tabs>
        <w:spacing w:before="320" w:after="160"/>
        <w:ind w:left="576" w:hanging="576"/>
        <w:jc w:val="left"/>
        <w:outlineLvl w:val="1"/>
        <w:rPr>
          <w:rFonts w:asciiTheme="majorBidi" w:eastAsia="Arial" w:hAnsiTheme="majorBidi" w:cstheme="majorBidi"/>
          <w:b/>
          <w:bCs/>
          <w:color w:val="1A1A1A"/>
          <w:sz w:val="23"/>
          <w:szCs w:val="23"/>
          <w:lang w:val="en-CA" w:eastAsia="en-GB"/>
        </w:rPr>
      </w:pPr>
      <w:bookmarkStart w:id="139" w:name="_Ref230447239"/>
      <w:bookmarkStart w:id="140" w:name="_Toc234579586"/>
      <w:r w:rsidRPr="005F0A67">
        <w:rPr>
          <w:rFonts w:asciiTheme="majorBidi" w:eastAsia="Arial" w:hAnsiTheme="majorBidi" w:cstheme="majorBidi"/>
          <w:b/>
          <w:bCs/>
          <w:color w:val="1A1A1A"/>
          <w:sz w:val="23"/>
          <w:szCs w:val="23"/>
          <w:lang w:val="en-CA" w:eastAsia="en-GB"/>
        </w:rPr>
        <w:t>Key concepts and definitions</w:t>
      </w:r>
      <w:bookmarkEnd w:id="139"/>
      <w:bookmarkEnd w:id="140"/>
    </w:p>
    <w:p w14:paraId="4BB61E2B" w14:textId="77777777" w:rsidR="005F0A67" w:rsidRPr="005F0A67" w:rsidRDefault="005F0A67" w:rsidP="00B54840">
      <w:pPr>
        <w:tabs>
          <w:tab w:val="clear" w:pos="567"/>
          <w:tab w:val="clear" w:pos="1134"/>
          <w:tab w:val="clear" w:pos="1701"/>
          <w:tab w:val="clear" w:pos="2268"/>
        </w:tabs>
        <w:spacing w:before="320" w:after="160"/>
        <w:ind w:left="720"/>
        <w:jc w:val="left"/>
        <w:outlineLvl w:val="2"/>
        <w:rPr>
          <w:rFonts w:asciiTheme="majorBidi" w:eastAsia="Arial" w:hAnsiTheme="majorBidi" w:cstheme="majorBidi"/>
          <w:b/>
          <w:bCs/>
          <w:color w:val="7F7F7F"/>
          <w:sz w:val="23"/>
          <w:szCs w:val="23"/>
          <w:lang w:val="en-CA" w:eastAsia="en-GB"/>
        </w:rPr>
      </w:pPr>
      <w:bookmarkStart w:id="141" w:name="_Toc234579587"/>
      <w:r w:rsidRPr="005F0A67">
        <w:rPr>
          <w:rFonts w:asciiTheme="majorBidi" w:eastAsia="Arial" w:hAnsiTheme="majorBidi" w:cstheme="majorBidi"/>
          <w:b/>
          <w:bCs/>
          <w:color w:val="7F7F7F"/>
          <w:sz w:val="23"/>
          <w:szCs w:val="23"/>
          <w:lang w:val="en-CA" w:eastAsia="en-GB"/>
        </w:rPr>
        <w:t>Competitiveness vs. competition</w:t>
      </w:r>
      <w:bookmarkEnd w:id="141"/>
    </w:p>
    <w:p w14:paraId="24B036C8"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Competitiveness is a multidimensional concept, without a single, universally accepted definition in the academic or policy literature. Davidson, Kauffmann and de </w:t>
      </w:r>
      <w:proofErr w:type="spellStart"/>
      <w:r w:rsidRPr="005F0A67">
        <w:rPr>
          <w:rFonts w:asciiTheme="majorBidi" w:eastAsia="Times New Roman" w:hAnsiTheme="majorBidi" w:cstheme="majorBidi"/>
          <w:lang w:val="en-CA" w:eastAsia="en-GB"/>
        </w:rPr>
        <w:t>Liedekerke</w:t>
      </w:r>
      <w:proofErr w:type="spellEnd"/>
      <w:r w:rsidRPr="005F0A67">
        <w:rPr>
          <w:rFonts w:asciiTheme="majorBidi" w:eastAsia="Times New Roman" w:hAnsiTheme="majorBidi" w:cstheme="majorBidi"/>
          <w:lang w:val="en-CA" w:eastAsia="en-GB"/>
        </w:rPr>
        <w:t xml:space="preserve">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{"citationID":"rwlDQCrJ","properties":{"unsorted":false,"formattedCitation":"(2021)","plainCitation":"(2021)","noteIndex":0},"citationItems":[{"id":208,"uris":["http://zotero.org/users/14977742/items/DPAY4QDS"],"itemData":{"id":208,"type":"article-journal","abstract":"The impacts of laws and regulations on competitiveness have strong implications for OECD economies, as they can lead to unforeseen negative externalities and considerable regulatory costs for businesses and citizens. Nevertheless, the use of regulatory policy to assess the impacts of regulations on competitiveness has seldom been examined. This paper fills this gap by reviewing OECD members’ regulatory impact assessment (RIA) frameworks and the extent to which the competitiveness effects are currently appraised. It categorises regulatory impacts on competitiveness into three strongly interrelated components – cost competitiveness, innovation, and international competitiveness – and builds upon the OECD’s expertise to examine how regulations affect each component of competitiveness in turn. In doing so, the paper proposes a more complete structure that regulators can use to define and assess the competitiveness impacts of regulation as part of their RIA processes framework.","citation-key":"davidsonHowLawsRegulations2021a","container-title":"OECD Regulatory Policy Working Papers","DOI":"10.1787/7c11f5d5-en","language":"en","publisher":"OECD Publishing","source":"www.oecd.org","title":"How do laws and regulations affect competitiveness: The role for regulatory impact assessment","title-short":"How do laws and regulations affect competitiveness","URL":"https://www.oecd.org/en/publications/how-do-laws-and-regulations-affect-competitiveness_7c11f5d5-en.html","author":[{"family":"Davidson","given":"Paul"},{"family":"Kauffmann","given":"Céline"},{"family":"Liedekerke","given":"Marie-Gabrielle","dropping-particle":"de"}],"accessed":{"date-parts":[["2026",5,21]]},"issued":{"date-parts":[["2021",2,2]]}},"suppress-author":true}],"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(2021)</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identify four common factors in existing definitions: an entity (typically a firm, but sometimes a sector or nation), a growth element (such as profitability or productivity), a geographical dimension, and a timeframe. In this assessment, competitiveness is defined at the firm level as the ability of individual eligible firms to sustain profitability, market position, and investment capacity in response to the contribution payment, evaluated across global product markets over both short-term and medium- to long-term horizons.</w:t>
      </w:r>
    </w:p>
    <w:p w14:paraId="1732645C"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In this context, competitiveness is distinct from competition. Competitiveness refers to a firm's relative position or strength compared to its competitors, while competition refers to the market state as a whole and the interactions among competing firms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{"citationID":"q1J9jjhy","properties":{"unsorted":false,"formattedCitation":"(Khemani, OECD, and Centre for Co-operation with European Economies in Transition, 1993; Davidson, Kauffmann and Liedekerke, 2021)","plainCitation":"(Khemani, OECD, and Centre for Co-operation with European Economies in Transition, 1993; Davidson, Kauffmann and Liedekerke, 2021)","noteIndex":0},"citationItems":[{"id":207,"uris":["http://zotero.org/users/14977742/items/YBH2GFLH"],"itemData":{"id":207,"type":"book","abstract":"Die OECD hat 1990 eine Abteilung geschaffen, die die Zusammenarbeit zwischen der OECD und den osteuropäischen Ländern stärken soll. Ihre Hauptaufgabe ist, ein Programm zur Beratung, technischer Hilfe und Ausbildung im Rahmen der Wirtschaftsreformen durchzuführen. Bei der Durchführung der Zusammenarbeit hat sich herausgestellt, daß es oft begriffliche und sprachliche Barrieren gibt, die das gegenseitige Verständnis behindern. Die OECD legt aus diesem Grund ein kommentierendes Wörterbuch zu wichtigen Begriffen aus der ökonomischen Fachsprache vor, das die Zusammenarbeit sprachlich uknd fachlich erleichtern soll","citation-key":"khemaniGlossaryIndustrialOrganisation1993","ISBN":"978-92-64-13793-6","language":"eng","number-of-pages":"90","publisher":"Centre for Co-operation with the Europ. Economies in Transition","publisher-place":"Paris","source":"K10plus ISBN","title":"Glossary of industrial organisation economics and competition law","editor":[{"family":"Khemani","given":"R. Shyam"},{"literal":"OECD"},{"literal":"Centre for Co-operation with European Economies in Transition"}],"issued":{"date-parts":[["1993"]]}}},{"id":208,"uris":["http://zotero.org/users/14977742/items/DPAY4QDS"],"itemData":{"id":208,"type":"article-journal","abstract":"The impacts of laws and regulations on competitiveness have strong implications for OECD economies, as they can lead to unforeseen negative externalities and considerable regulatory costs for businesses and citizens. Nevertheless, the use of regulatory policy to assess the impacts of regulations on competitiveness has seldom been examined. This paper fills this gap by reviewing OECD members’ regulatory impact assessment (RIA) frameworks and the extent to which the competitiveness effects are currently appraised. It categorises regulatory impacts on competitiveness into three strongly interrelated components – cost competitiveness, innovation, and international competitiveness – and builds upon the OECD’s expertise to examine how regulations affect each component of competitiveness in turn. In doing so, the paper proposes a more complete structure that regulators can use to define and assess the competitiveness impacts of regulation as part of their RIA processes framework.","citation-key":"davidsonHowLawsRegulations2021a","container-title":"OECD Regulatory Policy Working Papers","DOI":"10.1787/7c11f5d5-en","language":"en","publisher":"OECD Publishing","source":"www.oecd.org","title":"How do laws and regulations affect competitiveness: The role for regulatory impact assessment","title-short":"How do laws and regulations affect competitiveness","URL":"https://www.oecd.org/en/publications/how-do-laws-and-regulations-affect-competitiveness_7c11f5d5-en.html","author":[{"family":"Davidson","given":"Paul"},{"family":"Kauffmann","given":"Céline"},{"family":"Liedekerke","given":"Marie-Gabrielle","dropping-particle":"de"}],"accessed":{"date-parts":[["2026",5,21]]},"issued":{"date-parts":[["2021",2,2]]}}}],"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(Khemani, OECD, and Centre for Co-operation with European Economies in Transition, 1993; Davidson, Kauffmann and Liedekerke, 2021)</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The Cali Fund may influence both dimensions: contributions can modify individual firm cost structures and investment capacity (competitiveness effect), and under partial participation, may impose differential burdens on firms within the same market (competition effect). This analysis addresses both aspects, prioritising firm-level competitiveness and considering market structure effects as a secondary focus, for instance, when looking at the payments’ impact on firms’ international competitiveness. </w:t>
      </w:r>
    </w:p>
    <w:p w14:paraId="0340DEC3" w14:textId="77777777" w:rsidR="005F0A67" w:rsidRPr="005F0A67" w:rsidRDefault="005F0A67" w:rsidP="00B54840">
      <w:pPr>
        <w:tabs>
          <w:tab w:val="clear" w:pos="567"/>
          <w:tab w:val="clear" w:pos="1134"/>
          <w:tab w:val="clear" w:pos="1701"/>
          <w:tab w:val="clear" w:pos="2268"/>
        </w:tabs>
        <w:spacing w:before="320" w:after="160"/>
        <w:ind w:left="720"/>
        <w:jc w:val="left"/>
        <w:outlineLvl w:val="2"/>
        <w:rPr>
          <w:rFonts w:asciiTheme="majorBidi" w:eastAsia="Arial" w:hAnsiTheme="majorBidi" w:cstheme="majorBidi"/>
          <w:b/>
          <w:bCs/>
          <w:color w:val="7F7F7F"/>
          <w:sz w:val="23"/>
          <w:szCs w:val="23"/>
          <w:lang w:val="en-CA" w:eastAsia="en-GB"/>
        </w:rPr>
      </w:pPr>
      <w:bookmarkStart w:id="142" w:name="_Toc234579588"/>
      <w:r w:rsidRPr="005F0A67">
        <w:rPr>
          <w:rFonts w:asciiTheme="majorBidi" w:eastAsia="Arial" w:hAnsiTheme="majorBidi" w:cstheme="majorBidi"/>
          <w:b/>
          <w:bCs/>
          <w:color w:val="7F7F7F"/>
          <w:sz w:val="23"/>
          <w:szCs w:val="23"/>
          <w:lang w:val="en-CA" w:eastAsia="en-GB"/>
        </w:rPr>
        <w:t>DSI as a public good</w:t>
      </w:r>
      <w:bookmarkEnd w:id="142"/>
    </w:p>
    <w:p w14:paraId="6AAEA14D"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Digital sequence information that has been made publicly available in open-access databases, which constitutes the scope of the Cali Fund, exhibits the economic characteristics of a non-rivalrous and non-excludable public good once deposited: on one user’s access to a sequence record does not limit another’s access, and it costs almost nothing for an additional firm to use a public database. In contrast, commercial sequence databases and company-specific datasets do not have these features. This is a description of the good's consumption </w:t>
      </w:r>
      <w:r w:rsidRPr="005F0A67">
        <w:rPr>
          <w:rFonts w:asciiTheme="majorBidi" w:eastAsia="Times New Roman" w:hAnsiTheme="majorBidi" w:cstheme="majorBidi"/>
          <w:lang w:val="en-CA" w:eastAsia="en-GB"/>
        </w:rPr>
        <w:lastRenderedPageBreak/>
        <w:t xml:space="preserve">characteristics only and does not bear on the legal status of digital sequence information or of the genetic resources from which it derives, both of which remain governed by each Party's domestic legislation and by the Convention's provisions on sovereign rights over genetic resources. </w:t>
      </w:r>
    </w:p>
    <w:p w14:paraId="486EE53C"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The Cali Fund does not charge for DSI access. Instead, contributions are based on the revenue or profit of companies that make commercial use of DSI. This difference is important. Charging for DSI access would act like a tax on </w:t>
      </w:r>
      <w:r w:rsidRPr="005F0A67">
        <w:rPr>
          <w:rFonts w:asciiTheme="majorBidi" w:eastAsia="Times New Roman" w:hAnsiTheme="majorBidi" w:cstheme="majorBidi"/>
          <w:i/>
          <w:iCs/>
          <w:lang w:val="en-CA" w:eastAsia="en-GB"/>
        </w:rPr>
        <w:t>inputs</w:t>
      </w:r>
      <w:r w:rsidRPr="005F0A67">
        <w:rPr>
          <w:rFonts w:asciiTheme="majorBidi" w:eastAsia="Times New Roman" w:hAnsiTheme="majorBidi" w:cstheme="majorBidi"/>
          <w:lang w:val="en-CA" w:eastAsia="en-GB"/>
        </w:rPr>
        <w:t xml:space="preserve">, raising the cost of using DSI for all purposes, including non-commercial research, and could reduce efficiency and hinder scientific innovation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{"citationID":"lITwqsFP","properties":{"unsorted":false,"formattedCitation":"(ICF {\\i{}et al.}, 2020; Scholz {\\i{}et al.}, 2022b; Sett {\\i{}et al.}, 2024b)","plainCitation":"(ICF et al., 2020; Scholz et al., 2022b; Sett et al., 2024b)","noteIndex":0},"citationItems":[{"id":205,"uris":["http://zotero.org/users/14977742/items/IA8JJT2W"],"itemData":{"id":205,"type":"report","abstract":"The Convention on Biological Diversity (CBD), adopted in 1992, is an international treaty that recognises the sovereignty of states over their natural resources and includes the authority to determine access to genetic resources. One of the CBD's primary objectives is to ensure 'the fair and equitable sharing of the benefits' derived from the utilisation of genetic resources and traditional knowledge associated with genetic resources. Access to and utilisation of genetic resources is currently covered under the Nagoya Protocol (NP), adopted by the CBD parties in October 2010, and entered into force in 2014. Digital sequence information (DSI) refers to digital representations of certain aspects of genetic resources such as nucleotide or amino acid sequence data, and related information that is downloadable from databases around the world. DSI is regularly used as part of new research without the need for any new access to physical material. Divergent positions on whether DSI should be included in the NP have emerged over the past few years. These issues, including how benefits from DSI may be shared, are being discussed in the context of the CBD. To date, there is no agreement on the most appropriate way forward.","citation-key":"icfDigitalSequenceInformation2020","genre":"Report","language":"en","note":"number-of-pages: 1064070\nvolume: J30302432","publisher":"ICF Consulting Services Limited","publisher-place":"London","source":"strathprints.strath.ac.uk","title":"Digital Sequence Information : an Evidence Review: Final Report","title-short":"Digital Sequence Information","URL":"https://strathprints.strath.ac.uk/77801/","author":[{"family":"ICF","given":"ICF Consulting Services Ltd"},{"family":"Smith","given":"Elta"},{"family":"Switzer","given":"Stephanie"},{"family":"Morgera","given":"Elisa"}],"accessed":{"date-parts":[["2026",5,23]]},"issued":{"date-parts":[["2020",8,14]]}}},{"id":633,"uris":["http://zotero.org/users/14977742/items/XF6FLR6M"],"itemData":{"id":633,"type":"article-journal","abstract":"Open access to sequence data is a cornerstone of biology and biodiversity research, but has created tension under the United Nations Convention on Biological Diversity (CBD). Policy decisions could compromise research and development, unless a practical multilateral solution is implemented.","citation-key":"scholzMultilateralBenefitsharingDigital2022","container-title":"Nature Communications","DOI":"10.1038/s41467-022-28594-0","ISSN":"2041-1723","issue":"1","journalAbbreviation":"Nat Commun","language":"en","license":"2022 The Author(s)","page":"1086","publisher":"Nature Publishing Group","source":"www.nature.com","title":"Multilateral benefit-sharing from digital sequence information will support both science and biodiversity conservation","volume":"13","author":[{"family":"Scholz","given":"Amber Hartman"},{"family":"Freitag","given":"Jens"},{"family":"Lyal","given":"Christopher H. C."},{"family":"Sara","given":"Rodrigo"},{"family":"Cepeda","given":"Martha Lucia"},{"family":"Cancio","given":"Ibon"},{"family":"Sett","given":"Scarlett"},{"family":"Hufton","given":"Andrew Lee"},{"family":"Abebaw","given":"Yemisrach"},{"family":"Bansal","given":"Kailash"},{"family":"Benbouza","given":"Halima"},{"family":"Boga","given":"Hamadi Iddi"},{"family":"Brisse","given":"Sylvain"},{"family":"Bruford","given":"Michael W."},{"family":"Clissold","given":"Hayley"},{"family":"Cochrane","given":"Guy"},{"family":"Coddington","given":"Jonathan A."},{"family":"Deletoille","given":"Anne-Caroline"},{"family":"García-Cardona","given":"Felipe"},{"family":"Hamer","given":"Michelle"},{"family":"Hurtado-Ortiz","given":"Raquel"},{"family":"Miano","given":"Douglas W."},{"family":"Nicholson","given":"David"},{"family":"Oliveira","given":"Guilherme"},{"family":"Bravo","given":"Carlos Ospina"},{"family":"Rohden","given":"Fabian"},{"family":"Seberg","given":"Ole"},{"family":"Segelbacher","given":"Gernot"},{"family":"Shouche","given":"Yogesh"},{"family":"Sierra","given":"Alejandra"},{"family":"Karsch-Mizrachi","given":"Ilene"},{"family":"Silva","given":"Jessica","non-dropping-particle":"da"},{"family":"Hautea","given":"Desiree M."},{"family":"Silva","given":"Manuela","non-dropping-particle":"da"},{"family":"Suzuki","given":"Mutsuaki"},{"family":"Tesfaye","given":"Kassahun"},{"family":"Tiambo","given":"Christian Keambou"},{"family":"Tolley","given":"Krystal A."},{"family":"Varshney","given":"Rajeev"},{"family":"Zambrano","given":"María Mercedes"},{"family":"Overmann","given":"Jörg"}],"issued":{"date-parts":[["2022",2,23]]}}},{"id":531,"uris":["http://zotero.org/users/14977742/items/XBMC63NU"],"itemData":{"id":531,"type":"article-journal","abstract":"As multiple UN fora develop parallel rules for sharing benefits from digital sequence information, we urge better coordination. International policymakers should focus on harmonizing new benefit-sharing rules to ensure open access to data, database interoperability, and better benefit sharing outcomes.","citation-key":"settHarmonizeRulesDigital2024c","container-title":"Nature Communications","DOI":"10.1038/s41467-024-52994-z","ISSN":"2041-1723","issue":"1","journalAbbreviation":"Nat Commun","language":"en","license":"2024 The Author(s)","page":"8745","publisher":"Nature Publishing Group","source":"www.nature.com","title":"Harmonize rules for digital sequence information benefit-sharing across UN frameworks","volume":"15","author":[{"family":"Sett","given":"Scarlett"},{"family":"Kress","given":"W. John"},{"family":"Halewood","given":"Michael"},{"family":"Nicholson","given":"David"},{"family":"Nuñez-Vega","given":"Genuar"},{"family":"Faggionato","given":"Davide"},{"family":"Rouard","given":"Mathieu"},{"family":"Jaspars","given":"Marcel"},{"family":"Silva","given":"Manuela","non-dropping-particle":"da"},{"family":"Prat","given":"Christine"},{"family":"Raposo","given":"Débora S."},{"family":"Klünker","given":"Irma"},{"family":"Freitag","given":"Jens"},{"family":"Tiambo","given":"Christian Keambou"},{"family":"Santos Ribeiro","given":"Carolina","non-dropping-particle":"dos"},{"family":"Wong","given":"Linda"},{"family":"Benbouza","given":"Halima"},{"family":"Overmann","given":"Jörg"},{"family":"Scholz","given":"Amber Hartman"}],"issued":{"date-parts":[["2024",10,9]]}}}],"schema":"https://github.com/citation-style-language/schema/raw/master/csl-citation.json"} </w:instrText>
      </w:r>
      <w:r w:rsidRPr="001A2AF6">
        <w:rPr>
          <w:rFonts w:asciiTheme="majorBidi" w:eastAsia="Times New Roman" w:hAnsiTheme="majorBidi" w:cstheme="majorBidi"/>
          <w:lang w:val="fr-FR" w:eastAsia="en-GB"/>
        </w:rPr>
        <w:instrText xml:space="preserve">new benefit-sharing rules to ensure open access to data, database interoperability, and better benefit sharing outcomes.","citation-key":"settHarmonizeRulesDigital2024c","container-title":"Nature Communications","DOI":"10.1038/s41467-024-52994-z","ISSN":"2041-1723","issue":"1","journalAbbreviation":"Nat Commun","language":"en","license":"2024 The Author(s)","page":"8745","publisher":"Nature Publishing Group","source":"www.nature.com","title":"Harmonize rules for digital sequence information benefit-sharing across UN frameworks","volume":"15","author":[{"family":"Sett","given":"Scarlett"},{"family":"Kress","given":"W. John"},{"family":"Halewood","given":"Michael"},{"family":"Nicholson","given":"David"},{"family":"Nuñez-Vega","given":"Genuar"},{"family":"Faggionato","given":"Davide"},{"family":"Rouard","given":"Mathieu"},{"family":"Jaspars","given":"Marcel"},{"family":"Silva","given":"Manuela","non-dropping-particle":"da"},{"family":"Prat","given":"Christine"},{"family":"Raposo","given":"Débora S."},{"family":"Klünker","given":"Irma"},{"family":"Freitag","given":"Jens"},{"family":"Tiambo","given":"Christian Keambou"},{"family":"Santos Ribeiro","given":"Carolina","non-dropping-particle":"dos"},{"family":"Wong","given":"Linda"},{"family":"Benbouza","given":"Halima"},{"family":"Overmann","given":"Jörg"},{"family":"Scholz","given":"Amber Hartman"}],"issued":{"date-parts":[["2024",10,9]]}}}],"schema":"https://github.com/citation-style-language/schema/raw/master/csl-citation.json"}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1A2AF6">
        <w:rPr>
          <w:rFonts w:asciiTheme="majorBidi" w:eastAsia="Georgia" w:hAnsiTheme="majorBidi" w:cstheme="majorBidi"/>
          <w:lang w:val="fr-FR" w:eastAsia="en-GB"/>
        </w:rPr>
        <w:t xml:space="preserve">(ICF </w:t>
      </w:r>
      <w:r w:rsidRPr="001A2AF6">
        <w:rPr>
          <w:rFonts w:asciiTheme="majorBidi" w:eastAsia="Georgia" w:hAnsiTheme="majorBidi" w:cstheme="majorBidi"/>
          <w:i/>
          <w:iCs/>
          <w:lang w:val="fr-FR" w:eastAsia="en-GB"/>
        </w:rPr>
        <w:t>et al.</w:t>
      </w:r>
      <w:r w:rsidRPr="001A2AF6">
        <w:rPr>
          <w:rFonts w:asciiTheme="majorBidi" w:eastAsia="Georgia" w:hAnsiTheme="majorBidi" w:cstheme="majorBidi"/>
          <w:lang w:val="fr-FR" w:eastAsia="en-GB"/>
        </w:rPr>
        <w:t xml:space="preserve">, 2020; Scholz </w:t>
      </w:r>
      <w:r w:rsidRPr="001A2AF6">
        <w:rPr>
          <w:rFonts w:asciiTheme="majorBidi" w:eastAsia="Georgia" w:hAnsiTheme="majorBidi" w:cstheme="majorBidi"/>
          <w:i/>
          <w:iCs/>
          <w:lang w:val="fr-FR" w:eastAsia="en-GB"/>
        </w:rPr>
        <w:t>et al.</w:t>
      </w:r>
      <w:r w:rsidRPr="001A2AF6">
        <w:rPr>
          <w:rFonts w:asciiTheme="majorBidi" w:eastAsia="Georgia" w:hAnsiTheme="majorBidi" w:cstheme="majorBidi"/>
          <w:lang w:val="fr-FR" w:eastAsia="en-GB"/>
        </w:rPr>
        <w:t xml:space="preserve">, 2022b; Sett </w:t>
      </w:r>
      <w:r w:rsidRPr="001A2AF6">
        <w:rPr>
          <w:rFonts w:asciiTheme="majorBidi" w:eastAsia="Georgia" w:hAnsiTheme="majorBidi" w:cstheme="majorBidi"/>
          <w:i/>
          <w:iCs/>
          <w:lang w:val="fr-FR" w:eastAsia="en-GB"/>
        </w:rPr>
        <w:t>et al.</w:t>
      </w:r>
      <w:r w:rsidRPr="001A2AF6">
        <w:rPr>
          <w:rFonts w:asciiTheme="majorBidi" w:eastAsia="Georgia" w:hAnsiTheme="majorBidi" w:cstheme="majorBidi"/>
          <w:lang w:val="fr-FR" w:eastAsia="en-GB"/>
        </w:rPr>
        <w:t>, 2024b)</w:t>
      </w:r>
      <w:r w:rsidRPr="005F0A67">
        <w:rPr>
          <w:rFonts w:asciiTheme="majorBidi" w:eastAsia="Times New Roman" w:hAnsiTheme="majorBidi" w:cstheme="majorBidi"/>
          <w:lang w:val="en-CA" w:eastAsia="en-GB"/>
        </w:rPr>
        <w:fldChar w:fldCharType="end"/>
      </w:r>
      <w:r w:rsidRPr="001A2AF6">
        <w:rPr>
          <w:rFonts w:asciiTheme="majorBidi" w:eastAsia="Times New Roman" w:hAnsiTheme="majorBidi" w:cstheme="majorBidi"/>
          <w:lang w:val="fr-FR" w:eastAsia="en-GB"/>
        </w:rPr>
        <w:t xml:space="preserve">. </w:t>
      </w:r>
      <w:r w:rsidRPr="005F0A67">
        <w:rPr>
          <w:rFonts w:asciiTheme="majorBidi" w:eastAsia="Times New Roman" w:hAnsiTheme="majorBidi" w:cstheme="majorBidi"/>
          <w:lang w:val="en-CA" w:eastAsia="en-GB"/>
        </w:rPr>
        <w:t xml:space="preserve">A contribution based on commercial </w:t>
      </w:r>
      <w:r w:rsidRPr="005F0A67">
        <w:rPr>
          <w:rFonts w:asciiTheme="majorBidi" w:eastAsia="Times New Roman" w:hAnsiTheme="majorBidi" w:cstheme="majorBidi"/>
          <w:i/>
          <w:iCs/>
          <w:lang w:val="en-CA" w:eastAsia="en-GB"/>
        </w:rPr>
        <w:t>output</w:t>
      </w:r>
      <w:r w:rsidRPr="005F0A67">
        <w:rPr>
          <w:rFonts w:asciiTheme="majorBidi" w:eastAsia="Times New Roman" w:hAnsiTheme="majorBidi" w:cstheme="majorBidi"/>
          <w:lang w:val="en-CA" w:eastAsia="en-GB"/>
        </w:rPr>
        <w:t xml:space="preserve"> does not change the cost of accessing DSI, but it does impose a financial cost on firms that benefit commercially from DSI use. This direct cost burden can affect pricing, margins, and investment decisions, and is the principal economic channel examined in Part III. A secondary effect is that the reduction in expected returns on DSI-based commercial activity may, at the margin, influence firms' decisions to initiate DSI-based research projects. This </w:t>
      </w:r>
      <w:r w:rsidRPr="005F0A67">
        <w:rPr>
          <w:rFonts w:asciiTheme="majorBidi" w:eastAsia="Times New Roman" w:hAnsiTheme="majorBidi" w:cstheme="majorBidi"/>
          <w:i/>
          <w:iCs/>
          <w:lang w:val="en-CA" w:eastAsia="en-GB"/>
        </w:rPr>
        <w:t xml:space="preserve">innovation effect </w:t>
      </w:r>
      <w:r w:rsidRPr="005F0A67">
        <w:rPr>
          <w:rFonts w:asciiTheme="majorBidi" w:eastAsia="Times New Roman" w:hAnsiTheme="majorBidi" w:cstheme="majorBidi"/>
          <w:lang w:val="en-CA" w:eastAsia="en-GB"/>
        </w:rPr>
        <w:t>is weaker and more indirect than a direct charge on DSI access. Both channels are analysed in the pillar assessment. Preserving open, non-restrictive access to DSI, and avoiding indirect disincentives to its legitimate use in research and the development of sustainable, biodiversity-relevant solutions, is accordingly treated as a design constraint on the mechanism as a whole, not only a feature of how access itself is priced.</w:t>
      </w:r>
    </w:p>
    <w:p w14:paraId="615D0C9B" w14:textId="77777777" w:rsidR="005F0A67" w:rsidRPr="005F0A67" w:rsidRDefault="005F0A67" w:rsidP="00B54840">
      <w:pPr>
        <w:tabs>
          <w:tab w:val="clear" w:pos="567"/>
          <w:tab w:val="clear" w:pos="1134"/>
          <w:tab w:val="clear" w:pos="1701"/>
          <w:tab w:val="clear" w:pos="2268"/>
        </w:tabs>
        <w:spacing w:before="320" w:after="160"/>
        <w:ind w:left="720"/>
        <w:jc w:val="left"/>
        <w:outlineLvl w:val="2"/>
        <w:rPr>
          <w:rFonts w:asciiTheme="majorBidi" w:eastAsia="Arial" w:hAnsiTheme="majorBidi" w:cstheme="majorBidi"/>
          <w:b/>
          <w:bCs/>
          <w:color w:val="7F7F7F"/>
          <w:sz w:val="23"/>
          <w:szCs w:val="23"/>
          <w:lang w:val="en-CA" w:eastAsia="en-GB"/>
        </w:rPr>
      </w:pPr>
      <w:bookmarkStart w:id="143" w:name="_Ref230444399"/>
      <w:bookmarkStart w:id="144" w:name="_Toc234579589"/>
      <w:r w:rsidRPr="005F0A67">
        <w:rPr>
          <w:rFonts w:asciiTheme="majorBidi" w:eastAsia="Arial" w:hAnsiTheme="majorBidi" w:cstheme="majorBidi"/>
          <w:b/>
          <w:bCs/>
          <w:color w:val="7F7F7F"/>
          <w:sz w:val="23"/>
          <w:szCs w:val="23"/>
          <w:lang w:val="en-CA" w:eastAsia="en-GB"/>
        </w:rPr>
        <w:t>Key economic mechanisms</w:t>
      </w:r>
      <w:bookmarkEnd w:id="143"/>
      <w:bookmarkEnd w:id="144"/>
    </w:p>
    <w:p w14:paraId="49B98008"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The competitiveness analysis in this part identifies several economic mechanisms used to assess potential competitive effects resulting from Cali Fund contributions. Brief definitions are provided here, and discussed in more detail in subsequent sections. </w:t>
      </w:r>
    </w:p>
    <w:p w14:paraId="6C71980F"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Several of the mechanisms examined below rely on how a firm’s contribution payment responds when its revenue or profit changes. This responsiveness is the </w:t>
      </w:r>
      <w:r w:rsidRPr="005F0A67">
        <w:rPr>
          <w:rFonts w:asciiTheme="majorBidi" w:eastAsia="Times New Roman" w:hAnsiTheme="majorBidi" w:cstheme="majorBidi"/>
          <w:i/>
          <w:iCs/>
          <w:lang w:val="en-CA" w:eastAsia="en-GB"/>
        </w:rPr>
        <w:t>marginal effect</w:t>
      </w:r>
      <w:r w:rsidRPr="005F0A67">
        <w:rPr>
          <w:rFonts w:asciiTheme="majorBidi" w:eastAsia="Times New Roman" w:hAnsiTheme="majorBidi" w:cstheme="majorBidi"/>
          <w:lang w:val="en-CA" w:eastAsia="en-GB"/>
        </w:rPr>
        <w:t xml:space="preserve"> of the payment: the way it adjusts when the underlying variable (here, one of the contribution bases, revenue or profit) increases or decreases. This idea is key to understanding whether the contribution functions like a levy on output, a levy on profit, or some other cost. This in turn helps evaluate the impact contributions may have on firms’ choices about pricing, R&amp;D spend, and market entry. </w:t>
      </w:r>
    </w:p>
    <w:p w14:paraId="5CE35987" w14:textId="77777777" w:rsidR="005F0A67" w:rsidRPr="005F0A67" w:rsidRDefault="005F0A67" w:rsidP="00B54840">
      <w:pPr>
        <w:tabs>
          <w:tab w:val="clear" w:pos="567"/>
          <w:tab w:val="clear" w:pos="1134"/>
          <w:tab w:val="clear" w:pos="1701"/>
          <w:tab w:val="clear" w:pos="2268"/>
        </w:tabs>
        <w:spacing w:after="120"/>
        <w:jc w:val="left"/>
        <w:outlineLvl w:val="3"/>
        <w:rPr>
          <w:rFonts w:asciiTheme="majorBidi" w:eastAsia="Georgia" w:hAnsiTheme="majorBidi" w:cstheme="majorBidi"/>
          <w:b/>
          <w:bCs/>
          <w:color w:val="0F4761"/>
          <w:lang w:eastAsia="en-GB"/>
        </w:rPr>
      </w:pPr>
      <w:r w:rsidRPr="005F0A67">
        <w:rPr>
          <w:rFonts w:asciiTheme="majorBidi" w:eastAsia="Georgia" w:hAnsiTheme="majorBidi" w:cstheme="majorBidi"/>
          <w:b/>
          <w:bCs/>
          <w:color w:val="0F4761"/>
          <w:lang w:eastAsia="en-GB"/>
        </w:rPr>
        <w:t xml:space="preserve">Pass-through and consumer demand </w:t>
      </w:r>
    </w:p>
    <w:p w14:paraId="18EE8768"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Pass-through describes the extent to which a firm transfers cost increases to consumers by increasing prices. The extent of pass-through depends on demand elasticity, which measures how responsive consumer demand is to any such price changes. When demand is inelastic and consumers continue purchasing despite higher prices, pass-through is more feasible. Conversely, when demand is elastic and consumers significantly reduce purchases in response to price increases, pass-through is constrained and firms are more likely to absorb costs. Market structure is also relevant; concentrated markets generally permit greater pass-through than highly competitive markets. </w:t>
      </w:r>
    </w:p>
    <w:p w14:paraId="11CD61D2" w14:textId="77777777" w:rsidR="005F0A67" w:rsidRPr="005F0A67" w:rsidRDefault="005F0A67" w:rsidP="00B54840">
      <w:pPr>
        <w:tabs>
          <w:tab w:val="clear" w:pos="567"/>
          <w:tab w:val="clear" w:pos="1134"/>
          <w:tab w:val="clear" w:pos="1701"/>
          <w:tab w:val="clear" w:pos="2268"/>
        </w:tabs>
        <w:spacing w:after="120"/>
        <w:jc w:val="left"/>
        <w:outlineLvl w:val="3"/>
        <w:rPr>
          <w:rFonts w:asciiTheme="majorBidi" w:eastAsia="Georgia" w:hAnsiTheme="majorBidi" w:cstheme="majorBidi"/>
          <w:b/>
          <w:bCs/>
          <w:color w:val="0F4761"/>
          <w:lang w:eastAsia="en-GB"/>
        </w:rPr>
      </w:pPr>
      <w:r w:rsidRPr="005F0A67">
        <w:rPr>
          <w:rFonts w:asciiTheme="majorBidi" w:eastAsia="Georgia" w:hAnsiTheme="majorBidi" w:cstheme="majorBidi"/>
          <w:b/>
          <w:bCs/>
          <w:color w:val="0F4761"/>
          <w:lang w:eastAsia="en-GB"/>
        </w:rPr>
        <w:t xml:space="preserve">Burden (cost) incidence </w:t>
      </w:r>
    </w:p>
    <w:p w14:paraId="0F2E823E"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Incidence refers to the distribution of the economic burden of a payment among customers, shareholders, suppliers, and employees; this acknowledges that the entity formally responsible for the payment may not ultimately bear the cost. Pass-through constitutes one aspect of incidence; the remaining burden can be absorbed by shareholders through lower margins or, over time, by labour and other stakeholders through reduced investment. </w:t>
      </w:r>
    </w:p>
    <w:p w14:paraId="06474CE8"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lastRenderedPageBreak/>
        <w:t>Reputational benefits from participation, discussed in Section 4.2 as a driver of firms' willingness to contribute, could in principle also partially offset the cost-based competitive disadvantage relative to non-Party competitors discussed above, where markets, investors, or consumers specifically reward Cali Fund participation. Whether this occurs in practice, and to what extent, cannot currently be assessed given the mechanism's lack of operating history.</w:t>
      </w:r>
    </w:p>
    <w:p w14:paraId="785E2596" w14:textId="77777777" w:rsidR="005F0A67" w:rsidRPr="005F0A67" w:rsidRDefault="005F0A67" w:rsidP="00B54840">
      <w:pPr>
        <w:tabs>
          <w:tab w:val="clear" w:pos="567"/>
          <w:tab w:val="clear" w:pos="1134"/>
          <w:tab w:val="clear" w:pos="1701"/>
          <w:tab w:val="clear" w:pos="2268"/>
        </w:tabs>
        <w:spacing w:after="120"/>
        <w:jc w:val="left"/>
        <w:outlineLvl w:val="3"/>
        <w:rPr>
          <w:rFonts w:asciiTheme="majorBidi" w:eastAsia="Georgia" w:hAnsiTheme="majorBidi" w:cstheme="majorBidi"/>
          <w:b/>
          <w:bCs/>
          <w:color w:val="0F4761"/>
          <w:lang w:eastAsia="en-GB"/>
        </w:rPr>
      </w:pPr>
      <w:r w:rsidRPr="005F0A67">
        <w:rPr>
          <w:rFonts w:asciiTheme="majorBidi" w:eastAsia="Georgia" w:hAnsiTheme="majorBidi" w:cstheme="majorBidi"/>
          <w:b/>
          <w:bCs/>
          <w:color w:val="0F4761"/>
          <w:lang w:eastAsia="en-GB"/>
        </w:rPr>
        <w:t>Investment distortion</w:t>
      </w:r>
    </w:p>
    <w:p w14:paraId="4ED4EC5E" w14:textId="6D2BD836"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This concept addresses how a payment influences the expected return on investment (ROI) and, subsequently, any future decisions to initiate, continue, or expand research and development (R&amp;D) activities. A payment that diminishes post-commercialisation returns increases the implicit hurdle rate</w:t>
      </w:r>
      <w:r w:rsidRPr="005F0A67">
        <w:rPr>
          <w:rFonts w:asciiTheme="majorBidi" w:eastAsia="Times New Roman" w:hAnsiTheme="majorBidi" w:cstheme="majorBidi"/>
          <w:vertAlign w:val="superscript"/>
          <w:lang w:val="en-CA" w:eastAsia="en-GB"/>
        </w:rPr>
        <w:footnoteReference w:id="57"/>
      </w:r>
      <w:r w:rsidRPr="005F0A67">
        <w:rPr>
          <w:rFonts w:asciiTheme="majorBidi" w:eastAsia="Times New Roman" w:hAnsiTheme="majorBidi" w:cstheme="majorBidi"/>
          <w:lang w:val="en-CA" w:eastAsia="en-GB"/>
        </w:rPr>
        <w:t xml:space="preserve"> for marginal investment projects. This effect is most significant for firms with forward-looking strategies and long-term development pipelines. However, R&amp;D is only one of several budget lines a payment could affect; firms may instead adjust dividends, sales and marketing spend, or pricing before reducing R&amp;D, and the empirical evidence reviewed in Sections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_Ref231420184 \r \h </w:instrText>
      </w:r>
      <w:r>
        <w:rPr>
          <w:rFonts w:asciiTheme="majorBidi" w:eastAsia="Times New Roman" w:hAnsiTheme="majorBidi" w:cstheme="majorBidi"/>
          <w:lang w:val="en-CA" w:eastAsia="en-GB"/>
        </w:rPr>
        <w:instrText xml:space="preserve">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7.7</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_Ref231897708 \r \h </w:instrText>
      </w:r>
      <w:r>
        <w:rPr>
          <w:rFonts w:asciiTheme="majorBidi" w:eastAsia="Times New Roman" w:hAnsiTheme="majorBidi" w:cstheme="majorBidi"/>
          <w:lang w:val="en-CA" w:eastAsia="en-GB"/>
        </w:rPr>
        <w:instrText xml:space="preserve">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7.13</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indicates that large, well-capitalised firms, including pharmaceutical innovators, do not scale back R&amp;D in direct proportion to revenue changes at burden levels of this magnitude.</w:t>
      </w:r>
    </w:p>
    <w:p w14:paraId="597CBC2C" w14:textId="77777777" w:rsidR="005F0A67" w:rsidRPr="005F0A67" w:rsidRDefault="005F0A67" w:rsidP="00B54840">
      <w:pPr>
        <w:tabs>
          <w:tab w:val="clear" w:pos="567"/>
          <w:tab w:val="clear" w:pos="1134"/>
          <w:tab w:val="clear" w:pos="1701"/>
          <w:tab w:val="clear" w:pos="2268"/>
        </w:tabs>
        <w:spacing w:after="120" w:line="259" w:lineRule="auto"/>
        <w:jc w:val="left"/>
        <w:outlineLvl w:val="3"/>
        <w:rPr>
          <w:rFonts w:asciiTheme="majorBidi" w:eastAsia="Georgia" w:hAnsiTheme="majorBidi" w:cstheme="majorBidi"/>
          <w:b/>
          <w:bCs/>
          <w:color w:val="0F4761"/>
          <w:lang w:eastAsia="en-GB"/>
        </w:rPr>
      </w:pPr>
      <w:r w:rsidRPr="005F0A67">
        <w:rPr>
          <w:rFonts w:asciiTheme="majorBidi" w:eastAsia="Georgia" w:hAnsiTheme="majorBidi" w:cstheme="majorBidi"/>
          <w:b/>
          <w:bCs/>
          <w:color w:val="0F4761"/>
          <w:lang w:eastAsia="en-GB"/>
        </w:rPr>
        <w:t xml:space="preserve">Comparison to other economic mechanisms </w:t>
      </w:r>
    </w:p>
    <w:p w14:paraId="214BBEA6"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References to taxation and royalty design literature here are used only for their economic properties - how revenue- or profit-based structures affect incidence, pass-through, and enforceability - not as a claim that the Cali Fund shares a tax's legal basis or objectives. The Cali Fund is a multilateral benefit-sharing mechanism under the CBD, not a fiscal instrument; these comparisons are illustrative economic analogies, not models for its legal character.</w:t>
      </w:r>
    </w:p>
    <w:p w14:paraId="71DDB7E6" w14:textId="77777777" w:rsidR="005F0A67" w:rsidRPr="005F0A67" w:rsidRDefault="005F0A67" w:rsidP="005F0A67">
      <w:pPr>
        <w:numPr>
          <w:ilvl w:val="1"/>
          <w:numId w:val="12"/>
        </w:numPr>
        <w:tabs>
          <w:tab w:val="clear" w:pos="567"/>
          <w:tab w:val="clear" w:pos="1134"/>
          <w:tab w:val="clear" w:pos="1701"/>
          <w:tab w:val="clear" w:pos="2268"/>
        </w:tabs>
        <w:spacing w:before="320" w:after="160"/>
        <w:ind w:left="576" w:hanging="576"/>
        <w:jc w:val="left"/>
        <w:outlineLvl w:val="1"/>
        <w:rPr>
          <w:rFonts w:asciiTheme="majorBidi" w:eastAsia="Arial" w:hAnsiTheme="majorBidi" w:cstheme="majorBidi"/>
          <w:b/>
          <w:bCs/>
          <w:color w:val="1A1A1A"/>
          <w:sz w:val="23"/>
          <w:szCs w:val="23"/>
          <w:lang w:val="en-CA" w:eastAsia="en-GB"/>
        </w:rPr>
      </w:pPr>
      <w:bookmarkStart w:id="145" w:name="_Ref231664696"/>
      <w:bookmarkStart w:id="146" w:name="_Toc234579590"/>
      <w:r w:rsidRPr="005F0A67">
        <w:rPr>
          <w:rFonts w:asciiTheme="majorBidi" w:eastAsia="Arial" w:hAnsiTheme="majorBidi" w:cstheme="majorBidi"/>
          <w:b/>
          <w:bCs/>
          <w:color w:val="1A1A1A"/>
          <w:sz w:val="23"/>
          <w:szCs w:val="23"/>
          <w:lang w:val="en-CA" w:eastAsia="en-GB"/>
        </w:rPr>
        <w:t>Scope and limitations</w:t>
      </w:r>
      <w:bookmarkEnd w:id="145"/>
      <w:bookmarkEnd w:id="146"/>
    </w:p>
    <w:p w14:paraId="61E4EB56"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The Cali Fund is a benefit-sharing mechanism to mobilise private sector contributions for biodiversity and DSI providers. The mechanism is better understood as implementing the fair and equitable benefit-sharing objective of the CBD established in Section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_Ref230440030 \r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2</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which channels resources from commercial users of publicly available DSI to provider countries and communities. </w:t>
      </w:r>
    </w:p>
    <w:p w14:paraId="26253AF4"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This framing leads to an important scope clarification. Describing contributions as benefit-sharing transfers rather than additional costs reflects the mechanism's intended purpose, but it does not change how competitive effects operate in practice. For an eligible firm, a contribution reduces available resources in the same way as any other cost obligation, regardless of its characterisation. The benefit-sharing framing remains relevant in two respects: it shapes how firms may present participation to their stakeholders, and it supports the interpretation of findings, since not all cost effects observed in this assessment necessarily represent unintended consequences of the mechanism's design. The competitiveness analysis is carried out on this basis. </w:t>
      </w:r>
    </w:p>
    <w:p w14:paraId="7D536E04"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This analysis focuses on eligible firms within each Indicative Enclosure I sector, as identified in Part II. Eligible firms within each sector are heterogenous across multiple dimensions, including their use of DSI, financial profiles, market exposure, and value chain position. Furthermore, firms operating in the same sector do not always compete in the same product markets. All these differences influence the competitive effects of contribution payments. The analysis accounts for this heterogeneity as far as the available data and evidence </w:t>
      </w:r>
      <w:r w:rsidRPr="005F0A67">
        <w:rPr>
          <w:rFonts w:asciiTheme="majorBidi" w:eastAsia="Times New Roman" w:hAnsiTheme="majorBidi" w:cstheme="majorBidi"/>
          <w:lang w:val="en-CA" w:eastAsia="en-GB"/>
        </w:rPr>
        <w:lastRenderedPageBreak/>
        <w:t xml:space="preserve">permit, with any material differences in conditions across the firms within the same sector highlighted explicitly. The results of the assessment are presented in Sections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_Ref231420184 \r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7.7</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to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_Ref231897708 \r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7.13</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w:t>
      </w:r>
    </w:p>
    <w:p w14:paraId="04B08552"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This assessment is based on the mechanism’s current non-binding design. If the results depend on this assumption, such as when a move to stricter implementation e.g. via national legislation could change competitive effects, this is mentioned where relevant.</w:t>
      </w:r>
      <w:r w:rsidRPr="005F0A67">
        <w:rPr>
          <w:rFonts w:asciiTheme="majorBidi" w:eastAsia="Times New Roman" w:hAnsiTheme="majorBidi" w:cstheme="majorBidi"/>
          <w:sz w:val="24"/>
          <w:szCs w:val="24"/>
          <w:lang w:val="en-CA" w:eastAsia="en-GB"/>
        </w:rPr>
        <w:t xml:space="preserve"> </w:t>
      </w:r>
      <w:r w:rsidRPr="005F0A67">
        <w:rPr>
          <w:rFonts w:asciiTheme="majorBidi" w:eastAsia="Times New Roman" w:hAnsiTheme="majorBidi" w:cstheme="majorBidi"/>
          <w:lang w:val="en-CA" w:eastAsia="en-GB"/>
        </w:rPr>
        <w:t xml:space="preserve">The analysis does not assess competitiveness impacts on non-eligible firms, defined as those below the financial thresholds, outside the indicative Enclosure I sector list, or operating outside the CBD Parties jurisdictions. The competitive effects on these firms are considered indirectly under Pillar 4 (SME competitiveness). </w:t>
      </w:r>
    </w:p>
    <w:p w14:paraId="02F743A1"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Administrative and compliance costs assessed in this Part reflect conditions during the mechanism's initial implementation phase. Consistent with experience from other newly operational international regimes, such costs would generally be expected to decline over time as national implementation frameworks mature, reporting and certification procedures become standardised, and further guidance from the Conference of the Parties becomes available. The materiality ratings in this Part should accordingly be read as reflecting early-implementation conditions rather than a stable long-term characteristic of the mechanism.</w:t>
      </w:r>
    </w:p>
    <w:p w14:paraId="62EA2ABD"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This assessment is prospective, as the Cali Fund became operational in February 2025, and contribution behaviour has not yet been observed</w:t>
      </w:r>
      <w:r w:rsidRPr="005F0A67">
        <w:rPr>
          <w:rFonts w:asciiTheme="majorBidi" w:eastAsia="Times New Roman" w:hAnsiTheme="majorBidi" w:cstheme="majorBidi"/>
          <w:vertAlign w:val="superscript"/>
          <w:lang w:val="en-CA" w:eastAsia="en-GB"/>
        </w:rPr>
        <w:footnoteReference w:id="58"/>
      </w:r>
      <w:r w:rsidRPr="005F0A67">
        <w:rPr>
          <w:rFonts w:asciiTheme="majorBidi" w:eastAsia="Times New Roman" w:hAnsiTheme="majorBidi" w:cstheme="majorBidi"/>
          <w:lang w:val="en-CA" w:eastAsia="en-GB"/>
        </w:rPr>
        <w:t xml:space="preserve">. The analysis identifies the potential channels through which competitive effects may arise and evaluates their plausibility based on sector characteristics and analogous instrument evidence. It also qualifies their magnitude where data are available, rather than quantifying impacts as a post-implementation evaluation would. While broader welfare impacts, including consumer price pass-through and forgone innovation, are acknowledged in the relevant pillar, they do not constitute the primary focus of this assessment. </w:t>
      </w:r>
    </w:p>
    <w:p w14:paraId="4C7677CB"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lang w:val="en-CA" w:eastAsia="en-GB"/>
        </w:rPr>
        <w:t>In terms of the geographic scope, competitive effects are assessed at the global sector level by considering eligible firms across CBD Party jurisdictions. This approach reflects the global scope of the mechanism and acknowledges the practical limitations of conducting cross-country analysis at this scale. National competitive dynamics, such as domestic market concentration and price regulation all influence how global sector-level effects may manifest across individual jurisdictions. These national factors are highlighted where analytically significant. However, a country-by-country assessment falls outside the scope of this study. As a result, the findings should be interpreted as identifying structural patterns and risk channels likely to affect the eligible population as a whole, rather than as predictions for specific jurisdictions. Compliance cost and administrative burden assessments in this Part reflect gross costs under the current mechanism and do not net off any costs a firm might otherwise incur under bilateral ABS arrangements for the same genetic resources, which the multilateral mechanism was partly designed to avoid (Decision 15/9).</w:t>
      </w:r>
    </w:p>
    <w:p w14:paraId="77DE7D23" w14:textId="77777777" w:rsidR="005F0A67" w:rsidRPr="005F0A67" w:rsidRDefault="005F0A67" w:rsidP="005F0A67">
      <w:pPr>
        <w:numPr>
          <w:ilvl w:val="1"/>
          <w:numId w:val="12"/>
        </w:numPr>
        <w:tabs>
          <w:tab w:val="clear" w:pos="567"/>
          <w:tab w:val="clear" w:pos="1134"/>
          <w:tab w:val="clear" w:pos="1701"/>
          <w:tab w:val="clear" w:pos="2268"/>
        </w:tabs>
        <w:spacing w:before="320" w:after="160"/>
        <w:ind w:left="576" w:hanging="576"/>
        <w:jc w:val="left"/>
        <w:outlineLvl w:val="1"/>
        <w:rPr>
          <w:rFonts w:asciiTheme="majorBidi" w:eastAsia="Arial" w:hAnsiTheme="majorBidi" w:cstheme="majorBidi"/>
          <w:b/>
          <w:bCs/>
          <w:color w:val="1A1A1A"/>
          <w:sz w:val="23"/>
          <w:szCs w:val="23"/>
          <w:lang w:val="en-CA" w:eastAsia="en-GB"/>
        </w:rPr>
      </w:pPr>
      <w:bookmarkStart w:id="147" w:name="_Toc234579591"/>
      <w:r w:rsidRPr="005F0A67">
        <w:rPr>
          <w:rFonts w:asciiTheme="majorBidi" w:eastAsia="Arial" w:hAnsiTheme="majorBidi" w:cstheme="majorBidi"/>
          <w:b/>
          <w:bCs/>
          <w:color w:val="1A1A1A"/>
          <w:sz w:val="23"/>
          <w:szCs w:val="23"/>
          <w:lang w:val="en-CA" w:eastAsia="en-GB"/>
        </w:rPr>
        <w:t>Data and methodology</w:t>
      </w:r>
      <w:bookmarkEnd w:id="147"/>
    </w:p>
    <w:p w14:paraId="2D73921D" w14:textId="77777777" w:rsidR="005F0A67" w:rsidRPr="005F0A67" w:rsidRDefault="005F0A67" w:rsidP="00B009ED">
      <w:pPr>
        <w:tabs>
          <w:tab w:val="clear" w:pos="567"/>
          <w:tab w:val="clear" w:pos="1134"/>
          <w:tab w:val="clear" w:pos="1701"/>
          <w:tab w:val="clear" w:pos="2268"/>
        </w:tabs>
        <w:spacing w:before="320" w:after="160"/>
        <w:ind w:left="720"/>
        <w:jc w:val="left"/>
        <w:outlineLvl w:val="2"/>
        <w:rPr>
          <w:rFonts w:asciiTheme="majorBidi" w:eastAsia="Arial" w:hAnsiTheme="majorBidi" w:cstheme="majorBidi"/>
          <w:b/>
          <w:bCs/>
          <w:color w:val="7F7F7F"/>
          <w:sz w:val="23"/>
          <w:szCs w:val="23"/>
          <w:lang w:val="en-CA" w:eastAsia="en-GB"/>
        </w:rPr>
      </w:pPr>
      <w:bookmarkStart w:id="148" w:name="_Ref230370714"/>
      <w:bookmarkStart w:id="149" w:name="_Toc234579592"/>
      <w:r w:rsidRPr="005F0A67">
        <w:rPr>
          <w:rFonts w:asciiTheme="majorBidi" w:eastAsia="Arial" w:hAnsiTheme="majorBidi" w:cstheme="majorBidi"/>
          <w:b/>
          <w:bCs/>
          <w:color w:val="7F7F7F"/>
          <w:sz w:val="23"/>
          <w:szCs w:val="23"/>
          <w:lang w:val="en-CA" w:eastAsia="en-GB"/>
        </w:rPr>
        <w:t>Methodological approach</w:t>
      </w:r>
      <w:bookmarkEnd w:id="148"/>
      <w:bookmarkEnd w:id="149"/>
    </w:p>
    <w:p w14:paraId="45B939AD"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Arial" w:hAnsiTheme="majorBidi" w:cstheme="majorBidi"/>
          <w:lang w:val="en-CA" w:eastAsia="en-GB"/>
        </w:rPr>
      </w:pPr>
      <w:r w:rsidRPr="005F0A67">
        <w:rPr>
          <w:rFonts w:asciiTheme="majorBidi" w:eastAsia="Arial" w:hAnsiTheme="majorBidi" w:cstheme="majorBidi"/>
          <w:lang w:val="en-CA" w:eastAsia="en-GB"/>
        </w:rPr>
        <w:t xml:space="preserve">No internationally agreed framework for competitiveness assessment exists at the UN level. In the absence of such guidance, this assessment follows the detailed guidance from the 2021 OECD report reviewing regulatory </w:t>
      </w:r>
      <w:r w:rsidRPr="005F0A67">
        <w:rPr>
          <w:rFonts w:asciiTheme="majorBidi" w:eastAsia="Arial" w:hAnsiTheme="majorBidi" w:cstheme="majorBidi"/>
          <w:lang w:val="en-CA" w:eastAsia="en-GB"/>
        </w:rPr>
        <w:lastRenderedPageBreak/>
        <w:t xml:space="preserve">impact assessments </w:t>
      </w:r>
      <w:r w:rsidRPr="005F0A67">
        <w:rPr>
          <w:rFonts w:asciiTheme="majorBidi" w:eastAsia="Arial" w:hAnsiTheme="majorBidi" w:cstheme="majorBidi"/>
          <w:lang w:val="en-CA" w:eastAsia="en-GB"/>
        </w:rPr>
        <w:fldChar w:fldCharType="begin"/>
      </w:r>
      <w:r w:rsidRPr="005F0A67">
        <w:rPr>
          <w:rFonts w:asciiTheme="majorBidi" w:eastAsia="Arial" w:hAnsiTheme="majorBidi" w:cstheme="majorBidi"/>
          <w:lang w:val="en-CA" w:eastAsia="en-GB"/>
        </w:rPr>
        <w:instrText xml:space="preserve"> ADDIN ZOTERO_ITEM CSL_CITATION {"citationID":"4ctX4mkR","properties":{"unsorted":false,"formattedCitation":"(Davidson, Kauffmann and Liedekerke, 2021)","plainCitation":"(Davidson, Kauffmann and Liedekerke, 2021)","noteIndex":0},"citationItems":[{"id":208,"uris":["http://zotero.org/users/14977742/items/DPAY4QDS"],"itemData":{"id":208,"type":"article-journal","abstract":"The impacts of laws and regulations on competitiveness have strong implications for OECD economies, as they can lead to unforeseen negative externalities and considerable regulatory costs for businesses and citizens. Nevertheless, the use of regulatory policy to assess the impacts of regulations on competitiveness has seldom been examined. This paper fills this gap by reviewing OECD members’ regulatory impact assessment (RIA) frameworks and the extent to which the competitiveness effects are currently appraised. It categorises regulatory impacts on competitiveness into three strongly interrelated components – cost competitiveness, innovation, and international competitiveness – and builds upon the OECD’s expertise to examine how regulations affect each component of competitiveness in turn. In doing so, the paper proposes a more complete structure that regulators can use to define and assess the competitiveness impacts of regulation as part of their RIA processes framework.","citation-key":"davidsonHowLawsRegulations2021a","container-title":"OECD Regulatory Policy Working Papers","DOI":"10.1787/7c11f5d5-en","language":"en","publisher":"OECD Publishing","source":"www.oecd.org","title":"How do laws and regulations affect competitiveness: The role for regulatory impact assessment","title-short":"How do laws and regulations affect competitiveness","URL":"https://www.oecd.org/en/publications/how-do-laws-and-regulations-affect-competitiveness_7c11f5d5-en.html","author":[{"family":"Davidson","given":"Paul"},{"family":"Kauffmann","given":"Céline"},{"family":"Liedekerke","given":"Marie-Gabrielle","dropping-particle":"de"}],"accessed":{"date-parts":[["2026",5,21]]},"issued":{"date-parts":[["2021",2,2]]}}}],"schema":"https://github.com/citation-style-language/schema/raw/master/csl-citation.json"} </w:instrText>
      </w:r>
      <w:r w:rsidRPr="005F0A67">
        <w:rPr>
          <w:rFonts w:asciiTheme="majorBidi" w:eastAsia="Arial" w:hAnsiTheme="majorBidi" w:cstheme="majorBidi"/>
          <w:lang w:val="en-CA" w:eastAsia="en-GB"/>
        </w:rPr>
        <w:fldChar w:fldCharType="separate"/>
      </w:r>
      <w:r w:rsidRPr="005F0A67">
        <w:rPr>
          <w:rFonts w:asciiTheme="majorBidi" w:eastAsia="Arial" w:hAnsiTheme="majorBidi" w:cstheme="majorBidi"/>
          <w:lang w:val="en-CA" w:eastAsia="en-GB"/>
        </w:rPr>
        <w:t>(Davidson, Kauffmann and Liedekerke, 2021)</w:t>
      </w:r>
      <w:r w:rsidRPr="005F0A67">
        <w:rPr>
          <w:rFonts w:asciiTheme="majorBidi" w:eastAsia="Arial" w:hAnsiTheme="majorBidi" w:cstheme="majorBidi"/>
          <w:lang w:val="en-CA" w:eastAsia="en-GB"/>
        </w:rPr>
        <w:fldChar w:fldCharType="end"/>
      </w:r>
      <w:r w:rsidRPr="005F0A67">
        <w:rPr>
          <w:rFonts w:asciiTheme="majorBidi" w:eastAsia="Arial" w:hAnsiTheme="majorBidi" w:cstheme="majorBidi"/>
          <w:lang w:val="en-CA" w:eastAsia="en-GB"/>
        </w:rPr>
        <w:t xml:space="preserve">. The framework also aligns with the impact pillars structure found in the European Commission’s Better Regulation Toolbox series (Tool #21 competitiveness check) which is </w:t>
      </w:r>
      <w:r w:rsidRPr="005F0A67">
        <w:rPr>
          <w:rFonts w:asciiTheme="majorBidi" w:eastAsia="Times New Roman" w:hAnsiTheme="majorBidi" w:cstheme="majorBidi"/>
          <w:lang w:val="en-CA" w:eastAsia="en-GB"/>
        </w:rPr>
        <w:t xml:space="preserve">one of the most systematically developed frameworks for regulatory competitiveness assessment currently available </w:t>
      </w:r>
      <w:r w:rsidRPr="005F0A67">
        <w:rPr>
          <w:rFonts w:asciiTheme="majorBidi" w:eastAsia="Arial" w:hAnsiTheme="majorBidi" w:cstheme="majorBidi"/>
          <w:lang w:val="en-CA" w:eastAsia="en-GB"/>
        </w:rPr>
        <w:fldChar w:fldCharType="begin"/>
      </w:r>
      <w:r w:rsidRPr="005F0A67">
        <w:rPr>
          <w:rFonts w:asciiTheme="majorBidi" w:eastAsia="Arial" w:hAnsiTheme="majorBidi" w:cstheme="majorBidi"/>
          <w:lang w:val="en-CA" w:eastAsia="en-GB"/>
        </w:rPr>
        <w:instrText xml:space="preserve"> ADDIN ZOTERO_ITEM CSL_CITATION {"citationID":"3zY0odkY","properties":{"unsorted":false,"formattedCitation":"(European Commission, 2025)","plainCitation":"(European Commission, 2025)","noteIndex":0},"citationItems":[{"id":209,"uris":["http://zotero.org/users/14977742/items/3Q86BMDH"],"itemData":{"id":209,"type":"book","citation-key":"zotero-item-2705","title":"'Better regulation' toolbox. Chapter 3: Identifying impacts in evaluations, fitness checks and impact assessment.","URL":"https://commission.europa.eu/document/download/de79fb8e-4cc1-45a0-ac34-72f73a5147ca_en?filename=BR%20Toolbox%20-%20Dec%202025%20-%20Chapter%203.pdf","author":[{"literal":"European Commission"}],"issued":{"date-parts":[["2025"]]}}}],"schema":"https://github.com/citation-style-language/schema/raw/master/csl-citation.json"} </w:instrText>
      </w:r>
      <w:r w:rsidRPr="005F0A67">
        <w:rPr>
          <w:rFonts w:asciiTheme="majorBidi" w:eastAsia="Arial" w:hAnsiTheme="majorBidi" w:cstheme="majorBidi"/>
          <w:lang w:val="en-CA" w:eastAsia="en-GB"/>
        </w:rPr>
        <w:fldChar w:fldCharType="separate"/>
      </w:r>
      <w:r w:rsidRPr="005F0A67">
        <w:rPr>
          <w:rFonts w:asciiTheme="majorBidi" w:eastAsia="Arial" w:hAnsiTheme="majorBidi" w:cstheme="majorBidi"/>
          <w:lang w:val="en-CA" w:eastAsia="en-GB"/>
        </w:rPr>
        <w:t>(European Commission, 2025)</w:t>
      </w:r>
      <w:r w:rsidRPr="005F0A67">
        <w:rPr>
          <w:rFonts w:asciiTheme="majorBidi" w:eastAsia="Arial" w:hAnsiTheme="majorBidi" w:cstheme="majorBidi"/>
          <w:lang w:val="en-CA" w:eastAsia="en-GB"/>
        </w:rPr>
        <w:fldChar w:fldCharType="end"/>
      </w:r>
      <w:r w:rsidRPr="005F0A67">
        <w:rPr>
          <w:rFonts w:asciiTheme="majorBidi" w:eastAsia="Arial" w:hAnsiTheme="majorBidi" w:cstheme="majorBidi"/>
          <w:lang w:val="en-CA" w:eastAsia="en-GB"/>
        </w:rPr>
        <w:t xml:space="preserve">. </w:t>
      </w:r>
    </w:p>
    <w:p w14:paraId="6DE68533"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Arial" w:hAnsiTheme="majorBidi" w:cstheme="majorBidi"/>
          <w:lang w:val="en-CA" w:eastAsia="en-GB"/>
        </w:rPr>
      </w:pPr>
      <w:r w:rsidRPr="005F0A67">
        <w:rPr>
          <w:rFonts w:asciiTheme="majorBidi" w:eastAsia="Arial" w:hAnsiTheme="majorBidi" w:cstheme="majorBidi"/>
          <w:lang w:val="en-CA" w:eastAsia="en-GB"/>
        </w:rPr>
        <w:t>This study classifies competitiveness impacts across three dimensions (referred to as ‘pillars’ henceforth):</w:t>
      </w:r>
    </w:p>
    <w:p w14:paraId="3F90F02F" w14:textId="77777777" w:rsidR="005F0A67" w:rsidRPr="005F0A67" w:rsidRDefault="005F0A67" w:rsidP="005F0A67">
      <w:pPr>
        <w:numPr>
          <w:ilvl w:val="0"/>
          <w:numId w:val="42"/>
        </w:numPr>
        <w:tabs>
          <w:tab w:val="clear" w:pos="567"/>
          <w:tab w:val="clear" w:pos="1134"/>
          <w:tab w:val="clear" w:pos="1701"/>
          <w:tab w:val="clear" w:pos="2268"/>
        </w:tabs>
        <w:spacing w:after="180" w:line="292" w:lineRule="auto"/>
        <w:jc w:val="left"/>
        <w:rPr>
          <w:rFonts w:asciiTheme="majorBidi" w:eastAsia="Arial" w:hAnsiTheme="majorBidi" w:cstheme="majorBidi"/>
          <w:lang w:val="en-CA" w:eastAsia="en-GB"/>
        </w:rPr>
      </w:pPr>
      <w:r w:rsidRPr="005F0A67">
        <w:rPr>
          <w:rFonts w:asciiTheme="majorBidi" w:eastAsia="Arial" w:hAnsiTheme="majorBidi" w:cstheme="majorBidi"/>
          <w:lang w:val="en-CA" w:eastAsia="en-GB"/>
        </w:rPr>
        <w:t>cost and price competitiveness;</w:t>
      </w:r>
    </w:p>
    <w:p w14:paraId="365B2240" w14:textId="77777777" w:rsidR="005F0A67" w:rsidRPr="005F0A67" w:rsidRDefault="005F0A67" w:rsidP="005F0A67">
      <w:pPr>
        <w:numPr>
          <w:ilvl w:val="0"/>
          <w:numId w:val="42"/>
        </w:numPr>
        <w:tabs>
          <w:tab w:val="clear" w:pos="567"/>
          <w:tab w:val="clear" w:pos="1134"/>
          <w:tab w:val="clear" w:pos="1701"/>
          <w:tab w:val="clear" w:pos="2268"/>
        </w:tabs>
        <w:spacing w:after="180" w:line="292" w:lineRule="auto"/>
        <w:jc w:val="left"/>
        <w:rPr>
          <w:rFonts w:asciiTheme="majorBidi" w:eastAsia="Arial" w:hAnsiTheme="majorBidi" w:cstheme="majorBidi"/>
          <w:lang w:val="en-CA" w:eastAsia="en-GB"/>
        </w:rPr>
      </w:pPr>
      <w:r w:rsidRPr="005F0A67">
        <w:rPr>
          <w:rFonts w:asciiTheme="majorBidi" w:eastAsia="Arial" w:hAnsiTheme="majorBidi" w:cstheme="majorBidi"/>
          <w:lang w:val="en-CA" w:eastAsia="en-GB"/>
        </w:rPr>
        <w:t>capacity to innovate</w:t>
      </w:r>
      <w:r w:rsidRPr="005F0A67">
        <w:rPr>
          <w:rFonts w:asciiTheme="majorBidi" w:eastAsia="Arial" w:hAnsiTheme="majorBidi" w:cstheme="majorBidi"/>
          <w:vertAlign w:val="superscript"/>
          <w:lang w:val="en-CA" w:eastAsia="en-GB"/>
        </w:rPr>
        <w:footnoteReference w:id="59"/>
      </w:r>
      <w:r w:rsidRPr="005F0A67">
        <w:rPr>
          <w:rFonts w:asciiTheme="majorBidi" w:eastAsia="Arial" w:hAnsiTheme="majorBidi" w:cstheme="majorBidi"/>
          <w:lang w:val="en-CA" w:eastAsia="en-GB"/>
        </w:rPr>
        <w:t>; and,</w:t>
      </w:r>
    </w:p>
    <w:p w14:paraId="613DCFA8" w14:textId="77777777" w:rsidR="005F0A67" w:rsidRPr="005F0A67" w:rsidRDefault="005F0A67" w:rsidP="005F0A67">
      <w:pPr>
        <w:numPr>
          <w:ilvl w:val="0"/>
          <w:numId w:val="42"/>
        </w:numPr>
        <w:tabs>
          <w:tab w:val="clear" w:pos="567"/>
          <w:tab w:val="clear" w:pos="1134"/>
          <w:tab w:val="clear" w:pos="1701"/>
          <w:tab w:val="clear" w:pos="2268"/>
        </w:tabs>
        <w:spacing w:after="180" w:line="292" w:lineRule="auto"/>
        <w:jc w:val="left"/>
        <w:rPr>
          <w:rFonts w:asciiTheme="majorBidi" w:eastAsia="Arial" w:hAnsiTheme="majorBidi" w:cstheme="majorBidi"/>
          <w:lang w:val="en-CA" w:eastAsia="en-GB"/>
        </w:rPr>
      </w:pPr>
      <w:r w:rsidRPr="005F0A67">
        <w:rPr>
          <w:rFonts w:asciiTheme="majorBidi" w:eastAsia="Arial" w:hAnsiTheme="majorBidi" w:cstheme="majorBidi"/>
          <w:lang w:val="en-CA" w:eastAsia="en-GB"/>
        </w:rPr>
        <w:t xml:space="preserve">international competitiveness. </w:t>
      </w:r>
    </w:p>
    <w:p w14:paraId="1B545B24"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The three pillars structure the assessment into distinct but related aspects of competitive performance. Cost and price competitiveness evaluates whether contribution obligations alter the relative cost position of participating firms and whether those changes translate into price effects that influence market share. Innovation competitiveness considers whether contributions limit investment capacity and hinder the development of new products or processes. International competitiveness examines whether firms face greater burdens than competitors in non-CBD Party jurisdictions and how this affects their global market position. Each pillar is evaluated separately, but the competitive mechanisms are interconnected. For example, cost burdens that reduce margins may also limit R&amp;D investment, influence pricing, and affect firms of different sizes. </w:t>
      </w:r>
    </w:p>
    <w:p w14:paraId="0E393844"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lang w:val="en-CA" w:eastAsia="en-GB"/>
        </w:rPr>
        <w:t>Before presenting the pillar-by-pillar assessment, empirical literature on the magnitude of regulatory cost effects on competitiveness is reviewed in order to establish the evidence basis for the materiality assessments that follow.</w:t>
      </w:r>
    </w:p>
    <w:p w14:paraId="4430476B"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For each pillar, the analysis begins by characterising the firms in scope, followed by an identification of the competitive asymmetries each firm faces given the non-binding character of the mechanism. The findings from those two steps inform the detailed analysis by pillar. This competitiveness assessment framework is fully described in Section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_Ref230281726 \r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7.5</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w:t>
      </w:r>
    </w:p>
    <w:p w14:paraId="0B30AEFD" w14:textId="77777777" w:rsidR="005F0A67" w:rsidRPr="005F0A67" w:rsidRDefault="005F0A67" w:rsidP="00B009ED">
      <w:pPr>
        <w:tabs>
          <w:tab w:val="clear" w:pos="567"/>
          <w:tab w:val="clear" w:pos="1134"/>
          <w:tab w:val="clear" w:pos="1701"/>
          <w:tab w:val="clear" w:pos="2268"/>
        </w:tabs>
        <w:spacing w:before="320" w:after="160"/>
        <w:ind w:left="720"/>
        <w:jc w:val="left"/>
        <w:outlineLvl w:val="2"/>
        <w:rPr>
          <w:rFonts w:asciiTheme="majorBidi" w:eastAsia="Arial" w:hAnsiTheme="majorBidi" w:cstheme="majorBidi"/>
          <w:b/>
          <w:bCs/>
          <w:color w:val="7F7F7F"/>
          <w:sz w:val="23"/>
          <w:szCs w:val="23"/>
          <w:lang w:val="en-CA" w:eastAsia="en-GB"/>
        </w:rPr>
      </w:pPr>
      <w:bookmarkStart w:id="150" w:name="_Ref231042976"/>
      <w:bookmarkStart w:id="151" w:name="_Toc234579593"/>
      <w:r w:rsidRPr="005F0A67">
        <w:rPr>
          <w:rFonts w:asciiTheme="majorBidi" w:eastAsia="Arial" w:hAnsiTheme="majorBidi" w:cstheme="majorBidi"/>
          <w:b/>
          <w:bCs/>
          <w:color w:val="7F7F7F"/>
          <w:sz w:val="23"/>
          <w:szCs w:val="23"/>
          <w:lang w:val="en-CA" w:eastAsia="en-GB"/>
        </w:rPr>
        <w:t>Data sources</w:t>
      </w:r>
      <w:bookmarkEnd w:id="150"/>
      <w:bookmarkEnd w:id="151"/>
    </w:p>
    <w:p w14:paraId="65B5CE97"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Part III draws on five main sources:</w:t>
      </w:r>
    </w:p>
    <w:p w14:paraId="0AC356EB"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b/>
          <w:bCs/>
          <w:lang w:val="en-CA" w:eastAsia="en-GB"/>
        </w:rPr>
        <w:t>Rapid literature review findings:</w:t>
      </w:r>
      <w:r w:rsidRPr="005F0A67">
        <w:rPr>
          <w:rFonts w:asciiTheme="majorBidi" w:eastAsia="Times New Roman" w:hAnsiTheme="majorBidi" w:cstheme="majorBidi"/>
          <w:lang w:val="en-CA" w:eastAsia="en-GB"/>
        </w:rPr>
        <w:t xml:space="preserve"> examines peer-reviewed literature on the impact of regulatory cost burdens on competitiveness, including compliance cost thresholds, innovation investment, international competitiveness, and voluntary mechanism participation. The review is not a systematic literature review but a structured assessment of the most relevant empirical evidence to inform the significance assessments in the pillar analysis.</w:t>
      </w:r>
    </w:p>
    <w:p w14:paraId="02EA239B"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b/>
          <w:bCs/>
          <w:lang w:val="en-CA" w:eastAsia="en-GB"/>
        </w:rPr>
        <w:t>Sector-level estimates of eligible firm financial profiles:</w:t>
      </w:r>
      <w:r w:rsidRPr="005F0A67">
        <w:rPr>
          <w:rFonts w:asciiTheme="majorBidi" w:eastAsia="Times New Roman" w:hAnsiTheme="majorBidi" w:cstheme="majorBidi"/>
          <w:lang w:val="en-CA" w:eastAsia="en-GB"/>
        </w:rPr>
        <w:t xml:space="preserve"> including total revenue, margin distributions, contribution base predominance, and eligible firm counts by sector, are drawn from Makowska-Curran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{"citationID":"ymBDPYmh","properties":{"unsorted":false,"formattedCitation":"(2026)","plainCitation":"(2026)","noteIndex":0},"citationItems":[{"id":77,"uris":["http://zotero.org/users/14977742/items/2PI55QKT"],"itemData":{"id":77,"type":"article-journal","abstract":"This paper provides the first global, firm-level analysis of what the Cali Fund, designed to support global conservation, is likely to raise and how resources would be distributed.","citation-key":"GlobalBiodiversityCommitments","container-title":"Grantham Research Institute on climate change and the environment","language":"en-GB","publisher":"London School of Economics and Political Science (LSE)","title":"From global biodiversity commitments to local action: revenue potential and allocation dynamics of the Cali Fund","title-short":"From global biodiversity commitments to local action","URL":"https://www.lse.ac.uk/granthaminstitute/publication/from-global-biodiversity-commitments-to-local-action-revenue-potential-and-allocation-dynamics-of-the-cali-fund/","author":[{"family":"Makowska-Curran","given":"Agata"}],"accessed":{"date-parts":[["2026",6,3]]},"issued":{"date-parts":[["2026",6]]}},"suppress-author":true}],"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(2026)</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described in Part II (Section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_Ref230017304 \r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6.1</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The same data limitations described in Part II apply.</w:t>
      </w:r>
    </w:p>
    <w:p w14:paraId="6B64A78E"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b/>
          <w:bCs/>
          <w:lang w:val="en-CA" w:eastAsia="en-GB"/>
        </w:rPr>
        <w:lastRenderedPageBreak/>
        <w:t>Sector-level R&amp;D intensity data</w:t>
      </w:r>
      <w:r w:rsidRPr="005F0A67">
        <w:rPr>
          <w:rFonts w:asciiTheme="majorBidi" w:eastAsia="Times New Roman" w:hAnsiTheme="majorBidi" w:cstheme="majorBidi"/>
          <w:lang w:val="en-CA" w:eastAsia="en-GB"/>
        </w:rPr>
        <w:t xml:space="preserve">: taken from the OECD ANBERD database, supplemented by sector-specific literature where coverage is limited. </w:t>
      </w:r>
    </w:p>
    <w:p w14:paraId="0F7CDFE9"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b/>
          <w:bCs/>
          <w:lang w:val="en-CA" w:eastAsia="en-GB"/>
        </w:rPr>
        <w:t>Industry consultation</w:t>
      </w:r>
      <w:r w:rsidRPr="005F0A67">
        <w:rPr>
          <w:rFonts w:asciiTheme="majorBidi" w:eastAsia="Times New Roman" w:hAnsiTheme="majorBidi" w:cstheme="majorBidi"/>
          <w:lang w:val="en-CA" w:eastAsia="en-GB"/>
        </w:rPr>
        <w:t>: designed specifically for this study and disseminated through relevant business associations and direct outreach to firms across Indicative Enclosure I sectors. The consultation questionnaire is reproduced in Annex B. The final usable sample is 13 respondents from medium or large firms</w:t>
      </w:r>
      <w:r w:rsidRPr="005F0A67">
        <w:rPr>
          <w:rFonts w:asciiTheme="majorBidi" w:eastAsia="Times New Roman" w:hAnsiTheme="majorBidi" w:cstheme="majorBidi"/>
          <w:vertAlign w:val="superscript"/>
          <w:lang w:val="en-CA" w:eastAsia="en-GB"/>
        </w:rPr>
        <w:footnoteReference w:id="60"/>
      </w:r>
      <w:r w:rsidRPr="005F0A67">
        <w:rPr>
          <w:rFonts w:asciiTheme="majorBidi" w:eastAsia="Times New Roman" w:hAnsiTheme="majorBidi" w:cstheme="majorBidi"/>
          <w:lang w:val="en-CA" w:eastAsia="en-GB"/>
        </w:rPr>
        <w:t>. The consultation is not statistically representative of the eligible population: responses are geographically concentrated in Europe and South America, based primarily in animal and plant breeding and biotechnology sectors, and absent entirely for laboratory equipment and information and AI. The findings support the analysis, but they are not considered the main source of evidence. Responses should be interpreted in light of two primary sources of imprecision: the lack of DSI-specific financial tracking systems, which constrains the precise quantification of impacts, and the tendency, common in industry consultations, to report burdens at the upper end of plausible estimates.</w:t>
      </w:r>
    </w:p>
    <w:p w14:paraId="44A6B8A6"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No individual respondent is identifiable from any finding reported in this section. Consultation findings are integrated into the pillar analysis in Sections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_Ref231420184 \r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7.7</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to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_Ref231897708 \r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7.13</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at the points where they are most relevant, rather than presented separately.</w:t>
      </w:r>
    </w:p>
    <w:p w14:paraId="4B068B53"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b/>
          <w:bCs/>
          <w:lang w:val="en-CA" w:eastAsia="en-GB"/>
        </w:rPr>
        <w:t>Submissions to CBD Notification 2024-114</w:t>
      </w:r>
      <w:r w:rsidRPr="005F0A67">
        <w:rPr>
          <w:rFonts w:asciiTheme="majorBidi" w:eastAsia="Times New Roman" w:hAnsiTheme="majorBidi" w:cstheme="majorBidi"/>
          <w:lang w:val="en-CA" w:eastAsia="en-GB"/>
        </w:rPr>
        <w:t xml:space="preserve">: the submissions support the pillar analysis to reflect positions stakeholder positions and to indicate the relative salience of concerns among the Parties and industry stakeholders (rather than as independent evidence of firm behaviour). </w:t>
      </w:r>
    </w:p>
    <w:p w14:paraId="551BD2E2"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External sector sources for competitor geography, market concentration, and market structure indicators are drawn from sector-specific sources including IQVIA for pharmaceuticals, </w:t>
      </w:r>
      <w:proofErr w:type="spellStart"/>
      <w:r w:rsidRPr="005F0A67">
        <w:rPr>
          <w:rFonts w:asciiTheme="majorBidi" w:eastAsia="Times New Roman" w:hAnsiTheme="majorBidi" w:cstheme="majorBidi"/>
          <w:lang w:val="en-CA" w:eastAsia="en-GB"/>
        </w:rPr>
        <w:t>Kleffmann</w:t>
      </w:r>
      <w:proofErr w:type="spellEnd"/>
      <w:r w:rsidRPr="005F0A67">
        <w:rPr>
          <w:rFonts w:asciiTheme="majorBidi" w:eastAsia="Times New Roman" w:hAnsiTheme="majorBidi" w:cstheme="majorBidi"/>
          <w:lang w:val="en-CA" w:eastAsia="en-GB"/>
        </w:rPr>
        <w:t xml:space="preserve"> Group data for seeds, and peer-reviewed sector literature elsewhere. Full citations are provided in the relevant sections. </w:t>
      </w:r>
    </w:p>
    <w:p w14:paraId="2775F8E0" w14:textId="77777777" w:rsidR="005F0A67" w:rsidRPr="005F0A67" w:rsidRDefault="005F0A67" w:rsidP="005F0A67">
      <w:pPr>
        <w:numPr>
          <w:ilvl w:val="1"/>
          <w:numId w:val="12"/>
        </w:numPr>
        <w:tabs>
          <w:tab w:val="clear" w:pos="567"/>
          <w:tab w:val="clear" w:pos="1134"/>
          <w:tab w:val="clear" w:pos="1701"/>
          <w:tab w:val="clear" w:pos="2268"/>
        </w:tabs>
        <w:spacing w:before="320" w:after="160"/>
        <w:ind w:left="576" w:hanging="576"/>
        <w:jc w:val="left"/>
        <w:outlineLvl w:val="1"/>
        <w:rPr>
          <w:rFonts w:asciiTheme="majorBidi" w:eastAsia="Arial" w:hAnsiTheme="majorBidi" w:cstheme="majorBidi"/>
          <w:b/>
          <w:bCs/>
          <w:color w:val="1A1A1A"/>
          <w:sz w:val="23"/>
          <w:szCs w:val="23"/>
          <w:lang w:val="en-CA" w:eastAsia="en-GB"/>
        </w:rPr>
      </w:pPr>
      <w:bookmarkStart w:id="152" w:name="_Ref231121284"/>
      <w:bookmarkStart w:id="153" w:name="_Toc234579594"/>
      <w:bookmarkStart w:id="154" w:name="_Hlk231079536"/>
      <w:r w:rsidRPr="005F0A67">
        <w:rPr>
          <w:rFonts w:asciiTheme="majorBidi" w:eastAsia="Arial" w:hAnsiTheme="majorBidi" w:cstheme="majorBidi"/>
          <w:b/>
          <w:bCs/>
          <w:color w:val="1A1A1A"/>
          <w:sz w:val="23"/>
          <w:szCs w:val="23"/>
          <w:lang w:val="en-CA" w:eastAsia="en-GB"/>
        </w:rPr>
        <w:t>Evidence on the competitiveness effects of regulatory cost burdens</w:t>
      </w:r>
      <w:bookmarkEnd w:id="152"/>
      <w:bookmarkEnd w:id="153"/>
    </w:p>
    <w:p w14:paraId="73D97BDE"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This section reviews empirical literature on the competitiveness effects of regulatory cost burdens at the scale of the Cali Fund's indicative contribution rates. It establishes the evidence basis for the significance assessments under the competitiveness impacts pillar analysis. The section also provides a baseline read-across of sector-specific evidence, which is taken up in more detail in Sections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_Ref231420184 \r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7.7</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to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_Ref231897708 \r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7.13</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w:t>
      </w:r>
    </w:p>
    <w:p w14:paraId="7971F353"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The first question for the assessment is whether the indicative contribution level is likely to be large enough to generate material competitiveness effects on its own. The most relevant evidence comes from cost burdens imposed by two types of instruments broadly analogous to the Cali Fund: corporate taxes and levies, and environmental levies as a secondary empirical reference.</w:t>
      </w:r>
    </w:p>
    <w:p w14:paraId="2390A4C6" w14:textId="77777777" w:rsidR="005F0A67" w:rsidRPr="005F0A67" w:rsidRDefault="005F0A67" w:rsidP="00B009ED">
      <w:pPr>
        <w:tabs>
          <w:tab w:val="clear" w:pos="567"/>
          <w:tab w:val="clear" w:pos="1134"/>
          <w:tab w:val="clear" w:pos="1701"/>
          <w:tab w:val="clear" w:pos="2268"/>
        </w:tabs>
        <w:spacing w:after="120"/>
        <w:jc w:val="left"/>
        <w:outlineLvl w:val="3"/>
        <w:rPr>
          <w:rFonts w:asciiTheme="majorBidi" w:eastAsia="Georgia" w:hAnsiTheme="majorBidi" w:cstheme="majorBidi"/>
          <w:b/>
          <w:bCs/>
          <w:color w:val="0F4761"/>
          <w:lang w:eastAsia="en-GB"/>
        </w:rPr>
      </w:pPr>
      <w:r w:rsidRPr="005F0A67">
        <w:rPr>
          <w:rFonts w:asciiTheme="majorBidi" w:eastAsia="Georgia" w:hAnsiTheme="majorBidi" w:cstheme="majorBidi"/>
          <w:b/>
          <w:bCs/>
          <w:color w:val="0F4761"/>
          <w:lang w:eastAsia="en-GB"/>
        </w:rPr>
        <w:t>Competitiveness effects of profit and revenue taxes</w:t>
      </w:r>
    </w:p>
    <w:p w14:paraId="7F0E0FE0"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bookmarkStart w:id="155" w:name="OLE_LINK3"/>
      <w:r w:rsidRPr="005F0A67">
        <w:rPr>
          <w:rFonts w:asciiTheme="majorBidi" w:eastAsia="Times New Roman" w:hAnsiTheme="majorBidi" w:cstheme="majorBidi"/>
          <w:lang w:val="en-CA" w:eastAsia="en-GB"/>
        </w:rPr>
        <w:t xml:space="preserve">Tax literature distinguishes between profit-based and revenue-based burdens, which is directly relevant to the minimum-of-two design introduced above. Revenue-based burdens are generally considered more distortive </w:t>
      </w:r>
      <w:r w:rsidRPr="005F0A67">
        <w:rPr>
          <w:rFonts w:asciiTheme="majorBidi" w:eastAsia="Times New Roman" w:hAnsiTheme="majorBidi" w:cstheme="majorBidi"/>
          <w:lang w:val="en-CA" w:eastAsia="en-GB"/>
        </w:rPr>
        <w:lastRenderedPageBreak/>
        <w:t xml:space="preserve">because liability is based on gross sales, regardless of margin, and can alter production, sourcing, and organisational decisions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{"citationID":"gxtroSgq","properties":{"unsorted":false,"formattedCitation":"(Best {\\i{}et al.}, 2015; Xing {\\i{}et al.}, 2024)","plainCitation":"(Best et al., 2015; Xing et al., 2024)","noteIndex":0},"citationItems":[{"id":194,"uris":["http://zotero.org/users/14977742/items/QTHE4MME"],"itemData":{"id":194,"type":"article-journal","abstract":"To fight evasion, many developing countries use production-inefficient tax policies. This includes minimum tax schemes whereby firms are taxed on either profits or turnover, depending on which tax liability is larger. Such schemes create nonstandard kink points, which allow for eliciting evasion responses to switches between profit and turnover taxes using a bunching approach. Using administrative data on corporations in Pakistan, we estimate that turnover taxes reduce evasion by up to 60–70 percent of corporate income. Incorporating this in a calibrated optimal tax model, we find that switching from profit to turnover taxation increases revenue by 74 percent without reducing aggregate profits.","citation-key":"bestProductionRevenueEfficiency2015","container-title":"Journal of Political Economy","DOI":"10.1086/683849","issue":"6","page":"1311-1355","publisher":"The University of Chicago Press","source":"journals.uchicago.edu (Atypon)","title":"Production versus Revenue Efficiency with Limited Tax Capacity: Theory and Evidence from Pakistan","title-short":"Production versus Revenue Efficiency with Limited Tax Capacity","volume":"123","author":[{"family":"Best","given":"Michael Carlos"},{"family":"Brockmeyer","given":"Anne"},{"family":"Kleven","given":"Henrik Jacobsen"},{"family":"Spinnewijn","given":"Johannes"},{"family":"Waseem","given":"Mazhar"}],"issued":{"date-parts":[["2015",12]]}}},{"id":193,"uris":["http://zotero.org/users/14977742/items/DUY94YJW"],"itemData":{"id":193,"type":"article-journal","abstract":"We investigate the impact of tax cascading on upstream and downstream firms. As a natural experiment, we explore a reform that replaced turnover taxes with value-added taxes for service industries in China, which effectively removed tax cascading. We find a relative increase in sales, R&amp;D investment, and employment for affected service firms. These changes are mainly driven by increased outsourcing from manufacturing firms, and are unlikely to be caused by changes in firms’ tax burden or output prices. Our study provides new evidence on how taxation affects supplier networks and firm performance.","citation-key":"xingHowDistortiveAre2024","container-title":"Journal of Development Economics","DOI":"10.1016/j.jdeveco.2024.103332","ISSN":"0304-3878","journalAbbreviation":"Journal of Development Economics","page":"103332","source":"ScienceDirect","title":"How distortive are turnover taxes? Evidence from China","title-short":"How distortive are turnover taxes?","volume":"171","author":[{"family":"Xing","given":"Jing"},{"family":"Bilicka","given":"Katarzyna"},{"family":"Hou","given":"Xipei"},{"family":"Raei","given":"Sepideh"}],"issued":{"date-parts":[["2024",10,1]]}}}],"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(Best et al., 2015; Xing et al., 2024)</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Profit-based burdens are less cost-distortive but often lead to stronger reporting and timing responses. For instance, Coles et. al.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{"citationID":"WDd5V1rj","properties":{"unsorted":false,"formattedCitation":"(2022)","plainCitation":"(2022)","noteIndex":0},"citationItems":[{"id":191,"uris":["http://zotero.org/users/14977742/items/VRWB7KZS"],"itemData":{"id":191,"type":"article-journal","abstract":"Using a novel empirical approach and newly available administrative data on U.S. tax filings, we estimate the corporate elasticity of taxable income, decompose the elasticity into economic responses versus other tax-motivated “accounting” transactions, and determine how responsiveness varies depending on accounting method, firm size, and interest rate. In response to a 10% increase in the expected marginal tax rate, private U.S. firms decrease taxable income by 9.1%, which indicates a discernibly more elastic response than prevailing estimates. This response reflects a decrease in taxable income of 3.0% arising from real economic responses to a firm's scale of operations and 6.1% arising from accounting transactions via (for example) revenue and expense timing. Responsiveness to the corporate tax rate is more elastic if a firm uses cash (9.9%) rather than accrual accounting (7.4%), if the firm is small (9.9%) rather than large (8.6%), and if the firm discounts future cash flows at a lower rate.","citation-key":"colesHowFirmsRespond2022","container-title":"Journal of Accounting Research","DOI":"10.1111/1475-679X.12405","ISSN":"1475-679X","issue":"3","language":"en","note":"_eprint: https://onlinelibrary.wiley.com/doi/pdf/10.1111/1475-679X.12405","page":"965-1006","source":"Wiley Online Library","title":"How Do Firms Respond to Corporate Taxes?","volume":"60","author":[{"family":"Coles","given":"Jeffrey L."},{"family":"Pa℡","given":"Elena"},{"family":"Seegert","given":"Nathan"},{"family":"Smith","given":"Matthew"}],"issued":{"date-parts":[["2022"]]}},"suppress-author":true}],"schema":"https://github.com/citation-style-language/schema/raw/master/csl-citation.json"}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(2022)</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find that two-thirds of firms' responses to a 6-7 percentage point increase in the effective marginal profit tax rate led to accounting transactions such as revenue timing and expense shifting, rather than genuine reductions in investment or employment - a rate change substantially larger than the Cali Fund's indicative one percentage point contribution. The study further finds that large firms are among the least responsive to profit tax changes, which is relevant given that DSI-intensive contributors under are predominantly large firms. This suggests that competitiveness effects operating through genuine reductions in general investment or employment are unlikely at the profit contribution rate modelled here, although R&amp;D investment may represent a more sensitive channel, as discussed below. The minimum-of-two rule further distributes the burden across the eligible entities, where those with profit margins above 10% contribute based on profits, while lower-margin firms are shielded from the more distortive revenue-based contribution payment</w:t>
      </w:r>
      <w:r w:rsidRPr="005F0A67">
        <w:rPr>
          <w:rFonts w:asciiTheme="majorBidi" w:eastAsia="Times New Roman" w:hAnsiTheme="majorBidi" w:cstheme="majorBidi"/>
          <w:vertAlign w:val="superscript"/>
          <w:lang w:val="en-CA" w:eastAsia="en-GB"/>
        </w:rPr>
        <w:footnoteReference w:id="61"/>
      </w:r>
      <w:r w:rsidRPr="005F0A67">
        <w:rPr>
          <w:rFonts w:asciiTheme="majorBidi" w:eastAsia="Times New Roman" w:hAnsiTheme="majorBidi" w:cstheme="majorBidi"/>
          <w:lang w:val="en-CA" w:eastAsia="en-GB"/>
        </w:rPr>
        <w:t xml:space="preserve">. This approach limits exposure for more commercially vulnerable firms without requiring changes in behaviour. </w:t>
      </w:r>
    </w:p>
    <w:p w14:paraId="5983FD4F"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The tax literature also identifies an innovation channel through which profit burdens influence competitiveness beyond short-term cost effects. Studies on corporate income taxation show that higher profit taxes reduce R&amp;D, patenting, and related innovation by lowering after-tax returns on risky, intangible investments. Unlike investments in tangible capital, R&amp;D is riskier, harder to redeploy if it fails, and more human-capital intensive. On the contrary, tax cuts increase innovation, with effects emerging over time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{"citationID":"4I4HPZaE","properties":{"unsorted":false,"formattedCitation":"(Mukherjee, Singh and \\uc0\\u381{}aldokas, 2017; Atanassov and Liu, 2020; Akcigit {\\i{}et al.}, 2022; Lichter {\\i{}et al.}, 2025)","plainCitation":"(Mukherjee, Singh and Žaldokas, 2017; Atanassov and Liu, 2020; Akcigit et al., 2022; Lichter et al., 2025)","noteIndex":0},"citationItems":[{"id":184,"uris":["http://zotero.org/users/14977742/items/MTDEGH2B"],"itemData":{"id":184,"type":"article-journal","abstract":"We exploit staggered changes in state-level corporate tax rates to show that an increase in taxes reduces future innovation. A variety of tests, including those based on policy discontinuity at contiguous counties straddling borders of politically similar states, show that local economic conditions do not drive our results. The effect we document is consistent across the innovation spectrum: taxes affect not only patenting and R&amp;D investment but also new product introductions, which we measure using textual analysis. Our empirical results are consistent with models that highlight the role of higher corporate taxes in reducing innovator incentives and discouraging risk-taking.","citation-key":"mukherjeeCorporateTaxesHinder2017","container-title":"Journal of Financial Economics","DOI":"10.1016/j.jfineco.2017.01.004","ISSN":"0304-405X","issue":"1","journalAbbreviation":"Journal of Financial Economics","page":"195-221","source":"ScienceDirect","title":"Do corporate taxes hinder innovation?","volume":"124","author":[{"family":"Mukherjee","given":"Abhiroop"},{"family":"Singh","given":"Manpreet"},{"family":"Žaldokas","given":"Alminas"}],"issued":{"date-parts":[["2017",4,1]]}}},{"id":183,"uris":["http://zotero.org/users/14977742/items/J3VINYQV"],"itemData":{"id":183,"type":"article-journal","abstract":"We hypothesize that corporate income taxes distort firms’ incentives to innovate by reducing their pledgeable income. Using a differences-in-differences methodology, we document that large corporate income tax cuts boost corporate innovation. We find a similar but opposite effect for tax increases. Most of the change in innovation occurs 2 or more years after the tax change, and there’s no effect before the tax change. Exploring the mechanisms, we show that tax cuts have a stronger impact on innovation for firms with weaker governance, greater financial constraints, fewer tangible assets, smaller patent stock, and a greater degree of tax avoidance.","citation-key":"atanassovCanCorporateIncome2020","container-title":"Journal of Financial and Quantitative Analysis","DOI":"10.1017/S0022109019000152","ISSN":"0022-1090, 1756-6916","issue":"5","language":"en","page":"1415-1465","source":"Cambridge University Press","title":"Can Corporate Income Tax Cuts Stimulate Innovation?","volume":"55","author":[{"family":"Atanassov","given":"Julian"},{"family":"Liu","given":"Xiaoding"}],"issued":{"date-parts":[["2020",8]]}}},{"id":182,"uris":["http://zotero.org/users/14977742/items/9TUP6AYD"],"itemData":{"id":182,"type":"article-journal","abstract":"This article studies the effect of corporate and personal taxes on innovation in the United States over the twentieth century. We build a panel of the universe of inventors who patented since 1920, and a historical state-level corporate tax database with corporate tax rates and tax base information, which we link to existing data on state-level personal income taxes and other economic outcomes. Our analysis focuses on the effect of personal and corporate income taxes on individual inventors (the micro level) and on states (the macro level), considering the quantity and quality of innovation, its location, and the share produced by the corporate rather than the noncorporate sector. We propose several identification strategies, all of which yield consistent results. We find that higher taxes negatively affect the quantity and the location of innovation, but not average innovation quality. The state-level elasticities to taxes are large and consistent with the aggregation of the individual-level responses of innovation produced and cross-state mobility. Corporate taxes tend to especially affect corporate inventors’ innovation production and cross-state mobility. Personal income taxes significantly affect the quantity of innovation overall and the mobility of inventors.","citation-key":"akcigitTaxationInnovationTwentieth2022","container-title":"The Quarterly Journal of Economics","DOI":"10.1093/qje/qjab022","ISSN":"0033-5533","issue":"1","journalAbbreviation":"Q J Econ","page":"329-385","source":"Silverchair","title":"Taxation and Innovation in the Twentieth Century","volume":"137","author":[{"family":"Akcigit","given":"Ufuk"},{"family":"Grigsby","given":"John"},{"family":"Nicholas","given":"Tom"},{"family":"Stantcheva","given":"Stefanie"}],"issued":{"date-parts":[["2022",2,1]]}}},{"id":181,"uris":["http://zotero.org/users/14977742/items/H43L3BEQ"],"itemData":{"id":181,"type":"article-journal","abstract":"We study how profit taxes affect establishments' R&amp;D activities. Relying on detailed panel data of R&amp;D-active firms in Germany over two decades, we exploit identifying variation induced by more than 10,000 municipal changes in the local business tax rate and federal tax reforms with locally varying effects. Using event-study techniques, we find a sizable, negative effect of profit taxes on establishments' total R&amp;D spending and patents filed. Zooming into the innovation production process, we uncover substantial heterogeneity in the impact of profit taxation for various R&amp;D input factors, among firm characteristics, and for different types of research projects.","citation-key":"lichterProfitTaxationRampD2025","container-title":"American Economic Journal: Economic Policy","DOI":"10.1257/pol.20220580","ISSN":"1945-7731","issue":"1","language":"en","page":"432-463","source":"www.aeaweb.org","title":"Profit Taxation, R&amp;amp;D Spending, and Innovation","volume":"17","author":[{"family":"Lichter","given":"Andreas"},{"family":"Löffler","given":"Max"},{"family":"Isphording","given":"Ingo E."},{"family":"Nguyen","given":"Thu-Van"},{"family":"Poege","given":"Felix"},{"family":"Siegloch","given":"Sebastian"}],"issued":{"date-parts":[["2025",2]]}}}],"schema":"https://github.com/citation-style-language/schema/raw/master/csl-citation.json"}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Georgia" w:hAnsiTheme="majorBidi" w:cstheme="majorBidi"/>
          <w:lang w:val="en-CA" w:eastAsia="en-GB"/>
        </w:rPr>
        <w:t xml:space="preserve">(Mukherjee, Singh and Žaldokas, 2017; Atanassov and Liu, 2020; Akcigit </w:t>
      </w:r>
      <w:r w:rsidRPr="005F0A67">
        <w:rPr>
          <w:rFonts w:asciiTheme="majorBidi" w:eastAsia="Georgia" w:hAnsiTheme="majorBidi" w:cstheme="majorBidi"/>
          <w:i/>
          <w:iCs/>
          <w:lang w:val="en-CA" w:eastAsia="en-GB"/>
        </w:rPr>
        <w:t>et al.</w:t>
      </w:r>
      <w:r w:rsidRPr="005F0A67">
        <w:rPr>
          <w:rFonts w:asciiTheme="majorBidi" w:eastAsia="Georgia" w:hAnsiTheme="majorBidi" w:cstheme="majorBidi"/>
          <w:lang w:val="en-CA" w:eastAsia="en-GB"/>
        </w:rPr>
        <w:t xml:space="preserve">, 2022; Lichter </w:t>
      </w:r>
      <w:r w:rsidRPr="005F0A67">
        <w:rPr>
          <w:rFonts w:asciiTheme="majorBidi" w:eastAsia="Georgia" w:hAnsiTheme="majorBidi" w:cstheme="majorBidi"/>
          <w:i/>
          <w:iCs/>
          <w:lang w:val="en-CA" w:eastAsia="en-GB"/>
        </w:rPr>
        <w:t>et al.</w:t>
      </w:r>
      <w:r w:rsidRPr="005F0A67">
        <w:rPr>
          <w:rFonts w:asciiTheme="majorBidi" w:eastAsia="Georgia" w:hAnsiTheme="majorBidi" w:cstheme="majorBidi"/>
          <w:lang w:val="en-CA" w:eastAsia="en-GB"/>
        </w:rPr>
        <w:t>, 2025)</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To contextualise the magnitude, Lichter et al.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{"citationID":"T4eSSdmr","properties":{"unsorted":false,"formattedCitation":"(2025)","plainCitation":"(2025)","noteIndex":0},"citationItems":[{"id":181,"uris":["http://zotero.org/users/14977742/items/H43L3BEQ"],"itemData":{"id":181,"type":"article-journal","abstract":"We study how profit taxes affect establishments' R&amp;D activities. Relying on detailed panel data of R&amp;D-active firms in Germany over two decades, we exploit identifying variation induced by more than 10,000 municipal changes in the local business tax rate and federal tax reforms with locally varying effects. Using event-study techniques, we find a sizable, negative effect of profit taxes on establishments' total R&amp;D spending and patents filed. Zooming into the innovation production process, we uncover substantial heterogeneity in the impact of profit taxation for various R&amp;D input factors, among firm characteristics, and for different types of research projects.","citation-key":"lichterProfitTaxationRampD2025","container-title":"American Economic Journal: Economic Policy","DOI":"10.1257/pol.20220580","ISSN":"1945-7731","issue":"1","language":"en","page":"432-463","source":"www.aeaweb.org","title":"Profit Taxation, R&amp;amp;D Spending, and Innovation","volume":"17","author":[{"family":"Lichter","given":"Andreas"},{"family":"Löffler","given":"Max"},{"family":"Isphording","given":"Ingo E."},{"family":"Nguyen","given":"Thu-Van"},{"family":"Poege","given":"Felix"},{"family":"Siegloch","given":"Sebastian"}],"issued":{"date-parts":[["2025",2]]}},"suppress-author":true}],"schema":"https://github.com/citation-style-language/schema/raw/master/csl-citation.json"}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(2025)</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find that a one percentage point increase in the effective profit tax burden - broadly comparable to the Cali Fund’s indicative rate - reduces R&amp;D expenditure by approximately 6-7% over an eight-year horizon. Effects tend to be greater for financially constrained and those more sensitive to after-tax returns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{"citationID":"3hYBvRgk","properties":{"unsorted":false,"formattedCitation":"(Atanassov and Liu, 2020; Lichter {\\i{}et al.}, 2025)","plainCitation":"(Atanassov and Liu, 2020; Lichter et al., 2025)","noteIndex":0},"citationItems":[{"id":183,"uris":["http://zotero.org/users/14977742/items/J3VINYQV"],"itemData":{"id":183,"type":"article-journal","abstract":"We hypothesize that corporate income taxes distort firms’ incentives to innovate by reducing their pledgeable income. Using a differences-in-differences methodology, we document that large corporate income tax cuts boost corporate innovation. We find a similar but opposite effect for tax increases. Most of the change in innovation occurs 2 or more years after the tax change, and there’s no effect before the tax change. Exploring the mechanisms, we show that tax cuts have a stronger impact on innovation for firms with weaker governance, greater financial constraints, fewer tangible assets, smaller patent stock, and a greater degree of tax avoidance.","citation-key":"atanassovCanCorporateIncome2020","container-title":"Journal of Financial and Quantitative Analysis","DOI":"10.1017/S0022109019000152","ISSN":"0022-1090, 1756-6916","issue":"5","language":"en","page":"1415-1465","source":"Cambridge University Press","title":"Can Corporate Income Tax Cuts Stimulate Innovation?","volume":"55","author":[{"family":"Atanassov","given":"Julian"},{"family":"Liu","given":"Xiaoding"}],"issued":{"date-parts":[["2020",8]]}}},{"id":181,"uris":["http://zotero.org/users/14977742/items/H43L3BEQ"],"itemData":{"id":181,"type":"article-journal","abstract":"We study how profit taxes affect establishments' R&amp;D activities. Relying on detailed panel data of R&amp;D-active firms in Germany over two decades, we exploit identifying variation induced by more than 10,000 municipal changes in the local business tax rate and federal tax reforms with locally varying effects. Using event-study techniques, we find a sizable, negative effect of profit taxes on establishments' total R&amp;D spending and patents filed. Zooming into the innovation production process, we uncover substantial heterogeneity in the impact of profit taxation for various R&amp;D input factors, among firm characteristics, and for different types of research projects.","citation-key":"lichterProfitTaxationRampD2025","container-title":"American Economic Journal: Economic Policy","DOI":"10.1257/pol.20220580","ISSN":"1945-7731","issue":"1","language":"en","page":"432-463","source":"www.aeaweb.org","title":"Profit Taxation, R&amp;amp;D Spending, and Innovation","volume":"17","author":[{"family":"Lichter","given":"Andreas"},{"family":"Löffler","given":"Max"},{"family":"Isphording","given":"Ingo E."},{"family":"Nguyen","given":"Thu-Van"},{"family":"Poege","given":"Felix"},{"family":"Siegloch","given":"Sebastian"}],"issued":{"date-parts":[["2025",2]]}}}],"schema":"https://github.com/citation-style-language/schema/raw/master/csl-citation.json"}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Georgia" w:hAnsiTheme="majorBidi" w:cstheme="majorBidi"/>
          <w:lang w:val="en-CA" w:eastAsia="en-GB"/>
        </w:rPr>
        <w:t xml:space="preserve">(Atanassov and Liu, 2020; Lichter </w:t>
      </w:r>
      <w:r w:rsidRPr="005F0A67">
        <w:rPr>
          <w:rFonts w:asciiTheme="majorBidi" w:eastAsia="Georgia" w:hAnsiTheme="majorBidi" w:cstheme="majorBidi"/>
          <w:i/>
          <w:iCs/>
          <w:lang w:val="en-CA" w:eastAsia="en-GB"/>
        </w:rPr>
        <w:t>et al.</w:t>
      </w:r>
      <w:r w:rsidRPr="005F0A67">
        <w:rPr>
          <w:rFonts w:asciiTheme="majorBidi" w:eastAsia="Georgia" w:hAnsiTheme="majorBidi" w:cstheme="majorBidi"/>
          <w:lang w:val="en-CA" w:eastAsia="en-GB"/>
        </w:rPr>
        <w:t>, 2025)</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large, well-capitalised DSI-intensive contributors are less likely to fall into either category. The existence of widespread R&amp;D tax relief schemes across OECD jurisdictions and beyond provides indirect support of the innovation channel identified above: such schemes are designed explicitly to offset the dampening effect of profit burdens on after-tax returns to R&amp;D, and have been increasingly implemented over the last two decades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{"citationID":"hFzTNolD","properties":{"unsorted":false,"formattedCitation":"(OECD, no date b)","plainCitation":"(OECD, no date b)","noteIndex":0},"citationItems":[{"id":22,"uris":["http://zotero.org/users/14977742/items/HL7C8SB5"],"itemData":{"id":22,"type":"webpage","abstract":"Governments worldwide increasingly rely on tax incentives to promote private R&amp;D and innovation investment. They make eligible investments financially advantageous to firms, driving growth, but reduce governments’ direct tax intake. OECD monitors their availability, key design features, cost and impacts. This comparative evidence informs public and private decisions and underpins OECD’s policy advice to governments.","citation-key":"RDTaxIncentives","container-title":"OECD","language":"en","title":"R&amp;D tax incentives","URL":"https://www.oecd.org/en/topics/r&amp;d-tax-incentives.html","author":[{"literal":"OECD"}],"accessed":{"date-parts":[["2026",6,3]]}}}],"schema":"https://github.com/citation-style-language/schema/raw/master/csl-citation.json"}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(OECD, no date b)</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Empirical estimates confirm that this response is effective. For instance, </w:t>
      </w:r>
      <w:proofErr w:type="spellStart"/>
      <w:r w:rsidRPr="005F0A67">
        <w:rPr>
          <w:rFonts w:asciiTheme="majorBidi" w:eastAsia="Times New Roman" w:hAnsiTheme="majorBidi" w:cstheme="majorBidi"/>
          <w:lang w:val="en-CA" w:eastAsia="en-GB"/>
        </w:rPr>
        <w:t>Dechezleprêtre</w:t>
      </w:r>
      <w:proofErr w:type="spellEnd"/>
      <w:r w:rsidRPr="005F0A67">
        <w:rPr>
          <w:rFonts w:asciiTheme="majorBidi" w:eastAsia="Times New Roman" w:hAnsiTheme="majorBidi" w:cstheme="majorBidi"/>
          <w:lang w:val="en-CA" w:eastAsia="en-GB"/>
        </w:rPr>
        <w:t xml:space="preserve"> et. al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{"citationID":"bH0MbMQu","properties":{"unsorted":false,"formattedCitation":"(2023)","plainCitation":"(2023)","noteIndex":0},"citationItems":[{"id":21,"uris":["http://zotero.org/users/14977742/items/X8K8WVPX"],"itemData":{"id":21,"type":"article-journal","abstract":"We present causal evidence of R&amp;D tax incentives' positive impacts on a firm's own innovation and that of its technological neighbors. Exploiting a change in size-based eligibility thresholds for R&amp;D tax relief, we implement a Regression Discontinuity Design using administrative data. We find significant effects of tax relief on (quality-adjusted) patenting (and R&amp;D) that persist up to seven years, and evidence of R&amp;D spillovers on the innovation of technologically close firms. We can rule out elasticities of patenting with respect to R&amp;D user cost of under 2 at the 5 percent level and show that our large effects are driven by financially constrained treated firms.","citation-key":"dechezlepretreTaxIncentivesIncrease2023","container-title":"American Economic Journal: Economic Policy","DOI":"10.1257/pol.20200739","ISSN":"1945-7731","issue":"4","language":"en","page":"486-521","source":"www.aeaweb.org","title":"Do Tax Incentives Increase Firm Innovation? An RD Design for R&amp;D, Patents, and Spillovers","title-short":"Do Tax Incentives Increase Firm Innovation?","volume":"15","author":[{"family":"Dechezleprêtre","given":"Antoine"},{"family":"Einiö","given":"Elias"},{"family":"Martin","given":"Ralf"},{"family":"Nguyen","given":"Kieu-Trang"},{"family":"Van Reenen","given":"John"}],"issued":{"date-parts":[["2023",11]]}},"suppress-author":true}],"schema":"https://github.com/citation-style-language/schema/raw/master/csl-citation.json"}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(2023)</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find that R&amp;D in the United Kingdom was around 16% higher over 2006-2011 as a result of tax credit policy, with consistent findings reported for Japan and the United States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{"citationID":"a13h4m5og5v","properties":{"unsorted":false,"formattedCitation":"(Kasahara, Shimotsu and Suzuki, 2014; Rao, 2016)","plainCitation":"(Kasahara, Shimotsu and Suzuki, 2014; Rao, 2016)","noteIndex":0},"citationItems":[{"id":20,"uris":["http://zotero.org/users/14977742/items/UZFRKZ46"],"itemData":{"id":20,"type":"article-journal","abstract":"To what extent does a tax credit affect firms’ R&amp;D activity? What are the mechanisms? This paper examines the effect of R&amp;D tax credits on firms’ R&amp;D expenditure by exploiting the variation across firms in the changes in the eligible tax credit rate between 2000 and 2003. Estimating the first-difference equation of the linear R&amp;D model by panel GMM, we find the estimated coefficient of an interaction term between the eligible tax credit rate and the debt-to-asset ratio is positive and significant, indicating that the effect of tax credit is significantly larger for firms with relatively large outstanding debts. Conducting counterfactual experiments, we found that the aggregate R&amp;D expenditure in 2003 would have been lower by 3.0–3.4 percent if there had been no tax credit reform in 2003, where 0.3–0.6 percent is attributable to the effect of financial constraint, and that the aggregate R&amp;D expenditure would have been larger by 3.1–3.9 percent if there had been no cap on the amount of tax credits, where 0.3–0.8 percent is attributable to relaxing the financial constraint of firms with outstanding debts.","citation-key":"kasaharaDoesRDTax2014","container-title":"Journal of the Japanese and International Economies","DOI":"10.1016/j.jjie.2013.10.005","ISSN":"0889-1583","journalAbbreviation":"Journal of the Japanese and International Economies","page":"72-97","source":"ScienceDirect","title":"Does an R&amp;D tax credit affect R&amp;D expenditure? The Japanese R&amp;D tax credit reform in 2003","title-short":"Does an R&amp;D tax credit affect R&amp;D expenditure?","volume":"31","author":[{"family":"Kasahara","given":"Hiroyuki"},{"family":"Shimotsu","given":"Katsumi"},{"family":"Suzuki","given":"Michio"}],"issued":{"date-parts":[["2014",3,1]]}}},{"id":19,"uris":["http://zotero.org/users/14977742/items/RFB3ANMS"],"itemData":{"id":19,"type":"article-journal","abstract":"This paper examines the impact of the U.S. federal R&amp;D tax credit between 1981–1991 using confidential IRS data from corporate tax returns. The empirical analysis makes two key advances on previous work. First, it implements a new instrumental variables (IV) strategy based on tax changes that directly addresses the simultaneity of R&amp;D spending and marginal credit rates. Second, the analysis makes use of new restricted-access IRS corporate return data describing R&amp;D expenditures. Estimates imply that a10% reduction in the user cost of R&amp;D leads the average firm to increase its research intensity—the ratio of R&amp;D spending to sales—by 19.8% in the short-run. Long-run estimates imply that the average firm faces adjustment costs and increases spending over time, though small and young firms show evidence of reversing initial increases. Analysis of the components of qualified research shows that wages and supplies account for the bulk of the increase in research spending. Elasticities of qualified and total research intensities from a smaller sample suggest firms respond to user cost changes largely by increasing their qualified spending, meaning that the type of R&amp;D the federal credit deems qualified research is an important margin on which the credit affects firm behavior.","citation-key":"raoTaxCreditsStimulate2016","container-title":"Journal of Public Economics","DOI":"10.1016/j.jpubeco.2016.05.003","ISSN":"0047-2727","journalAbbreviation":"Journal of Public Economics","page":"1-12","source":"ScienceDirect","title":"Do tax credits stimulate R&amp;D spending? The effect of the R&amp;D tax credit in its first decade","title-short":"Do tax credits stimulate R&amp;D spending?","volume":"140","author":[{"family":"Rao","given":"Nirupama"}],"issued":{"date-parts":[["2016",8,1]]}}}],"schema":"https://github.com/citation-style-language/schema/raw/master/csl-citation.json"}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Georgia" w:hAnsiTheme="majorBidi" w:cstheme="majorBidi"/>
          <w:lang w:val="en-CA" w:eastAsia="en-GB"/>
        </w:rPr>
        <w:t>(Kasahara, Shimotsu and Suzuki, 2014; Rao, 2016)</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For firms operating in jurisdictions with generous relief schemes, the net change in after-tax returns to R&amp;D from a contribution at the Cali Fund's indicative rate is therefore likely to be further attenuated by existing policy design. Evidence on innovation impacts of revenue-based taxes is limited; the distinct mechanisms through which revenue-based obligations affect firm behaviour - primarily production and organisational decisions rather than after-tax returns to innovation - suggest that the innovation channel identified in the profit tax literature does not translate directly to the revenue strand of the contribution.</w:t>
      </w:r>
    </w:p>
    <w:p w14:paraId="3799A022" w14:textId="77777777" w:rsidR="005F0A67" w:rsidRPr="005F0A67" w:rsidRDefault="005F0A67" w:rsidP="00B009ED">
      <w:pPr>
        <w:tabs>
          <w:tab w:val="clear" w:pos="567"/>
          <w:tab w:val="clear" w:pos="1134"/>
          <w:tab w:val="clear" w:pos="1701"/>
          <w:tab w:val="clear" w:pos="2268"/>
        </w:tabs>
        <w:spacing w:after="120"/>
        <w:jc w:val="left"/>
        <w:outlineLvl w:val="3"/>
        <w:rPr>
          <w:rFonts w:asciiTheme="majorBidi" w:eastAsia="Georgia" w:hAnsiTheme="majorBidi" w:cstheme="majorBidi"/>
          <w:b/>
          <w:bCs/>
          <w:color w:val="0F4761"/>
          <w:lang w:eastAsia="en-GB"/>
        </w:rPr>
      </w:pPr>
      <w:r w:rsidRPr="005F0A67">
        <w:rPr>
          <w:rFonts w:asciiTheme="majorBidi" w:eastAsia="Georgia" w:hAnsiTheme="majorBidi" w:cstheme="majorBidi"/>
          <w:b/>
          <w:bCs/>
          <w:color w:val="0F4761"/>
          <w:lang w:val="en-CA" w:eastAsia="en-GB"/>
        </w:rPr>
        <w:t>Competitiveness effects of additional cost burdens from environmental policies</w:t>
      </w:r>
    </w:p>
    <w:p w14:paraId="1BA1096D"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bookmarkStart w:id="156" w:name="_Hlk231064854"/>
      <w:r w:rsidRPr="005F0A67">
        <w:rPr>
          <w:rFonts w:asciiTheme="majorBidi" w:eastAsia="Times New Roman" w:hAnsiTheme="majorBidi" w:cstheme="majorBidi"/>
          <w:lang w:val="en-CA" w:eastAsia="en-GB"/>
        </w:rPr>
        <w:lastRenderedPageBreak/>
        <w:t xml:space="preserve">Empirical research on regulatory cost burdens and competitiveness focuses predominantly on environmental policy, as this area offers the most usable cross-sector evidence for evaluating how extra cost requirements affect firms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{"citationID":"AETEFIDI","properties":{"unsorted":false,"formattedCitation":"(Davidson, Kauffmann and Liedekerke, 2021)","plainCitation":"(Davidson, Kauffmann and Liedekerke, 2021)","noteIndex":0},"citationItems":[{"id":208,"uris":["http://zotero.org/users/14977742/items/DPAY4QDS"],"itemData":{"id":208,"type":"article-journal","abstract":"The impacts of laws and regulations on competitiveness have strong implications for OECD economies, as they can lead to unforeseen negative externalities and considerable regulatory costs for businesses and citizens. Nevertheless, the use of regulatory policy to assess the impacts of regulations on competitiveness has seldom been examined. This paper fills this gap by reviewing OECD members’ regulatory impact assessment (RIA) frameworks and the extent to which the competitiveness effects are currently appraised. It categorises regulatory impacts on competitiveness into three strongly interrelated components – cost competitiveness, innovation, and international competitiveness – and builds upon the OECD’s expertise to examine how regulations affect each component of competitiveness in turn. In doing so, the paper proposes a more complete structure that regulators can use to define and assess the competitiveness impacts of regulation as part of their RIA processes framework.","citation-key":"davidsonHowLawsRegulations2021a","container-title":"OECD Regulatory Policy Working Papers","DOI":"10.1787/7c11f5d5-en","language":"en","publisher":"OECD Publishing","source":"www.oecd.org","title":"How do laws and regulations affect competitiveness: The role for regulatory impact assessment","title-short":"How do laws and regulations affect competitiveness","URL":"https://www.oecd.org/en/publications/how-do-laws-and-regulations-affect-competitiveness_7c11f5d5-en.html","author":[{"family":"Davidson","given":"Paul"},{"family":"Kauffmann","given":"Céline"},{"family":"Liedekerke","given":"Marie-Gabrielle","dropping-particle":"de"}],"accessed":{"date-parts":[["2026",5,21]]},"issued":{"date-parts":[["2021",2,2]]}}}],"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(Davidson, Kauffmann and Liedekerke, 2021)</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This is particularly true for environmental literature on carbon pricing, which offers further insight into whether additional cost burdens have significant firm-level effects. The main finding is that often, substantial costs associated with carbon pricing rarely cause significant negative impacts on profits, employment, or investment, especially when some pass-through is possible </w:t>
      </w:r>
      <w:bookmarkEnd w:id="156"/>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{"citationID":"UmWaXxJF","properties":{"unsorted":false,"formattedCitation":"(Dechezlepr\\uc0\\u234{}tre, Nachtigall and Venmans, 2018; Joltreau and Sommerfeld, 2019; Venmans, Ellis and Nachtigall, 2020)","plainCitation":"(Dechezleprêtre, Nachtigall and Venmans, 2018; Joltreau and Sommerfeld, 2019; Venmans, Ellis and Nachtigall, 2020)","noteIndex":0},"citationItems":[{"id":190,"uris":["http://zotero.org/users/14977742/items/WFUNNZ5X"],"itemData":{"id":190,"type":"article-journal","abstract":"This paper investigates the joint impact of the European Union Emissions Trading System (EU ETS), Europe’s main climate change policy, on carbon emissions and economic performance of regulated companies. The impact on emissions is analysed using installation-level carbon emissions from national Polluting Emissions Registries from France, Netherlands, Norway and the United Kingdom complemented with data from the European Pollutant Release and Transfer Register (E-PRTR). The impact on firm performance is analysed using firm-level data for all countries covered by the EU ETS. A matching methodology exploiting installation-level inclusion criteria combined with difference-in-differences is used to estimate the policy’s causal impact on installations’ emissions and on firms’ revenue, assets, profits and employment. We find that the EU ETS has induced carbon emission reductions in the order of -10% between 2005 and 2012, but had no negative impact on the economic performance of regulated firms. These results demonstrate that concerns that the EU ETS would come at a cost in terms of competitiveness have been vastly overplayed. In fact, we even find that the EU ETS led to an increase in regulated firms’ revenues and fixed assets. We explore various explanations for these findings.","citation-key":"dechezlepretreJointImpactEuropean2018","container-title":"OECD Economics Department Working Papers","DOI":"10.1787/4819b016-en","language":"en","publisher":"OECD Publishing","source":"www.oecd.org","title":"The joint impact of the European Union emissions trading system on carbon emissions and economic performance","URL":"https://www.oecd.org/en/publications/the-joint-impact-of-the-european-union-emissions-trading-system-on-carbon-emissions-and-economic-performance_4819b016-en.html","author":[{"family":"Dechezleprêtre","given":"Antoine"},{"family":"Nachtigall","given":"Daniel"},{"family":"Venmans","given":"Frank"}],"accessed":{"date-parts":[["2026",5,30]]},"issued":{"date-parts":[["2018",12,6]]}}},{"id":189,"uris":["http://zotero.org/users/14977742/items/HCCHVBHP"],"itemData":{"id":189,"type":"article-journal","abstract":"Environmental policies may have important consequences for firms’ competitiveness or profitability. For the European Union Emissions Trading System (EU ETS) the empirical literature documents that significant emissions reductions have resulted from it. Surprisingly, however, the literature shows that there have been hardly any concurrent negative effects on firms’ competitiveness during the first two phases of the scheme (2005–2012). We show that the main explanations for the absence of negative impacts on competitiveness are a large over-allocation of emissions allowances leading to a price drop and the ability of firms to pass costs onto consumers in some sectors. Cost pass-through combined with free allocation, in turn, partly generated windfall profits. In addition, the relatively low importance of energy costs indicated by their average share in the budgets of most manufacturing industries may have limited the impact of the EU ETS. Finally, small but significant stimulating effects on innovation have been found so far. Several factors suggest that over-allocation is likely to remain substantial in the upcoming periods of the scheme. Therefore, we expect to see no negative competitiveness effects from the EU ETS in Phases III and IV (2013–2030). Key policy insights Empirical literature on the EU ETS shows that there have been hardly any effects on firms’ competitiveness or profitability.One main explanation is a large over-allocation of emissions allowances leading to a price drop. This reduced incentives for innovation.Moreover, firms were able to pass costs on to consumers in some sectors which partly generated windfall profits.Innovation effects have so far been small but positive.We expect to see no negative competitiveness effects on regulated firms in the near future suggesting that no further reliefs for regulated firms are required. Empirical literature on the EU ETS shows that there have been hardly any effects on firms’ competitiveness or profitability. One main explanation is a large over-allocation of emissions allowances leading to a price drop. This reduced incentives for innovation. Moreover, firms were able to pass costs on to consumers in some sectors which partly generated windfall profits. Innovation effects have so far been small but positive. We expect to see no negative competitiveness effects on regulated firms in the near future suggesting that no further reliefs for regulated firms are required.","citation-key":"joltreauWhyDoesEmissions2019","container-title":"Climate Policy","DOI":"10.1080/14693062.2018.1502145","ISSN":"1469-3062","issue":"4","note":"_eprint: https://doi.org/10.1080/14693062.2018.1502145","page":"453-471","publisher":"Taylor &amp; Francis","source":"Taylor and Francis+NEJM","title":"Why does emissions trading under the EU Emissions Trading System (ETS) not affect firms’ competitiveness? Empirical findings from the literature","title-short":"Why does emissions trading under the EU Emissions Trading System (ETS) not affect firms’ competitiveness?","volume":"19","author":[{"family":"Joltreau","given":"Eugénie"},{"family":"Sommerfeld","given":"Katrin"}],"issued":{"date-parts":[["2019",4,21]]}}},{"id":188,"uris":["http://zotero.org/users/14977742/items/CTSBNXWX"],"itemData":{"id":188,"type":"article-journal","abstract":"This paper reviews ex-post empirical assessments on the impact of carbon pricing on competitiveness in OECD and G20 countries, primarily in the European Union, in the electricity and industrial sectors. Most of these assessments find no statistically significant effects of carbon pricing or energy prices on different dimensions of competitiveness, including net imports, foreign direct investments, turnover, value added, employment, profits, productivity, and innovation. When statistically significant results have been found, the magnitude of such effects tends to be small – either positive or negative. Thus, concerns about negative short-term effects of carbon pricing on firms’ or sectors’ international competitiveness have not come to pass, at least to date. These findings are in part because carbon price levels have been low and because of exemptions to carbon taxes for industry, or generous levels of free allowances to firms covered by emissions trading schemes. Key policy insights Most of the studies reviewed in this paper find no statistically significant effects of carbon pricing or energy price fluctuations on different dimensions of competitiveness (employment, profits, net imports).When statistically significant results have been found, the magnitude of such effects is small. This is not surprising, because long term trends in overall energy costs have a small effect compared to other trends. Moreover, carbon costs levied on industry have been low, either because of carbon tax breaks or free allowances to firms.Carbon pricing has a small and positive effect on productivity and innovation. In particular, all studies report statistically significant increases in patenting.Studies that find small negative competitiveness effects tend to focus on net imports and outward foreign direct investment.Establishing a positive and stable carbon price (even if initially at a low level) will provide a clear signal of policy direction for participating firms. This may actually reduce risks to competitiveness in the longer-term if it incentivises firms to adopt advanced pollution abatement technologies in an increasingly carbon-constrained global economy. Most of the studies reviewed in this paper find no statistically significant effects of carbon pricing or energy price fluctuations on different dimensions of competitiveness (employment, profits, net imports). When statistically significant results have been found, the magnitude of such effects is small. This is not surprising, because long term trends in overall energy costs have a small effect compared to other trends. Moreover, carbon costs levied on industry have been low, either because of carbon tax breaks or free allowances to firms. Carbon pricing has a small and positive effect on productivity and innovation. In particular, all studies report statistically significant increases in patenting. Studies that find small negative competitiveness effects tend to focus on net imports and outward foreign direct investment. Establishing a positive and stable carbon price (even if initially at a low level) will provide a clear signal of policy direction for participating firms. This may actually reduce risks to competitiveness in the longer-term if it incentivises firms to adopt advanced pollution abatement technologies in an increasingly carbon-constrained global economy.","citation-key":"venmansCarbonPricingCompetitiveness2020","container-title":"Climate Policy","DOI":"10.1080/14693062.2020.1805291","ISSN":"1469-3062","issue":"9","note":"_eprint: https://doi.org/10.1080/14693062.2020.1805291","page":"1070-1091","publisher":"Taylor &amp; Francis","source":"Taylor and Francis+NEJM","title":"Carbon pricing and competitiveness: are they at odds?","title-short":"Carbon pricing and competitiveness","volume":"20","author":[{"family":"Venmans","given":"Frank"},{"family":"Ellis","given":"Jane"},{"family":"Nachtigall","given":"Daniel"}],"issued":{"date-parts":[["2020",10,20]]}}}],"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Georgia" w:hAnsiTheme="majorBidi" w:cstheme="majorBidi"/>
          <w:lang w:val="en-CA" w:eastAsia="en-GB"/>
        </w:rPr>
        <w:t>(Dechezleprêtre, Nachtigall and Venmans, 2018; Joltreau and Sommerfeld, 2019; Venmans, Ellis and Nachtigall, 2020)</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The established causal analysis in this field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{"citationID":"1mMwgHs9","properties":{"unsorted":false,"formattedCitation":"(Dechezlepr\\uc0\\u234{}tre, Nachtigall and Venmans, 2018)","plainCitation":"(Dechezleprêtre, Nachtigall and Venmans, 2018)","noteIndex":0},"citationItems":[{"id":190,"uris":["http://zotero.org/users/14977742/items/WFUNNZ5X"],"itemData":{"id":190,"type":"article-journal","abstract":"This paper investigates the joint impact of the European Union Emissions Trading System (EU ETS), Europe’s main climate change policy, on carbon emissions and economic performance of regulated companies. The impact on emissions is analysed using installation-level carbon emissions from national Polluting Emissions Registries from France, Netherlands, Norway and the United Kingdom complemented with data from the European Pollutant Release and Transfer Register (E-PRTR). The impact on firm performance is analysed using firm-level data for all countries covered by the EU ETS. A matching methodology exploiting installation-level inclusion criteria combined with difference-in-differences is used to estimate the policy’s causal impact on installations’ emissions and on firms’ revenue, assets, profits and employment. We find that the EU ETS has induced carbon emission reductions in the order of -10% between 2005 and 2012, but had no negative impact on the economic performance of regulated firms. These results demonstrate that concerns that the EU ETS would come at a cost in terms of competitiveness have been vastly overplayed. In fact, we even find that the EU ETS led to an increase in regulated firms’ revenues and fixed assets. We explore various explanations for these findings.","citation-key":"dechezlepretreJointImpactEuropean2018","container-title":"OECD Economics Department Working Papers","DOI":"10.1787/4819b016-en","language":"en","publisher":"OECD Publishing","source":"www.oecd.org","title":"The joint impact of the European Union emissions trading system on carbon emissions and economic performance","URL":"https://www.oecd.org/en/publications/the-joint-impact-of-the-european-union-emissions-trading-system-on-carbon-emissions-and-economic-performance_4819b016-en.html","author":[{"family":"Dechezleprêtre","given":"Antoine"},{"family":"Nachtigall","given":"Daniel"},{"family":"Venmans","given":"Frank"}],"accessed":{"date-parts":[["2026",5,30]]},"issued":{"date-parts":[["2018",12,6]]}}}],"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Georgia" w:hAnsiTheme="majorBidi" w:cstheme="majorBidi"/>
          <w:lang w:val="en-CA" w:eastAsia="en-GB"/>
        </w:rPr>
        <w:t>(Dechezleprêtre, Nachtigall and Venmans, 2018)</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reports that regulated firms experienced higher revenues and larger fixed asset bases while also cutting emissions, and it detects no statistically significant adverse effects on profits or employment; the authors explain these results by pointing to cost pass-through, induced investment, and the relatively modest effective compliance burden. For instance, Ganapati et. al.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{"citationID":"7EQJHvtj","properties":{"unsorted":false,"formattedCitation":"(2020)","plainCitation":"(2020)","noteIndex":0},"citationItems":[{"id":186,"uris":["http://zotero.org/users/14977742/items/QRERXINI"],"itemData":{"id":186,"type":"article-journal","abstract":"We study how changes in energy input costs for US manufacturers affect the relative welfare of manufacturing producers and consumers (i.e., incidence). We also develop a methodology to estimate the incidence of input taxes that accounts for incomplete pass-through, imperfect competition, and substitution among inputs. For the several industries we study, 70 percent of energy price-driven changes in input costs get passed through to consumers in the short to medium run. The share of the welfare cost that consumers bear is 25–75 percent smaller (and the share producers bear is larger) than models featuring complete pass-through and perfect competition would suggest.","citation-key":"ganapatiEnergyCostPassThrough2020","container-title":"American Economic Journal: Applied Economics","DOI":"10.1257/app.20180474","ISSN":"1945-7782","issue":"2","language":"en","page":"303-342","source":"www.aeaweb.org","title":"Energy Cost Pass-Through in US Manufacturing: Estimates and Implications for Carbon Taxes","title-short":"Energy Cost Pass-Through in US Manufacturing","volume":"12","author":[{"family":"Ganapati","given":"Sharat"},{"family":"Shapiro","given":"Joseph S."},{"family":"Walker","given":"Reed"}],"issued":{"date-parts":[["2020",4]]}},"suppress-author":true}],"schema":"https://github.com/citation-style-language/schema/raw/master/csl-citation.json"}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(2020)</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estimate that US manufacturing firms pass through about 70% of energy cost shocks, with considerable variation across industries – a figure that should be read as indicative rather than directly applicable, given the differences in sector coverage. Like input taxes, revenue levies are proportional to the scale of activity and can in principle be passed through to output prices, making the carbon pricing pass-through literature directly relevant to firms contributing on the revenue base. Firms contributing on the profit base face an even more limited short-run burden, as profit levies do not affect marginal cost structures. This evidence provides a cross-sector reference point suggesting the Cali Fund burden is well below levels at which firm-level competitiveness effects have been detected, though the comparison is indirect given differences in sector coverage and mechanism design. Should firms pass costs through to consumers, any resulting reduction in demand for DSI-derived products would in principle feed back into lower revenue and therefore lower contributions; this second-order effect is not captured in the static revenue model presented here, and would require product-level demand elasticities that are not available for the sectors in scope.</w:t>
      </w:r>
    </w:p>
    <w:p w14:paraId="0BF3629B"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Research shows that when compliance costs reach about 1 percent of turnover in pollution-intensive sectors, or 5-8 percent of material costs under carbon pricing, the impact on trade, employment, and investment location is small and often statistically insignificant. These costs are five to ten times higher than the Cali Fund's revenue-equivalent burden for a typical contributor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{"citationID":"7YXJzgLu","properties":{"unsorted":false,"formattedCitation":"(Dechezlepr\\uc0\\u234{}tre and Sato, 2017)","plainCitation":"(Dechezleprêtre and Sato, 2017)","noteIndex":0},"citationItems":[{"id":195,"uris":["http://zotero.org/users/14977742/items/KGZ2HX99"],"itemData":{"id":195,"type":"article-journal","abstract":"This article reviews the empirical literature on the impacts of environmental regulations\n          on firms’ competitiveness as measured by trade, industry location, employment,\n          productivity, and innovation. The evidence shows that environmental regulations can lead\n          to statistically significant adverse effects on trade, employment, plant location, and\n          productivity in the short run, in particular in a well-identified subset of pollution- and\n          energy-intensive sectors, but that these impacts are small relative to general trends in\n          production. At the same time, there is evidence that environmental regulations induce\n          innovation in clean technologies, but the resulting benefits do not appear to be large\n          enough to outweigh the costs of regulations for the regulated entities. As measures to\n          address competitiveness impacts are increasingly incorporated into the design of\n          environmental regulations, future research will be needed to assess the validity and\n          effectiveness of such measures and to ensure they are compatible with the environmental\n          objectives of the policies.","citation-key":"dechezleprImpactsEnvironmentalRegulations2017","container-title":"Review of Environmental Economics and Policy","DOI":"10.1093/reep/rex013","issue":"2","page":"183-206","publisher":"The University of Chicago Press","source":"journals.uchicago.edu (Atypon)","title":"The Impacts of Environmental Regulations on Competitiveness","volume":"11","author":[{"family":"Dechezleprêtre","given":"Antoine"},{"family":"Sato","given":"Misato"}],"issued":{"date-parts":[["2017",7]]}}}],"schema":"https://github.com/citation-style-language/schema/raw/master/csl-citation.json"}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Georgia" w:hAnsiTheme="majorBidi" w:cstheme="majorBidi"/>
          <w:lang w:val="en-CA" w:eastAsia="en-GB"/>
        </w:rPr>
        <w:t>(Dechezleprêtre and Sato, 2017)</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Naegele and </w:t>
      </w:r>
      <w:proofErr w:type="spellStart"/>
      <w:r w:rsidRPr="005F0A67">
        <w:rPr>
          <w:rFonts w:asciiTheme="majorBidi" w:eastAsia="Times New Roman" w:hAnsiTheme="majorBidi" w:cstheme="majorBidi"/>
          <w:lang w:val="en-CA" w:eastAsia="en-GB"/>
        </w:rPr>
        <w:t>Zaklan</w:t>
      </w:r>
      <w:proofErr w:type="spellEnd"/>
      <w:r w:rsidRPr="005F0A67">
        <w:rPr>
          <w:rFonts w:asciiTheme="majorBidi" w:eastAsia="Times New Roman" w:hAnsiTheme="majorBidi" w:cstheme="majorBidi"/>
          <w:lang w:val="en-CA" w:eastAsia="en-GB"/>
        </w:rPr>
        <w:t xml:space="preserve">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{"citationID":"yh9gZ174","properties":{"unsorted":false,"formattedCitation":"(2019)","plainCitation":"(2019)","noteIndex":0},"citationItems":[{"id":173,"uris":["http://zotero.org/users/14977742/items/GHWRJYRX"],"itemData":{"id":173,"type":"article-journal","abstract":"Carbon leakage is of interest in both academic and policy debates about the effectiveness of unilateral climate policy, especially in Europe, where the EU Emissions Trading System (EU ETS) affects many traded sectors. We review how the literature identifies leakage and the pollution haven effect. We then evaluate whether EU ETS emission costs caused carbon leakage in European manufacturing, using trade flows in embodied carbon and value from the Global Trade Analysis Project (GTAP). We find no evidence that the EU ETS caused carbon leakage.","citation-key":"naegeleDoesEUETS2019b","container-title":"Journal of Environmental Economics and Management","DOI":"10.1016/j.jeem.2018.11.004","ISSN":"0095-0696","journalAbbreviation":"Journal of Environmental Economics and Management","page":"125-147","source":"ScienceDirect","title":"Does the EU ETS cause carbon leakage in European manufacturing?","volume":"93","author":[{"family":"Naegele","given":"Helene"},{"family":"Zaklan","given":"Aleksandar"}],"issued":{"date-parts":[["2019",1,1]]}},"suppress-author":true}],"schema":"https://github.com/citation-style-language/schema/raw/master/csl-citation.json"}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noProof/>
          <w:lang w:val="en-CA" w:eastAsia="en-GB"/>
        </w:rPr>
        <w:t>(2019)</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provide a useful scale anchor: in that study, the average net EU ETS</w:t>
      </w:r>
      <w:r w:rsidRPr="005F0A67">
        <w:rPr>
          <w:rFonts w:asciiTheme="majorBidi" w:eastAsia="Times New Roman" w:hAnsiTheme="majorBidi" w:cstheme="majorBidi"/>
          <w:vertAlign w:val="superscript"/>
          <w:lang w:val="en-CA" w:eastAsia="en-GB"/>
        </w:rPr>
        <w:footnoteReference w:id="62"/>
      </w:r>
      <w:r w:rsidRPr="005F0A67">
        <w:rPr>
          <w:rFonts w:asciiTheme="majorBidi" w:eastAsia="Times New Roman" w:hAnsiTheme="majorBidi" w:cstheme="majorBidi"/>
          <w:lang w:val="en-CA" w:eastAsia="en-GB"/>
        </w:rPr>
        <w:t xml:space="preserve"> burden was about 0.10% of material cost, with no systematic effect on trade flows or carbon leakage, which supports a conservative lower bound for the threshold at which environmental cost burdens generate observable firm-level effects. Similarly, </w:t>
      </w:r>
      <w:proofErr w:type="spellStart"/>
      <w:r w:rsidRPr="005F0A67">
        <w:rPr>
          <w:rFonts w:asciiTheme="majorBidi" w:eastAsia="Times New Roman" w:hAnsiTheme="majorBidi" w:cstheme="majorBidi"/>
          <w:lang w:val="en-CA" w:eastAsia="en-GB"/>
        </w:rPr>
        <w:t>Favot</w:t>
      </w:r>
      <w:proofErr w:type="spellEnd"/>
      <w:r w:rsidRPr="005F0A67">
        <w:rPr>
          <w:rFonts w:asciiTheme="majorBidi" w:eastAsia="Times New Roman" w:hAnsiTheme="majorBidi" w:cstheme="majorBidi"/>
          <w:lang w:val="en-CA" w:eastAsia="en-GB"/>
        </w:rPr>
        <w:t xml:space="preserve"> et al.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OctAplOt","properties":{"unsorted":false,"formattedCitation":"(2018)","plainCitation":"(2018)","noteIndex":0},"citationItems":[{"id":174,"uris":["http://zotero.org/users/14977742/items/FXTNYISB"],"itemData":{"id":174,"type":"article-journal","citation-key":"favotRatioEPRCompliance2018","collection-title":"Sustainable Resource Management and the Circular Economy","container-title":"Resources, Conservation and Recycling","DOI":"10.1016/j.resconrec.2017.06.012","ISSN":"0921-3449","journalAbbreviation":"Resources, Conservation and Recycling","page":"34-37","source":"ScienceDirect","title":"The ratio of EPR compliance fees on sales revenues of electrical and electronic equipment in Italy. A circular economy perspective","volume":"135","author":[{"family":"Favot","given":"Marinella"},{"family":"Veit","given":"Raphael"},{"family":"Massarutto","given":"Antonio"}],"issued":{"date-parts":[["2018",8,1]]}},"suppress-author":true}],"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noProof/>
          <w:lang w:val="en-CA" w:eastAsia="en-GB"/>
        </w:rPr>
        <w:t>(2018)</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report that extended producer responsibility compliance fees amounting to around 0.36-0.54% of sales were regarded as relatively low in the Italian electrical and electronic equipment industry, although they highlight that such costs may become significant when profit margins are narrow; this offers a useful sales-based reference point that aligns more closely with the revenue contribution approach used here (though still looking at higher effective rates).</w:t>
      </w:r>
    </w:p>
    <w:p w14:paraId="131A9D24"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This conclusion is cautious; in particular the EU ETS research focuses on energy-intensive industries that typically have slimmer margins and less differentiated products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{"citationID":"29jogJx4","properties":{"unsorted":false,"formattedCitation":"(Dechezlepr\\uc0\\u234{}tre and Sato, 2017; EC, 2024)","plainCitation":"(Dechezleprêtre and Sato, 2017; EC, 2024)","noteIndex":0},"citationItems":[{"id":195,"uris":["http://zotero.org/users/14977742/items/KGZ2HX99"],"itemData":{"id":195,"type":"article-journal","abstract":"This article reviews the empirical literature on the impacts of environmental regulations\n          on firms’ competitiveness as measured by trade, industry location, employment,\n          productivity, and innovation. The evidence shows that environmental regulations can lead\n          to statistically significant adverse effects on trade, employment, plant location, and\n          productivity in the short run, in particular in a well-identified subset of pollution- and\n          energy-intensive sectors, but that these impacts are small relative to general trends in\n          production. At the same time, there is evidence that environmental regulations induce\n          innovation in clean technologies, but the resulting benefits do not appear to be large\n          enough to outweigh the costs of regulations for the regulated entities. As measures to\n          address competitiveness impacts are increasingly incorporated into the design of\n          environmental regulations, future research will be needed to assess the validity and\n          effectiveness of such measures and to ensure they are compatible with the environmental\n          objectives of the policies.","citation-key":"dechezleprImpactsEnvironmentalRegulations2017","container-title":"Review of Environmental Economics and Policy","DOI":"10.1093/reep/rex013","issue":"2","page":"183-206","publisher":"The University of Chicago Press","source":"journals.uchicago.edu (Atypon)","title":"The Impacts of Environmental Regulations on Competitiveness","volume":"11","author":[{"family":"Dechezleprêtre","given":"Antoine"},{"family":"Sato","given":"Misato"}],"issued":{"date-parts":[["2017",7]]}}},{"id":185,"uris":["http://zotero.org/users/14977742/items/TS2CMYB7"],"itemData":{"id":185,"type":"book","citation-key":"europeancommission.directorategeneralforinternalmarketindustryentrepreneurshipandsmes.CarbonIntensityCorporate2024","DOI":"10.2873/188206","language":"eng","publisher":"Publications Office","publisher-place":"LU","source":"DOI.org (CSL JSON)","title":"Carbon intensity and corporate performance: a micro level study of EU ETS industrial firms.","title-short":"Carbon intensity and corporate performance","URL":"https://data.europa.eu/doi/10.2873/188206","author":[{"literal":"EC"}],"accessed":{"date-parts":[["2026",5,30]]},"issued":{"date-parts":[["2024"]]}}}],"schema":"https://github.com/citation-style-language/schema/raw/master/csl-citation.json"}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Georgia" w:hAnsiTheme="majorBidi" w:cstheme="majorBidi"/>
          <w:lang w:val="en-CA" w:eastAsia="en-GB"/>
        </w:rPr>
        <w:t>(Dechezleprêtre and Sato, 2017; EC, 2024)</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than the DSI-using sectors most relevant to the Cali Fund, several of which, including pharmaceutical innovators and premium cosmetics producers, operate in markets with some pricing power and higher margins, as discussed in Sections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_Ref231420184 \r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7.7</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to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_Ref231897708 \r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7.13</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w:t>
      </w:r>
    </w:p>
    <w:p w14:paraId="7F0B36D4"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lastRenderedPageBreak/>
        <w:t xml:space="preserve">When cost burdens are uneven among competitors, the key issue is not the absolute burden but whether uncovered rivals are close substitutes able to capture market share. The EU ETS literature indicates that competitiveness risks arise mainly when uncovered competitors are commercially similar and firms can shift sourcing or production across regulatory boundaries, rather than from the cost burden alone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{"citationID":"IKApOrI6","properties":{"unsorted":false,"formattedCitation":"(Fowlie, 2009; Dechezlepr\\uc0\\u234{}tre and Sato, 2017)","plainCitation":"(Fowlie, 2009; Dechezleprêtre and Sato, 2017)","noteIndex":0},"citationItems":[{"id":180,"uris":["http://zotero.org/users/14977742/items/QUA96E53"],"itemData":{"id":180,"type":"article-journal","abstract":"Environmental regulation of industrial pollution is often incomplete;\nregulations apply to only a subset of facilities contributing to a\npollution problem. Policymakers are increasingly concerned about\nthe emissions leakage that may occur if unregulated production can\nbe easily substituted for regulated production. This paper analyzes\nemissions leakage in an incompletely regulated and imperfectly\ncompetitive industry. The analytical model is used to simulate outcomes\nunder incomplete, market-based regulation of carbon dioxide\nemissions in California's electricity sector. Regulation that exempts\nout-of-state producers achieves approximately one-third of the total\nemissions reductions achieved under complete regulation at more\nthan twice the cost per ton. (JEL L94, Q53, Q58)","citation-key":"fowlieIncompleteEnvironmentalRegulation2009","container-title":"American Economic Journal: Economic Policy","DOI":"10.1257/pol.1.2.72","ISSN":"1945-7731","issue":"2","language":"en","page":"72-112","source":"www.aeaweb.org","title":"Incomplete Environmental Regulation, Imperfect Competition, and Emissions Leakage","volume":"1","author":[{"family":"Fowlie","given":"Meredith L."}],"issued":{"date-parts":[["2009",8]]}}},{"id":195,"uris":["http://zotero.org/users/14977742/items/KGZ2HX99"],"itemData":{"id":195,"type":"article-journal","abstract":"This article reviews the empirical literature on the impacts of environmental regulations\n          on firms’ competitiveness as measured by trade, industry location, employment,\n          productivity, and innovation. The evidence shows that environmental regulations can lead\n          to statistically significant adverse effects on trade, employment, plant location, and\n          productivity in the short run, in particular in a well-identified subset of pollution- and\n          energy-intensive sectors, but that these impacts are small relative to general trends in\n          production. At the same time, there is evidence that environmental regulations induce\n          innovation in clean technologies, but the resulting benefits do not appear to be large\n          enough to outweigh the costs of regulations for the regulated entities. As measures to\n          address competitiveness impacts are increasingly incorporated into the design of\n          environmental regulations, future research will be needed to assess the validity and\n          effectiveness of such measures and to ensure they are compatible with the environmental\n          objectives of the policies.","citation-key":"dechezleprImpactsEnvironmentalRegulations2017","container-title":"Review of Environmental Economics and Policy","DOI":"10.1093/reep/rex013","issue":"2","page":"183-206","publisher":"The University of Chicago Press","source":"journals.uchicago.edu (Atypon)","title":"The Impacts of Environmental Regulations on Competitiveness","volume":"11","author":[{"family":"Dechezleprêtre","given":"Antoine"},{"family":"Sato","given":"Misato"}],"issued":{"date-parts":[["2017",7]]}}}],"schema":"https://github.com/citation-style-language/schema/raw/master/csl-citation.json"}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Georgia" w:hAnsiTheme="majorBidi" w:cstheme="majorBidi"/>
          <w:lang w:val="en-CA" w:eastAsia="en-GB"/>
        </w:rPr>
        <w:t>(Fowlie, 2009; Dechezleprêtre and Sato, 2017)</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Related research on standards shows that regulatory divergence can create fixed market-access costs through duplicated compliance requirements, regardless of price effects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{"citationID":"TL2sM7IK","properties":{"unsorted":false,"formattedCitation":"(Schmidt and Steingress, 2022)","plainCitation":"(Schmidt and Steingress, 2022)","noteIndex":0},"citationItems":[{"id":179,"uris":["http://zotero.org/users/14977742/items/7KXTPMSP"],"itemData":{"id":179,"type":"article-journal","abstract":"This paper quantifies a novel channel that contributes to greater trade integration: the release of harmonized, voluntary product standards. Standards define product characteristics that ensure compatibility, quality and consistency. Harmonized standards unify these characteristics across countries and reduce country-specific adaption costs. We create a novel database on cross-country standards and show that harmonized standards have contributed up to 13% of the growth in global trade. We build a heterogeneous firm model where harmonized standards generate scale effects and induce firms to adopt the standard. Firm-level evidence shows that only the largest firms in the top range of the size-distribution increase their export sales. These firms benefit from higher demand, charge higher prices and sell larger volumes.","citation-key":"schmidtNoDoubleStandards2022","container-title":"Journal of International Economics","DOI":"10.1016/j.jinteco.2022.103619","ISSN":"0022-1996","journalAbbreviation":"Journal of International Economics","page":"103619","source":"ScienceDirect","title":"No double standards: Quantifying the impact of standard harmonization on trade","title-short":"No double standards","volume":"137","author":[{"family":"Schmidt","given":"Julia"},{"family":"Steingress","given":"Walter"}],"issued":{"date-parts":[["2022",7,1]]}}}],"schema":"https://github.com/citation-style-language/schema/raw/master/csl-citation.json"}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(Schmidt and Steingress, 2022)</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The effective burden may also be higher in practice where a Cali Fund contribution is paid on top of other international benefit-sharing contributions (obligation stacking). For the Cali Fund, this means international competitiveness effects depend more on the commercial proximity of non-participating rivals and any additional fixed compliance costs, rather than the contribution rate. These factors vary by sector and are discussed in Section 7.5.</w:t>
      </w:r>
      <w:bookmarkEnd w:id="154"/>
    </w:p>
    <w:p w14:paraId="6C437187" w14:textId="77777777" w:rsidR="005F0A67" w:rsidRPr="005F0A67" w:rsidRDefault="005F0A67" w:rsidP="00B009ED">
      <w:pPr>
        <w:tabs>
          <w:tab w:val="clear" w:pos="567"/>
          <w:tab w:val="clear" w:pos="1134"/>
          <w:tab w:val="clear" w:pos="1701"/>
          <w:tab w:val="clear" w:pos="2268"/>
        </w:tabs>
        <w:spacing w:after="120"/>
        <w:jc w:val="left"/>
        <w:outlineLvl w:val="3"/>
        <w:rPr>
          <w:rFonts w:asciiTheme="majorBidi" w:eastAsia="Georgia" w:hAnsiTheme="majorBidi" w:cstheme="majorBidi"/>
          <w:b/>
          <w:bCs/>
          <w:color w:val="0F4761"/>
          <w:lang w:eastAsia="en-GB"/>
        </w:rPr>
      </w:pPr>
      <w:r w:rsidRPr="005F0A67">
        <w:rPr>
          <w:rFonts w:asciiTheme="majorBidi" w:eastAsia="Georgia" w:hAnsiTheme="majorBidi" w:cstheme="majorBidi"/>
          <w:b/>
          <w:bCs/>
          <w:color w:val="0F4761"/>
          <w:lang w:eastAsia="en-GB"/>
        </w:rPr>
        <w:t>Sector-specific evidence on payment burdens</w:t>
      </w:r>
    </w:p>
    <w:p w14:paraId="72673476"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The evidence reviewed above suggests that large-firm payment burdens at the indicative Cali Fund rates are unlikely to cause significant competitiveness effects for most firm types. However, this conclusion is based mainly on cross-sectoral environmental literature. This part summarises available sector-specific empirical evidence and highlights where the broad presumption is better or less well supported.</w:t>
      </w:r>
    </w:p>
    <w:p w14:paraId="7C548CC6"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bookmarkStart w:id="157" w:name="OLE_LINK8"/>
      <w:r w:rsidRPr="005F0A67">
        <w:rPr>
          <w:rFonts w:asciiTheme="majorBidi" w:eastAsia="Times New Roman" w:hAnsiTheme="majorBidi" w:cstheme="majorBidi"/>
          <w:lang w:val="en-CA" w:eastAsia="en-GB"/>
        </w:rPr>
        <w:t xml:space="preserve">The most robust sector-specific evidence concerns pharmaceuticals and biotech. Key studies examine broad price-regulation and reimbursement regimes that suppress realised revenues and margins over time, rather than discrete contribution payments. Golec et al.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{"citationID":"qDq0a3Zl","properties":{"unsorted":false,"formattedCitation":"(2006)","plainCitation":"(2006)","noteIndex":0},"citationItems":[{"id":172,"uris":["http://zotero.org/users/14977742/items/BH5W5G3Y"],"itemData":{"id":172,"type":"article","abstract":"EU countries closely regulate pharmaceutical prices whereas the U.S. does not. This paper shows how price constraints affect the profitability, stock returns, and R&amp;D spending of EU and U.S. firms. Compared to EU firms, U.S. firms are more profitable, earn higher stock returns, and spend more on research and development (R&amp;D). Some differences have increased over time. In 1986, EU pharmaceutical R&amp;D exceeded U.S. R&amp;D by about 24 percent, but by 2004, EU R&amp;D trailed U.S. R&amp;D by about 15 percent. During these 19 years, U.S. R&amp;D spending grew at a real annual compound rate of 8.8 percent, while EU R&amp;D spending grew at a real 5.4 percent rate. Results show that EU consumers enjoyed much lower pharmaceutical price inflation, however, at a cost of 46 fewer new medicines introduced by EU firms and 1680 fewer EU research jobs.","citation-key":"golecEuropeanPharmaceuticalPrice2006","DOI":"10.2139/ssrn.932989","genre":"SSRN Scholarly Paper","language":"en","number":"932989","publisher":"Social Science Research Network","publisher-place":"Rochester, NY","source":"papers.ssrn.com","title":"European Pharmaceutical Price Regulation, Firm Profitability, and R&amp;D Spending","URL":"https://papers.ssrn.com/abstract=932989","author":[{"family":"Golec","given":"Joseph H."},{"family":"Vernon","given":"John A."}],"accessed":{"date-parts":[["2026",6,1]]},"issued":{"date-parts":[["2006",8,1]]}},"suppress-author":true}],"schema":"https://github.com/citation-style-language/schema/raw/master/csl-citation.json"}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(2006)</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report lower profitability and slower R&amp;D growth among European pharmaceutical firms compared to US firms under stricter European price regulation. Eger and </w:t>
      </w:r>
      <w:proofErr w:type="spellStart"/>
      <w:r w:rsidRPr="005F0A67">
        <w:rPr>
          <w:rFonts w:asciiTheme="majorBidi" w:eastAsia="Times New Roman" w:hAnsiTheme="majorBidi" w:cstheme="majorBidi"/>
          <w:lang w:val="en-CA" w:eastAsia="en-GB"/>
        </w:rPr>
        <w:t>Mahlich</w:t>
      </w:r>
      <w:proofErr w:type="spellEnd"/>
      <w:r w:rsidRPr="005F0A67">
        <w:rPr>
          <w:rFonts w:asciiTheme="majorBidi" w:eastAsia="Times New Roman" w:hAnsiTheme="majorBidi" w:cstheme="majorBidi"/>
          <w:lang w:val="en-CA" w:eastAsia="en-GB"/>
        </w:rPr>
        <w:t xml:space="preserve">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{"citationID":"RQmvusqj","properties":{"unsorted":false,"formattedCitation":"(2014)","plainCitation":"(2014)","noteIndex":0},"citationItems":[{"id":171,"uris":["http://zotero.org/users/14977742/items/TUF7U4SD"],"itemData":{"id":171,"type":"article-journal","abstract":"Many European countries regulate the markets for prescription drugs in order to cope with rising health expenditures. On the other hand, regulation distorts incentives to invest in pharmaceutical R&amp;D. This study aims at empirically assessing the impact of regulation on pharmaceutical R&amp;D expenditures.","citation-key":"egerPharmaceuticalRegulationEurope2014","container-title":"Health Economics Review","DOI":"10.1186/s13561-014-0023-5","ISSN":"2191-1991","issue":"1","journalAbbreviation":"Health Econ Rev","language":"en","page":"23","source":"Springer Link","title":"Pharmaceutical regulation in Europe and its impact on corporate R&amp;D","volume":"4","author":[{"family":"Eger","given":"Stephan"},{"family":"Mahlich","given":"Jörg C."}],"issued":{"date-parts":[["2014",10,3]]}},"suppress-author":true}],"schema":"https://github.com/citation-style-language/schema/raw/master/csl-citation.json"}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(2014)</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find that large European firms with significant exposure to price-regulated sales have lower R&amp;D intensity once exposure is high. Sood et al.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{"citationID":"EdkFGV0X","properties":{"unsorted":false,"formattedCitation":"(2008)","plainCitation":"(2008)","noteIndex":0},"citationItems":[{"id":170,"uris":["http://zotero.org/users/14977742/items/EQJNQFK5"],"itemData":{"id":170,"type":"article-journal","abstract":":We describe pharmaceutical regulations in nineteen developed countries from 1992 to 2004 and analyze how different regulations affect pharmaceutical revenues. First, there has been a trend toward increased regulation. Second, most regulations reduce pharmaceutical revenues significantly. Third, since 1994, most countries adopting new regulations already had some regulation in place. We find that incremental regulation of this kind had a smaller impact on costs. However, introducing new regulations in a largely unregulated market, such as the United States, could greatly reduce pharmaceutical revenues. Finally, we show that the cost-reducing effects of price controls increase the longer they remain in place.","citation-key":"soodEffectRegulationPharmaceutical2008","container-title":"Health Affairs","DOI":"10.1377/hlthaff.28.1.w125","ISSN":"0278-2715","issue":"Supplement 1","page":"w125-w137","publisher":"Health Affairs Publishing","source":"healthaffairs.org (Atypon)","title":"The Effect Of Regulation On Pharmaceutical Revenues: Experience In Nineteen Countries","title-short":"The Effect Of Regulation On Pharmaceutical Revenues","volume":"27","author":[{"family":"Sood","given":"Neeraj"},{"family":"Vries","given":"Han","non-dropping-particle":"de"},{"family":"Gutierrez","given":"Italo"},{"family":"Lakdawalla","given":"Darius N."},{"family":"Goldman","given":"Dana P."}],"issued":{"date-parts":[["2008",1]]}},"suppress-author":true}],"schema":"https://github.com/citation-style-language/schema/raw/master/csl-citation.json"}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(2008)</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observe that regulatory revenue reductions accumulate over time, and their incremental introduction has a reduced effect on cost. </w:t>
      </w:r>
      <w:bookmarkStart w:id="158" w:name="_Hlk231165804"/>
      <w:r w:rsidRPr="005F0A67">
        <w:rPr>
          <w:rFonts w:asciiTheme="majorBidi" w:eastAsia="Times New Roman" w:hAnsiTheme="majorBidi" w:cstheme="majorBidi"/>
          <w:lang w:val="en-CA" w:eastAsia="en-GB"/>
        </w:rPr>
        <w:t xml:space="preserve">While these findings are directionally relevant, they address larger and more pervasive revenue restraints than a 1% profit or 0.1% revenue contribution. </w:t>
      </w:r>
      <w:bookmarkEnd w:id="158"/>
      <w:r w:rsidRPr="005F0A67">
        <w:rPr>
          <w:rFonts w:asciiTheme="majorBidi" w:eastAsia="Times New Roman" w:hAnsiTheme="majorBidi" w:cstheme="majorBidi"/>
          <w:lang w:val="en-CA" w:eastAsia="en-GB"/>
        </w:rPr>
        <w:t xml:space="preserve">In contrast, Shaikh et al.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{"citationID":"mnlNnIKd","properties":{"unsorted":false,"formattedCitation":"(2021)","plainCitation":"(2021)","noteIndex":0},"citationItems":[{"id":169,"uris":["http://zotero.org/users/14977742/items/Y86NR836"],"itemData":{"id":169,"type":"article-journal","abstract":"A trade-off exists between affordability of pharmaceutical products today and incentives for firms to provide new and better drugs in the future; an activity that prior studies suggest correlates with profitability, which in turn depends on price regulation.","citation-key":"shaikhRevisitingRelationshipPrice2021","container-title":"Applied Health Economics and Health Policy","DOI":"10.1007/s40258-020-00601-9","ISSN":"1179-1896","issue":"2","journalAbbreviation":"Appl Health Econ Health Policy","language":"en","page":"217-229","source":"Springer Link","title":"Revisiting the Relationship Between Price Regulation and Pharmaceutical R&amp;D Investment","volume":"19","author":[{"family":"Shaikh","given":"Mujaheed"},{"family":"Del Giudice","given":"Pietro"},{"family":"Kourouklis","given":"Dimitrios"}],"issued":{"date-parts":[["2021",3,1]]}},"suppress-author":true}],"schema":"https://github.com/citation-style-language/schema/raw/master/csl-citation.json"}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(2021)</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using newer data and accounting for firm-level variation, finds no significant link between price-regulation exposure and R&amp;D intensity, which weakens the inference further. The evidence suggests that large and sustained revenue restraints can affect this sector, but does not support the claim that a modest contribution of the indicative size will have similar effects</w:t>
      </w:r>
      <w:bookmarkEnd w:id="157"/>
      <w:r w:rsidRPr="005F0A67">
        <w:rPr>
          <w:rFonts w:asciiTheme="majorBidi" w:eastAsia="Times New Roman" w:hAnsiTheme="majorBidi" w:cstheme="majorBidi"/>
          <w:lang w:val="en-CA" w:eastAsia="en-GB"/>
        </w:rPr>
        <w:t>.</w:t>
      </w:r>
    </w:p>
    <w:p w14:paraId="52A97626"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For laboratory equipment and technical services, the medical-device excise tax is the closest sectoral comparison. Lee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{"citationID":"Y3WBDxD3","properties":{"unsorted":false,"formattedCitation":"(2018)","plainCitation":"(2018)","noteIndex":0},"citationItems":[{"id":168,"uris":["http://zotero.org/users/14977742/items/RIYKPLZB"],"itemData":{"id":168,"type":"article-journal","abstract":"This article examines how the excise tax affects firms’ R&amp;D investment, performance, and market strategy in the US medical device industry. The Affordable Care Act imposed a 2.3% excise tax on medical devices beginning in January 2013, and thus this study compares the medical device firms with other high-tech firms before and after the tax incidence. Using COMPUSTAT data from 2006 to 2015, the author finds that the excise tax reduced R&amp;D investment, sales revenue, gross margins, and earnings for medical device firms. In addition, the excise tax increased their global market sales intensity, global market diversification, and customer diversification in the US domestic market.","citation-key":"leeImpactExciseTax2018","container-title":"Research Policy","DOI":"10.1016/j.respol.2018.02.010","ISSN":"0048-7333","issue":"5","journalAbbreviation":"Research Policy","page":"854-871","source":"ScienceDirect","title":"Impact of the excise tax on firm R&amp;D and performance in the medical device industry: Evidence from the Affordable Care Act","title-short":"Impact of the excise tax on firm R&amp;D and performance in the medical device industry","volume":"47","author":[{"family":"Lee","given":"Daeyong"}],"issued":{"date-parts":[["2018",6,1]]}},"suppress-author":true}],"schema":"https://github.com/citation-style-language/schema/raw/master/csl-citation.json"}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(2018)</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finds that a 2.3% excise tax on US medical-device sales reduced R&amp;D investment, sales revenue, gross margins, and profits. Huston et al.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{"citationID":"QuHdPKB7","properties":{"unsorted":false,"formattedCitation":"(2023)","plainCitation":"(2023)","noteIndex":0},"citationItems":[{"id":167,"uris":["http://zotero.org/users/14977742/items/EU3SR9DW"],"itemData":{"id":167,"type":"article-journal","abstract":"SYNOPSIS\n            The Medical Device Excise Tax (MDET) enacted a 2.3 percent tax on domestic sales of certain medical devices. Medical device firms suggested the tax would reduce profitability, leading to cuts in employees, research and development, and capital expenditures. However, we find that medical device firms engaged in more income tax avoidance in response to the MDET. Furthermore, medical device firms with high income tax avoidance made no significant cuts to investment spending or employees, whereas firms with low income tax avoidance significantly decreased investment spending and employees. Our findings suggest that some medical device firms used income tax avoidance as a substitute for reducing investment spending. Our results serve to inform both researchers and policymakers regarding the interplay between non-income taxes and income tax avoidance.","citation-key":"hustonHowFirmsRespond2023","container-title":"Accounting Horizons","DOI":"10.2308/HORIZONS-2021-069","ISSN":"0888-7993, 1558-7975","issue":"4","language":"en","page":"97-116","source":"DOI.org (Crossref)","title":"How Do Firms Respond to a Non-Income Tax? The Interplay between Non-Income Taxes and Income Tax Avoidance","title-short":"How Do Firms Respond to a Non-Income Tax?","volume":"37","author":[{"family":"Huston","given":"G. Ryan"},{"family":"Wang","given":"Yangmei"},{"family":"Wang","given":"Tiankai"}],"issued":{"date-parts":[["2023",12,1]]}},"suppress-author":true}],"schema":"https://github.com/citation-style-language/schema/raw/master/csl-citation.json"}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(2023)</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report that firms with greater capacity for income-tax avoidance offset the charge and did not significantly reduce investment or employment, while firms with less avoidance capacity did reduce both. This evidence confirms that a direct sales-based charge can impact the sector, but the 2.3% rate studied is over twenty times higher than the Cali Fund revenue rate, so the findings are not directly transferable.</w:t>
      </w:r>
    </w:p>
    <w:p w14:paraId="4A267123"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For digital platforms and information services, </w:t>
      </w:r>
      <w:proofErr w:type="spellStart"/>
      <w:r w:rsidRPr="005F0A67">
        <w:rPr>
          <w:rFonts w:asciiTheme="majorBidi" w:eastAsia="Times New Roman" w:hAnsiTheme="majorBidi" w:cstheme="majorBidi"/>
          <w:lang w:val="en-CA" w:eastAsia="en-GB"/>
        </w:rPr>
        <w:t>Lassmann</w:t>
      </w:r>
      <w:proofErr w:type="spellEnd"/>
      <w:r w:rsidRPr="005F0A67">
        <w:rPr>
          <w:rFonts w:asciiTheme="majorBidi" w:eastAsia="Times New Roman" w:hAnsiTheme="majorBidi" w:cstheme="majorBidi"/>
          <w:lang w:val="en-CA" w:eastAsia="en-GB"/>
        </w:rPr>
        <w:t xml:space="preserve"> et al.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{"citationID":"Ie0HCNDB","properties":{"unsorted":false,"formattedCitation":"(2020)","plainCitation":"(2020)","noteIndex":0},"citationItems":[{"id":166,"uris":["http://zotero.org/users/14977742/items/9Y6JQKR3"],"itemData":{"id":166,"type":"article","abstract":"We analyze the effect and welfare implications of taxing multinational digital platforms on the global online advertising market. Using a novel dataset on advertising prices and product preferences of users from Facebook in OECD countries, jointly with international trade data, we show that an increase in the platform’s corporate tax rate in some countries had a strong effect on advertising prices therein. The increase spills over to other countries through pre-existing international trade linkages. This result is consistent with our theoretical model, which shows that a digital platform reduces the supply of ads to advertisers from countries where taxation increases.","citation-key":"lassmannGlobalSpilloversTaxation2020","DOI":"10.2139/ssrn.3552389","genre":"SSRN Scholarly Paper","language":"en","number":"3552389","publisher":"Social Science Research Network","publisher-place":"Rochester, NY","source":"papers.ssrn.com","title":"Global Spillovers of Taxation in the Online Advertising Market. Theory and Evidence from Facebook","URL":"https://papers.ssrn.com/abstract=3552389","author":[{"family":"Lassmann","given":"Andrea"},{"family":"Liberini","given":"Federica"},{"family":"Russo","given":"Antonio"},{"family":"Cuevas","given":"Ángel"},{"family":"Cuevas","given":"Ruben"}],"accessed":{"date-parts":[["2026",6,1]]},"issued":{"date-parts":[["2020"]]}},"suppress-author":true}],"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(2020)</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find that tax increases in online advertising markets are mostly passed through to prices. However, the study does not show significant reductions in output, employment, or relocation at the firm level. This is consistent with the general assumption of low materiality, but it does not offer direct evidence regarding the Cali Fund’s information and technical services contributors. </w:t>
      </w:r>
    </w:p>
    <w:p w14:paraId="3FCF23AE"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lastRenderedPageBreak/>
        <w:t xml:space="preserve">For nutraceuticals and functional foods, cosmetics and personal care, plant breeding, and animal breeding, the literature search did not identify close payment-burden analogues. For these sectors, the assessment necessarily relies on the broad cross-sectoral evidence as the primary reference, supplemented by the sector-by-sector analysis in Sections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_Ref231420184 \r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7.7</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to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_Ref231897708 \r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7.13</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w:t>
      </w:r>
    </w:p>
    <w:p w14:paraId="0898AD7F"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Taken together, these studies suggest that a contribution at the Cali Fund's indicative rate is unlikely to drive significant material changes in employment, pricing or general investment for most affected firms. Based on the tax literature evidence, R&amp;D investment emerges as potentially sensitive to a profit burden of this scale: Lichter et. al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{"citationID":"aahcmsqtm6","properties":{"unsorted":false,"formattedCitation":"(2025)","plainCitation":"(2025)","noteIndex":0},"citationItems":[{"id":181,"uris":["http://zotero.org/users/14977742/items/H43L3BEQ"],"itemData":{"id":181,"type":"article-journal","abstract":"We study how profit taxes affect establishments' R&amp;D activities. Relying on detailed panel data of R&amp;D-active firms in Germany over two decades, we exploit identifying variation induced by more than 10,000 municipal changes in the local business tax rate and federal tax reforms with locally varying effects. Using event-study techniques, we find a sizable, negative effect of profit taxes on establishments' total R&amp;D spending and patents filed. Zooming into the innovation production process, we uncover substantial heterogeneity in the impact of profit taxation for various R&amp;D input factors, among firm characteristics, and for different types of research projects.","citation-key":"lichterProfitTaxationRampD2025","container-title":"American Economic Journal: Economic Policy","DOI":"10.1257/pol.20220580","ISSN":"1945-7731","issue":"1","language":"en","page":"432-463","source":"www.aeaweb.org","title":"Profit Taxation, R&amp;amp;D Spending, and Innovation","volume":"17","author":[{"family":"Lichter","given":"Andreas"},{"family":"Löffler","given":"Max"},{"family":"Isphording","given":"Ingo E."},{"family":"Nguyen","given":"Thu-Van"},{"family":"Poege","given":"Felix"},{"family":"Siegloch","given":"Sebastian"}],"issued":{"date-parts":[["2025",2]]}},"suppress-author":true}],"schema":"https://github.com/citation-style-language/schema/raw/master/csl-citation.json"}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Georgia" w:hAnsiTheme="majorBidi" w:cstheme="majorBidi"/>
          <w:lang w:eastAsia="en-GB"/>
        </w:rPr>
        <w:t>(2025)</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find that a comparable one percentage point tax burden reduces R&amp;D expenditure by approximately 6-8% over an eight-year horizon, however, the most likely firms to face this impact are those financially constrained. The large, well-capitalised firms that account for a large portion of firms in-scope are less likely to fall into that category, and for revenue-based payers the innovation channel may be more indirect. That inference is strongest for diversified, highly profitable firms and weakest where margins are persistently low and where a sector already faces strong product-market revenue restraints. Sections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_Ref231420184 \r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7.7</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to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_Ref231897708 \r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7.13</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examine where these concerns are </w:t>
      </w:r>
      <w:bookmarkEnd w:id="155"/>
      <w:r w:rsidRPr="005F0A67">
        <w:rPr>
          <w:rFonts w:asciiTheme="majorBidi" w:eastAsia="Times New Roman" w:hAnsiTheme="majorBidi" w:cstheme="majorBidi"/>
          <w:lang w:val="en-CA" w:eastAsia="en-GB"/>
        </w:rPr>
        <w:t xml:space="preserve">most material at the sector level. Section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_Ref231899209 \r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7.14</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summarises the competitiveness impact materiality assessment across all sectors. </w:t>
      </w:r>
    </w:p>
    <w:p w14:paraId="64448819" w14:textId="77777777" w:rsidR="005F0A67" w:rsidRPr="005F0A67" w:rsidRDefault="005F0A67" w:rsidP="005F0A67">
      <w:pPr>
        <w:numPr>
          <w:ilvl w:val="1"/>
          <w:numId w:val="12"/>
        </w:numPr>
        <w:tabs>
          <w:tab w:val="clear" w:pos="567"/>
          <w:tab w:val="clear" w:pos="1134"/>
          <w:tab w:val="clear" w:pos="1701"/>
          <w:tab w:val="clear" w:pos="2268"/>
        </w:tabs>
        <w:spacing w:before="320" w:after="160"/>
        <w:ind w:left="576" w:hanging="576"/>
        <w:jc w:val="left"/>
        <w:outlineLvl w:val="1"/>
        <w:rPr>
          <w:rFonts w:asciiTheme="majorBidi" w:eastAsia="Arial" w:hAnsiTheme="majorBidi" w:cstheme="majorBidi"/>
          <w:b/>
          <w:bCs/>
          <w:color w:val="1A1A1A"/>
          <w:sz w:val="23"/>
          <w:szCs w:val="23"/>
          <w:lang w:val="en-CA" w:eastAsia="en-GB"/>
        </w:rPr>
      </w:pPr>
      <w:bookmarkStart w:id="159" w:name="_Ref230281726"/>
      <w:bookmarkStart w:id="160" w:name="_Toc234579595"/>
      <w:bookmarkStart w:id="161" w:name="OLE_LINK4"/>
      <w:r w:rsidRPr="005F0A67">
        <w:rPr>
          <w:rFonts w:asciiTheme="majorBidi" w:eastAsia="Arial" w:hAnsiTheme="majorBidi" w:cstheme="majorBidi"/>
          <w:b/>
          <w:bCs/>
          <w:color w:val="1A1A1A"/>
          <w:sz w:val="23"/>
          <w:szCs w:val="23"/>
          <w:lang w:val="en-CA" w:eastAsia="en-GB"/>
        </w:rPr>
        <w:t>Competitiveness assessment framework</w:t>
      </w:r>
      <w:bookmarkEnd w:id="159"/>
      <w:bookmarkEnd w:id="160"/>
      <w:r w:rsidRPr="005F0A67">
        <w:rPr>
          <w:rFonts w:asciiTheme="majorBidi" w:eastAsia="Arial" w:hAnsiTheme="majorBidi" w:cstheme="majorBidi"/>
          <w:b/>
          <w:bCs/>
          <w:color w:val="1A1A1A"/>
          <w:sz w:val="23"/>
          <w:szCs w:val="23"/>
          <w:lang w:val="en-CA" w:eastAsia="en-GB"/>
        </w:rPr>
        <w:t xml:space="preserve"> </w:t>
      </w:r>
    </w:p>
    <w:p w14:paraId="3426124E"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_Ref230370396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Figure 11</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presents the three-step assessment framework applied throughout Part III. Step 1 characterises each affected firm across three dimensions: sector and structural features; value chain position and DSI use intensity; and expected contribution base. Step 2 sorts firms into competitive asymmetry groups, since the Cali Fund affects different firms differently. Three asymmetries are relevant, corresponding to the three stages of the participation framework from Section 4: between eligible firms in scope of the assessment and non-eligible competitors operating in the same product markets (Stage 1); within the eligible population, between participating and non-participating firms (Stage 2); and within the participating population, between firms paying on revenue and those paying on profit (Stage 3). Each distinction adds a potential new source of competitive asymmetry between firms competing in the same market. Step 3 assesses the competitive effects that result from Steps 1 and 2 interacting, organised across the three competitiveness impact pillars introduced in Section 7.3 (“Methodological approach”). Each stage of Step 2 is also conditioned by specific design uncertainties identified in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_Ref229844376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Table 1</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which introduce additional sources of asymmetry or ambiguity into the analysis. These links are developed in the relevant stage subsections.</w:t>
      </w:r>
    </w:p>
    <w:p w14:paraId="7580838D" w14:textId="77777777" w:rsidR="00B009ED" w:rsidRDefault="00B009ED" w:rsidP="005F0A67">
      <w:pPr>
        <w:numPr>
          <w:ilvl w:val="4"/>
          <w:numId w:val="0"/>
        </w:numPr>
        <w:tabs>
          <w:tab w:val="clear" w:pos="567"/>
          <w:tab w:val="clear" w:pos="1134"/>
          <w:tab w:val="clear" w:pos="1701"/>
          <w:tab w:val="clear" w:pos="2268"/>
        </w:tabs>
        <w:spacing w:after="120"/>
        <w:jc w:val="left"/>
        <w:outlineLvl w:val="4"/>
        <w:rPr>
          <w:rFonts w:asciiTheme="majorBidi" w:eastAsia="Georgia" w:hAnsiTheme="majorBidi" w:cstheme="majorBidi"/>
          <w:b/>
          <w:bCs/>
          <w:color w:val="419844"/>
          <w:lang w:eastAsia="en-GB"/>
        </w:rPr>
      </w:pPr>
      <w:bookmarkStart w:id="162" w:name="_Ref230370396"/>
    </w:p>
    <w:p w14:paraId="4AB1D288" w14:textId="77777777" w:rsidR="00B009ED" w:rsidRDefault="00B009ED" w:rsidP="005F0A67">
      <w:pPr>
        <w:numPr>
          <w:ilvl w:val="4"/>
          <w:numId w:val="0"/>
        </w:numPr>
        <w:tabs>
          <w:tab w:val="clear" w:pos="567"/>
          <w:tab w:val="clear" w:pos="1134"/>
          <w:tab w:val="clear" w:pos="1701"/>
          <w:tab w:val="clear" w:pos="2268"/>
        </w:tabs>
        <w:spacing w:after="120"/>
        <w:jc w:val="left"/>
        <w:outlineLvl w:val="4"/>
        <w:rPr>
          <w:rFonts w:asciiTheme="majorBidi" w:eastAsia="Georgia" w:hAnsiTheme="majorBidi" w:cstheme="majorBidi"/>
          <w:b/>
          <w:bCs/>
          <w:color w:val="419844"/>
          <w:lang w:eastAsia="en-GB"/>
        </w:rPr>
      </w:pPr>
    </w:p>
    <w:p w14:paraId="01A96705" w14:textId="77777777" w:rsidR="00B009ED" w:rsidRDefault="00B009ED" w:rsidP="005F0A67">
      <w:pPr>
        <w:numPr>
          <w:ilvl w:val="4"/>
          <w:numId w:val="0"/>
        </w:numPr>
        <w:tabs>
          <w:tab w:val="clear" w:pos="567"/>
          <w:tab w:val="clear" w:pos="1134"/>
          <w:tab w:val="clear" w:pos="1701"/>
          <w:tab w:val="clear" w:pos="2268"/>
        </w:tabs>
        <w:spacing w:after="120"/>
        <w:jc w:val="left"/>
        <w:outlineLvl w:val="4"/>
        <w:rPr>
          <w:rFonts w:asciiTheme="majorBidi" w:eastAsia="Georgia" w:hAnsiTheme="majorBidi" w:cstheme="majorBidi"/>
          <w:b/>
          <w:bCs/>
          <w:color w:val="419844"/>
          <w:lang w:eastAsia="en-GB"/>
        </w:rPr>
      </w:pPr>
    </w:p>
    <w:p w14:paraId="239E7181" w14:textId="77777777" w:rsidR="00B009ED" w:rsidRDefault="00B009ED" w:rsidP="005F0A67">
      <w:pPr>
        <w:numPr>
          <w:ilvl w:val="4"/>
          <w:numId w:val="0"/>
        </w:numPr>
        <w:tabs>
          <w:tab w:val="clear" w:pos="567"/>
          <w:tab w:val="clear" w:pos="1134"/>
          <w:tab w:val="clear" w:pos="1701"/>
          <w:tab w:val="clear" w:pos="2268"/>
        </w:tabs>
        <w:spacing w:after="120"/>
        <w:jc w:val="left"/>
        <w:outlineLvl w:val="4"/>
        <w:rPr>
          <w:rFonts w:asciiTheme="majorBidi" w:eastAsia="Georgia" w:hAnsiTheme="majorBidi" w:cstheme="majorBidi"/>
          <w:b/>
          <w:bCs/>
          <w:color w:val="419844"/>
          <w:lang w:eastAsia="en-GB"/>
        </w:rPr>
      </w:pPr>
    </w:p>
    <w:p w14:paraId="76E8BA77" w14:textId="77777777" w:rsidR="00B009ED" w:rsidRDefault="00B009ED" w:rsidP="005F0A67">
      <w:pPr>
        <w:numPr>
          <w:ilvl w:val="4"/>
          <w:numId w:val="0"/>
        </w:numPr>
        <w:tabs>
          <w:tab w:val="clear" w:pos="567"/>
          <w:tab w:val="clear" w:pos="1134"/>
          <w:tab w:val="clear" w:pos="1701"/>
          <w:tab w:val="clear" w:pos="2268"/>
        </w:tabs>
        <w:spacing w:after="120"/>
        <w:jc w:val="left"/>
        <w:outlineLvl w:val="4"/>
        <w:rPr>
          <w:rFonts w:asciiTheme="majorBidi" w:eastAsia="Georgia" w:hAnsiTheme="majorBidi" w:cstheme="majorBidi"/>
          <w:b/>
          <w:bCs/>
          <w:color w:val="419844"/>
          <w:lang w:eastAsia="en-GB"/>
        </w:rPr>
      </w:pPr>
    </w:p>
    <w:p w14:paraId="7A040136" w14:textId="77777777" w:rsidR="00B009ED" w:rsidRDefault="00B009ED" w:rsidP="005F0A67">
      <w:pPr>
        <w:numPr>
          <w:ilvl w:val="4"/>
          <w:numId w:val="0"/>
        </w:numPr>
        <w:tabs>
          <w:tab w:val="clear" w:pos="567"/>
          <w:tab w:val="clear" w:pos="1134"/>
          <w:tab w:val="clear" w:pos="1701"/>
          <w:tab w:val="clear" w:pos="2268"/>
        </w:tabs>
        <w:spacing w:after="120"/>
        <w:jc w:val="left"/>
        <w:outlineLvl w:val="4"/>
        <w:rPr>
          <w:rFonts w:asciiTheme="majorBidi" w:eastAsia="Georgia" w:hAnsiTheme="majorBidi" w:cstheme="majorBidi"/>
          <w:b/>
          <w:bCs/>
          <w:color w:val="419844"/>
          <w:lang w:eastAsia="en-GB"/>
        </w:rPr>
      </w:pPr>
    </w:p>
    <w:p w14:paraId="116CAD48" w14:textId="77777777" w:rsidR="00B009ED" w:rsidRDefault="00B009ED" w:rsidP="005F0A67">
      <w:pPr>
        <w:numPr>
          <w:ilvl w:val="4"/>
          <w:numId w:val="0"/>
        </w:numPr>
        <w:tabs>
          <w:tab w:val="clear" w:pos="567"/>
          <w:tab w:val="clear" w:pos="1134"/>
          <w:tab w:val="clear" w:pos="1701"/>
          <w:tab w:val="clear" w:pos="2268"/>
        </w:tabs>
        <w:spacing w:after="120"/>
        <w:jc w:val="left"/>
        <w:outlineLvl w:val="4"/>
        <w:rPr>
          <w:rFonts w:asciiTheme="majorBidi" w:eastAsia="Georgia" w:hAnsiTheme="majorBidi" w:cstheme="majorBidi"/>
          <w:b/>
          <w:bCs/>
          <w:color w:val="419844"/>
          <w:lang w:eastAsia="en-GB"/>
        </w:rPr>
      </w:pPr>
    </w:p>
    <w:p w14:paraId="6DA9E69D" w14:textId="77777777" w:rsidR="00B009ED" w:rsidRDefault="00B009ED" w:rsidP="005F0A67">
      <w:pPr>
        <w:numPr>
          <w:ilvl w:val="4"/>
          <w:numId w:val="0"/>
        </w:numPr>
        <w:tabs>
          <w:tab w:val="clear" w:pos="567"/>
          <w:tab w:val="clear" w:pos="1134"/>
          <w:tab w:val="clear" w:pos="1701"/>
          <w:tab w:val="clear" w:pos="2268"/>
        </w:tabs>
        <w:spacing w:after="120"/>
        <w:jc w:val="left"/>
        <w:outlineLvl w:val="4"/>
        <w:rPr>
          <w:rFonts w:asciiTheme="majorBidi" w:eastAsia="Georgia" w:hAnsiTheme="majorBidi" w:cstheme="majorBidi"/>
          <w:b/>
          <w:bCs/>
          <w:color w:val="419844"/>
          <w:lang w:eastAsia="en-GB"/>
        </w:rPr>
      </w:pPr>
    </w:p>
    <w:p w14:paraId="054E05B5" w14:textId="77777777" w:rsidR="00B009ED" w:rsidRDefault="00B009ED" w:rsidP="005F0A67">
      <w:pPr>
        <w:numPr>
          <w:ilvl w:val="4"/>
          <w:numId w:val="0"/>
        </w:numPr>
        <w:tabs>
          <w:tab w:val="clear" w:pos="567"/>
          <w:tab w:val="clear" w:pos="1134"/>
          <w:tab w:val="clear" w:pos="1701"/>
          <w:tab w:val="clear" w:pos="2268"/>
        </w:tabs>
        <w:spacing w:after="120"/>
        <w:jc w:val="left"/>
        <w:outlineLvl w:val="4"/>
        <w:rPr>
          <w:rFonts w:asciiTheme="majorBidi" w:eastAsia="Georgia" w:hAnsiTheme="majorBidi" w:cstheme="majorBidi"/>
          <w:b/>
          <w:bCs/>
          <w:color w:val="419844"/>
          <w:lang w:eastAsia="en-GB"/>
        </w:rPr>
      </w:pPr>
    </w:p>
    <w:p w14:paraId="62C94679" w14:textId="77777777" w:rsidR="00B009ED" w:rsidRDefault="00B009ED" w:rsidP="005F0A67">
      <w:pPr>
        <w:numPr>
          <w:ilvl w:val="4"/>
          <w:numId w:val="0"/>
        </w:numPr>
        <w:tabs>
          <w:tab w:val="clear" w:pos="567"/>
          <w:tab w:val="clear" w:pos="1134"/>
          <w:tab w:val="clear" w:pos="1701"/>
          <w:tab w:val="clear" w:pos="2268"/>
        </w:tabs>
        <w:spacing w:after="120"/>
        <w:jc w:val="left"/>
        <w:outlineLvl w:val="4"/>
        <w:rPr>
          <w:rFonts w:asciiTheme="majorBidi" w:eastAsia="Georgia" w:hAnsiTheme="majorBidi" w:cstheme="majorBidi"/>
          <w:b/>
          <w:bCs/>
          <w:color w:val="419844"/>
          <w:lang w:eastAsia="en-GB"/>
        </w:rPr>
      </w:pPr>
    </w:p>
    <w:p w14:paraId="727B5C3C" w14:textId="77777777" w:rsidR="00B009ED" w:rsidRDefault="00B009ED" w:rsidP="005F0A67">
      <w:pPr>
        <w:numPr>
          <w:ilvl w:val="4"/>
          <w:numId w:val="0"/>
        </w:numPr>
        <w:tabs>
          <w:tab w:val="clear" w:pos="567"/>
          <w:tab w:val="clear" w:pos="1134"/>
          <w:tab w:val="clear" w:pos="1701"/>
          <w:tab w:val="clear" w:pos="2268"/>
        </w:tabs>
        <w:spacing w:after="120"/>
        <w:jc w:val="left"/>
        <w:outlineLvl w:val="4"/>
        <w:rPr>
          <w:rFonts w:asciiTheme="majorBidi" w:eastAsia="Georgia" w:hAnsiTheme="majorBidi" w:cstheme="majorBidi"/>
          <w:b/>
          <w:bCs/>
          <w:color w:val="419844"/>
          <w:lang w:eastAsia="en-GB"/>
        </w:rPr>
      </w:pPr>
    </w:p>
    <w:p w14:paraId="4D0A1067" w14:textId="77777777" w:rsidR="00B009ED" w:rsidRDefault="00B009ED" w:rsidP="005F0A67">
      <w:pPr>
        <w:numPr>
          <w:ilvl w:val="4"/>
          <w:numId w:val="0"/>
        </w:numPr>
        <w:tabs>
          <w:tab w:val="clear" w:pos="567"/>
          <w:tab w:val="clear" w:pos="1134"/>
          <w:tab w:val="clear" w:pos="1701"/>
          <w:tab w:val="clear" w:pos="2268"/>
        </w:tabs>
        <w:spacing w:after="120"/>
        <w:jc w:val="left"/>
        <w:outlineLvl w:val="4"/>
        <w:rPr>
          <w:rFonts w:asciiTheme="majorBidi" w:eastAsia="Georgia" w:hAnsiTheme="majorBidi" w:cstheme="majorBidi"/>
          <w:b/>
          <w:bCs/>
          <w:color w:val="419844"/>
          <w:lang w:eastAsia="en-GB"/>
        </w:rPr>
      </w:pPr>
    </w:p>
    <w:p w14:paraId="0270F00A" w14:textId="77777777" w:rsidR="00B009ED" w:rsidRDefault="00B009ED" w:rsidP="005F0A67">
      <w:pPr>
        <w:numPr>
          <w:ilvl w:val="4"/>
          <w:numId w:val="0"/>
        </w:numPr>
        <w:tabs>
          <w:tab w:val="clear" w:pos="567"/>
          <w:tab w:val="clear" w:pos="1134"/>
          <w:tab w:val="clear" w:pos="1701"/>
          <w:tab w:val="clear" w:pos="2268"/>
        </w:tabs>
        <w:spacing w:after="120"/>
        <w:jc w:val="left"/>
        <w:outlineLvl w:val="4"/>
        <w:rPr>
          <w:rFonts w:asciiTheme="majorBidi" w:eastAsia="Georgia" w:hAnsiTheme="majorBidi" w:cstheme="majorBidi"/>
          <w:b/>
          <w:bCs/>
          <w:color w:val="419844"/>
          <w:lang w:eastAsia="en-GB"/>
        </w:rPr>
      </w:pPr>
    </w:p>
    <w:p w14:paraId="651B4CB1" w14:textId="77777777" w:rsidR="00B009ED" w:rsidRDefault="00B009ED" w:rsidP="005F0A67">
      <w:pPr>
        <w:numPr>
          <w:ilvl w:val="4"/>
          <w:numId w:val="0"/>
        </w:numPr>
        <w:tabs>
          <w:tab w:val="clear" w:pos="567"/>
          <w:tab w:val="clear" w:pos="1134"/>
          <w:tab w:val="clear" w:pos="1701"/>
          <w:tab w:val="clear" w:pos="2268"/>
        </w:tabs>
        <w:spacing w:after="120"/>
        <w:jc w:val="left"/>
        <w:outlineLvl w:val="4"/>
        <w:rPr>
          <w:rFonts w:asciiTheme="majorBidi" w:eastAsia="Georgia" w:hAnsiTheme="majorBidi" w:cstheme="majorBidi"/>
          <w:b/>
          <w:bCs/>
          <w:color w:val="419844"/>
          <w:lang w:eastAsia="en-GB"/>
        </w:rPr>
      </w:pPr>
    </w:p>
    <w:p w14:paraId="33991167" w14:textId="7D876011" w:rsidR="005F0A67" w:rsidRPr="005F0A67" w:rsidRDefault="005F0A67" w:rsidP="005F0A67">
      <w:pPr>
        <w:numPr>
          <w:ilvl w:val="4"/>
          <w:numId w:val="0"/>
        </w:numPr>
        <w:tabs>
          <w:tab w:val="clear" w:pos="567"/>
          <w:tab w:val="clear" w:pos="1134"/>
          <w:tab w:val="clear" w:pos="1701"/>
          <w:tab w:val="clear" w:pos="2268"/>
        </w:tabs>
        <w:spacing w:after="120"/>
        <w:jc w:val="left"/>
        <w:outlineLvl w:val="4"/>
        <w:rPr>
          <w:rFonts w:asciiTheme="majorBidi" w:eastAsia="Georgia" w:hAnsiTheme="majorBidi" w:cstheme="majorBidi"/>
          <w:b/>
          <w:bCs/>
          <w:color w:val="419844"/>
          <w:lang w:eastAsia="en-GB"/>
        </w:rPr>
      </w:pPr>
      <w:r w:rsidRPr="005F0A67">
        <w:rPr>
          <w:rFonts w:asciiTheme="majorBidi" w:eastAsia="Georgia" w:hAnsiTheme="majorBidi" w:cstheme="majorBidi"/>
          <w:b/>
          <w:bCs/>
          <w:color w:val="419844"/>
          <w:lang w:eastAsia="en-GB"/>
        </w:rPr>
        <w:t xml:space="preserve">Figure </w:t>
      </w:r>
      <w:r w:rsidRPr="005F0A67">
        <w:rPr>
          <w:rFonts w:asciiTheme="majorBidi" w:eastAsia="Georgia" w:hAnsiTheme="majorBidi" w:cstheme="majorBidi"/>
          <w:b/>
          <w:bCs/>
          <w:color w:val="419844"/>
          <w:lang w:eastAsia="en-GB"/>
        </w:rPr>
        <w:fldChar w:fldCharType="begin"/>
      </w:r>
      <w:r w:rsidRPr="005F0A67">
        <w:rPr>
          <w:rFonts w:asciiTheme="majorBidi" w:eastAsia="Georgia" w:hAnsiTheme="majorBidi" w:cstheme="majorBidi"/>
          <w:b/>
          <w:bCs/>
          <w:color w:val="419844"/>
          <w:lang w:eastAsia="en-GB"/>
        </w:rPr>
        <w:instrText>SEQ Figure \* ARABIC</w:instrText>
      </w:r>
      <w:r w:rsidRPr="005F0A67">
        <w:rPr>
          <w:rFonts w:asciiTheme="majorBidi" w:eastAsia="Georgia" w:hAnsiTheme="majorBidi" w:cstheme="majorBidi"/>
          <w:b/>
          <w:bCs/>
          <w:color w:val="419844"/>
          <w:lang w:eastAsia="en-GB"/>
        </w:rPr>
        <w:fldChar w:fldCharType="separate"/>
      </w:r>
      <w:r w:rsidRPr="005F0A67">
        <w:rPr>
          <w:rFonts w:asciiTheme="majorBidi" w:eastAsia="Georgia" w:hAnsiTheme="majorBidi" w:cstheme="majorBidi"/>
          <w:b/>
          <w:bCs/>
          <w:noProof/>
          <w:color w:val="419844"/>
          <w:lang w:eastAsia="en-GB"/>
        </w:rPr>
        <w:t>11</w:t>
      </w:r>
      <w:r w:rsidRPr="005F0A67">
        <w:rPr>
          <w:rFonts w:asciiTheme="majorBidi" w:eastAsia="Georgia" w:hAnsiTheme="majorBidi" w:cstheme="majorBidi"/>
          <w:b/>
          <w:bCs/>
          <w:color w:val="419844"/>
          <w:lang w:eastAsia="en-GB"/>
        </w:rPr>
        <w:fldChar w:fldCharType="end"/>
      </w:r>
      <w:bookmarkEnd w:id="162"/>
      <w:r w:rsidRPr="005F0A67">
        <w:rPr>
          <w:rFonts w:asciiTheme="majorBidi" w:eastAsia="Georgia" w:hAnsiTheme="majorBidi" w:cstheme="majorBidi"/>
          <w:b/>
          <w:bCs/>
          <w:color w:val="419844"/>
          <w:lang w:eastAsia="en-GB"/>
        </w:rPr>
        <w:t xml:space="preserve"> Competitiveness assessment framework</w:t>
      </w:r>
    </w:p>
    <w:p w14:paraId="123D78CF"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noProof/>
          <w:lang w:val="en-CA" w:eastAsia="en-GB"/>
        </w:rPr>
        <w:drawing>
          <wp:inline distT="0" distB="0" distL="0" distR="0" wp14:anchorId="7F22227D" wp14:editId="5B9211CA">
            <wp:extent cx="6172200" cy="3326130"/>
            <wp:effectExtent l="0" t="0" r="0" b="1270"/>
            <wp:docPr id="28" name="Picture 27">
              <a:extLst xmlns:a="http://schemas.openxmlformats.org/drawingml/2006/main">
                <a:ext uri="{FF2B5EF4-FFF2-40B4-BE49-F238E27FC236}">
                  <a16:creationId xmlns:a16="http://schemas.microsoft.com/office/drawing/2014/main" id="{ACC54A2D-E369-93ED-D7F3-7CA5C9E3827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7">
                      <a:extLst>
                        <a:ext uri="{FF2B5EF4-FFF2-40B4-BE49-F238E27FC236}">
                          <a16:creationId xmlns:a16="http://schemas.microsoft.com/office/drawing/2014/main" id="{ACC54A2D-E369-93ED-D7F3-7CA5C9E3827F}"/>
                        </a:ext>
                      </a:extLst>
                    </pic:cNvPr>
                    <pic:cNvPicPr>
                      <a:picLocks noChangeAspect="1"/>
                    </pic:cNvPicPr>
                  </pic:nvPicPr>
                  <pic:blipFill>
                    <a:blip r:embed="rId35"/>
                    <a:stretch>
                      <a:fillRect/>
                    </a:stretch>
                  </pic:blipFill>
                  <pic:spPr>
                    <a:xfrm>
                      <a:off x="0" y="0"/>
                      <a:ext cx="6172200" cy="3326130"/>
                    </a:xfrm>
                    <a:prstGeom prst="rect">
                      <a:avLst/>
                    </a:prstGeom>
                  </pic:spPr>
                </pic:pic>
              </a:graphicData>
            </a:graphic>
          </wp:inline>
        </w:drawing>
      </w:r>
    </w:p>
    <w:p w14:paraId="5B504F40"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i/>
          <w:iCs/>
          <w:sz w:val="18"/>
          <w:szCs w:val="18"/>
          <w:lang w:val="en-CA" w:eastAsia="en-GB"/>
        </w:rPr>
        <w:t xml:space="preserve">Note: </w:t>
      </w:r>
      <w:r w:rsidRPr="005F0A67">
        <w:rPr>
          <w:rFonts w:asciiTheme="majorBidi" w:eastAsia="Times New Roman" w:hAnsiTheme="majorBidi" w:cstheme="majorBidi"/>
          <w:sz w:val="18"/>
          <w:szCs w:val="18"/>
          <w:lang w:val="en-CA" w:eastAsia="en-GB"/>
        </w:rPr>
        <w:t xml:space="preserve">The framework is applied across the seven Indicative Enclosure I sectors. Firm characterisation in Step 1 draws on the eligible population data from Makowska-Curran </w:t>
      </w:r>
      <w:r w:rsidRPr="005F0A67">
        <w:rPr>
          <w:rFonts w:asciiTheme="majorBidi" w:eastAsia="Times New Roman" w:hAnsiTheme="majorBidi" w:cstheme="majorBidi"/>
          <w:sz w:val="18"/>
          <w:szCs w:val="18"/>
          <w:lang w:val="en-CA" w:eastAsia="en-GB"/>
        </w:rPr>
        <w:fldChar w:fldCharType="begin"/>
      </w:r>
      <w:r w:rsidRPr="005F0A67">
        <w:rPr>
          <w:rFonts w:asciiTheme="majorBidi" w:eastAsia="Times New Roman" w:hAnsiTheme="majorBidi" w:cstheme="majorBidi"/>
          <w:sz w:val="18"/>
          <w:szCs w:val="18"/>
          <w:lang w:val="en-CA" w:eastAsia="en-GB"/>
        </w:rPr>
        <w:instrText xml:space="preserve"> ADDIN ZOTERO_ITEM CSL_CITATION {"citationID":"ZF3teJGD","properties":{"unsorted":false,"formattedCitation":"(2026)","plainCitation":"(2026)","noteIndex":0},"citationItems":[{"id":77,"uris":["http://zotero.org/users/14977742/items/2PI55QKT"],"itemData":{"id":77,"type":"article-journal","abstract":"This paper provides the first global, firm-level analysis of what the Cali Fund, designed to support global conservation, is likely to raise and how resources would be distributed.","citation-key":"GlobalBiodiversityCommitments","container-title":"Grantham Research Institute on climate change and the environment","language":"en-GB","publisher":"London School of Economics and Political Science (LSE)","title":"From global biodiversity commitments to local action: revenue potential and allocation dynamics of the Cali Fund","title-short":"From global biodiversity commitments to local action","URL":"https://www.lse.ac.uk/granthaminstitute/publication/from-global-biodiversity-commitments-to-local-action-revenue-potential-and-allocation-dynamics-of-the-cali-fund/","author":[{"family":"Makowska-Curran","given":"Agata"}],"accessed":{"date-parts":[["2026",6,3]]},"issued":{"date-parts":[["2026",6]]}},"suppress-author":true}],"schema":"https://github.com/citation-style-language/schema/raw/master/csl-citation.json"} </w:instrText>
      </w:r>
      <w:r w:rsidRPr="005F0A67">
        <w:rPr>
          <w:rFonts w:asciiTheme="majorBidi" w:eastAsia="Times New Roman" w:hAnsiTheme="majorBidi" w:cstheme="majorBidi"/>
          <w:sz w:val="18"/>
          <w:szCs w:val="18"/>
          <w:lang w:val="en-CA" w:eastAsia="en-GB"/>
        </w:rPr>
        <w:fldChar w:fldCharType="separate"/>
      </w:r>
      <w:r w:rsidRPr="005F0A67">
        <w:rPr>
          <w:rFonts w:asciiTheme="majorBidi" w:eastAsia="Times New Roman" w:hAnsiTheme="majorBidi" w:cstheme="majorBidi"/>
          <w:sz w:val="18"/>
          <w:szCs w:val="18"/>
          <w:lang w:val="en-CA" w:eastAsia="en-GB"/>
        </w:rPr>
        <w:t>(2026)</w:t>
      </w:r>
      <w:r w:rsidRPr="005F0A67">
        <w:rPr>
          <w:rFonts w:asciiTheme="majorBidi" w:eastAsia="Times New Roman" w:hAnsiTheme="majorBidi" w:cstheme="majorBidi"/>
          <w:sz w:val="18"/>
          <w:szCs w:val="18"/>
          <w:lang w:val="en-CA" w:eastAsia="en-GB"/>
        </w:rPr>
        <w:fldChar w:fldCharType="end"/>
      </w:r>
      <w:r w:rsidRPr="005F0A67">
        <w:rPr>
          <w:rFonts w:asciiTheme="majorBidi" w:eastAsia="Times New Roman" w:hAnsiTheme="majorBidi" w:cstheme="majorBidi"/>
          <w:sz w:val="18"/>
          <w:szCs w:val="18"/>
          <w:lang w:val="en-CA" w:eastAsia="en-GB"/>
        </w:rPr>
        <w:t xml:space="preserve"> (Part II). The three-stage asymmetry groups in Step 2 follow the overarching analytical framework from Section </w:t>
      </w:r>
      <w:r w:rsidRPr="005F0A67">
        <w:rPr>
          <w:rFonts w:asciiTheme="majorBidi" w:eastAsia="Times New Roman" w:hAnsiTheme="majorBidi" w:cstheme="majorBidi"/>
          <w:sz w:val="18"/>
          <w:szCs w:val="18"/>
          <w:lang w:val="en-CA" w:eastAsia="en-GB"/>
        </w:rPr>
        <w:fldChar w:fldCharType="begin"/>
      </w:r>
      <w:r w:rsidRPr="005F0A67">
        <w:rPr>
          <w:rFonts w:asciiTheme="majorBidi" w:eastAsia="Times New Roman" w:hAnsiTheme="majorBidi" w:cstheme="majorBidi"/>
          <w:sz w:val="18"/>
          <w:szCs w:val="18"/>
          <w:lang w:val="en-CA" w:eastAsia="en-GB"/>
        </w:rPr>
        <w:instrText xml:space="preserve"> REF _Ref229944942 \r \h  \* MERGEFORMAT </w:instrText>
      </w:r>
      <w:r w:rsidRPr="005F0A67">
        <w:rPr>
          <w:rFonts w:asciiTheme="majorBidi" w:eastAsia="Times New Roman" w:hAnsiTheme="majorBidi" w:cstheme="majorBidi"/>
          <w:sz w:val="18"/>
          <w:szCs w:val="18"/>
          <w:lang w:val="en-CA" w:eastAsia="en-GB"/>
        </w:rPr>
      </w:r>
      <w:r w:rsidRPr="005F0A67">
        <w:rPr>
          <w:rFonts w:asciiTheme="majorBidi" w:eastAsia="Times New Roman" w:hAnsiTheme="majorBidi" w:cstheme="majorBidi"/>
          <w:sz w:val="18"/>
          <w:szCs w:val="18"/>
          <w:lang w:val="en-CA" w:eastAsia="en-GB"/>
        </w:rPr>
        <w:fldChar w:fldCharType="separate"/>
      </w:r>
      <w:r w:rsidRPr="005F0A67">
        <w:rPr>
          <w:rFonts w:asciiTheme="majorBidi" w:eastAsia="Times New Roman" w:hAnsiTheme="majorBidi" w:cstheme="majorBidi"/>
          <w:sz w:val="18"/>
          <w:szCs w:val="18"/>
          <w:lang w:val="en-CA" w:eastAsia="en-GB"/>
        </w:rPr>
        <w:t>4</w:t>
      </w:r>
      <w:r w:rsidRPr="005F0A67">
        <w:rPr>
          <w:rFonts w:asciiTheme="majorBidi" w:eastAsia="Times New Roman" w:hAnsiTheme="majorBidi" w:cstheme="majorBidi"/>
          <w:sz w:val="18"/>
          <w:szCs w:val="18"/>
          <w:lang w:val="en-CA" w:eastAsia="en-GB"/>
        </w:rPr>
        <w:fldChar w:fldCharType="end"/>
      </w:r>
      <w:r w:rsidRPr="005F0A67">
        <w:rPr>
          <w:rFonts w:asciiTheme="majorBidi" w:eastAsia="Times New Roman" w:hAnsiTheme="majorBidi" w:cstheme="majorBidi"/>
          <w:sz w:val="18"/>
          <w:szCs w:val="18"/>
          <w:lang w:val="en-CA" w:eastAsia="en-GB"/>
        </w:rPr>
        <w:t xml:space="preserve"> (participation stages 1-3). Steps 1&amp; 2 findings inform the Pillar analysis in Step 3. The results of the competitiveness analysis are presented in Sections 7.7 to 7.13.</w:t>
      </w:r>
    </w:p>
    <w:p w14:paraId="32FD30FA" w14:textId="77777777" w:rsidR="005F0A67" w:rsidRPr="005F0A67" w:rsidRDefault="005F0A67" w:rsidP="005F0A67">
      <w:pPr>
        <w:tabs>
          <w:tab w:val="clear" w:pos="567"/>
          <w:tab w:val="clear" w:pos="1134"/>
          <w:tab w:val="clear" w:pos="1701"/>
          <w:tab w:val="clear" w:pos="2268"/>
        </w:tabs>
        <w:spacing w:line="293" w:lineRule="auto"/>
        <w:rPr>
          <w:rFonts w:asciiTheme="majorBidi" w:eastAsia="Times New Roman" w:hAnsiTheme="majorBidi" w:cstheme="majorBidi"/>
          <w:iCs/>
          <w:sz w:val="18"/>
          <w:szCs w:val="18"/>
          <w:lang w:val="en-CA" w:eastAsia="en-GB"/>
        </w:rPr>
      </w:pPr>
      <w:r w:rsidRPr="005F0A67">
        <w:rPr>
          <w:rFonts w:asciiTheme="majorBidi" w:eastAsia="Times New Roman" w:hAnsiTheme="majorBidi" w:cstheme="majorBidi"/>
          <w:i/>
          <w:iCs/>
          <w:sz w:val="18"/>
          <w:szCs w:val="18"/>
          <w:lang w:val="en-CA" w:eastAsia="en-GB"/>
        </w:rPr>
        <w:t xml:space="preserve">Source: </w:t>
      </w:r>
      <w:r w:rsidRPr="005F0A67">
        <w:rPr>
          <w:rFonts w:asciiTheme="majorBidi" w:eastAsia="Times New Roman" w:hAnsiTheme="majorBidi" w:cstheme="majorBidi"/>
          <w:sz w:val="18"/>
          <w:szCs w:val="18"/>
          <w:lang w:val="en-CA" w:eastAsia="en-GB"/>
        </w:rPr>
        <w:t>Author’s illustration.</w:t>
      </w:r>
    </w:p>
    <w:p w14:paraId="364CC1C9" w14:textId="77777777" w:rsidR="005F0A67" w:rsidRPr="005F0A67" w:rsidRDefault="005F0A67" w:rsidP="005F0A67">
      <w:pPr>
        <w:tabs>
          <w:tab w:val="clear" w:pos="567"/>
          <w:tab w:val="clear" w:pos="1134"/>
          <w:tab w:val="clear" w:pos="1701"/>
          <w:tab w:val="clear" w:pos="2268"/>
        </w:tabs>
        <w:spacing w:line="293" w:lineRule="auto"/>
        <w:rPr>
          <w:rFonts w:asciiTheme="majorBidi" w:eastAsia="Times New Roman" w:hAnsiTheme="majorBidi" w:cstheme="majorBidi"/>
          <w:sz w:val="18"/>
          <w:szCs w:val="18"/>
          <w:lang w:val="en-CA" w:eastAsia="en-GB"/>
        </w:rPr>
      </w:pPr>
    </w:p>
    <w:p w14:paraId="39B30321"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A note on how to read the Materiality ratings that follow: they reflect a qualitative judgement about Magnitude and Probability together, rather than a scored or weighted formula. This approach reflects the underlying evidence base, which mixes quantitative estimates (margin data, elasticity studies) with qualitative sources (the industry consultation, CBD submissions) that do not sit on a single numerical scale; a formula would suggest a degree of precision the evidence does not support. As a general rule, a high rating requires both a meaningful magnitude and a reasonable likelihood of occurrence; where either is genuinely uncertain, the impact is rated "Cannot say" rather than assigned a midpoint. Where several impacts bear on a sector's overall competitive position, the cross-sector narrative in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_Ref231774881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Table 44</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reflects a judgement of which impacts are most decisive for that sector, rather than an average or index across all of them.</w:t>
      </w:r>
    </w:p>
    <w:p w14:paraId="238BCAED"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_Ref230380544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Box 3</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illustrates how the framework applies to two firm profiles with different structural characteristics. The following subsections develop each component of the framework in turn.</w:t>
      </w:r>
    </w:p>
    <w:p w14:paraId="1881EFEA" w14:textId="77777777" w:rsidR="00B009ED" w:rsidRDefault="00B009ED" w:rsidP="00B009ED">
      <w:pPr>
        <w:tabs>
          <w:tab w:val="clear" w:pos="567"/>
          <w:tab w:val="clear" w:pos="1134"/>
          <w:tab w:val="clear" w:pos="1701"/>
          <w:tab w:val="clear" w:pos="2268"/>
        </w:tabs>
        <w:spacing w:after="120"/>
        <w:jc w:val="left"/>
        <w:outlineLvl w:val="4"/>
        <w:rPr>
          <w:rFonts w:asciiTheme="majorBidi" w:eastAsia="Georgia" w:hAnsiTheme="majorBidi" w:cstheme="majorBidi"/>
          <w:b/>
          <w:bCs/>
          <w:color w:val="419844"/>
          <w:lang w:eastAsia="en-GB"/>
        </w:rPr>
      </w:pPr>
      <w:bookmarkStart w:id="163" w:name="_Ref230380544"/>
    </w:p>
    <w:p w14:paraId="11FCA2C0" w14:textId="77777777" w:rsidR="00B009ED" w:rsidRDefault="00B009ED" w:rsidP="00B009ED">
      <w:pPr>
        <w:tabs>
          <w:tab w:val="clear" w:pos="567"/>
          <w:tab w:val="clear" w:pos="1134"/>
          <w:tab w:val="clear" w:pos="1701"/>
          <w:tab w:val="clear" w:pos="2268"/>
        </w:tabs>
        <w:spacing w:after="120"/>
        <w:jc w:val="left"/>
        <w:outlineLvl w:val="4"/>
        <w:rPr>
          <w:rFonts w:asciiTheme="majorBidi" w:eastAsia="Georgia" w:hAnsiTheme="majorBidi" w:cstheme="majorBidi"/>
          <w:b/>
          <w:bCs/>
          <w:color w:val="419844"/>
          <w:lang w:eastAsia="en-GB"/>
        </w:rPr>
      </w:pPr>
    </w:p>
    <w:p w14:paraId="5F7FC9B9" w14:textId="77777777" w:rsidR="00B009ED" w:rsidRDefault="00B009ED" w:rsidP="00B009ED">
      <w:pPr>
        <w:tabs>
          <w:tab w:val="clear" w:pos="567"/>
          <w:tab w:val="clear" w:pos="1134"/>
          <w:tab w:val="clear" w:pos="1701"/>
          <w:tab w:val="clear" w:pos="2268"/>
        </w:tabs>
        <w:spacing w:after="120"/>
        <w:jc w:val="left"/>
        <w:outlineLvl w:val="4"/>
        <w:rPr>
          <w:rFonts w:asciiTheme="majorBidi" w:eastAsia="Georgia" w:hAnsiTheme="majorBidi" w:cstheme="majorBidi"/>
          <w:b/>
          <w:bCs/>
          <w:color w:val="419844"/>
          <w:lang w:eastAsia="en-GB"/>
        </w:rPr>
      </w:pPr>
    </w:p>
    <w:p w14:paraId="4D8B82DB" w14:textId="77777777" w:rsidR="00B009ED" w:rsidRDefault="00B009ED" w:rsidP="00B009ED">
      <w:pPr>
        <w:tabs>
          <w:tab w:val="clear" w:pos="567"/>
          <w:tab w:val="clear" w:pos="1134"/>
          <w:tab w:val="clear" w:pos="1701"/>
          <w:tab w:val="clear" w:pos="2268"/>
        </w:tabs>
        <w:spacing w:after="120"/>
        <w:jc w:val="left"/>
        <w:outlineLvl w:val="4"/>
        <w:rPr>
          <w:rFonts w:asciiTheme="majorBidi" w:eastAsia="Georgia" w:hAnsiTheme="majorBidi" w:cstheme="majorBidi"/>
          <w:b/>
          <w:bCs/>
          <w:color w:val="419844"/>
          <w:lang w:eastAsia="en-GB"/>
        </w:rPr>
      </w:pPr>
    </w:p>
    <w:p w14:paraId="29FB937F" w14:textId="77777777" w:rsidR="00B009ED" w:rsidRDefault="00B009ED" w:rsidP="00B009ED">
      <w:pPr>
        <w:tabs>
          <w:tab w:val="clear" w:pos="567"/>
          <w:tab w:val="clear" w:pos="1134"/>
          <w:tab w:val="clear" w:pos="1701"/>
          <w:tab w:val="clear" w:pos="2268"/>
        </w:tabs>
        <w:spacing w:after="120"/>
        <w:jc w:val="left"/>
        <w:outlineLvl w:val="4"/>
        <w:rPr>
          <w:rFonts w:asciiTheme="majorBidi" w:eastAsia="Georgia" w:hAnsiTheme="majorBidi" w:cstheme="majorBidi"/>
          <w:b/>
          <w:bCs/>
          <w:color w:val="419844"/>
          <w:lang w:eastAsia="en-GB"/>
        </w:rPr>
      </w:pPr>
    </w:p>
    <w:p w14:paraId="6BD50D88" w14:textId="77777777" w:rsidR="00B009ED" w:rsidRDefault="00B009ED" w:rsidP="00B009ED">
      <w:pPr>
        <w:tabs>
          <w:tab w:val="clear" w:pos="567"/>
          <w:tab w:val="clear" w:pos="1134"/>
          <w:tab w:val="clear" w:pos="1701"/>
          <w:tab w:val="clear" w:pos="2268"/>
        </w:tabs>
        <w:spacing w:after="120"/>
        <w:jc w:val="left"/>
        <w:outlineLvl w:val="4"/>
        <w:rPr>
          <w:rFonts w:asciiTheme="majorBidi" w:eastAsia="Georgia" w:hAnsiTheme="majorBidi" w:cstheme="majorBidi"/>
          <w:b/>
          <w:bCs/>
          <w:color w:val="419844"/>
          <w:lang w:eastAsia="en-GB"/>
        </w:rPr>
      </w:pPr>
    </w:p>
    <w:p w14:paraId="50813FF5" w14:textId="77777777" w:rsidR="00B009ED" w:rsidRDefault="00B009ED" w:rsidP="00B009ED">
      <w:pPr>
        <w:tabs>
          <w:tab w:val="clear" w:pos="567"/>
          <w:tab w:val="clear" w:pos="1134"/>
          <w:tab w:val="clear" w:pos="1701"/>
          <w:tab w:val="clear" w:pos="2268"/>
        </w:tabs>
        <w:spacing w:after="120"/>
        <w:jc w:val="left"/>
        <w:outlineLvl w:val="4"/>
        <w:rPr>
          <w:rFonts w:asciiTheme="majorBidi" w:eastAsia="Georgia" w:hAnsiTheme="majorBidi" w:cstheme="majorBidi"/>
          <w:b/>
          <w:bCs/>
          <w:color w:val="419844"/>
          <w:lang w:eastAsia="en-GB"/>
        </w:rPr>
      </w:pPr>
    </w:p>
    <w:p w14:paraId="44F4B9F1" w14:textId="760FA030" w:rsidR="005F0A67" w:rsidRPr="005F0A67" w:rsidRDefault="005F0A67" w:rsidP="00B009ED">
      <w:pPr>
        <w:tabs>
          <w:tab w:val="clear" w:pos="567"/>
          <w:tab w:val="clear" w:pos="1134"/>
          <w:tab w:val="clear" w:pos="1701"/>
          <w:tab w:val="clear" w:pos="2268"/>
        </w:tabs>
        <w:spacing w:after="120"/>
        <w:jc w:val="left"/>
        <w:outlineLvl w:val="4"/>
        <w:rPr>
          <w:rFonts w:asciiTheme="majorBidi" w:eastAsia="Georgia" w:hAnsiTheme="majorBidi" w:cstheme="majorBidi"/>
          <w:b/>
          <w:bCs/>
          <w:color w:val="419844"/>
          <w:lang w:eastAsia="en-GB"/>
        </w:rPr>
      </w:pPr>
      <w:r w:rsidRPr="005F0A67">
        <w:rPr>
          <w:rFonts w:asciiTheme="majorBidi" w:eastAsia="Georgia" w:hAnsiTheme="majorBidi" w:cstheme="majorBidi"/>
          <w:b/>
          <w:bCs/>
          <w:color w:val="419844"/>
          <w:lang w:eastAsia="en-GB"/>
        </w:rPr>
        <w:t xml:space="preserve">Box </w:t>
      </w:r>
      <w:r w:rsidRPr="005F0A67">
        <w:rPr>
          <w:rFonts w:asciiTheme="majorBidi" w:eastAsia="Georgia" w:hAnsiTheme="majorBidi" w:cstheme="majorBidi"/>
          <w:b/>
          <w:bCs/>
          <w:color w:val="419844"/>
          <w:lang w:eastAsia="en-GB"/>
        </w:rPr>
        <w:fldChar w:fldCharType="begin"/>
      </w:r>
      <w:r w:rsidRPr="005F0A67">
        <w:rPr>
          <w:rFonts w:asciiTheme="majorBidi" w:eastAsia="Georgia" w:hAnsiTheme="majorBidi" w:cstheme="majorBidi"/>
          <w:b/>
          <w:bCs/>
          <w:color w:val="419844"/>
          <w:lang w:eastAsia="en-GB"/>
        </w:rPr>
        <w:instrText>SEQ Box \* ARABIC</w:instrText>
      </w:r>
      <w:r w:rsidRPr="005F0A67">
        <w:rPr>
          <w:rFonts w:asciiTheme="majorBidi" w:eastAsia="Georgia" w:hAnsiTheme="majorBidi" w:cstheme="majorBidi"/>
          <w:b/>
          <w:bCs/>
          <w:color w:val="419844"/>
          <w:lang w:eastAsia="en-GB"/>
        </w:rPr>
        <w:fldChar w:fldCharType="separate"/>
      </w:r>
      <w:r w:rsidRPr="005F0A67">
        <w:rPr>
          <w:rFonts w:asciiTheme="majorBidi" w:eastAsia="Georgia" w:hAnsiTheme="majorBidi" w:cstheme="majorBidi"/>
          <w:b/>
          <w:bCs/>
          <w:noProof/>
          <w:color w:val="419844"/>
          <w:lang w:eastAsia="en-GB"/>
        </w:rPr>
        <w:t>3</w:t>
      </w:r>
      <w:r w:rsidRPr="005F0A67">
        <w:rPr>
          <w:rFonts w:asciiTheme="majorBidi" w:eastAsia="Georgia" w:hAnsiTheme="majorBidi" w:cstheme="majorBidi"/>
          <w:b/>
          <w:bCs/>
          <w:color w:val="419844"/>
          <w:lang w:eastAsia="en-GB"/>
        </w:rPr>
        <w:fldChar w:fldCharType="end"/>
      </w:r>
      <w:bookmarkEnd w:id="163"/>
      <w:r w:rsidRPr="005F0A67">
        <w:rPr>
          <w:rFonts w:asciiTheme="majorBidi" w:eastAsia="Georgia" w:hAnsiTheme="majorBidi" w:cstheme="majorBidi"/>
          <w:b/>
          <w:bCs/>
          <w:color w:val="419844"/>
          <w:lang w:eastAsia="en-GB"/>
        </w:rPr>
        <w:t>: Applying the framework: illustrative classification of two firm profiles</w:t>
      </w:r>
    </w:p>
    <w:tbl>
      <w:tblPr>
        <w:tblW w:w="98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874"/>
      </w:tblGrid>
      <w:tr w:rsidR="005F0A67" w:rsidRPr="005F0A67" w14:paraId="008C55C1" w14:textId="77777777" w:rsidTr="005F0A67">
        <w:trPr>
          <w:trHeight w:hRule="exact" w:val="9790"/>
        </w:trPr>
        <w:tc>
          <w:tcPr>
            <w:tcW w:w="9874" w:type="dxa"/>
            <w:shd w:val="clear" w:color="auto" w:fill="F2F2F2"/>
            <w:tcMar>
              <w:top w:w="200" w:type="dxa"/>
              <w:left w:w="280" w:type="dxa"/>
              <w:bottom w:w="0" w:type="dxa"/>
              <w:right w:w="280" w:type="dxa"/>
            </w:tcMar>
            <w:vAlign w:val="center"/>
          </w:tcPr>
          <w:p w14:paraId="7B8E3634" w14:textId="77777777" w:rsidR="005F0A67" w:rsidRPr="005F0A67" w:rsidRDefault="005F0A67" w:rsidP="005F0A67">
            <w:pPr>
              <w:tabs>
                <w:tab w:val="clear" w:pos="567"/>
                <w:tab w:val="clear" w:pos="1134"/>
                <w:tab w:val="clear" w:pos="1701"/>
                <w:tab w:val="clear" w:pos="2268"/>
              </w:tabs>
              <w:spacing w:after="60"/>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The examples below illustrate how the three-step framework applies to firms with different structural profiles. The firm profiles are drawn from the eligible population characteristics established in Part II and do not refer to any specific firm. </w:t>
            </w:r>
          </w:p>
          <w:p w14:paraId="19C25910" w14:textId="77777777" w:rsidR="005F0A67" w:rsidRPr="005F0A67" w:rsidRDefault="005F0A67" w:rsidP="005F0A67">
            <w:pPr>
              <w:tabs>
                <w:tab w:val="clear" w:pos="567"/>
                <w:tab w:val="clear" w:pos="1134"/>
                <w:tab w:val="clear" w:pos="1701"/>
                <w:tab w:val="clear" w:pos="2268"/>
              </w:tabs>
              <w:spacing w:before="240" w:after="180" w:line="293" w:lineRule="auto"/>
              <w:rPr>
                <w:rFonts w:asciiTheme="majorBidi" w:eastAsia="Times New Roman" w:hAnsiTheme="majorBidi" w:cstheme="majorBidi"/>
                <w:b/>
                <w:bCs/>
                <w:lang w:val="en-CA" w:eastAsia="en-GB"/>
              </w:rPr>
            </w:pPr>
            <w:r w:rsidRPr="005F0A67">
              <w:rPr>
                <w:rFonts w:asciiTheme="majorBidi" w:eastAsia="Times New Roman" w:hAnsiTheme="majorBidi" w:cstheme="majorBidi"/>
                <w:b/>
                <w:bCs/>
                <w:lang w:val="en-CA" w:eastAsia="en-GB"/>
              </w:rPr>
              <w:t xml:space="preserve">Example 1: Large pharmaceutical innovator with a 20% profit margin </w:t>
            </w:r>
          </w:p>
          <w:p w14:paraId="4FDF6B24" w14:textId="77777777" w:rsidR="005F0A67" w:rsidRPr="005F0A67" w:rsidRDefault="005F0A67" w:rsidP="005F0A67">
            <w:pPr>
              <w:tabs>
                <w:tab w:val="clear" w:pos="567"/>
                <w:tab w:val="clear" w:pos="1134"/>
                <w:tab w:val="clear" w:pos="1701"/>
                <w:tab w:val="clear" w:pos="2268"/>
              </w:tabs>
              <w:spacing w:after="60"/>
              <w:rPr>
                <w:rFonts w:asciiTheme="majorBidi" w:eastAsia="Times New Roman" w:hAnsiTheme="majorBidi" w:cstheme="majorBidi"/>
                <w:lang w:val="en-CA" w:eastAsia="en-GB"/>
              </w:rPr>
            </w:pPr>
            <w:r w:rsidRPr="005F0A67">
              <w:rPr>
                <w:rFonts w:asciiTheme="majorBidi" w:eastAsia="Times New Roman" w:hAnsiTheme="majorBidi" w:cstheme="majorBidi"/>
                <w:b/>
                <w:bCs/>
                <w:lang w:val="en-CA" w:eastAsia="en-GB"/>
              </w:rPr>
              <w:t>Step 1:</w:t>
            </w:r>
            <w:r w:rsidRPr="005F0A67">
              <w:rPr>
                <w:rFonts w:asciiTheme="majorBidi" w:eastAsia="Times New Roman" w:hAnsiTheme="majorBidi" w:cstheme="majorBidi"/>
                <w:lang w:val="en-CA" w:eastAsia="en-GB"/>
              </w:rPr>
              <w:t xml:space="preserve"> operates in markets with moderate to high concentration in the patented drug segment and has high R&amp;D intensity; uses publicly available DSI directly in drug discovery and development; would pay on revenue under the minimum-of-two rule.</w:t>
            </w:r>
          </w:p>
          <w:p w14:paraId="491E23FC" w14:textId="77777777" w:rsidR="005F0A67" w:rsidRPr="005F0A67" w:rsidRDefault="005F0A67" w:rsidP="005F0A67">
            <w:pPr>
              <w:tabs>
                <w:tab w:val="clear" w:pos="567"/>
                <w:tab w:val="clear" w:pos="1134"/>
                <w:tab w:val="clear" w:pos="1701"/>
                <w:tab w:val="clear" w:pos="2268"/>
              </w:tabs>
              <w:spacing w:after="60"/>
              <w:rPr>
                <w:rFonts w:asciiTheme="majorBidi" w:eastAsia="Times New Roman" w:hAnsiTheme="majorBidi" w:cstheme="majorBidi"/>
                <w:lang w:val="en-CA" w:eastAsia="en-GB"/>
              </w:rPr>
            </w:pPr>
            <w:r w:rsidRPr="005F0A67">
              <w:rPr>
                <w:rFonts w:asciiTheme="majorBidi" w:eastAsia="Times New Roman" w:hAnsiTheme="majorBidi" w:cstheme="majorBidi"/>
                <w:b/>
                <w:bCs/>
                <w:lang w:val="en-CA" w:eastAsia="en-GB"/>
              </w:rPr>
              <w:t>Step 2:</w:t>
            </w:r>
            <w:r w:rsidRPr="005F0A67">
              <w:rPr>
                <w:rFonts w:asciiTheme="majorBidi" w:eastAsia="Times New Roman" w:hAnsiTheme="majorBidi" w:cstheme="majorBidi"/>
                <w:lang w:val="en-CA" w:eastAsia="en-GB"/>
              </w:rPr>
              <w:t xml:space="preserve"> under partial participation (i.e. with only a share of in-scope firms participating), faces the contribution alongside sub-threshold pharmaceutical firms outside the eligible population (Stage 1) and eligible firms choosing not to participate (Stage 2); paying on revenue can create asymmetries relative to competitors with margins below 10% paying on profit (Stage 3).</w:t>
            </w:r>
          </w:p>
          <w:p w14:paraId="24576792" w14:textId="77777777" w:rsidR="005F0A67" w:rsidRPr="005F0A67" w:rsidRDefault="005F0A67" w:rsidP="005F0A67">
            <w:pPr>
              <w:tabs>
                <w:tab w:val="clear" w:pos="567"/>
                <w:tab w:val="clear" w:pos="1134"/>
                <w:tab w:val="clear" w:pos="1701"/>
                <w:tab w:val="clear" w:pos="2268"/>
              </w:tabs>
              <w:spacing w:after="60"/>
              <w:rPr>
                <w:rFonts w:asciiTheme="majorBidi" w:eastAsia="Times New Roman" w:hAnsiTheme="majorBidi" w:cstheme="majorBidi"/>
                <w:lang w:val="en-CA" w:eastAsia="en-GB"/>
              </w:rPr>
            </w:pPr>
            <w:r w:rsidRPr="005F0A67">
              <w:rPr>
                <w:rFonts w:asciiTheme="majorBidi" w:eastAsia="Times New Roman" w:hAnsiTheme="majorBidi" w:cstheme="majorBidi"/>
                <w:b/>
                <w:bCs/>
                <w:lang w:val="en-CA" w:eastAsia="en-GB"/>
              </w:rPr>
              <w:t>Step 3:</w:t>
            </w:r>
            <w:r w:rsidRPr="005F0A67">
              <w:rPr>
                <w:rFonts w:asciiTheme="majorBidi" w:eastAsia="Times New Roman" w:hAnsiTheme="majorBidi" w:cstheme="majorBidi"/>
                <w:lang w:val="en-CA" w:eastAsia="en-GB"/>
              </w:rPr>
              <w:t xml:space="preserve"> Pillar 1 examines pricing and margin effects in regulated markets, and potential obligation stacking with the WHO PABS framework as an additional cost channel; Pillar 2 examines R&amp;D investment decisions given pipeline horizons; Pillar 3 examines competitive position relative to non-CBD-Party competitors. </w:t>
            </w:r>
          </w:p>
          <w:p w14:paraId="482D0A87" w14:textId="77777777" w:rsidR="005F0A67" w:rsidRPr="005F0A67" w:rsidRDefault="005F0A67" w:rsidP="005F0A67">
            <w:pPr>
              <w:tabs>
                <w:tab w:val="clear" w:pos="567"/>
                <w:tab w:val="clear" w:pos="1134"/>
                <w:tab w:val="clear" w:pos="1701"/>
                <w:tab w:val="clear" w:pos="2268"/>
              </w:tabs>
              <w:spacing w:before="240" w:after="180" w:line="293" w:lineRule="auto"/>
              <w:rPr>
                <w:rFonts w:asciiTheme="majorBidi" w:eastAsia="Times New Roman" w:hAnsiTheme="majorBidi" w:cstheme="majorBidi"/>
                <w:b/>
                <w:bCs/>
                <w:lang w:val="en-CA" w:eastAsia="en-GB"/>
              </w:rPr>
            </w:pPr>
            <w:r w:rsidRPr="005F0A67">
              <w:rPr>
                <w:rFonts w:asciiTheme="majorBidi" w:eastAsia="Times New Roman" w:hAnsiTheme="majorBidi" w:cstheme="majorBidi"/>
                <w:b/>
                <w:bCs/>
                <w:lang w:val="en-CA" w:eastAsia="en-GB"/>
              </w:rPr>
              <w:t>Example 2: Large plant breeding firm with a 5% profit margin</w:t>
            </w:r>
          </w:p>
          <w:p w14:paraId="02F9C99E" w14:textId="77777777" w:rsidR="005F0A67" w:rsidRPr="005F0A67" w:rsidRDefault="005F0A67" w:rsidP="005F0A67">
            <w:pPr>
              <w:tabs>
                <w:tab w:val="clear" w:pos="567"/>
                <w:tab w:val="clear" w:pos="1134"/>
                <w:tab w:val="clear" w:pos="1701"/>
                <w:tab w:val="clear" w:pos="2268"/>
              </w:tabs>
              <w:spacing w:after="60"/>
              <w:rPr>
                <w:rFonts w:asciiTheme="majorBidi" w:eastAsia="Times New Roman" w:hAnsiTheme="majorBidi" w:cstheme="majorBidi"/>
                <w:lang w:val="en-CA" w:eastAsia="en-GB"/>
              </w:rPr>
            </w:pPr>
            <w:r w:rsidRPr="005F0A67">
              <w:rPr>
                <w:rFonts w:asciiTheme="majorBidi" w:eastAsia="Times New Roman" w:hAnsiTheme="majorBidi" w:cstheme="majorBidi"/>
                <w:b/>
                <w:bCs/>
                <w:lang w:val="en-CA" w:eastAsia="en-GB"/>
              </w:rPr>
              <w:t>Step 1:</w:t>
            </w:r>
            <w:r w:rsidRPr="005F0A67">
              <w:rPr>
                <w:rFonts w:asciiTheme="majorBidi" w:eastAsia="Times New Roman" w:hAnsiTheme="majorBidi" w:cstheme="majorBidi"/>
                <w:lang w:val="en-CA" w:eastAsia="en-GB"/>
              </w:rPr>
              <w:t xml:space="preserve"> operates in markets with high global concentration at the top tier; uses publicly available DSI directly in breeding programmes, though breeding firms typically rely heavily on proprietary genomic databases and germplasm records alongside public sources; would pay on profit under the minimum-of-two rule.</w:t>
            </w:r>
          </w:p>
          <w:p w14:paraId="43B86D71" w14:textId="77777777" w:rsidR="005F0A67" w:rsidRPr="005F0A67" w:rsidRDefault="005F0A67" w:rsidP="005F0A67">
            <w:pPr>
              <w:tabs>
                <w:tab w:val="clear" w:pos="567"/>
                <w:tab w:val="clear" w:pos="1134"/>
                <w:tab w:val="clear" w:pos="1701"/>
                <w:tab w:val="clear" w:pos="2268"/>
              </w:tabs>
              <w:spacing w:after="60"/>
              <w:rPr>
                <w:rFonts w:asciiTheme="majorBidi" w:eastAsia="Times New Roman" w:hAnsiTheme="majorBidi" w:cstheme="majorBidi"/>
                <w:b/>
                <w:bCs/>
                <w:lang w:val="en-CA" w:eastAsia="en-GB"/>
              </w:rPr>
            </w:pPr>
            <w:r w:rsidRPr="005F0A67">
              <w:rPr>
                <w:rFonts w:asciiTheme="majorBidi" w:eastAsia="Times New Roman" w:hAnsiTheme="majorBidi" w:cstheme="majorBidi"/>
                <w:b/>
                <w:bCs/>
                <w:lang w:val="en-CA" w:eastAsia="en-GB"/>
              </w:rPr>
              <w:t>Step 2:</w:t>
            </w:r>
            <w:r w:rsidRPr="005F0A67">
              <w:rPr>
                <w:rFonts w:asciiTheme="majorBidi" w:eastAsia="Times New Roman" w:hAnsiTheme="majorBidi" w:cstheme="majorBidi"/>
                <w:lang w:val="en-CA" w:eastAsia="en-GB"/>
              </w:rPr>
              <w:t xml:space="preserve"> under partial participation, faces the contribution alongside sub-threshold breeding firms outside the eligible population (Stage 1) and non-participating eligible competitors within it (Stage 2); paying on profit can create asymmetries relative to competitors with margins above 10% paying on revenue (Stage 3).</w:t>
            </w:r>
            <w:r w:rsidRPr="005F0A67">
              <w:rPr>
                <w:rFonts w:asciiTheme="majorBidi" w:eastAsia="Times New Roman" w:hAnsiTheme="majorBidi" w:cstheme="majorBidi"/>
                <w:b/>
                <w:bCs/>
                <w:lang w:val="en-CA" w:eastAsia="en-GB"/>
              </w:rPr>
              <w:t xml:space="preserve"> </w:t>
            </w:r>
          </w:p>
          <w:p w14:paraId="154B66FD" w14:textId="77777777" w:rsidR="005F0A67" w:rsidRPr="005F0A67" w:rsidRDefault="005F0A67" w:rsidP="005F0A67">
            <w:pPr>
              <w:tabs>
                <w:tab w:val="clear" w:pos="567"/>
                <w:tab w:val="clear" w:pos="1134"/>
                <w:tab w:val="clear" w:pos="1701"/>
                <w:tab w:val="clear" w:pos="2268"/>
              </w:tabs>
              <w:spacing w:after="60"/>
              <w:rPr>
                <w:rFonts w:asciiTheme="majorBidi" w:eastAsia="Times New Roman" w:hAnsiTheme="majorBidi" w:cstheme="majorBidi"/>
                <w:lang w:val="en-CA" w:eastAsia="en-GB"/>
              </w:rPr>
            </w:pPr>
            <w:r w:rsidRPr="005F0A67">
              <w:rPr>
                <w:rFonts w:asciiTheme="majorBidi" w:eastAsia="Times New Roman" w:hAnsiTheme="majorBidi" w:cstheme="majorBidi"/>
                <w:b/>
                <w:bCs/>
                <w:lang w:val="en-CA" w:eastAsia="en-GB"/>
              </w:rPr>
              <w:t>Step 3:</w:t>
            </w:r>
            <w:r w:rsidRPr="005F0A67">
              <w:rPr>
                <w:rFonts w:asciiTheme="majorBidi" w:eastAsia="Times New Roman" w:hAnsiTheme="majorBidi" w:cstheme="majorBidi"/>
                <w:lang w:val="en-CA" w:eastAsia="en-GB"/>
              </w:rPr>
              <w:t xml:space="preserve"> Pillar 1 examines pass-through capacity to price-sensitive farmer customers and margin implications and potential obligation stacking with the ITPGRFA as an additional cost channel where a firm accesses both physical MLS material and DSI relating to the same genetic resource (see Section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_Ref230171567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Obligation stacking</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Pillar 2 examines effects on long-duration breeding programmes; Pillar 3 examines competitive position relative to non-CBD-Party competitors that dominate the global seed market.</w:t>
            </w:r>
          </w:p>
          <w:p w14:paraId="08BAC7B6" w14:textId="77777777" w:rsidR="005F0A67" w:rsidRPr="005F0A67" w:rsidRDefault="005F0A67" w:rsidP="005F0A67">
            <w:pPr>
              <w:tabs>
                <w:tab w:val="clear" w:pos="567"/>
                <w:tab w:val="clear" w:pos="1134"/>
                <w:tab w:val="clear" w:pos="1701"/>
                <w:tab w:val="clear" w:pos="2268"/>
              </w:tabs>
              <w:spacing w:after="60"/>
              <w:rPr>
                <w:rFonts w:asciiTheme="majorBidi" w:eastAsia="Times New Roman" w:hAnsiTheme="majorBidi" w:cstheme="majorBidi"/>
                <w:lang w:val="en-CA" w:eastAsia="en-GB"/>
              </w:rPr>
            </w:pPr>
          </w:p>
        </w:tc>
      </w:tr>
      <w:tr w:rsidR="005F0A67" w:rsidRPr="005F0A67" w14:paraId="1CFF592F" w14:textId="77777777" w:rsidTr="00FB671B">
        <w:trPr>
          <w:trHeight w:hRule="exact" w:val="190"/>
        </w:trPr>
        <w:tc>
          <w:tcPr>
            <w:tcW w:w="9874" w:type="dxa"/>
            <w:shd w:val="clear" w:color="auto" w:fill="419844"/>
          </w:tcPr>
          <w:p w14:paraId="22C28F47"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p>
        </w:tc>
      </w:tr>
    </w:tbl>
    <w:p w14:paraId="0B0D1C82" w14:textId="77777777" w:rsidR="005F0A67" w:rsidRPr="005F0A67" w:rsidRDefault="005F0A67" w:rsidP="00B009ED">
      <w:pPr>
        <w:tabs>
          <w:tab w:val="clear" w:pos="567"/>
          <w:tab w:val="clear" w:pos="1134"/>
          <w:tab w:val="clear" w:pos="1701"/>
          <w:tab w:val="clear" w:pos="2268"/>
        </w:tabs>
        <w:spacing w:before="320" w:after="160"/>
        <w:ind w:left="720"/>
        <w:jc w:val="left"/>
        <w:outlineLvl w:val="2"/>
        <w:rPr>
          <w:rFonts w:asciiTheme="majorBidi" w:eastAsia="Arial" w:hAnsiTheme="majorBidi" w:cstheme="majorBidi"/>
          <w:b/>
          <w:bCs/>
          <w:color w:val="7F7F7F"/>
          <w:sz w:val="23"/>
          <w:szCs w:val="23"/>
          <w:lang w:val="en-CA" w:eastAsia="en-GB"/>
        </w:rPr>
      </w:pPr>
      <w:bookmarkStart w:id="164" w:name="_Ref230452690"/>
      <w:bookmarkStart w:id="165" w:name="_Toc234579596"/>
      <w:r w:rsidRPr="005F0A67">
        <w:rPr>
          <w:rFonts w:asciiTheme="majorBidi" w:eastAsia="Arial" w:hAnsiTheme="majorBidi" w:cstheme="majorBidi"/>
          <w:b/>
          <w:bCs/>
          <w:color w:val="7F7F7F"/>
          <w:sz w:val="23"/>
          <w:szCs w:val="23"/>
          <w:lang w:val="en-CA" w:eastAsia="en-GB"/>
        </w:rPr>
        <w:t>Step 1: Characterising the affected firm</w:t>
      </w:r>
      <w:bookmarkEnd w:id="164"/>
      <w:bookmarkEnd w:id="165"/>
      <w:r w:rsidRPr="005F0A67">
        <w:rPr>
          <w:rFonts w:asciiTheme="majorBidi" w:eastAsia="Arial" w:hAnsiTheme="majorBidi" w:cstheme="majorBidi"/>
          <w:b/>
          <w:bCs/>
          <w:color w:val="7F7F7F"/>
          <w:sz w:val="23"/>
          <w:szCs w:val="23"/>
          <w:lang w:val="en-CA" w:eastAsia="en-GB"/>
        </w:rPr>
        <w:t xml:space="preserve"> </w:t>
      </w:r>
    </w:p>
    <w:p w14:paraId="110B5A71"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p>
    <w:p w14:paraId="7B996D83"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lang w:val="en-CA" w:eastAsia="en-GB"/>
        </w:rPr>
        <w:lastRenderedPageBreak/>
        <w:t xml:space="preserve">Step 1 characterises each affected firm according to three dimensions that influence the competitive effects evaluated in subsequent steps. Each dimension is derived from the analysis in Part II and further developed below. </w:t>
      </w:r>
    </w:p>
    <w:p w14:paraId="480B3596" w14:textId="77777777" w:rsidR="005F0A67" w:rsidRPr="005F0A67" w:rsidRDefault="005F0A67" w:rsidP="00B009ED">
      <w:pPr>
        <w:tabs>
          <w:tab w:val="clear" w:pos="567"/>
          <w:tab w:val="clear" w:pos="1134"/>
          <w:tab w:val="clear" w:pos="1701"/>
          <w:tab w:val="clear" w:pos="2268"/>
        </w:tabs>
        <w:spacing w:after="120"/>
        <w:jc w:val="left"/>
        <w:outlineLvl w:val="3"/>
        <w:rPr>
          <w:rFonts w:asciiTheme="majorBidi" w:eastAsia="Georgia" w:hAnsiTheme="majorBidi" w:cstheme="majorBidi"/>
          <w:b/>
          <w:bCs/>
          <w:color w:val="0F4761"/>
          <w:lang w:eastAsia="en-GB"/>
        </w:rPr>
      </w:pPr>
      <w:r w:rsidRPr="005F0A67">
        <w:rPr>
          <w:rFonts w:asciiTheme="majorBidi" w:eastAsia="Georgia" w:hAnsiTheme="majorBidi" w:cstheme="majorBidi"/>
          <w:b/>
          <w:bCs/>
          <w:color w:val="0F4761"/>
          <w:lang w:eastAsia="en-GB"/>
        </w:rPr>
        <w:t>Sector and structural features</w:t>
      </w:r>
    </w:p>
    <w:p w14:paraId="71138871" w14:textId="46128D46"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lang w:val="en-CA" w:eastAsia="en-GB"/>
        </w:rPr>
        <w:t>The seven Indicative Enclosure I sectors exhibit significant variation in market structure, profit margins, research and development intensity, value chain position, and the presence of non-CBD-Party competitors. These structural characteristics shape how a contribution obligation translates into competitive effects. For example, a firm operating in a concentrated market with inelastic demand</w:t>
      </w:r>
      <w:r w:rsidRPr="005F0A67">
        <w:rPr>
          <w:rFonts w:asciiTheme="majorBidi" w:eastAsia="Times New Roman" w:hAnsiTheme="majorBidi" w:cstheme="majorBidi"/>
          <w:vertAlign w:val="superscript"/>
          <w:lang w:val="en-CA" w:eastAsia="en-GB"/>
        </w:rPr>
        <w:footnoteReference w:id="63"/>
      </w:r>
      <w:r w:rsidRPr="005F0A67">
        <w:rPr>
          <w:rFonts w:asciiTheme="majorBidi" w:eastAsia="Times New Roman" w:hAnsiTheme="majorBidi" w:cstheme="majorBidi"/>
          <w:lang w:val="en-CA" w:eastAsia="en-GB"/>
        </w:rPr>
        <w:t xml:space="preserve"> has different pass-through capacity than a firm in a competitive market with price-sensitive customers. Similarly, a sector with a substantial presence of non-Party competitors faces different international competitiveness pressures than one where eligible firms are primary competitors. Section</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_Ref231901776 \n \h </w:instrText>
      </w:r>
      <w:r>
        <w:rPr>
          <w:rFonts w:asciiTheme="majorBidi" w:eastAsia="Times New Roman" w:hAnsiTheme="majorBidi" w:cstheme="majorBidi"/>
          <w:lang w:val="en-CA" w:eastAsia="en-GB"/>
        </w:rPr>
        <w:instrText xml:space="preserve">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7.6</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provides a detailed cross-sector characterisation.</w:t>
      </w:r>
    </w:p>
    <w:p w14:paraId="156645CC" w14:textId="77777777" w:rsidR="005F0A67" w:rsidRPr="005F0A67" w:rsidRDefault="005F0A67" w:rsidP="00B009ED">
      <w:pPr>
        <w:tabs>
          <w:tab w:val="clear" w:pos="567"/>
          <w:tab w:val="clear" w:pos="1134"/>
          <w:tab w:val="clear" w:pos="1701"/>
          <w:tab w:val="clear" w:pos="2268"/>
        </w:tabs>
        <w:spacing w:after="120"/>
        <w:jc w:val="left"/>
        <w:outlineLvl w:val="3"/>
        <w:rPr>
          <w:rFonts w:asciiTheme="majorBidi" w:eastAsia="Georgia" w:hAnsiTheme="majorBidi" w:cstheme="majorBidi"/>
          <w:b/>
          <w:bCs/>
          <w:color w:val="0F4761"/>
          <w:lang w:eastAsia="en-GB"/>
        </w:rPr>
      </w:pPr>
      <w:r w:rsidRPr="005F0A67">
        <w:rPr>
          <w:rFonts w:asciiTheme="majorBidi" w:eastAsia="Georgia" w:hAnsiTheme="majorBidi" w:cstheme="majorBidi"/>
          <w:b/>
          <w:bCs/>
          <w:color w:val="0F4761"/>
          <w:lang w:eastAsia="en-GB"/>
        </w:rPr>
        <w:t>Value chain position and DSI use intensity</w:t>
      </w:r>
    </w:p>
    <w:p w14:paraId="0F906892"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Firms within the same sector may occupy different positions in the DSI value chain. Some firms are direct users of publicly available DSI in research and product development. Others serve as upstream enablers of sequencing infrastructure without directly using DSI, while some are downstream firms that commercialise DSI-derived products who do not access DSI themselves. The value chain position determines the directness of the relationship between DSI use and commercial activity, which is analytically significant because the contribution is intended to originate from firms that benefit commercially from DSI. The distinction between direct and indirect DSI use is itself unresolved under Decision 16/2 and is discussed in Section 4.1 (“Commercial DSI use”). DSI use intensity, defined as the proportion of a firm's commercial value attributable to DSI use, varies even within value chain positions and influences the proportionality of the contribution to actual DSI dependence. Similarly to the boundary between direct and indirect DSI use, the level of DSI intensity is mostly unobserved and difficult to establish, as explained in the same section.</w:t>
      </w:r>
    </w:p>
    <w:p w14:paraId="32086B21" w14:textId="77777777" w:rsidR="005F0A67" w:rsidRPr="005F0A67" w:rsidRDefault="005F0A67" w:rsidP="00B009ED">
      <w:pPr>
        <w:tabs>
          <w:tab w:val="clear" w:pos="567"/>
          <w:tab w:val="clear" w:pos="1134"/>
          <w:tab w:val="clear" w:pos="1701"/>
          <w:tab w:val="clear" w:pos="2268"/>
        </w:tabs>
        <w:spacing w:after="120"/>
        <w:jc w:val="left"/>
        <w:outlineLvl w:val="3"/>
        <w:rPr>
          <w:rFonts w:asciiTheme="majorBidi" w:eastAsia="Georgia" w:hAnsiTheme="majorBidi" w:cstheme="majorBidi"/>
          <w:b/>
          <w:bCs/>
          <w:color w:val="0F4761"/>
          <w:lang w:eastAsia="en-GB"/>
        </w:rPr>
      </w:pPr>
      <w:r w:rsidRPr="005F0A67">
        <w:rPr>
          <w:rFonts w:asciiTheme="majorBidi" w:eastAsia="Georgia" w:hAnsiTheme="majorBidi" w:cstheme="majorBidi"/>
          <w:b/>
          <w:bCs/>
          <w:color w:val="0F4761"/>
          <w:lang w:eastAsia="en-GB"/>
        </w:rPr>
        <w:t>Expected contribution base</w:t>
      </w:r>
    </w:p>
    <w:p w14:paraId="08028C69"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lang w:val="en-CA" w:eastAsia="en-GB"/>
        </w:rPr>
        <w:t>Under the minimum-of-two rule established in Decision 16/2, firms pay the lesser of 0.1% of revenue or 1% of profit. The indifference margin analysis in Part II indicates that firms with profit margins above 10% pay based on revenue, while those with margins below 10% pay based on profit. This distinction determines the economic nature of the payment for each firm at the margin</w:t>
      </w:r>
      <w:r w:rsidRPr="005F0A67">
        <w:rPr>
          <w:rFonts w:asciiTheme="majorBidi" w:eastAsia="Times New Roman" w:hAnsiTheme="majorBidi" w:cstheme="majorBidi"/>
          <w:vertAlign w:val="superscript"/>
          <w:lang w:val="en-CA" w:eastAsia="en-GB"/>
        </w:rPr>
        <w:footnoteReference w:id="64"/>
      </w:r>
      <w:r w:rsidRPr="005F0A67">
        <w:rPr>
          <w:rFonts w:asciiTheme="majorBidi" w:eastAsia="Times New Roman" w:hAnsiTheme="majorBidi" w:cstheme="majorBidi"/>
          <w:vertAlign w:val="superscript"/>
          <w:lang w:val="en-CA" w:eastAsia="en-GB"/>
        </w:rPr>
        <w:t>.</w:t>
      </w:r>
      <w:r w:rsidRPr="005F0A67">
        <w:rPr>
          <w:rFonts w:asciiTheme="majorBidi" w:eastAsia="Times New Roman" w:hAnsiTheme="majorBidi" w:cstheme="majorBidi"/>
          <w:lang w:val="en-CA" w:eastAsia="en-GB"/>
        </w:rPr>
        <w:t xml:space="preserve"> A revenue-based payer incurs a payment that scales with output and, when treated as a proportional cost in financial planning, operates as an ad valorem output levy. In contrast, a profit-based payer faces a payment that reduces the return on capital without directly affecting marginal costs. As a result, the contribution base shapes the transmission channels through which competitive effects arise. Both bases reduce after-tax returns and, over the medium to long term, influence investment incentives, although the scale of the effect may differ depending on the contribution base.</w:t>
      </w:r>
    </w:p>
    <w:p w14:paraId="64D14D31" w14:textId="50C2816F"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b/>
          <w:bCs/>
          <w:lang w:val="en-CA" w:eastAsia="en-GB"/>
        </w:rPr>
      </w:pP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_Ref230450739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Table 15</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illustrates how Step 1 of the framework classifies firms across the three dimensions described above. Three firm profiles drawn from two Indicative Enclosure I sectors are shown, with indicative structural and economic characteristics. The table is illustrative rather than empirical. The full sector-level characterisation of the eligible population is provided in Section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_Ref231901776 \n \h </w:instrText>
      </w:r>
      <w:r>
        <w:rPr>
          <w:rFonts w:asciiTheme="majorBidi" w:eastAsia="Times New Roman" w:hAnsiTheme="majorBidi" w:cstheme="majorBidi"/>
          <w:lang w:val="en-CA" w:eastAsia="en-GB"/>
        </w:rPr>
        <w:instrText xml:space="preserve">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7.6</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with sources cited there.</w:t>
      </w:r>
    </w:p>
    <w:p w14:paraId="4C8B41B8" w14:textId="77777777" w:rsidR="005F0A67" w:rsidRPr="005F0A67" w:rsidRDefault="005F0A67" w:rsidP="005F0A67">
      <w:pPr>
        <w:numPr>
          <w:ilvl w:val="0"/>
          <w:numId w:val="12"/>
        </w:numPr>
        <w:tabs>
          <w:tab w:val="clear" w:pos="567"/>
          <w:tab w:val="clear" w:pos="1134"/>
          <w:tab w:val="clear" w:pos="1701"/>
          <w:tab w:val="clear" w:pos="2268"/>
        </w:tabs>
        <w:spacing w:after="120"/>
        <w:ind w:left="0" w:firstLine="0"/>
        <w:jc w:val="left"/>
        <w:outlineLvl w:val="3"/>
        <w:rPr>
          <w:rFonts w:asciiTheme="majorBidi" w:eastAsia="Times New Roman" w:hAnsiTheme="majorBidi" w:cstheme="majorBidi"/>
          <w:lang w:eastAsia="en-GB"/>
        </w:rPr>
        <w:sectPr w:rsidR="005F0A67" w:rsidRPr="005F0A67" w:rsidSect="005F0A67">
          <w:pgSz w:w="12240" w:h="15840"/>
          <w:pgMar w:top="1080" w:right="1260" w:bottom="1080" w:left="1260" w:header="706" w:footer="706" w:gutter="0"/>
          <w:cols w:space="720"/>
          <w:docGrid w:linePitch="360"/>
        </w:sectPr>
      </w:pPr>
    </w:p>
    <w:p w14:paraId="1564FF6C" w14:textId="77777777" w:rsidR="005F0A67" w:rsidRPr="005F0A67" w:rsidRDefault="005F0A67" w:rsidP="005F0A67">
      <w:pPr>
        <w:tabs>
          <w:tab w:val="clear" w:pos="567"/>
          <w:tab w:val="clear" w:pos="1134"/>
          <w:tab w:val="clear" w:pos="1701"/>
          <w:tab w:val="clear" w:pos="2268"/>
        </w:tabs>
        <w:spacing w:after="200" w:line="312" w:lineRule="auto"/>
        <w:contextualSpacing/>
        <w:rPr>
          <w:rFonts w:asciiTheme="majorBidi" w:eastAsia="Georgia" w:hAnsiTheme="majorBidi" w:cstheme="majorBidi"/>
          <w:b/>
          <w:bCs/>
          <w:color w:val="419844"/>
          <w:lang w:eastAsia="en-GB"/>
        </w:rPr>
      </w:pPr>
      <w:bookmarkStart w:id="166" w:name="_Ref230450739"/>
      <w:r w:rsidRPr="005F0A67">
        <w:rPr>
          <w:rFonts w:asciiTheme="majorBidi" w:eastAsia="Georgia" w:hAnsiTheme="majorBidi" w:cstheme="majorBidi"/>
          <w:b/>
          <w:bCs/>
          <w:color w:val="419844"/>
          <w:lang w:val="en-US" w:eastAsia="ja-JP"/>
        </w:rPr>
        <w:lastRenderedPageBreak/>
        <w:t xml:space="preserve">Table </w:t>
      </w:r>
      <w:r w:rsidRPr="005F0A67">
        <w:rPr>
          <w:rFonts w:asciiTheme="majorBidi" w:eastAsia="Georgia" w:hAnsiTheme="majorBidi" w:cstheme="majorBidi"/>
          <w:b/>
          <w:bCs/>
          <w:color w:val="419844"/>
          <w:lang w:eastAsia="en-GB"/>
        </w:rPr>
        <w:fldChar w:fldCharType="begin"/>
      </w:r>
      <w:r w:rsidRPr="005F0A67">
        <w:rPr>
          <w:rFonts w:asciiTheme="majorBidi" w:eastAsia="Georgia" w:hAnsiTheme="majorBidi" w:cstheme="majorBidi"/>
          <w:b/>
          <w:bCs/>
          <w:color w:val="419844"/>
          <w:lang w:eastAsia="en-GB"/>
        </w:rPr>
        <w:instrText xml:space="preserve"> SEQ Table \* ARABIC </w:instrText>
      </w:r>
      <w:r w:rsidRPr="005F0A67">
        <w:rPr>
          <w:rFonts w:asciiTheme="majorBidi" w:eastAsia="Georgia" w:hAnsiTheme="majorBidi" w:cstheme="majorBidi"/>
          <w:b/>
          <w:bCs/>
          <w:color w:val="419844"/>
          <w:lang w:eastAsia="en-GB"/>
        </w:rPr>
        <w:fldChar w:fldCharType="separate"/>
      </w:r>
      <w:r w:rsidRPr="005F0A67">
        <w:rPr>
          <w:rFonts w:asciiTheme="majorBidi" w:eastAsia="Georgia" w:hAnsiTheme="majorBidi" w:cstheme="majorBidi"/>
          <w:b/>
          <w:bCs/>
          <w:noProof/>
          <w:color w:val="419844"/>
          <w:lang w:eastAsia="en-GB"/>
        </w:rPr>
        <w:t>15</w:t>
      </w:r>
      <w:r w:rsidRPr="005F0A67">
        <w:rPr>
          <w:rFonts w:asciiTheme="majorBidi" w:eastAsia="Georgia" w:hAnsiTheme="majorBidi" w:cstheme="majorBidi"/>
          <w:b/>
          <w:bCs/>
          <w:color w:val="419844"/>
          <w:lang w:eastAsia="en-GB"/>
        </w:rPr>
        <w:fldChar w:fldCharType="end"/>
      </w:r>
      <w:bookmarkEnd w:id="166"/>
      <w:r w:rsidRPr="005F0A67">
        <w:rPr>
          <w:rFonts w:asciiTheme="majorBidi" w:eastAsia="Georgia" w:hAnsiTheme="majorBidi" w:cstheme="majorBidi"/>
          <w:b/>
          <w:bCs/>
          <w:color w:val="419844"/>
          <w:lang w:val="en-US" w:eastAsia="ja-JP"/>
        </w:rPr>
        <w:t xml:space="preserve"> Illustration of Step 1 firm classification across selected sectors</w:t>
      </w:r>
    </w:p>
    <w:p w14:paraId="5EA781F6"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noProof/>
          <w:lang w:val="en-CA" w:eastAsia="en-GB"/>
        </w:rPr>
        <w:drawing>
          <wp:inline distT="0" distB="0" distL="0" distR="0" wp14:anchorId="0DC1604E" wp14:editId="4E9855B8">
            <wp:extent cx="8955405" cy="3793609"/>
            <wp:effectExtent l="0" t="0" r="0" b="3810"/>
            <wp:docPr id="2" name="Picture 1">
              <a:extLst xmlns:a="http://schemas.openxmlformats.org/drawingml/2006/main">
                <a:ext uri="{FF2B5EF4-FFF2-40B4-BE49-F238E27FC236}">
                  <a16:creationId xmlns:a16="http://schemas.microsoft.com/office/drawing/2014/main" id="{4A7B623F-E9E4-A451-0E60-4D2E7177D1B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4A7B623F-E9E4-A451-0E60-4D2E7177D1BE}"/>
                        </a:ext>
                      </a:extLst>
                    </pic:cNvPr>
                    <pic:cNvPicPr>
                      <a:picLocks noChangeAspect="1"/>
                    </pic:cNvPicPr>
                  </pic:nvPicPr>
                  <pic:blipFill>
                    <a:blip r:embed="rId36"/>
                    <a:stretch>
                      <a:fillRect/>
                    </a:stretch>
                  </pic:blipFill>
                  <pic:spPr>
                    <a:xfrm>
                      <a:off x="0" y="0"/>
                      <a:ext cx="8983014" cy="3805304"/>
                    </a:xfrm>
                    <a:prstGeom prst="rect">
                      <a:avLst/>
                    </a:prstGeom>
                  </pic:spPr>
                </pic:pic>
              </a:graphicData>
            </a:graphic>
          </wp:inline>
        </w:drawing>
      </w:r>
    </w:p>
    <w:p w14:paraId="5B31AF41"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i/>
          <w:iCs/>
          <w:sz w:val="18"/>
          <w:szCs w:val="18"/>
          <w:lang w:val="en-CA" w:eastAsia="en-GB"/>
        </w:rPr>
        <w:t xml:space="preserve">Note: </w:t>
      </w:r>
      <w:r w:rsidRPr="005F0A67">
        <w:rPr>
          <w:rFonts w:asciiTheme="majorBidi" w:eastAsia="Times New Roman" w:hAnsiTheme="majorBidi" w:cstheme="majorBidi"/>
          <w:sz w:val="18"/>
          <w:szCs w:val="18"/>
          <w:lang w:val="en-CA" w:eastAsia="en-GB"/>
        </w:rPr>
        <w:t xml:space="preserve">The figure illustrates Step 1 framework application using selected firm profiles. Structural and economic indicators are sector-level estimates intended as analytical anchors rather than precise measurements. The seven Indicative Enclosure I sectors and their eligible firm populations are characterised in detail in Section </w:t>
      </w:r>
      <w:r w:rsidRPr="005F0A67">
        <w:rPr>
          <w:rFonts w:asciiTheme="majorBidi" w:eastAsia="Times New Roman" w:hAnsiTheme="majorBidi" w:cstheme="majorBidi"/>
          <w:sz w:val="18"/>
          <w:szCs w:val="18"/>
          <w:lang w:val="en-CA" w:eastAsia="en-GB"/>
        </w:rPr>
        <w:fldChar w:fldCharType="begin"/>
      </w:r>
      <w:r w:rsidRPr="005F0A67">
        <w:rPr>
          <w:rFonts w:asciiTheme="majorBidi" w:eastAsia="Times New Roman" w:hAnsiTheme="majorBidi" w:cstheme="majorBidi"/>
          <w:sz w:val="18"/>
          <w:szCs w:val="18"/>
          <w:lang w:val="en-CA" w:eastAsia="en-GB"/>
        </w:rPr>
        <w:instrText xml:space="preserve"> REF _Ref231901776 \r \h  \* MERGEFORMAT </w:instrText>
      </w:r>
      <w:r w:rsidRPr="005F0A67">
        <w:rPr>
          <w:rFonts w:asciiTheme="majorBidi" w:eastAsia="Times New Roman" w:hAnsiTheme="majorBidi" w:cstheme="majorBidi"/>
          <w:sz w:val="18"/>
          <w:szCs w:val="18"/>
          <w:lang w:val="en-CA" w:eastAsia="en-GB"/>
        </w:rPr>
      </w:r>
      <w:r w:rsidRPr="005F0A67">
        <w:rPr>
          <w:rFonts w:asciiTheme="majorBidi" w:eastAsia="Times New Roman" w:hAnsiTheme="majorBidi" w:cstheme="majorBidi"/>
          <w:sz w:val="18"/>
          <w:szCs w:val="18"/>
          <w:lang w:val="en-CA" w:eastAsia="en-GB"/>
        </w:rPr>
        <w:fldChar w:fldCharType="separate"/>
      </w:r>
      <w:r w:rsidRPr="005F0A67">
        <w:rPr>
          <w:rFonts w:asciiTheme="majorBidi" w:eastAsia="Times New Roman" w:hAnsiTheme="majorBidi" w:cstheme="majorBidi"/>
          <w:sz w:val="18"/>
          <w:szCs w:val="18"/>
          <w:lang w:val="en-CA" w:eastAsia="en-GB"/>
        </w:rPr>
        <w:t>7.6</w:t>
      </w:r>
      <w:r w:rsidRPr="005F0A67">
        <w:rPr>
          <w:rFonts w:asciiTheme="majorBidi" w:eastAsia="Times New Roman" w:hAnsiTheme="majorBidi" w:cstheme="majorBidi"/>
          <w:sz w:val="18"/>
          <w:szCs w:val="18"/>
          <w:lang w:val="en-CA" w:eastAsia="en-GB"/>
        </w:rPr>
        <w:fldChar w:fldCharType="end"/>
      </w:r>
      <w:r w:rsidRPr="005F0A67">
        <w:rPr>
          <w:rFonts w:asciiTheme="majorBidi" w:eastAsia="Times New Roman" w:hAnsiTheme="majorBidi" w:cstheme="majorBidi"/>
          <w:sz w:val="18"/>
          <w:szCs w:val="18"/>
          <w:lang w:val="en-CA" w:eastAsia="en-GB"/>
        </w:rPr>
        <w:t>.</w:t>
      </w:r>
    </w:p>
    <w:p w14:paraId="1C1D383E" w14:textId="77777777" w:rsidR="005F0A67" w:rsidRPr="005F0A67" w:rsidRDefault="005F0A67" w:rsidP="005F0A67">
      <w:pPr>
        <w:tabs>
          <w:tab w:val="clear" w:pos="567"/>
          <w:tab w:val="clear" w:pos="1134"/>
          <w:tab w:val="clear" w:pos="1701"/>
          <w:tab w:val="clear" w:pos="2268"/>
        </w:tabs>
        <w:spacing w:before="240" w:after="180" w:line="293" w:lineRule="auto"/>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lang w:val="en-CA" w:eastAsia="en-GB"/>
        </w:rPr>
        <w:t>The three dimensions together create a taxonomy of firm types for each Indicative Enclosure I sector. These firm types group eligible firms by their DSI value chain position, expected contribution base, and comparable structural features. The taxonomy is used in sector characterisation in Section 7.5 and as the unit of analysis in Step 3 pillar assessments. This approach enables differentiation of competitive effects within sectors where eligible firms are not homogeneous, without requiring analysis at the individual firm level.</w:t>
      </w:r>
    </w:p>
    <w:p w14:paraId="28035E05" w14:textId="77777777" w:rsidR="005F0A67" w:rsidRPr="005F0A67" w:rsidRDefault="005F0A67" w:rsidP="00B009ED">
      <w:pPr>
        <w:tabs>
          <w:tab w:val="clear" w:pos="567"/>
          <w:tab w:val="clear" w:pos="1134"/>
          <w:tab w:val="clear" w:pos="1701"/>
          <w:tab w:val="clear" w:pos="2268"/>
        </w:tabs>
        <w:spacing w:before="320" w:after="160"/>
        <w:ind w:left="720"/>
        <w:jc w:val="left"/>
        <w:outlineLvl w:val="2"/>
        <w:rPr>
          <w:rFonts w:asciiTheme="majorBidi" w:eastAsia="Arial" w:hAnsiTheme="majorBidi" w:cstheme="majorBidi"/>
          <w:b/>
          <w:bCs/>
          <w:color w:val="7F7F7F"/>
          <w:sz w:val="23"/>
          <w:szCs w:val="23"/>
          <w:lang w:val="en-CA" w:eastAsia="en-GB"/>
        </w:rPr>
      </w:pPr>
      <w:bookmarkStart w:id="167" w:name="_Toc234579597"/>
      <w:r w:rsidRPr="005F0A67">
        <w:rPr>
          <w:rFonts w:asciiTheme="majorBidi" w:eastAsia="Arial" w:hAnsiTheme="majorBidi" w:cstheme="majorBidi"/>
          <w:b/>
          <w:bCs/>
          <w:color w:val="7F7F7F"/>
          <w:sz w:val="23"/>
          <w:szCs w:val="23"/>
          <w:lang w:val="en-CA" w:eastAsia="en-GB"/>
        </w:rPr>
        <w:t>Step 2: Identifying affected groups and competitive asymmetries</w:t>
      </w:r>
      <w:bookmarkEnd w:id="167"/>
      <w:r w:rsidRPr="005F0A67">
        <w:rPr>
          <w:rFonts w:asciiTheme="majorBidi" w:eastAsia="Arial" w:hAnsiTheme="majorBidi" w:cstheme="majorBidi"/>
          <w:b/>
          <w:bCs/>
          <w:color w:val="7F7F7F"/>
          <w:sz w:val="23"/>
          <w:szCs w:val="23"/>
          <w:lang w:val="en-CA" w:eastAsia="en-GB"/>
        </w:rPr>
        <w:t xml:space="preserve"> </w:t>
      </w:r>
    </w:p>
    <w:p w14:paraId="243AA1D6"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Step 2 categorises firms into competitive asymmetry groups based on the three stages of the participation framework outlined in Section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_Ref229944942 \r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4</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Each stage generates a distinct competitor benchmark between firms. Design uncertainties identified in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_Ref229844376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Table 1</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influence each stage and are highlighted below where they are most significant.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_Ref230612087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Table 16</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summarises the three asymmetries before each is examined in detail in the following subsections.</w:t>
      </w:r>
    </w:p>
    <w:p w14:paraId="785F552C"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p>
    <w:p w14:paraId="7C536F4B"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p>
    <w:p w14:paraId="27E18942" w14:textId="77777777" w:rsid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w:t>
      </w:r>
    </w:p>
    <w:p w14:paraId="6380EBE7" w14:textId="77777777" w:rsidR="00B009ED" w:rsidRDefault="00B009ED"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p>
    <w:p w14:paraId="31ED0C07" w14:textId="77777777" w:rsidR="00B009ED" w:rsidRPr="005F0A67" w:rsidRDefault="00B009ED"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p>
    <w:p w14:paraId="125B69F1"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bookmarkStart w:id="168" w:name="_Ref230612087"/>
      <w:r w:rsidRPr="005F0A67">
        <w:rPr>
          <w:rFonts w:asciiTheme="majorBidi" w:eastAsia="Georgia" w:hAnsiTheme="majorBidi" w:cstheme="majorBidi"/>
          <w:b/>
          <w:bCs/>
          <w:color w:val="419844"/>
          <w:lang w:val="en-CA" w:eastAsia="en-GB"/>
        </w:rPr>
        <w:t xml:space="preserve">Table </w:t>
      </w:r>
      <w:r w:rsidRPr="005F0A67">
        <w:rPr>
          <w:rFonts w:asciiTheme="majorBidi" w:eastAsia="Georgia" w:hAnsiTheme="majorBidi" w:cstheme="majorBidi"/>
          <w:b/>
          <w:bCs/>
          <w:i/>
          <w:iCs/>
          <w:color w:val="419844"/>
          <w:lang w:val="en-CA" w:eastAsia="en-GB"/>
        </w:rPr>
        <w:fldChar w:fldCharType="begin"/>
      </w:r>
      <w:r w:rsidRPr="005F0A67">
        <w:rPr>
          <w:rFonts w:asciiTheme="majorBidi" w:eastAsia="Georgia" w:hAnsiTheme="majorBidi" w:cstheme="majorBidi"/>
          <w:b/>
          <w:bCs/>
          <w:color w:val="419844"/>
          <w:lang w:val="en-CA" w:eastAsia="en-GB"/>
        </w:rPr>
        <w:instrText xml:space="preserve"> SEQ Table \* ARABIC </w:instrText>
      </w:r>
      <w:r w:rsidRPr="005F0A67">
        <w:rPr>
          <w:rFonts w:asciiTheme="majorBidi" w:eastAsia="Georgia" w:hAnsiTheme="majorBidi" w:cstheme="majorBidi"/>
          <w:b/>
          <w:bCs/>
          <w:i/>
          <w:iCs/>
          <w:color w:val="419844"/>
          <w:lang w:val="en-CA" w:eastAsia="en-GB"/>
        </w:rPr>
        <w:fldChar w:fldCharType="separate"/>
      </w:r>
      <w:r w:rsidRPr="005F0A67">
        <w:rPr>
          <w:rFonts w:asciiTheme="majorBidi" w:eastAsia="Georgia" w:hAnsiTheme="majorBidi" w:cstheme="majorBidi"/>
          <w:b/>
          <w:bCs/>
          <w:noProof/>
          <w:color w:val="419844"/>
          <w:lang w:val="en-CA" w:eastAsia="en-GB"/>
        </w:rPr>
        <w:t>16</w:t>
      </w:r>
      <w:r w:rsidRPr="005F0A67">
        <w:rPr>
          <w:rFonts w:asciiTheme="majorBidi" w:eastAsia="Georgia" w:hAnsiTheme="majorBidi" w:cstheme="majorBidi"/>
          <w:b/>
          <w:bCs/>
          <w:i/>
          <w:iCs/>
          <w:color w:val="419844"/>
          <w:lang w:val="en-CA" w:eastAsia="en-GB"/>
        </w:rPr>
        <w:fldChar w:fldCharType="end"/>
      </w:r>
      <w:bookmarkEnd w:id="168"/>
      <w:r w:rsidRPr="005F0A67">
        <w:rPr>
          <w:rFonts w:asciiTheme="majorBidi" w:eastAsia="Georgia" w:hAnsiTheme="majorBidi" w:cstheme="majorBidi"/>
          <w:b/>
          <w:bCs/>
          <w:color w:val="419844"/>
          <w:lang w:val="en-CA" w:eastAsia="en-GB"/>
        </w:rPr>
        <w:t xml:space="preserve"> Three-stage competitive asymmetry under Decision 16/2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217"/>
        <w:gridCol w:w="1320"/>
        <w:gridCol w:w="1626"/>
        <w:gridCol w:w="3491"/>
        <w:gridCol w:w="2064"/>
      </w:tblGrid>
      <w:tr w:rsidR="005F0A67" w:rsidRPr="005F0A67" w14:paraId="34B86B61" w14:textId="77777777" w:rsidTr="00FB671B">
        <w:trPr>
          <w:trHeight w:val="108"/>
          <w:tblHeader/>
        </w:trPr>
        <w:tc>
          <w:tcPr>
            <w:tcW w:w="0" w:type="auto"/>
            <w:tcBorders>
              <w:top w:val="single" w:sz="1" w:space="0" w:color="AAAAAA"/>
              <w:left w:val="single" w:sz="1" w:space="0" w:color="AAAAAA"/>
              <w:bottom w:val="single" w:sz="1" w:space="0" w:color="AAAAAA"/>
              <w:right w:val="single" w:sz="1" w:space="0" w:color="AAAAAA"/>
            </w:tcBorders>
            <w:shd w:val="clear" w:color="auto" w:fill="1F4E6B"/>
            <w:tcMar>
              <w:top w:w="60" w:type="dxa"/>
              <w:left w:w="100" w:type="dxa"/>
              <w:bottom w:w="60" w:type="dxa"/>
              <w:right w:w="100" w:type="dxa"/>
            </w:tcMar>
            <w:vAlign w:val="center"/>
          </w:tcPr>
          <w:p w14:paraId="57FC0888"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FFFFFF"/>
                <w:sz w:val="18"/>
                <w:szCs w:val="18"/>
                <w:lang w:val="en-CA" w:eastAsia="en-GB"/>
              </w:rPr>
            </w:pPr>
            <w:r w:rsidRPr="005F0A67">
              <w:rPr>
                <w:rFonts w:asciiTheme="majorBidi" w:eastAsia="Times New Roman" w:hAnsiTheme="majorBidi" w:cstheme="majorBidi"/>
                <w:b/>
                <w:bCs/>
                <w:color w:val="FFFFFF"/>
                <w:sz w:val="18"/>
                <w:szCs w:val="18"/>
                <w:lang w:val="en-CA" w:eastAsia="en-GB"/>
              </w:rPr>
              <w:t>Stage</w:t>
            </w:r>
          </w:p>
        </w:tc>
        <w:tc>
          <w:tcPr>
            <w:tcW w:w="0" w:type="auto"/>
            <w:tcBorders>
              <w:top w:val="single" w:sz="1" w:space="0" w:color="AAAAAA"/>
              <w:left w:val="single" w:sz="1" w:space="0" w:color="AAAAAA"/>
              <w:bottom w:val="single" w:sz="1" w:space="0" w:color="AAAAAA"/>
              <w:right w:val="single" w:sz="1" w:space="0" w:color="AAAAAA"/>
            </w:tcBorders>
            <w:shd w:val="clear" w:color="auto" w:fill="1F4E6B"/>
            <w:tcMar>
              <w:top w:w="60" w:type="dxa"/>
              <w:left w:w="100" w:type="dxa"/>
              <w:bottom w:w="60" w:type="dxa"/>
              <w:right w:w="100" w:type="dxa"/>
            </w:tcMar>
            <w:vAlign w:val="center"/>
          </w:tcPr>
          <w:p w14:paraId="7AE03C45"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FFFFFF"/>
                <w:sz w:val="18"/>
                <w:szCs w:val="18"/>
                <w:lang w:val="en-CA" w:eastAsia="en-GB"/>
              </w:rPr>
            </w:pPr>
            <w:r w:rsidRPr="005F0A67">
              <w:rPr>
                <w:rFonts w:asciiTheme="majorBidi" w:eastAsia="Times New Roman" w:hAnsiTheme="majorBidi" w:cstheme="majorBidi"/>
                <w:b/>
                <w:bCs/>
                <w:color w:val="FFFFFF"/>
                <w:sz w:val="18"/>
                <w:szCs w:val="18"/>
                <w:lang w:val="en-CA" w:eastAsia="en-GB"/>
              </w:rPr>
              <w:t>Asymmetry type</w:t>
            </w:r>
          </w:p>
        </w:tc>
        <w:tc>
          <w:tcPr>
            <w:tcW w:w="0" w:type="auto"/>
            <w:tcBorders>
              <w:top w:val="single" w:sz="1" w:space="0" w:color="AAAAAA"/>
              <w:left w:val="single" w:sz="1" w:space="0" w:color="AAAAAA"/>
              <w:bottom w:val="single" w:sz="1" w:space="0" w:color="AAAAAA"/>
              <w:right w:val="single" w:sz="1" w:space="0" w:color="AAAAAA"/>
            </w:tcBorders>
            <w:shd w:val="clear" w:color="auto" w:fill="1F4E6B"/>
            <w:vAlign w:val="center"/>
          </w:tcPr>
          <w:p w14:paraId="07750E5E"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FFFFFF"/>
                <w:sz w:val="18"/>
                <w:szCs w:val="18"/>
                <w:lang w:val="en-CA" w:eastAsia="en-GB"/>
              </w:rPr>
            </w:pPr>
            <w:r w:rsidRPr="005F0A67">
              <w:rPr>
                <w:rFonts w:asciiTheme="majorBidi" w:eastAsia="Times New Roman" w:hAnsiTheme="majorBidi" w:cstheme="majorBidi"/>
                <w:b/>
                <w:bCs/>
                <w:color w:val="FFFFFF"/>
                <w:sz w:val="18"/>
                <w:szCs w:val="18"/>
                <w:lang w:val="en-CA" w:eastAsia="en-GB"/>
              </w:rPr>
              <w:t>Firms compared</w:t>
            </w:r>
          </w:p>
        </w:tc>
        <w:tc>
          <w:tcPr>
            <w:tcW w:w="3491" w:type="dxa"/>
            <w:tcBorders>
              <w:top w:val="single" w:sz="1" w:space="0" w:color="AAAAAA"/>
              <w:left w:val="single" w:sz="1" w:space="0" w:color="AAAAAA"/>
              <w:bottom w:val="single" w:sz="1" w:space="0" w:color="AAAAAA"/>
              <w:right w:val="single" w:sz="1" w:space="0" w:color="AAAAAA"/>
            </w:tcBorders>
            <w:shd w:val="clear" w:color="auto" w:fill="1F4E6B"/>
            <w:vAlign w:val="center"/>
          </w:tcPr>
          <w:p w14:paraId="30B4E3D2"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FFFFFF"/>
                <w:sz w:val="18"/>
                <w:szCs w:val="18"/>
                <w:lang w:val="en-CA" w:eastAsia="en-GB"/>
              </w:rPr>
            </w:pPr>
            <w:r w:rsidRPr="005F0A67">
              <w:rPr>
                <w:rFonts w:asciiTheme="majorBidi" w:eastAsia="Times New Roman" w:hAnsiTheme="majorBidi" w:cstheme="majorBidi"/>
                <w:b/>
                <w:bCs/>
                <w:color w:val="FFFFFF"/>
                <w:sz w:val="18"/>
                <w:szCs w:val="18"/>
                <w:lang w:val="en-CA" w:eastAsia="en-GB"/>
              </w:rPr>
              <w:t>Mechanism</w:t>
            </w:r>
          </w:p>
        </w:tc>
        <w:tc>
          <w:tcPr>
            <w:tcW w:w="2064" w:type="dxa"/>
            <w:tcBorders>
              <w:top w:val="single" w:sz="1" w:space="0" w:color="AAAAAA"/>
              <w:left w:val="single" w:sz="1" w:space="0" w:color="AAAAAA"/>
              <w:bottom w:val="single" w:sz="1" w:space="0" w:color="AAAAAA"/>
              <w:right w:val="single" w:sz="1" w:space="0" w:color="AAAAAA"/>
            </w:tcBorders>
            <w:shd w:val="clear" w:color="auto" w:fill="1F4E6B"/>
            <w:vAlign w:val="center"/>
          </w:tcPr>
          <w:p w14:paraId="2694C78E"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FFFFFF"/>
                <w:sz w:val="18"/>
                <w:szCs w:val="18"/>
                <w:lang w:val="en-CA" w:eastAsia="en-GB"/>
              </w:rPr>
            </w:pPr>
            <w:r w:rsidRPr="005F0A67">
              <w:rPr>
                <w:rFonts w:asciiTheme="majorBidi" w:eastAsia="Times New Roman" w:hAnsiTheme="majorBidi" w:cstheme="majorBidi"/>
                <w:b/>
                <w:bCs/>
                <w:color w:val="FFFFFF"/>
                <w:sz w:val="18"/>
                <w:szCs w:val="18"/>
                <w:lang w:val="en-CA" w:eastAsia="en-GB"/>
              </w:rPr>
              <w:t>Addressable by rate revision?</w:t>
            </w:r>
          </w:p>
        </w:tc>
      </w:tr>
      <w:tr w:rsidR="005F0A67" w:rsidRPr="005F0A67" w14:paraId="1F6CACBB" w14:textId="77777777" w:rsidTr="005F0A67">
        <w:trPr>
          <w:trHeight w:val="358"/>
        </w:trPr>
        <w:tc>
          <w:tcPr>
            <w:tcW w:w="0" w:type="auto"/>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tcPr>
          <w:p w14:paraId="21FC2515"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b/>
                <w:bCs/>
                <w:sz w:val="18"/>
                <w:szCs w:val="18"/>
                <w:lang w:eastAsia="en-GB"/>
              </w:rPr>
            </w:pPr>
            <w:r w:rsidRPr="005F0A67">
              <w:rPr>
                <w:rFonts w:asciiTheme="majorBidi" w:eastAsia="Arial" w:hAnsiTheme="majorBidi" w:cstheme="majorBidi"/>
                <w:sz w:val="18"/>
                <w:szCs w:val="18"/>
                <w:lang w:eastAsia="en-GB"/>
              </w:rPr>
              <w:t>Stage 1 Eligibility</w:t>
            </w:r>
          </w:p>
        </w:tc>
        <w:tc>
          <w:tcPr>
            <w:tcW w:w="0" w:type="auto"/>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tcPr>
          <w:p w14:paraId="61275CFC"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ahoma" w:hAnsiTheme="majorBidi" w:cstheme="majorBidi"/>
                <w:sz w:val="18"/>
                <w:szCs w:val="18"/>
                <w:lang w:eastAsia="en-GB"/>
              </w:rPr>
            </w:pPr>
            <w:r w:rsidRPr="005F0A67">
              <w:rPr>
                <w:rFonts w:asciiTheme="majorBidi" w:eastAsia="Arial" w:hAnsiTheme="majorBidi" w:cstheme="majorBidi"/>
                <w:sz w:val="18"/>
                <w:szCs w:val="18"/>
                <w:lang w:eastAsia="en-GB"/>
              </w:rPr>
              <w:t>Eligibility asymmetry</w:t>
            </w:r>
          </w:p>
        </w:tc>
        <w:tc>
          <w:tcPr>
            <w:tcW w:w="0" w:type="auto"/>
            <w:tcBorders>
              <w:top w:val="single" w:sz="1" w:space="0" w:color="AAAAAA"/>
              <w:left w:val="single" w:sz="1" w:space="0" w:color="AAAAAA"/>
              <w:bottom w:val="single" w:sz="1" w:space="0" w:color="AAAAAA"/>
              <w:right w:val="single" w:sz="1" w:space="0" w:color="AAAAAA"/>
            </w:tcBorders>
          </w:tcPr>
          <w:p w14:paraId="3E271EE4" w14:textId="77777777" w:rsidR="005F0A67" w:rsidRPr="005F0A67" w:rsidRDefault="005F0A67" w:rsidP="005F0A67">
            <w:pPr>
              <w:tabs>
                <w:tab w:val="clear" w:pos="567"/>
                <w:tab w:val="clear" w:pos="1134"/>
                <w:tab w:val="clear" w:pos="1701"/>
                <w:tab w:val="clear" w:pos="2268"/>
              </w:tabs>
              <w:spacing w:line="276" w:lineRule="auto"/>
              <w:ind w:left="57"/>
              <w:jc w:val="left"/>
              <w:rPr>
                <w:rFonts w:asciiTheme="majorBidi" w:eastAsia="Times New Roman" w:hAnsiTheme="majorBidi" w:cstheme="majorBidi"/>
                <w:sz w:val="18"/>
                <w:szCs w:val="18"/>
                <w:lang w:eastAsia="en-GB"/>
              </w:rPr>
            </w:pPr>
            <w:r w:rsidRPr="005F0A67">
              <w:rPr>
                <w:rFonts w:asciiTheme="majorBidi" w:eastAsia="Arial" w:hAnsiTheme="majorBidi" w:cstheme="majorBidi"/>
                <w:sz w:val="18"/>
                <w:szCs w:val="18"/>
                <w:lang w:eastAsia="en-GB"/>
              </w:rPr>
              <w:t>Eligible vs. non-eligible firms in the same product market</w:t>
            </w:r>
          </w:p>
        </w:tc>
        <w:tc>
          <w:tcPr>
            <w:tcW w:w="3491" w:type="dxa"/>
            <w:tcBorders>
              <w:top w:val="single" w:sz="1" w:space="0" w:color="AAAAAA"/>
              <w:left w:val="single" w:sz="1" w:space="0" w:color="AAAAAA"/>
              <w:bottom w:val="single" w:sz="1" w:space="0" w:color="AAAAAA"/>
              <w:right w:val="single" w:sz="1" w:space="0" w:color="AAAAAA"/>
            </w:tcBorders>
          </w:tcPr>
          <w:p w14:paraId="7DD8E784" w14:textId="77777777" w:rsidR="005F0A67" w:rsidRPr="005F0A67" w:rsidRDefault="005F0A67" w:rsidP="005F0A67">
            <w:pPr>
              <w:tabs>
                <w:tab w:val="clear" w:pos="567"/>
                <w:tab w:val="clear" w:pos="1134"/>
                <w:tab w:val="clear" w:pos="1701"/>
                <w:tab w:val="clear" w:pos="2268"/>
              </w:tabs>
              <w:spacing w:line="276" w:lineRule="auto"/>
              <w:ind w:left="57"/>
              <w:jc w:val="left"/>
              <w:rPr>
                <w:rFonts w:asciiTheme="majorBidi" w:eastAsia="Times New Roman" w:hAnsiTheme="majorBidi" w:cstheme="majorBidi"/>
                <w:sz w:val="18"/>
                <w:szCs w:val="18"/>
                <w:lang w:eastAsia="en-GB"/>
              </w:rPr>
            </w:pPr>
            <w:r w:rsidRPr="005F0A67">
              <w:rPr>
                <w:rFonts w:asciiTheme="majorBidi" w:eastAsia="Arial" w:hAnsiTheme="majorBidi" w:cstheme="majorBidi"/>
                <w:sz w:val="18"/>
                <w:szCs w:val="18"/>
                <w:lang w:eastAsia="en-GB"/>
              </w:rPr>
              <w:t>Threshold design excludes smaller competitors from the contribution eligibility; eligible firms bear a cost that non-eligible competitors in the same product market do not.</w:t>
            </w:r>
          </w:p>
        </w:tc>
        <w:tc>
          <w:tcPr>
            <w:tcW w:w="2064" w:type="dxa"/>
            <w:tcBorders>
              <w:top w:val="single" w:sz="1" w:space="0" w:color="AAAAAA"/>
              <w:left w:val="single" w:sz="1" w:space="0" w:color="AAAAAA"/>
              <w:bottom w:val="single" w:sz="1" w:space="0" w:color="AAAAAA"/>
              <w:right w:val="single" w:sz="1" w:space="0" w:color="AAAAAA"/>
            </w:tcBorders>
          </w:tcPr>
          <w:p w14:paraId="0536B93B" w14:textId="77777777" w:rsidR="005F0A67" w:rsidRPr="005F0A67" w:rsidRDefault="005F0A67" w:rsidP="005F0A67">
            <w:pPr>
              <w:tabs>
                <w:tab w:val="clear" w:pos="567"/>
                <w:tab w:val="clear" w:pos="1134"/>
                <w:tab w:val="clear" w:pos="1701"/>
                <w:tab w:val="clear" w:pos="2268"/>
              </w:tabs>
              <w:spacing w:line="276" w:lineRule="auto"/>
              <w:ind w:left="57"/>
              <w:jc w:val="left"/>
              <w:rPr>
                <w:rFonts w:asciiTheme="majorBidi" w:eastAsia="Times New Roman" w:hAnsiTheme="majorBidi" w:cstheme="majorBidi"/>
                <w:sz w:val="18"/>
                <w:szCs w:val="18"/>
                <w:lang w:eastAsia="en-GB"/>
              </w:rPr>
            </w:pPr>
            <w:r w:rsidRPr="005F0A67">
              <w:rPr>
                <w:rFonts w:asciiTheme="majorBidi" w:eastAsia="Arial" w:hAnsiTheme="majorBidi" w:cstheme="majorBidi"/>
                <w:sz w:val="18"/>
                <w:szCs w:val="18"/>
                <w:lang w:eastAsia="en-GB"/>
              </w:rPr>
              <w:t>No. Requires threshold adjustment</w:t>
            </w:r>
          </w:p>
        </w:tc>
      </w:tr>
      <w:tr w:rsidR="005F0A67" w:rsidRPr="005F0A67" w14:paraId="64ABEE75" w14:textId="77777777" w:rsidTr="005F0A67">
        <w:trPr>
          <w:trHeight w:val="144"/>
        </w:trPr>
        <w:tc>
          <w:tcPr>
            <w:tcW w:w="0" w:type="auto"/>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tcPr>
          <w:p w14:paraId="272B406D"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b/>
                <w:bCs/>
                <w:sz w:val="18"/>
                <w:szCs w:val="18"/>
                <w:lang w:eastAsia="en-GB"/>
              </w:rPr>
            </w:pPr>
            <w:r w:rsidRPr="005F0A67">
              <w:rPr>
                <w:rFonts w:asciiTheme="majorBidi" w:eastAsia="Arial" w:hAnsiTheme="majorBidi" w:cstheme="majorBidi"/>
                <w:sz w:val="18"/>
                <w:szCs w:val="18"/>
                <w:lang w:eastAsia="en-GB"/>
              </w:rPr>
              <w:t>Stage 2 Participation</w:t>
            </w:r>
          </w:p>
        </w:tc>
        <w:tc>
          <w:tcPr>
            <w:tcW w:w="0" w:type="auto"/>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tcPr>
          <w:p w14:paraId="41535BCE"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ahoma" w:hAnsiTheme="majorBidi" w:cstheme="majorBidi"/>
                <w:sz w:val="18"/>
                <w:szCs w:val="18"/>
                <w:lang w:eastAsia="en-GB"/>
              </w:rPr>
            </w:pPr>
            <w:r w:rsidRPr="005F0A67">
              <w:rPr>
                <w:rFonts w:asciiTheme="majorBidi" w:eastAsia="Arial" w:hAnsiTheme="majorBidi" w:cstheme="majorBidi"/>
                <w:sz w:val="18"/>
                <w:szCs w:val="18"/>
                <w:lang w:eastAsia="en-GB"/>
              </w:rPr>
              <w:t>Participation asymmetry</w:t>
            </w:r>
          </w:p>
        </w:tc>
        <w:tc>
          <w:tcPr>
            <w:tcW w:w="0" w:type="auto"/>
            <w:tcBorders>
              <w:top w:val="single" w:sz="1" w:space="0" w:color="AAAAAA"/>
              <w:left w:val="single" w:sz="1" w:space="0" w:color="AAAAAA"/>
              <w:bottom w:val="single" w:sz="1" w:space="0" w:color="AAAAAA"/>
              <w:right w:val="single" w:sz="1" w:space="0" w:color="AAAAAA"/>
            </w:tcBorders>
          </w:tcPr>
          <w:p w14:paraId="35F5CF3E" w14:textId="77777777" w:rsidR="005F0A67" w:rsidRPr="005F0A67" w:rsidRDefault="005F0A67" w:rsidP="005F0A67">
            <w:pPr>
              <w:tabs>
                <w:tab w:val="clear" w:pos="567"/>
                <w:tab w:val="clear" w:pos="1134"/>
                <w:tab w:val="clear" w:pos="1701"/>
                <w:tab w:val="clear" w:pos="2268"/>
              </w:tabs>
              <w:spacing w:line="276" w:lineRule="auto"/>
              <w:ind w:left="57"/>
              <w:jc w:val="left"/>
              <w:rPr>
                <w:rFonts w:asciiTheme="majorBidi" w:eastAsia="Times New Roman" w:hAnsiTheme="majorBidi" w:cstheme="majorBidi"/>
                <w:sz w:val="18"/>
                <w:szCs w:val="18"/>
                <w:lang w:eastAsia="en-GB"/>
              </w:rPr>
            </w:pPr>
            <w:r w:rsidRPr="005F0A67">
              <w:rPr>
                <w:rFonts w:asciiTheme="majorBidi" w:eastAsia="Arial" w:hAnsiTheme="majorBidi" w:cstheme="majorBidi"/>
                <w:sz w:val="18"/>
                <w:szCs w:val="18"/>
                <w:lang w:eastAsia="en-GB"/>
              </w:rPr>
              <w:t>Participating vs. non-participating eligible firms</w:t>
            </w:r>
          </w:p>
        </w:tc>
        <w:tc>
          <w:tcPr>
            <w:tcW w:w="3491" w:type="dxa"/>
            <w:tcBorders>
              <w:top w:val="single" w:sz="1" w:space="0" w:color="AAAAAA"/>
              <w:left w:val="single" w:sz="1" w:space="0" w:color="AAAAAA"/>
              <w:bottom w:val="single" w:sz="1" w:space="0" w:color="AAAAAA"/>
              <w:right w:val="single" w:sz="1" w:space="0" w:color="AAAAAA"/>
            </w:tcBorders>
          </w:tcPr>
          <w:p w14:paraId="321C5C75" w14:textId="77777777" w:rsidR="005F0A67" w:rsidRPr="005F0A67" w:rsidRDefault="005F0A67" w:rsidP="005F0A67">
            <w:pPr>
              <w:tabs>
                <w:tab w:val="clear" w:pos="567"/>
                <w:tab w:val="clear" w:pos="1134"/>
                <w:tab w:val="clear" w:pos="1701"/>
                <w:tab w:val="clear" w:pos="2268"/>
              </w:tabs>
              <w:spacing w:line="276" w:lineRule="auto"/>
              <w:ind w:left="57"/>
              <w:jc w:val="left"/>
              <w:rPr>
                <w:rFonts w:asciiTheme="majorBidi" w:eastAsia="Times New Roman" w:hAnsiTheme="majorBidi" w:cstheme="majorBidi"/>
                <w:sz w:val="18"/>
                <w:szCs w:val="18"/>
                <w:lang w:eastAsia="en-GB"/>
              </w:rPr>
            </w:pPr>
            <w:r w:rsidRPr="005F0A67">
              <w:rPr>
                <w:rFonts w:asciiTheme="majorBidi" w:eastAsia="Arial" w:hAnsiTheme="majorBidi" w:cstheme="majorBidi"/>
                <w:sz w:val="18"/>
                <w:szCs w:val="18"/>
                <w:lang w:val="en-CA" w:eastAsia="en-GB"/>
              </w:rPr>
              <w:t>Non-legally binding mechanism creates first-mover disadvantage; contributing firms bear a cost that non-contributing eligible competitors do not. This can be offset by the counteracting effect of first-mover advantage, where firms identify reputational and other benefits of early participation.</w:t>
            </w:r>
          </w:p>
        </w:tc>
        <w:tc>
          <w:tcPr>
            <w:tcW w:w="2064" w:type="dxa"/>
            <w:tcBorders>
              <w:top w:val="single" w:sz="1" w:space="0" w:color="AAAAAA"/>
              <w:left w:val="single" w:sz="1" w:space="0" w:color="AAAAAA"/>
              <w:bottom w:val="single" w:sz="1" w:space="0" w:color="AAAAAA"/>
              <w:right w:val="single" w:sz="1" w:space="0" w:color="AAAAAA"/>
            </w:tcBorders>
          </w:tcPr>
          <w:p w14:paraId="0513D3AB" w14:textId="77777777" w:rsidR="005F0A67" w:rsidRPr="005F0A67" w:rsidRDefault="005F0A67" w:rsidP="005F0A67">
            <w:pPr>
              <w:tabs>
                <w:tab w:val="clear" w:pos="567"/>
                <w:tab w:val="clear" w:pos="1134"/>
                <w:tab w:val="clear" w:pos="1701"/>
                <w:tab w:val="clear" w:pos="2268"/>
              </w:tabs>
              <w:spacing w:line="276" w:lineRule="auto"/>
              <w:ind w:left="57"/>
              <w:jc w:val="left"/>
              <w:rPr>
                <w:rFonts w:asciiTheme="majorBidi" w:eastAsia="Times New Roman" w:hAnsiTheme="majorBidi" w:cstheme="majorBidi"/>
                <w:sz w:val="18"/>
                <w:szCs w:val="18"/>
                <w:lang w:eastAsia="en-GB"/>
              </w:rPr>
            </w:pPr>
            <w:r w:rsidRPr="005F0A67">
              <w:rPr>
                <w:rFonts w:asciiTheme="majorBidi" w:eastAsia="Arial" w:hAnsiTheme="majorBidi" w:cstheme="majorBidi"/>
                <w:sz w:val="18"/>
                <w:szCs w:val="18"/>
                <w:lang w:val="en-CA" w:eastAsia="en-GB"/>
              </w:rPr>
              <w:t>Partially. Lower rates reduce the magnitude of the first-mover disadvantage but do not eliminate the structural incentive to wait if the perceived first-mover costs outweigh the benefits.</w:t>
            </w:r>
          </w:p>
        </w:tc>
      </w:tr>
      <w:tr w:rsidR="005F0A67" w:rsidRPr="005F0A67" w14:paraId="76963829" w14:textId="77777777" w:rsidTr="005F0A67">
        <w:trPr>
          <w:trHeight w:val="144"/>
        </w:trPr>
        <w:tc>
          <w:tcPr>
            <w:tcW w:w="0" w:type="auto"/>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tcPr>
          <w:p w14:paraId="32E7E635"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b/>
                <w:bCs/>
                <w:sz w:val="18"/>
                <w:szCs w:val="18"/>
                <w:lang w:eastAsia="en-GB"/>
              </w:rPr>
            </w:pPr>
            <w:r w:rsidRPr="005F0A67">
              <w:rPr>
                <w:rFonts w:asciiTheme="majorBidi" w:eastAsia="Arial" w:hAnsiTheme="majorBidi" w:cstheme="majorBidi"/>
                <w:sz w:val="18"/>
                <w:szCs w:val="18"/>
                <w:lang w:eastAsia="en-GB"/>
              </w:rPr>
              <w:t>Stage 3 Contribution</w:t>
            </w:r>
          </w:p>
        </w:tc>
        <w:tc>
          <w:tcPr>
            <w:tcW w:w="0" w:type="auto"/>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tcPr>
          <w:p w14:paraId="057741B8"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ahoma" w:hAnsiTheme="majorBidi" w:cstheme="majorBidi"/>
                <w:sz w:val="18"/>
                <w:szCs w:val="18"/>
                <w:lang w:eastAsia="en-GB"/>
              </w:rPr>
            </w:pPr>
            <w:r w:rsidRPr="005F0A67">
              <w:rPr>
                <w:rFonts w:asciiTheme="majorBidi" w:eastAsia="Arial" w:hAnsiTheme="majorBidi" w:cstheme="majorBidi"/>
                <w:sz w:val="18"/>
                <w:szCs w:val="18"/>
                <w:lang w:eastAsia="en-GB"/>
              </w:rPr>
              <w:t>Contribution base asymmetry</w:t>
            </w:r>
          </w:p>
        </w:tc>
        <w:tc>
          <w:tcPr>
            <w:tcW w:w="0" w:type="auto"/>
            <w:tcBorders>
              <w:top w:val="single" w:sz="1" w:space="0" w:color="AAAAAA"/>
              <w:left w:val="single" w:sz="1" w:space="0" w:color="AAAAAA"/>
              <w:bottom w:val="single" w:sz="1" w:space="0" w:color="AAAAAA"/>
              <w:right w:val="single" w:sz="1" w:space="0" w:color="AAAAAA"/>
            </w:tcBorders>
          </w:tcPr>
          <w:p w14:paraId="4B20E7BD" w14:textId="77777777" w:rsidR="005F0A67" w:rsidRPr="005F0A67" w:rsidRDefault="005F0A67" w:rsidP="005F0A67">
            <w:pPr>
              <w:tabs>
                <w:tab w:val="clear" w:pos="567"/>
                <w:tab w:val="clear" w:pos="1134"/>
                <w:tab w:val="clear" w:pos="1701"/>
                <w:tab w:val="clear" w:pos="2268"/>
              </w:tabs>
              <w:spacing w:line="276" w:lineRule="auto"/>
              <w:ind w:left="57"/>
              <w:jc w:val="left"/>
              <w:rPr>
                <w:rFonts w:asciiTheme="majorBidi" w:eastAsia="Times New Roman" w:hAnsiTheme="majorBidi" w:cstheme="majorBidi"/>
                <w:sz w:val="18"/>
                <w:szCs w:val="18"/>
                <w:lang w:eastAsia="en-GB"/>
              </w:rPr>
            </w:pPr>
            <w:r w:rsidRPr="005F0A67">
              <w:rPr>
                <w:rFonts w:asciiTheme="majorBidi" w:eastAsia="Arial" w:hAnsiTheme="majorBidi" w:cstheme="majorBidi"/>
                <w:sz w:val="18"/>
                <w:szCs w:val="18"/>
                <w:lang w:eastAsia="en-GB"/>
              </w:rPr>
              <w:t>Revenue-base vs. profit-base payers among participating firms</w:t>
            </w:r>
          </w:p>
        </w:tc>
        <w:tc>
          <w:tcPr>
            <w:tcW w:w="3491" w:type="dxa"/>
            <w:tcBorders>
              <w:top w:val="single" w:sz="1" w:space="0" w:color="AAAAAA"/>
              <w:left w:val="single" w:sz="1" w:space="0" w:color="AAAAAA"/>
              <w:bottom w:val="single" w:sz="1" w:space="0" w:color="AAAAAA"/>
              <w:right w:val="single" w:sz="1" w:space="0" w:color="AAAAAA"/>
            </w:tcBorders>
          </w:tcPr>
          <w:p w14:paraId="48672AD5" w14:textId="77777777" w:rsidR="005F0A67" w:rsidRPr="005F0A67" w:rsidRDefault="005F0A67" w:rsidP="005F0A67">
            <w:pPr>
              <w:tabs>
                <w:tab w:val="clear" w:pos="567"/>
                <w:tab w:val="clear" w:pos="1134"/>
                <w:tab w:val="clear" w:pos="1701"/>
                <w:tab w:val="clear" w:pos="2268"/>
              </w:tabs>
              <w:spacing w:line="276" w:lineRule="auto"/>
              <w:ind w:left="57"/>
              <w:jc w:val="left"/>
              <w:rPr>
                <w:rFonts w:asciiTheme="majorBidi" w:eastAsia="Times New Roman" w:hAnsiTheme="majorBidi" w:cstheme="majorBidi"/>
                <w:sz w:val="18"/>
                <w:szCs w:val="18"/>
                <w:lang w:eastAsia="en-GB"/>
              </w:rPr>
            </w:pPr>
            <w:r w:rsidRPr="005F0A67">
              <w:rPr>
                <w:rFonts w:asciiTheme="majorBidi" w:eastAsia="Arial" w:hAnsiTheme="majorBidi" w:cstheme="majorBidi"/>
                <w:sz w:val="18"/>
                <w:szCs w:val="18"/>
                <w:lang w:eastAsia="en-GB"/>
              </w:rPr>
              <w:t>Minimum-of-two design places firms on different contribution bases depending on margin. The two bases produce different effective rates on revenue and on profit, with competitive significance depending on which dimension is binding.</w:t>
            </w:r>
          </w:p>
        </w:tc>
        <w:tc>
          <w:tcPr>
            <w:tcW w:w="2064" w:type="dxa"/>
            <w:tcBorders>
              <w:top w:val="single" w:sz="1" w:space="0" w:color="AAAAAA"/>
              <w:left w:val="single" w:sz="1" w:space="0" w:color="AAAAAA"/>
              <w:bottom w:val="single" w:sz="1" w:space="0" w:color="AAAAAA"/>
              <w:right w:val="single" w:sz="1" w:space="0" w:color="AAAAAA"/>
            </w:tcBorders>
          </w:tcPr>
          <w:p w14:paraId="38E2F9CE" w14:textId="77777777" w:rsidR="005F0A67" w:rsidRPr="005F0A67" w:rsidRDefault="005F0A67" w:rsidP="005F0A67">
            <w:pPr>
              <w:tabs>
                <w:tab w:val="clear" w:pos="567"/>
                <w:tab w:val="clear" w:pos="1134"/>
                <w:tab w:val="clear" w:pos="1701"/>
                <w:tab w:val="clear" w:pos="2268"/>
              </w:tabs>
              <w:spacing w:line="276" w:lineRule="auto"/>
              <w:ind w:left="57"/>
              <w:jc w:val="left"/>
              <w:rPr>
                <w:rFonts w:asciiTheme="majorBidi" w:eastAsia="Times New Roman" w:hAnsiTheme="majorBidi" w:cstheme="majorBidi"/>
                <w:sz w:val="18"/>
                <w:szCs w:val="18"/>
                <w:lang w:eastAsia="en-GB"/>
              </w:rPr>
            </w:pPr>
            <w:r w:rsidRPr="005F0A67">
              <w:rPr>
                <w:rFonts w:asciiTheme="majorBidi" w:eastAsia="Arial" w:hAnsiTheme="majorBidi" w:cstheme="majorBidi"/>
                <w:sz w:val="18"/>
                <w:szCs w:val="18"/>
                <w:lang w:eastAsia="en-GB"/>
              </w:rPr>
              <w:t>No. Inherent to the minimum-of-two design; requires a structural change to the rate formula</w:t>
            </w:r>
          </w:p>
        </w:tc>
      </w:tr>
    </w:tbl>
    <w:p w14:paraId="7BF58569"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i/>
          <w:iCs/>
          <w:sz w:val="18"/>
          <w:szCs w:val="18"/>
          <w:lang w:val="en-CA" w:eastAsia="en-GB"/>
        </w:rPr>
        <w:t xml:space="preserve">Note: </w:t>
      </w:r>
      <w:r w:rsidRPr="005F0A67">
        <w:rPr>
          <w:rFonts w:asciiTheme="majorBidi" w:eastAsia="Times New Roman" w:hAnsiTheme="majorBidi" w:cstheme="majorBidi"/>
          <w:sz w:val="18"/>
          <w:szCs w:val="18"/>
          <w:lang w:val="en-CA" w:eastAsia="en-GB"/>
        </w:rPr>
        <w:t>Stages correspond to the three-stage participation framework introduced in Section 4 and applied in Part II. The asymmetries are cumulative for any participating eligible firm.</w:t>
      </w:r>
    </w:p>
    <w:p w14:paraId="150C0B8D" w14:textId="77777777" w:rsidR="005F0A67" w:rsidRPr="005F0A67" w:rsidRDefault="005F0A67" w:rsidP="00B009ED">
      <w:pPr>
        <w:tabs>
          <w:tab w:val="clear" w:pos="567"/>
          <w:tab w:val="clear" w:pos="1134"/>
          <w:tab w:val="clear" w:pos="1701"/>
          <w:tab w:val="clear" w:pos="2268"/>
        </w:tabs>
        <w:spacing w:before="240" w:after="120"/>
        <w:jc w:val="left"/>
        <w:outlineLvl w:val="3"/>
        <w:rPr>
          <w:rFonts w:asciiTheme="majorBidi" w:eastAsia="Georgia" w:hAnsiTheme="majorBidi" w:cstheme="majorBidi"/>
          <w:b/>
          <w:bCs/>
          <w:color w:val="0F4761"/>
          <w:lang w:eastAsia="en-GB"/>
        </w:rPr>
      </w:pPr>
      <w:r w:rsidRPr="005F0A67">
        <w:rPr>
          <w:rFonts w:asciiTheme="majorBidi" w:eastAsia="Georgia" w:hAnsiTheme="majorBidi" w:cstheme="majorBidi"/>
          <w:b/>
          <w:bCs/>
          <w:color w:val="0F4761"/>
          <w:lang w:eastAsia="en-GB"/>
        </w:rPr>
        <w:t>Stage 1: Eligibility asymmetry</w:t>
      </w:r>
    </w:p>
    <w:p w14:paraId="0A23E430"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Eligible firms within the scope of the assessment may incur the contribution while competing with non-eligible firms in the same product markets. Non-eligible firms comprise those below the financial thresholds specified in Decision 16/2, those outside the indicative Enclosure I sector list, and those operating in non-CBD-Party jurisdictions. Effectively, Stage 1 asymmetry involves a comparison between firms included and excluded from the assessment scope.</w:t>
      </w:r>
    </w:p>
    <w:p w14:paraId="1DF5AF40"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Stage 1 asymmetry remains structurally permanent under the current threshold design, but it results in a competitive burden only when an eligible firm elects to participate. Non-participating eligible firms incur no contribution costs, despite being formally within the assessment scope. Under full compliance, Stage 1 asymmetry affects the entire eligible population, whereas under the more realistic, partial participation, it applies only to the subset that contributes.</w:t>
      </w:r>
    </w:p>
    <w:p w14:paraId="7550EB5C"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The materiality of the Stage 1 asymmetry depends on the extent to which eligible and non-eligible firms compete directly in the same product markets. In sectors where the eligible population is concentrated in large-firm clusters with limited direct competition from sub-threshold firms, this asymmetry is limited in practice. It is most significant in sectors where eligible and non-eligible firms compete for the same customers.</w:t>
      </w:r>
    </w:p>
    <w:p w14:paraId="3C6222B5"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lang w:val="en-CA" w:eastAsia="en-GB"/>
        </w:rPr>
        <w:t xml:space="preserve">Two design uncertainties from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_Ref229844376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Table 1</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affect this stage. The entity definition uncertainty determines whether eligibility is assessed at the subsidiary level or the consolidated group level, which can include or exclude </w:t>
      </w:r>
      <w:r w:rsidRPr="005F0A67">
        <w:rPr>
          <w:rFonts w:asciiTheme="majorBidi" w:eastAsia="Times New Roman" w:hAnsiTheme="majorBidi" w:cstheme="majorBidi"/>
          <w:lang w:val="en-CA" w:eastAsia="en-GB"/>
        </w:rPr>
        <w:lastRenderedPageBreak/>
        <w:t>entities that would otherwise fall on the opposite side of the eligible population. The direct versus indirect use boundary, discussed in Section 7.5 (value chain), further shapes which firms qualify as eligible in the first place.</w:t>
      </w:r>
    </w:p>
    <w:p w14:paraId="1BDA3E04" w14:textId="77777777" w:rsidR="005F0A67" w:rsidRPr="005F0A67" w:rsidRDefault="005F0A67" w:rsidP="00B009ED">
      <w:pPr>
        <w:tabs>
          <w:tab w:val="clear" w:pos="567"/>
          <w:tab w:val="clear" w:pos="1134"/>
          <w:tab w:val="clear" w:pos="1701"/>
          <w:tab w:val="clear" w:pos="2268"/>
        </w:tabs>
        <w:spacing w:after="120"/>
        <w:jc w:val="left"/>
        <w:outlineLvl w:val="3"/>
        <w:rPr>
          <w:rFonts w:asciiTheme="majorBidi" w:eastAsia="Georgia" w:hAnsiTheme="majorBidi" w:cstheme="majorBidi"/>
          <w:b/>
          <w:bCs/>
          <w:color w:val="0F4761"/>
          <w:lang w:eastAsia="en-GB"/>
        </w:rPr>
      </w:pPr>
      <w:r w:rsidRPr="005F0A67">
        <w:rPr>
          <w:rFonts w:asciiTheme="majorBidi" w:eastAsia="Georgia" w:hAnsiTheme="majorBidi" w:cstheme="majorBidi"/>
          <w:b/>
          <w:bCs/>
          <w:color w:val="0F4761"/>
          <w:lang w:eastAsia="en-GB"/>
        </w:rPr>
        <w:t>Stage 2: Participation asymmetry</w:t>
      </w:r>
    </w:p>
    <w:p w14:paraId="1E89E524"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Within the eligible population, participating firms incur the contribution, whereas non-participating firms do not. The latter category also captures eligible firms excluded by the profit floor (i.e. making no profit or losses). Firms that report losses do not contribute, no matter their DSI activity or market position, even under the full participation scenario. If any firms near the zero-profit boundary decide to manage earnings downward to avoid contributions, the burden shifts further onto those that do not.</w:t>
      </w:r>
    </w:p>
    <w:p w14:paraId="2B2846B5"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A separate but related asymmetry arises from voluntary (i.e. intentional and not profit-driven) non-participation. Under partial participation, contributing firms must absorb, pass through, or offset the cost, while non-contributing eligible competitors are not subject to this constraint. This asymmetry represents the primary competitive risk under the voluntary mechanism and is most noticeable in the partial participation scenario (S2) described in Part II.</w:t>
      </w:r>
    </w:p>
    <w:p w14:paraId="432D632C"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Stage 2 asymmetry can be self-reinforcing. The cost burden discrepancy between participants and non-participants can create a first-mover disadvantage</w:t>
      </w:r>
      <w:r w:rsidRPr="005F0A67">
        <w:rPr>
          <w:rFonts w:asciiTheme="majorBidi" w:eastAsia="Times New Roman" w:hAnsiTheme="majorBidi" w:cstheme="majorBidi"/>
          <w:vertAlign w:val="superscript"/>
          <w:lang w:val="en-CA" w:eastAsia="en-GB"/>
        </w:rPr>
        <w:footnoteReference w:id="65"/>
      </w:r>
      <w:r w:rsidRPr="005F0A67">
        <w:rPr>
          <w:rFonts w:asciiTheme="majorBidi" w:eastAsia="Times New Roman" w:hAnsiTheme="majorBidi" w:cstheme="majorBidi"/>
          <w:lang w:val="en-CA" w:eastAsia="en-GB"/>
        </w:rPr>
        <w:t xml:space="preserve">, which may discourage further participation, as firms often prefer to wait until competitors contribute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{"citationID":"6HospBz3","properties":{"unsorted":false,"formattedCitation":"(Videras and Alberini, 2000; Montiel and Husted, 2009; Delmas and Montes-Sancho, 2010)","plainCitation":"(Videras and Alberini, 2000; Montiel and Husted, 2009; Delmas and Montes-Sancho, 2010)","noteIndex":0},"citationItems":[{"id":197,"uris":["http://zotero.org/users/14977742/items/DGBEWT7Y"],"itemData":{"id":197,"type":"article-journal","abstract":"Why do firms participate in the EPA's voluntary environmental programs? Possible reasons include: (1) to appeal to consumers who demand ‘green’ products; (2) to preempt government regulation; (3) to seek regulatory relief from the agency; and (4) to gain a competitive advantage over competitors. This article examines the determinants of participation in voluntary environmental programs, focusing on testing hypotheses 1 and 3. To test 2, a different approach is used than in previous literature. The focus is on a specified universe of firms (manufacturing firms in the Standard &amp; Poor 500), and their participation in each of three EPA voluntary programs (33/50, Green Lights, and WasteWi$) referring to differently regulated pollutants is analyzed. Our empirical analyses reveal that (1) publicity is an important component of participation; (2) the worse the environmental track record of the firm, the more likely the firm is to participate, but only in programs directly related to highly regulated pollutants; and (3) firms that scrutinize their environmental performance more carefully are wary of newer programs with uncertain reach of the public and uncertain benefits. Firms appear to value the information/technology transfer aspect of joining a program.","citation-key":"viderasAppealVoluntaryEnvironmental2000","container-title":"Contemporary Economic Policy","DOI":"10.1111/j.1465-7287.2000.tb00041.x","ISSN":"1465-7287","issue":"4","language":"en","note":"_eprint: https://onlinelibrary.wiley.com/doi/pdf/10.1111/j.1465-7287.2000.tb00041.x","page":"449-460","source":"Wiley Online Library","title":"The appeal of voluntary environmental programs: which firms participate and why?","title-short":"The appeal of voluntary environmental programs","volume":"18","author":[{"family":"Videras","given":"J"},{"family":"Alberini","given":"A"}],"issued":{"date-parts":[["2000"]]}}},{"id":198,"uris":["http://zotero.org/users/14977742/items/RHRJ34KZ"],"itemData":{"id":198,"type":"article-journal","abstract":"This article analyzes the adoption of voluntary environmental management programs by firms operating in Mexico. Mexican firms can obtain national certification (Clean Industry) and/or international certification (ISO 14001). Based on institutional entrepreneurship theory, we posit that the role played by first movers as institutional entrepreneurs is crucial if these programs are to become established with sufficient strength and appeal. This understanding is especially important in an environment where more than one program can be adopted. We tested several hypotheses on the behaviors of 1328 facilities operating in Mexico, half of which (664) had certified environmental management programs. Of the 664 certified facilities, 217 were classified as early adopters. Three variables predicted the likelihood of a facility being an early adopter: (1) connected to international market, (2) in the maquila sector, and (3) linked to an industry association that offers free resources.","citation-key":"montielAdoptionVoluntaryEnvironmental2009","container-title":"Journal of Business Ethics","DOI":"10.1007/s10551-009-0282-y","ISSN":"1573-0697","issue":"2","journalAbbreviation":"J Bus Ethics","language":"en","page":"349-363","source":"Springer Link","title":"The Adoption of Voluntary Environmental Management Programs in Mexico: First Movers as Institutional Entrepreneurs","title-short":"The Adoption of Voluntary Environmental Management Programs in Mexico","volume":"88","author":[{"family":"Montiel","given":"Ivan"},{"family":"Husted","given":"Bryan W."}],"issued":{"date-parts":[["2009",9,1]]}}},{"id":199,"uris":["http://zotero.org/users/14977742/items/XLYTUHTE"],"itemData":{"id":199,"type":"article-journal","abstract":"Within the context of environmental voluntary agreements (VAs), this paper analyzes the determinants of the degree of participation by firms in collective corporate political strategies that aim to shape government policy. We demonstrate that substantive cooperative strategies are more likely to be pursued by firms that enter a VA close to its initiation, while symbolic cooperation is more likely behavior by late joiners. We show that late joiners and early joiners within VAs adopt different cooperative strategies because they face different institutional pressures. Our analysis is based on the strategies of firms participating in the Climate Challenge program (1995–2000) established by the U.S. Department of Energy and representatives of the national electric utilities to reduce greenhouse gas emissions. Our results show that early joiners were subjected to higher levels of political pressure at the state level and were more dependent on local and federal regulatory agencies than late joiners were. Early joiners were also better connected to the trade association and more visible. Late joiners had undertaken significantly less investment in environmental improvements than early joiners. Our paper also illustrates the difficulty involved in using VAs to try to induce improved environmental outcomes when there are no sanctioning mechanisms. Although early entrants reduced their emissions more than nonparticipants, our results show no significant difference overall between participants and nonparticipants in the reduction of their emissions. Copyright © 2010 John Wiley &amp; Sons, Ltd.","citation-key":"delmasVoluntaryAgreementsImprove2010","container-title":"Strategic Management Journal","DOI":"10.1002/smj.826","ISSN":"1097-0266","issue":"6","language":"en","license":"Copyright © 2010 John Wiley &amp; Sons, Ltd.","note":"_eprint: https://sms.onlinelibrary.wiley.com/doi/pdf/10.1002/smj.826","page":"575-601","source":"Wiley Online Library","title":"Voluntary agreements to improve environmental quality: symbolic and substantive cooperation","title-short":"Voluntary agreements to improve environmental quality","volume":"31","author":[{"family":"Delmas","given":"Magali A."},{"family":"Montes-Sancho","given":"Maria J."}],"issued":{"date-parts":[["2010"]]}}}],"schema":"https://github.com/citation-style-language/schema/raw/master/csl-citation.json"}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noProof/>
          <w:lang w:val="en-CA" w:eastAsia="en-GB"/>
        </w:rPr>
        <w:t>(Videras and Alberini, 2000; Montiel and Husted, 2009; Delmas and Montes-Sancho, 2010)</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Evidence from analogous mechanisms in Section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_Ref229573832 \r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3</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demonstrates this dynamic in voluntary benefit-sharing systems with similar structural characteristics.</w:t>
      </w:r>
    </w:p>
    <w:p w14:paraId="3F426B85"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lang w:val="en-CA" w:eastAsia="en-GB"/>
        </w:rPr>
        <w:t xml:space="preserve">The first-mover disadvantage can be balanced by a counteracting effect. Some evidence on broader voluntary schemes shows that joining early can boost firms’ reputation, in particular for those that are highly visible to consumers or closely watched by investors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{"citationID":"HlJGgRJN","properties":{"unsorted":false,"formattedCitation":"(Videras and Alberini, 2000; Delmas and Keller, 2005)","plainCitation":"(Videras and Alberini, 2000; Delmas and Keller, 2005)","noteIndex":0},"citationItems":[{"id":197,"uris":["http://zotero.org/users/14977742/items/DGBEWT7Y"],"itemData":{"id":197,"type":"article-journal","abstract":"Why do firms participate in the EPA's voluntary environmental programs? Possible reasons include: (1) to appeal to consumers who demand ‘green’ products; (2) to preempt government regulation; (3) to seek regulatory relief from the agency; and (4) to gain a competitive advantage over competitors. This article examines the determinants of participation in voluntary environmental programs, focusing on testing hypotheses 1 and 3. To test 2, a different approach is used than in previous literature. The focus is on a specified universe of firms (manufacturing firms in the Standard &amp; Poor 500), and their participation in each of three EPA voluntary programs (33/50, Green Lights, and WasteWi$) referring to differently regulated pollutants is analyzed. Our empirical analyses reveal that (1) publicity is an important component of participation; (2) the worse the environmental track record of the firm, the more likely the firm is to participate, but only in programs directly related to highly regulated pollutants; and (3) firms that scrutinize their environmental performance more carefully are wary of newer programs with uncertain reach of the public and uncertain benefits. Firms appear to value the information/technology transfer aspect of joining a program.","citation-key":"viderasAppealVoluntaryEnvironmental2000","container-title":"Contemporary Economic Policy","DOI":"10.1111/j.1465-7287.2000.tb00041.x","ISSN":"1465-7287","issue":"4","language":"en","note":"_eprint: https://onlinelibrary.wiley.com/doi/pdf/10.1111/j.1465-7287.2000.tb00041.x","page":"449-460","source":"Wiley Online Library","title":"The appeal of voluntary environmental programs: which firms participate and why?","title-short":"The appeal of voluntary environmental programs","volume":"18","author":[{"family":"Videras","given":"J"},{"family":"Alberini","given":"A"}],"issued":{"date-parts":[["2000"]]}}},{"id":472,"uris":["http://zotero.org/users/14977742/items/K5TNGMQD"],"itemData":{"id":472,"type":"article-journal","abstract":"Voluntary Environmental Programs (VPs) involving industry and regulatory agencies have emerged as the promise of the future in environmental policy circles. Although the number of these agreements is increasing in OECD countries, there are still concerns about their effectiveness; in particular that “free-riding” behavior may be difficult to avoid within VPs. Free riding occurs when one firm benefits from the actions of another without sharing the costs. Free-riding behavior may undermine the credibility of VPs and therefore their viability. Our paper focuses on understanding the factors that favor or hamper free-riding behavior in VPs. Our analysis is based on the case of the WasteWise program that was established by the U.S. Environmental Protection Agency to reduce municipal solid waste.","citation-key":"delmasFreeRidingVoluntary2005","container-title":"Policy Sciences","DOI":"10.1007/s11077-005-6592-8","ISSN":"1573-0891","issue":"2","journalAbbreviation":"Policy Sci","language":"en","page":"91-106","source":"Springer Link","title":"Free riding in voluntary environmental programs: The case of the U.S. EPA WasteWise program","title-short":"Free riding in voluntary environmental programs","volume":"38","author":[{"family":"Delmas","given":"Magali"},{"family":"Keller","given":"Arturo"}],"issued":{"date-parts":[["2005",9,1]]}}}],"schema":"https://github.com/citation-style-language/schema/raw/master/csl-citation.json"}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(Videras and Alberini, 2000; Delmas and Keller, 2005)</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If these reputational incentives are strong enough, they can make up for the extra costs of being first, which means the first-mover problem does not affect all firms equally. It is most challenging for companies with little to gain in reputation. The pillar assessments explore this difference in more detail.</w:t>
      </w:r>
    </w:p>
    <w:p w14:paraId="7223B3AA"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Two design uncertainties identified in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_Ref229844376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Table 1</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may extend beyond influencing participation decisions and also affect the burden experienced by participating firms. National implementation divergence may result in firms in jurisdictions with stronger reputational or legislative pressures incurring higher effective costs than firms in other regions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{"citationID":"QxA0E6co","properties":{"unsorted":false,"formattedCitation":"(Dechezlepr\\uc0\\u234{}tre and Sato, 2017; Bassford {\\i{}et al.}, 2024)","plainCitation":"(Dechezleprêtre and Sato, 2017; Bassford et al., 2024)","noteIndex":0},"citationItems":[{"id":195,"uris":["http://zotero.org/users/14977742/items/KGZ2HX99"],"itemData":{"id":195,"type":"article-journal","abstract":"This article reviews the empirical literature on the impacts of environmental regulations\n          on firms’ competitiveness as measured by trade, industry location, employment,\n          productivity, and innovation. The evidence shows that environmental regulations can lead\n          to statistically significant adverse effects on trade, employment, plant location, and\n          productivity in the short run, in particular in a well-identified subset of pollution- and\n          energy-intensive sectors, but that these impacts are small relative to general trends in\n          production. At the same time, there is evidence that environmental regulations induce\n          innovation in clean technologies, but the resulting benefits do not appear to be large\n          enough to outweigh the costs of regulations for the regulated entities. As measures to\n          address competitiveness impacts are increasingly incorporated into the design of\n          environmental regulations, future research will be needed to assess the validity and\n          effectiveness of such measures and to ensure they are compatible with the environmental\n          objectives of the policies.","citation-key":"dechezleprImpactsEnvironmentalRegulations2017","container-title":"Review of Environmental Economics and Policy","DOI":"10.1093/reep/rex013","issue":"2","page":"183-206","publisher":"The University of Chicago Press","source":"journals.uchicago.edu (Atypon)","title":"The Impacts of Environmental Regulations on Competitiveness","volume":"11","author":[{"family":"Dechezleprêtre","given":"Antoine"},{"family":"Sato","given":"Misato"}],"issued":{"date-parts":[["2017",7]]}}},{"id":200,"uris":["http://zotero.org/users/14977742/items/LSDN2FGK"],"itemData":{"id":200,"type":"report","citation-key":"zotero-item-2227","publisher":"Defra","title":"Understanding the impact of introducing an obligatory payment on commercial users of Digital Sequence Information for genetic resources","author":[{"family":"Bassford","given":"Matt"},{"family":"Harding","given":"Ryan"},{"family":"Rose","given":"Sophie"},{"family":"Johnson","given":"Daniel"},{"family":"Shah","given":"Anushka"}],"issued":{"date-parts":[["2024",7]]}}}],"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Georgia" w:hAnsiTheme="majorBidi" w:cstheme="majorBidi"/>
          <w:lang w:val="en-CA" w:eastAsia="en-GB"/>
        </w:rPr>
        <w:t xml:space="preserve">(Dechezleprêtre and Sato, 2017; Bassford </w:t>
      </w:r>
      <w:r w:rsidRPr="005F0A67">
        <w:rPr>
          <w:rFonts w:asciiTheme="majorBidi" w:eastAsia="Georgia" w:hAnsiTheme="majorBidi" w:cstheme="majorBidi"/>
          <w:i/>
          <w:iCs/>
          <w:lang w:val="en-CA" w:eastAsia="en-GB"/>
        </w:rPr>
        <w:t>et al.</w:t>
      </w:r>
      <w:r w:rsidRPr="005F0A67">
        <w:rPr>
          <w:rFonts w:asciiTheme="majorBidi" w:eastAsia="Georgia" w:hAnsiTheme="majorBidi" w:cstheme="majorBidi"/>
          <w:lang w:val="en-CA" w:eastAsia="en-GB"/>
        </w:rPr>
        <w:t>, 2024)</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No CBD Party has yet adopted such measures, so this remains a potential rather than realised source of asymmetry; however, comparable cross-jurisdictional differences are commonly observed in other regulatory areas, including corporate taxation</w:t>
      </w:r>
      <w:r w:rsidRPr="005F0A67">
        <w:rPr>
          <w:rFonts w:asciiTheme="majorBidi" w:eastAsia="Times New Roman" w:hAnsiTheme="majorBidi" w:cstheme="majorBidi"/>
          <w:vertAlign w:val="superscript"/>
          <w:lang w:val="en-CA" w:eastAsia="en-GB"/>
        </w:rPr>
        <w:footnoteReference w:id="66"/>
      </w:r>
      <w:r w:rsidRPr="005F0A67">
        <w:rPr>
          <w:rFonts w:asciiTheme="majorBidi" w:eastAsia="Times New Roman" w:hAnsiTheme="majorBidi" w:cstheme="majorBidi"/>
          <w:lang w:val="en-CA" w:eastAsia="en-GB"/>
        </w:rPr>
        <w:t xml:space="preserve">. Similarly, obligation stacking could create cumulative burdens for firms with overlapping benefit-sharing eligibility. Both factors increase the burden differential among participating firms and reinforce the Stage 2 asymmetry. </w:t>
      </w:r>
    </w:p>
    <w:p w14:paraId="5EB0859B"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Finally, it is important to reiterate, that several of the previously identified effects are specific to partial participation and would differ under near-universal adoption. If contributions were to become effectively </w:t>
      </w:r>
      <w:r w:rsidRPr="005F0A67">
        <w:rPr>
          <w:rFonts w:asciiTheme="majorBidi" w:eastAsia="Times New Roman" w:hAnsiTheme="majorBidi" w:cstheme="majorBidi"/>
          <w:lang w:val="en-CA" w:eastAsia="en-GB"/>
        </w:rPr>
        <w:lastRenderedPageBreak/>
        <w:t>binding e.g. through national legislation the primary competitive concern would shift to the Stage 1 asymmetry between eligible and non-eligible firms.</w:t>
      </w:r>
    </w:p>
    <w:p w14:paraId="35026719" w14:textId="77777777" w:rsidR="005F0A67" w:rsidRPr="005F0A67" w:rsidRDefault="005F0A67" w:rsidP="00B009ED">
      <w:pPr>
        <w:tabs>
          <w:tab w:val="clear" w:pos="567"/>
          <w:tab w:val="clear" w:pos="1134"/>
          <w:tab w:val="clear" w:pos="1701"/>
          <w:tab w:val="clear" w:pos="2268"/>
        </w:tabs>
        <w:spacing w:after="120"/>
        <w:jc w:val="left"/>
        <w:outlineLvl w:val="3"/>
        <w:rPr>
          <w:rFonts w:asciiTheme="majorBidi" w:eastAsia="Georgia" w:hAnsiTheme="majorBidi" w:cstheme="majorBidi"/>
          <w:b/>
          <w:bCs/>
          <w:color w:val="0F4761"/>
          <w:lang w:eastAsia="en-GB"/>
        </w:rPr>
      </w:pPr>
      <w:r w:rsidRPr="005F0A67">
        <w:rPr>
          <w:rFonts w:asciiTheme="majorBidi" w:eastAsia="Georgia" w:hAnsiTheme="majorBidi" w:cstheme="majorBidi"/>
          <w:b/>
          <w:bCs/>
          <w:color w:val="0F4761"/>
          <w:lang w:eastAsia="en-GB"/>
        </w:rPr>
        <w:t xml:space="preserve">Stage 3: Contribution base asymmetry </w:t>
      </w:r>
    </w:p>
    <w:p w14:paraId="3839F11D"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lang w:val="en-CA" w:eastAsia="en-GB"/>
        </w:rPr>
        <w:t>Choosing between the two minimum-of-two bases results in varying effective rates depending on the dimension under consideration.</w:t>
      </w:r>
    </w:p>
    <w:p w14:paraId="21E3C6DF"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For the revenue dimension, firms exceeding the threshold pay a uniform 0.1% of revenue, whereas firms below the threshold pay a lower rate (in terms of revenue) that scales with margin. In terms of profit, firms below the threshold pay 1% of profit, while those above the threshold pay a decreasing share as margin increases, such as 0.5% at a 20% margin and 0.33% at a 30% margin. The competitive implications of this asymmetry depend on which contribution base-linked effect is most relevant. For example, the revenue dimension is more significant for pricing and pass-through, where the contribution operates as an ad valorem output levy. On the other hand, the profit dimension is more pertinent to investment and return on capital. Both dimensions are analysed in the pillar analysis.</w:t>
      </w:r>
    </w:p>
    <w:p w14:paraId="3A510A9D"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A key design uncertainty identified in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_Ref229844376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Table 1</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is the lack of proportionality to actual DSI use for firms with DSI intensity below 100%. The contribution is calculated based on total firm financials rather than activity specifically attributed to DSI. If two companies in the same industry have the same revenue but rely on DSI to different extents, the all-in approach makes them contribute the same amount. This means that firms with less dependence on DSI end up paying more compared to the value they get from DSI, while firms that rely heavily on DSI pay less per unit of benefit. As a result, there is an uneven playing field within the sector, since companies with limited DSI use face higher costs than their more DSI-focused competitors. The pillar assessments look at how this affects different types of firms.</w:t>
      </w:r>
    </w:p>
    <w:p w14:paraId="52110C50"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lang w:val="en-CA" w:eastAsia="en-GB"/>
        </w:rPr>
        <w:t xml:space="preserve">The three asymmetries in Step 2 influence the magnitude and materiality of the impacts assessed under each of the three competitiveness assessment pillars in Sections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_Ref231420184 \r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7.7</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to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_Ref231897708 \r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7.13</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The eligibility asymmetry determines whether a cost burden leads to a competitive disadvantage compared to direct product-market competitors. Participation asymmetry affects the extent to which this disadvantage occurs under partial uptake. Contribution base asymmetry influences the effective rate and its effects on pricing and investment decisions, depending on which base the firm uses. These effects are reflected in the conditionality dimension of the impact classification in Step 3, with the relevant asymmetry stage identified as the primary driver where applicable.</w:t>
      </w:r>
    </w:p>
    <w:p w14:paraId="73124CC0" w14:textId="77777777" w:rsidR="005F0A67" w:rsidRPr="005F0A67" w:rsidRDefault="005F0A67" w:rsidP="00B009ED">
      <w:pPr>
        <w:tabs>
          <w:tab w:val="clear" w:pos="567"/>
          <w:tab w:val="clear" w:pos="1134"/>
          <w:tab w:val="clear" w:pos="1701"/>
          <w:tab w:val="clear" w:pos="2268"/>
        </w:tabs>
        <w:spacing w:before="320" w:after="160"/>
        <w:jc w:val="left"/>
        <w:outlineLvl w:val="2"/>
        <w:rPr>
          <w:rFonts w:asciiTheme="majorBidi" w:eastAsia="Arial" w:hAnsiTheme="majorBidi" w:cstheme="majorBidi"/>
          <w:b/>
          <w:bCs/>
          <w:color w:val="7F7F7F"/>
          <w:sz w:val="23"/>
          <w:szCs w:val="23"/>
          <w:lang w:val="en-CA" w:eastAsia="en-GB"/>
        </w:rPr>
      </w:pPr>
      <w:bookmarkStart w:id="169" w:name="_Ref231145089"/>
      <w:bookmarkStart w:id="170" w:name="_Toc234579598"/>
      <w:r w:rsidRPr="005F0A67">
        <w:rPr>
          <w:rFonts w:asciiTheme="majorBidi" w:eastAsia="Arial" w:hAnsiTheme="majorBidi" w:cstheme="majorBidi"/>
          <w:b/>
          <w:bCs/>
          <w:color w:val="7F7F7F"/>
          <w:sz w:val="23"/>
          <w:szCs w:val="23"/>
          <w:lang w:val="en-CA" w:eastAsia="en-GB"/>
        </w:rPr>
        <w:t>Step 3: Assessing competitive effects by pillar</w:t>
      </w:r>
      <w:bookmarkEnd w:id="169"/>
      <w:bookmarkEnd w:id="170"/>
      <w:r w:rsidRPr="005F0A67">
        <w:rPr>
          <w:rFonts w:asciiTheme="majorBidi" w:eastAsia="Arial" w:hAnsiTheme="majorBidi" w:cstheme="majorBidi"/>
          <w:b/>
          <w:bCs/>
          <w:color w:val="7F7F7F"/>
          <w:sz w:val="23"/>
          <w:szCs w:val="23"/>
          <w:lang w:val="en-CA" w:eastAsia="en-GB"/>
        </w:rPr>
        <w:t xml:space="preserve"> </w:t>
      </w:r>
    </w:p>
    <w:p w14:paraId="20174CFA"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The pillar assessment evaluates competitive effects for firms that choose to contribute to the Cali Fund. As established in Step 2, the non-binding design means no firm is legally required to absorb these effects at this moment; eligible firms retain the option of non-participation as a competitive response to the burden. The relevant comparison is therefore between contributing firms and all non-contributing competitors, including both non-Party firms and eligible firms that opt out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_Ref229583418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Figure 2</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The significance assessments below identify impacts that are structurally plausible for the contributing subset; their magnitude and distribution depend on the participation dynamics in Step 2 and the sector characteristics in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_Ref230281726 \r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7.5</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w:t>
      </w:r>
      <w:bookmarkStart w:id="171" w:name="OLE_LINK5"/>
      <w:r w:rsidRPr="005F0A67">
        <w:rPr>
          <w:rFonts w:asciiTheme="majorBidi" w:eastAsia="Times New Roman" w:hAnsiTheme="majorBidi" w:cstheme="majorBidi"/>
          <w:lang w:val="en-CA" w:eastAsia="en-GB"/>
        </w:rPr>
        <w:t xml:space="preserve">Impacts associated with the most severe competitive harm, such as restructuring or market exit, are assessed as not likely significant throughout, as firms facing material harm would rationally choose non-participation over exit under a voluntary mechanism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{"citationID":"K2MPEKNB","properties":{"unsorted":false,"formattedCitation":"(Arora and Cason, 1996; Potoski and Prakash, 2005)","plainCitation":"(Arora and Cason, 1996; Potoski and Prakash, 2005)","noteIndex":0},"citationItems":[{"id":268,"uris":["http://zotero.org/users/14977742/items/MP47KNBP"],"itemData":{"id":268,"type":"article-journal","abstract":"This paper examines participation in EPA's 33/50 program to assess the potential for voluntary environmental regulation to achieve improvements in environmental performance. The program's goal is to reduce the releases and transfers of 17 toxic chemicals by 50 percent between 1988 and 1995. The results indicate that the program has strong potential because large firms with the greatest toxic releases are most likely to participate. The results also identify a demand-based participation incentive, since participation rates are higher in industries with greater consumer contact. This suggests that public recognition is key to improving the success of voluntary environmental regulation.","citation-key":"aroraWhyFirmsVolunteer1996b","container-title":"Land Economics","DOI":"10.2307/3146906","ISSN":"0023-7639","issue":"4","page":"413-432","publisher":"[Board of Regents of the University of Wisconsin System, University of Wisconsin Press]","source":"JSTOR","title":"Why Do Firms Volunteer to Exceed Environmental Regulations? Understanding Participation in EPA's 33/50 Program","title-short":"Why Do Firms Volunteer to Exceed Environmental Regulations?","volume":"72","author":[{"family":"Arora","given":"Seema"},{"family":"Cason","given":"Timothy N."}],"issued":{"date-parts":[["1996"]]}}},{"id":264,"uris":["http://zotero.org/users/14977742/items/C59AP36E"],"itemData":{"id":264,"type":"article-journal","abstract":"Voluntary programs have become widespread tools for governments and nongovernmental actors looking to improve industry's environmental and regulatory performance. Voluntary programs can be conceptualized as club goods that provide nonrival but potentially excludable benefits to members. For firms, the value of joining a green club over taking the same actions unilaterally is to appropriate the club's positive brand reputation. Our analysis of about 3,700 U.S. facilities indicates that joining ISO 14001, an important nongovernmental voluntary program, improves facilities' compliance with government regulations. We conjecture that ISO 14001 is effective because its broad positive standing with external audiences provides a reputational benefit that helps induce facilities to take costly progressive environmental action they would not take unilaterally.","citation-key":"potoskiGreenClubsVoluntary2005","container-title":"American Journal of Political Science","DOI":"10.1111/j.0092-5853.2005.00120.x","ISSN":"1540-5907","issue":"2","language":"en","note":"_eprint: https://onlinelibrary.wiley.com/doi/pdf/10.1111/j.0092-5853.2005.00120.x","page":"235-248","source":"Wiley Online Library","title":"Green Clubs and Voluntary Governance: ISO 14001 and Firms' Regulatory Compliance","title-short":"Green Clubs and Voluntary Governance","volume":"49","author":[{"family":"Potoski","given":"Matthew"},{"family":"Prakash","given":"Aseem"}],"issued":{"date-parts":[["2005"]]}}}],"schema":"https://github.com/citation-style-language/schema/raw/master/csl-citation.json"}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(Arora and Cason, 1996; Potoski and Prakash, 2005)</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w:t>
      </w:r>
      <w:bookmarkEnd w:id="171"/>
    </w:p>
    <w:p w14:paraId="38F0C399"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lastRenderedPageBreak/>
        <w:t xml:space="preserve">Step 3 integrates the firm characterisation from Step 1 with the asymmetry analysis from Step 2 to provide a structured assessment of competitive effects across the three pillars outlined in Section 7.3 (“Methodological approach:”). This section presents the analytical structure and classification of each potential competitive impact applied in Sections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_Ref231420184 \r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7.7</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to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_Ref231897708 \r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7.13</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w:t>
      </w:r>
    </w:p>
    <w:p w14:paraId="078CA7F1"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The classification of impacts under each pillar is adopted from the regulatory guidance used and presented in a table format, covering their descriptions, anticipated pathway (whether they affect the contributing firm directly or indirectly via its value chain), time horizon (whether the impact materialises within the contribution period (short-term) or over a longer cycle (medium &amp; long-term), likely significance to eligible firms (Yes / No / Cannot say), together with a short justification. The significance assessment is a preliminary screening method recommended in the guidance. It requires first deciding if the effects are likely to be material (i.e. whether an impact is </w:t>
      </w:r>
      <w:r w:rsidRPr="005F0A67">
        <w:rPr>
          <w:rFonts w:asciiTheme="majorBidi" w:eastAsia="Times New Roman" w:hAnsiTheme="majorBidi" w:cstheme="majorBidi"/>
          <w:i/>
          <w:iCs/>
          <w:lang w:val="en-CA" w:eastAsia="en-GB"/>
        </w:rPr>
        <w:t>plausible</w:t>
      </w:r>
      <w:r w:rsidRPr="005F0A67">
        <w:rPr>
          <w:rFonts w:asciiTheme="majorBidi" w:eastAsia="Times New Roman" w:hAnsiTheme="majorBidi" w:cstheme="majorBidi"/>
          <w:lang w:val="en-CA" w:eastAsia="en-GB"/>
        </w:rPr>
        <w:t>) before conducting a detailed firm-level materiality review. Where impacts are supported by the industry consultation or CBD Notification 2024-114 submissions, this is indicated by the symbol “</w:t>
      </w:r>
      <w:r w:rsidRPr="005F0A67">
        <w:rPr>
          <w:rFonts w:ascii="Cambria Math" w:eastAsia="Times New Roman" w:hAnsi="Cambria Math" w:cs="Cambria Math"/>
          <w:lang w:val="en-CA" w:eastAsia="en-GB"/>
        </w:rPr>
        <w:t>◆</w:t>
      </w:r>
      <w:r w:rsidRPr="005F0A67">
        <w:rPr>
          <w:rFonts w:asciiTheme="majorBidi" w:eastAsia="Times New Roman" w:hAnsiTheme="majorBidi" w:cstheme="majorBidi"/>
          <w:lang w:val="en-CA" w:eastAsia="en-GB"/>
        </w:rPr>
        <w:t xml:space="preserve">” in the Impact column, with additional footnotes providing more context for more commonly referenced impacts. The role and limitations of both sources are described in Section 7.3. Impacts assessed as not likely significant are not carried forward to the firm-type level assessment; those identified as likely significant or as cannot say are carried forward to the sector-level assessment in </w:t>
      </w:r>
      <w:bookmarkStart w:id="172" w:name="_Hlk231136436"/>
      <w:r w:rsidRPr="005F0A67">
        <w:rPr>
          <w:rFonts w:asciiTheme="majorBidi" w:eastAsia="Times New Roman" w:hAnsiTheme="majorBidi" w:cstheme="majorBidi"/>
          <w:lang w:val="en-CA" w:eastAsia="en-GB"/>
        </w:rPr>
        <w:t xml:space="preserve">Sections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_Ref231420184 \r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7.7</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to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_Ref231897708 \r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7.13</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w:t>
      </w:r>
      <w:bookmarkEnd w:id="172"/>
      <w:r w:rsidRPr="005F0A67">
        <w:rPr>
          <w:rFonts w:asciiTheme="majorBidi" w:eastAsia="Times New Roman" w:hAnsiTheme="majorBidi" w:cstheme="majorBidi"/>
          <w:lang w:val="en-CA" w:eastAsia="en-GB"/>
        </w:rPr>
        <w:t>Note that because the contribution payment imposes costs on firms, its competitive effects across all three pillars are primarily negative. Any positive or ambiguous impacts are explicitly noted below.</w:t>
      </w:r>
    </w:p>
    <w:p w14:paraId="3A13767C"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The sector-level firm characterisation in Sections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_Ref231420184 \r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7.7</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to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_Ref231897708 \r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7.13</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identifies the relevant firm types within each sector, which serve as the unit of analysis for the pillar assessments for each sector. For each impact carried forward, the pillar assessments evaluate its magnitude relative to the financial and competitive position of the relevant firm type, classified as minor, moderate, or substantial, and the probability that it materialises given sector-specific conditions and the unresolved design parameters in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_Ref229844376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Table 1</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classified as low, medium, or high.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_Ref231899878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Table 17</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recalls the key design uncertainties from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_Ref229844376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Table 1</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that bear most directly on the findings in this part. This approach follows the assessment methodology recommended in Davidson, Kauffmann and </w:t>
      </w:r>
      <w:proofErr w:type="spellStart"/>
      <w:r w:rsidRPr="005F0A67">
        <w:rPr>
          <w:rFonts w:asciiTheme="majorBidi" w:eastAsia="Times New Roman" w:hAnsiTheme="majorBidi" w:cstheme="majorBidi"/>
          <w:lang w:val="en-CA" w:eastAsia="en-GB"/>
        </w:rPr>
        <w:t>Liedekerke</w:t>
      </w:r>
      <w:proofErr w:type="spellEnd"/>
      <w:r w:rsidRPr="005F0A67">
        <w:rPr>
          <w:rFonts w:asciiTheme="majorBidi" w:eastAsia="Times New Roman" w:hAnsiTheme="majorBidi" w:cstheme="majorBidi"/>
          <w:lang w:val="en-CA" w:eastAsia="en-GB"/>
        </w:rPr>
        <w:t xml:space="preserve">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{"citationID":"FX9WdiZ1","properties":{"unsorted":false,"formattedCitation":"(2021)","plainCitation":"(2021)","noteIndex":0},"citationItems":[{"id":208,"uris":["http://zotero.org/users/14977742/items/DPAY4QDS"],"itemData":{"id":208,"type":"article-journal","abstract":"The impacts of laws and regulations on competitiveness have strong implications for OECD economies, as they can lead to unforeseen negative externalities and considerable regulatory costs for businesses and citizens. Nevertheless, the use of regulatory policy to assess the impacts of regulations on competitiveness has seldom been examined. This paper fills this gap by reviewing OECD members’ regulatory impact assessment (RIA) frameworks and the extent to which the competitiveness effects are currently appraised. It categorises regulatory impacts on competitiveness into three strongly interrelated components – cost competitiveness, innovation, and international competitiveness – and builds upon the OECD’s expertise to examine how regulations affect each component of competitiveness in turn. In doing so, the paper proposes a more complete structure that regulators can use to define and assess the competitiveness impacts of regulation as part of their RIA processes framework.","citation-key":"davidsonHowLawsRegulations2021a","container-title":"OECD Regulatory Policy Working Papers","DOI":"10.1787/7c11f5d5-en","language":"en","publisher":"OECD Publishing","source":"www.oecd.org","title":"How do laws and regulations affect competitiveness: The role for regulatory impact assessment","title-short":"How do laws and regulations affect competitiveness","URL":"https://www.oecd.org/en/publications/how-do-laws-and-regulations-affect-competitiveness_7c11f5d5-en.html","author":[{"family":"Davidson","given":"Paul"},{"family":"Kauffmann","given":"Céline"},{"family":"Liedekerke","given":"Marie-Gabrielle","dropping-particle":"de"}],"accessed":{"date-parts":[["2026",5,21]]},"issued":{"date-parts":[["2021",2,2]]}},"suppress-author":true}],"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(2021)</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Given that the mechanism is prospective and voluntary, and that firm-level DSI use intensity remains largely unobserved, quantitative estimation of competitive effects is not feasible at this stage; the assessment therefore relies on qualitative evidence, which the guidance recognises as the appropriate approach where data constraints prevent quantification.</w:t>
      </w:r>
    </w:p>
    <w:p w14:paraId="17B533CA"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Each impact’s materiality is determined by combining magnitude and probability assessments, as shown in the matrix below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_Ref231899586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Table 18</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and in line with standard risk-assessment methodology. The pillar assessment tables present magnitude and probability separately for verification.</w:t>
      </w:r>
    </w:p>
    <w:p w14:paraId="62982AB8" w14:textId="77777777" w:rsidR="00B009ED" w:rsidRDefault="00B009ED" w:rsidP="005F0A67">
      <w:pPr>
        <w:tabs>
          <w:tab w:val="clear" w:pos="567"/>
          <w:tab w:val="clear" w:pos="1134"/>
          <w:tab w:val="clear" w:pos="1701"/>
          <w:tab w:val="clear" w:pos="2268"/>
        </w:tabs>
        <w:spacing w:after="200" w:line="312" w:lineRule="auto"/>
        <w:contextualSpacing/>
        <w:rPr>
          <w:rFonts w:asciiTheme="majorBidi" w:eastAsia="Georgia" w:hAnsiTheme="majorBidi" w:cstheme="majorBidi"/>
          <w:b/>
          <w:bCs/>
          <w:color w:val="419844"/>
          <w:lang w:val="en-US" w:eastAsia="ja-JP"/>
        </w:rPr>
      </w:pPr>
      <w:bookmarkStart w:id="173" w:name="_Ref231899878"/>
    </w:p>
    <w:p w14:paraId="51A1B4E8" w14:textId="77777777" w:rsidR="00B009ED" w:rsidRDefault="00B009ED" w:rsidP="005F0A67">
      <w:pPr>
        <w:tabs>
          <w:tab w:val="clear" w:pos="567"/>
          <w:tab w:val="clear" w:pos="1134"/>
          <w:tab w:val="clear" w:pos="1701"/>
          <w:tab w:val="clear" w:pos="2268"/>
        </w:tabs>
        <w:spacing w:after="200" w:line="312" w:lineRule="auto"/>
        <w:contextualSpacing/>
        <w:rPr>
          <w:rFonts w:asciiTheme="majorBidi" w:eastAsia="Georgia" w:hAnsiTheme="majorBidi" w:cstheme="majorBidi"/>
          <w:b/>
          <w:bCs/>
          <w:color w:val="419844"/>
          <w:lang w:val="en-US" w:eastAsia="ja-JP"/>
        </w:rPr>
      </w:pPr>
    </w:p>
    <w:p w14:paraId="31E7F070" w14:textId="77777777" w:rsidR="00B009ED" w:rsidRDefault="00B009ED" w:rsidP="005F0A67">
      <w:pPr>
        <w:tabs>
          <w:tab w:val="clear" w:pos="567"/>
          <w:tab w:val="clear" w:pos="1134"/>
          <w:tab w:val="clear" w:pos="1701"/>
          <w:tab w:val="clear" w:pos="2268"/>
        </w:tabs>
        <w:spacing w:after="200" w:line="312" w:lineRule="auto"/>
        <w:contextualSpacing/>
        <w:rPr>
          <w:rFonts w:asciiTheme="majorBidi" w:eastAsia="Georgia" w:hAnsiTheme="majorBidi" w:cstheme="majorBidi"/>
          <w:b/>
          <w:bCs/>
          <w:color w:val="419844"/>
          <w:lang w:val="en-US" w:eastAsia="ja-JP"/>
        </w:rPr>
      </w:pPr>
    </w:p>
    <w:p w14:paraId="54146F8B" w14:textId="77777777" w:rsidR="00B009ED" w:rsidRDefault="00B009ED" w:rsidP="005F0A67">
      <w:pPr>
        <w:tabs>
          <w:tab w:val="clear" w:pos="567"/>
          <w:tab w:val="clear" w:pos="1134"/>
          <w:tab w:val="clear" w:pos="1701"/>
          <w:tab w:val="clear" w:pos="2268"/>
        </w:tabs>
        <w:spacing w:after="200" w:line="312" w:lineRule="auto"/>
        <w:contextualSpacing/>
        <w:rPr>
          <w:rFonts w:asciiTheme="majorBidi" w:eastAsia="Georgia" w:hAnsiTheme="majorBidi" w:cstheme="majorBidi"/>
          <w:b/>
          <w:bCs/>
          <w:color w:val="419844"/>
          <w:lang w:val="en-US" w:eastAsia="ja-JP"/>
        </w:rPr>
      </w:pPr>
    </w:p>
    <w:p w14:paraId="2FDCD1F3" w14:textId="77777777" w:rsidR="00B009ED" w:rsidRDefault="00B009ED" w:rsidP="005F0A67">
      <w:pPr>
        <w:tabs>
          <w:tab w:val="clear" w:pos="567"/>
          <w:tab w:val="clear" w:pos="1134"/>
          <w:tab w:val="clear" w:pos="1701"/>
          <w:tab w:val="clear" w:pos="2268"/>
        </w:tabs>
        <w:spacing w:after="200" w:line="312" w:lineRule="auto"/>
        <w:contextualSpacing/>
        <w:rPr>
          <w:rFonts w:asciiTheme="majorBidi" w:eastAsia="Georgia" w:hAnsiTheme="majorBidi" w:cstheme="majorBidi"/>
          <w:b/>
          <w:bCs/>
          <w:color w:val="419844"/>
          <w:lang w:val="en-US" w:eastAsia="ja-JP"/>
        </w:rPr>
      </w:pPr>
    </w:p>
    <w:p w14:paraId="303BED51" w14:textId="77777777" w:rsidR="00B009ED" w:rsidRDefault="00B009ED" w:rsidP="005F0A67">
      <w:pPr>
        <w:tabs>
          <w:tab w:val="clear" w:pos="567"/>
          <w:tab w:val="clear" w:pos="1134"/>
          <w:tab w:val="clear" w:pos="1701"/>
          <w:tab w:val="clear" w:pos="2268"/>
        </w:tabs>
        <w:spacing w:after="200" w:line="312" w:lineRule="auto"/>
        <w:contextualSpacing/>
        <w:rPr>
          <w:rFonts w:asciiTheme="majorBidi" w:eastAsia="Georgia" w:hAnsiTheme="majorBidi" w:cstheme="majorBidi"/>
          <w:b/>
          <w:bCs/>
          <w:color w:val="419844"/>
          <w:lang w:val="en-US" w:eastAsia="ja-JP"/>
        </w:rPr>
      </w:pPr>
    </w:p>
    <w:p w14:paraId="03CFE4D0" w14:textId="77777777" w:rsidR="00B009ED" w:rsidRDefault="00B009ED" w:rsidP="005F0A67">
      <w:pPr>
        <w:tabs>
          <w:tab w:val="clear" w:pos="567"/>
          <w:tab w:val="clear" w:pos="1134"/>
          <w:tab w:val="clear" w:pos="1701"/>
          <w:tab w:val="clear" w:pos="2268"/>
        </w:tabs>
        <w:spacing w:after="200" w:line="312" w:lineRule="auto"/>
        <w:contextualSpacing/>
        <w:rPr>
          <w:rFonts w:asciiTheme="majorBidi" w:eastAsia="Georgia" w:hAnsiTheme="majorBidi" w:cstheme="majorBidi"/>
          <w:b/>
          <w:bCs/>
          <w:color w:val="419844"/>
          <w:lang w:val="en-US" w:eastAsia="ja-JP"/>
        </w:rPr>
      </w:pPr>
    </w:p>
    <w:p w14:paraId="7A49FF70" w14:textId="77777777" w:rsidR="00B009ED" w:rsidRDefault="00B009ED" w:rsidP="005F0A67">
      <w:pPr>
        <w:tabs>
          <w:tab w:val="clear" w:pos="567"/>
          <w:tab w:val="clear" w:pos="1134"/>
          <w:tab w:val="clear" w:pos="1701"/>
          <w:tab w:val="clear" w:pos="2268"/>
        </w:tabs>
        <w:spacing w:after="200" w:line="312" w:lineRule="auto"/>
        <w:contextualSpacing/>
        <w:rPr>
          <w:rFonts w:asciiTheme="majorBidi" w:eastAsia="Georgia" w:hAnsiTheme="majorBidi" w:cstheme="majorBidi"/>
          <w:b/>
          <w:bCs/>
          <w:color w:val="419844"/>
          <w:lang w:val="en-US" w:eastAsia="ja-JP"/>
        </w:rPr>
      </w:pPr>
    </w:p>
    <w:p w14:paraId="5254896C" w14:textId="77777777" w:rsidR="00B009ED" w:rsidRDefault="00B009ED" w:rsidP="005F0A67">
      <w:pPr>
        <w:tabs>
          <w:tab w:val="clear" w:pos="567"/>
          <w:tab w:val="clear" w:pos="1134"/>
          <w:tab w:val="clear" w:pos="1701"/>
          <w:tab w:val="clear" w:pos="2268"/>
        </w:tabs>
        <w:spacing w:after="200" w:line="312" w:lineRule="auto"/>
        <w:contextualSpacing/>
        <w:rPr>
          <w:rFonts w:asciiTheme="majorBidi" w:eastAsia="Georgia" w:hAnsiTheme="majorBidi" w:cstheme="majorBidi"/>
          <w:b/>
          <w:bCs/>
          <w:color w:val="419844"/>
          <w:lang w:val="en-US" w:eastAsia="ja-JP"/>
        </w:rPr>
      </w:pPr>
    </w:p>
    <w:p w14:paraId="310BC82F" w14:textId="77777777" w:rsidR="00B009ED" w:rsidRDefault="00B009ED" w:rsidP="005F0A67">
      <w:pPr>
        <w:tabs>
          <w:tab w:val="clear" w:pos="567"/>
          <w:tab w:val="clear" w:pos="1134"/>
          <w:tab w:val="clear" w:pos="1701"/>
          <w:tab w:val="clear" w:pos="2268"/>
        </w:tabs>
        <w:spacing w:after="200" w:line="312" w:lineRule="auto"/>
        <w:contextualSpacing/>
        <w:rPr>
          <w:rFonts w:asciiTheme="majorBidi" w:eastAsia="Georgia" w:hAnsiTheme="majorBidi" w:cstheme="majorBidi"/>
          <w:b/>
          <w:bCs/>
          <w:color w:val="419844"/>
          <w:lang w:val="en-US" w:eastAsia="ja-JP"/>
        </w:rPr>
      </w:pPr>
    </w:p>
    <w:p w14:paraId="0CCCE7B7" w14:textId="77777777" w:rsidR="00B009ED" w:rsidRDefault="00B009ED" w:rsidP="005F0A67">
      <w:pPr>
        <w:tabs>
          <w:tab w:val="clear" w:pos="567"/>
          <w:tab w:val="clear" w:pos="1134"/>
          <w:tab w:val="clear" w:pos="1701"/>
          <w:tab w:val="clear" w:pos="2268"/>
        </w:tabs>
        <w:spacing w:after="200" w:line="312" w:lineRule="auto"/>
        <w:contextualSpacing/>
        <w:rPr>
          <w:rFonts w:asciiTheme="majorBidi" w:eastAsia="Georgia" w:hAnsiTheme="majorBidi" w:cstheme="majorBidi"/>
          <w:b/>
          <w:bCs/>
          <w:color w:val="419844"/>
          <w:lang w:val="en-US" w:eastAsia="ja-JP"/>
        </w:rPr>
      </w:pPr>
    </w:p>
    <w:p w14:paraId="1D907D77" w14:textId="2C77D902" w:rsidR="005F0A67" w:rsidRPr="005F0A67" w:rsidRDefault="005F0A67" w:rsidP="005F0A67">
      <w:pPr>
        <w:tabs>
          <w:tab w:val="clear" w:pos="567"/>
          <w:tab w:val="clear" w:pos="1134"/>
          <w:tab w:val="clear" w:pos="1701"/>
          <w:tab w:val="clear" w:pos="2268"/>
        </w:tabs>
        <w:spacing w:after="200" w:line="312" w:lineRule="auto"/>
        <w:contextualSpacing/>
        <w:rPr>
          <w:rFonts w:asciiTheme="majorBidi" w:eastAsia="Georgia" w:hAnsiTheme="majorBidi" w:cstheme="majorBidi"/>
          <w:b/>
          <w:bCs/>
          <w:color w:val="419844"/>
          <w:lang w:eastAsia="en-GB"/>
        </w:rPr>
      </w:pPr>
      <w:r w:rsidRPr="005F0A67">
        <w:rPr>
          <w:rFonts w:asciiTheme="majorBidi" w:eastAsia="Georgia" w:hAnsiTheme="majorBidi" w:cstheme="majorBidi"/>
          <w:b/>
          <w:bCs/>
          <w:color w:val="419844"/>
          <w:lang w:val="en-US" w:eastAsia="ja-JP"/>
        </w:rPr>
        <w:t xml:space="preserve">Table </w:t>
      </w:r>
      <w:r w:rsidRPr="005F0A67">
        <w:rPr>
          <w:rFonts w:asciiTheme="majorBidi" w:eastAsia="Georgia" w:hAnsiTheme="majorBidi" w:cstheme="majorBidi"/>
          <w:b/>
          <w:bCs/>
          <w:color w:val="419844"/>
          <w:lang w:eastAsia="en-GB"/>
        </w:rPr>
        <w:fldChar w:fldCharType="begin"/>
      </w:r>
      <w:r w:rsidRPr="005F0A67">
        <w:rPr>
          <w:rFonts w:asciiTheme="majorBidi" w:eastAsia="Georgia" w:hAnsiTheme="majorBidi" w:cstheme="majorBidi"/>
          <w:b/>
          <w:bCs/>
          <w:color w:val="419844"/>
          <w:lang w:eastAsia="en-GB"/>
        </w:rPr>
        <w:instrText xml:space="preserve"> SEQ Table \* ARABIC </w:instrText>
      </w:r>
      <w:r w:rsidRPr="005F0A67">
        <w:rPr>
          <w:rFonts w:asciiTheme="majorBidi" w:eastAsia="Georgia" w:hAnsiTheme="majorBidi" w:cstheme="majorBidi"/>
          <w:b/>
          <w:bCs/>
          <w:color w:val="419844"/>
          <w:lang w:eastAsia="en-GB"/>
        </w:rPr>
        <w:fldChar w:fldCharType="separate"/>
      </w:r>
      <w:r w:rsidRPr="005F0A67">
        <w:rPr>
          <w:rFonts w:asciiTheme="majorBidi" w:eastAsia="Georgia" w:hAnsiTheme="majorBidi" w:cstheme="majorBidi"/>
          <w:b/>
          <w:bCs/>
          <w:noProof/>
          <w:color w:val="419844"/>
          <w:lang w:eastAsia="en-GB"/>
        </w:rPr>
        <w:t>17</w:t>
      </w:r>
      <w:r w:rsidRPr="005F0A67">
        <w:rPr>
          <w:rFonts w:asciiTheme="majorBidi" w:eastAsia="Georgia" w:hAnsiTheme="majorBidi" w:cstheme="majorBidi"/>
          <w:b/>
          <w:bCs/>
          <w:color w:val="419844"/>
          <w:lang w:eastAsia="en-GB"/>
        </w:rPr>
        <w:fldChar w:fldCharType="end"/>
      </w:r>
      <w:bookmarkEnd w:id="173"/>
      <w:r w:rsidRPr="005F0A67">
        <w:rPr>
          <w:rFonts w:asciiTheme="majorBidi" w:eastAsia="Georgia" w:hAnsiTheme="majorBidi" w:cstheme="majorBidi"/>
          <w:b/>
          <w:bCs/>
          <w:color w:val="419844"/>
          <w:lang w:val="en-US" w:eastAsia="ja-JP"/>
        </w:rPr>
        <w:t xml:space="preserve"> Design uncertainties relevant for the competitiveness analysis (based on Table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536"/>
        <w:gridCol w:w="2374"/>
        <w:gridCol w:w="6808"/>
      </w:tblGrid>
      <w:tr w:rsidR="005F0A67" w:rsidRPr="005F0A67" w14:paraId="1C234980" w14:textId="77777777" w:rsidTr="00FB671B">
        <w:trPr>
          <w:tblHeader/>
        </w:trPr>
        <w:tc>
          <w:tcPr>
            <w:tcW w:w="0" w:type="auto"/>
            <w:tcBorders>
              <w:top w:val="single" w:sz="1" w:space="0" w:color="AAAAAA"/>
              <w:left w:val="single" w:sz="1" w:space="0" w:color="AAAAAA"/>
              <w:bottom w:val="single" w:sz="1" w:space="0" w:color="AAAAAA"/>
              <w:right w:val="single" w:sz="1" w:space="0" w:color="AAAAAA"/>
            </w:tcBorders>
            <w:shd w:val="clear" w:color="auto" w:fill="1F4E6B"/>
            <w:vAlign w:val="center"/>
          </w:tcPr>
          <w:p w14:paraId="4B29F0BB"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FFFFFF"/>
                <w:sz w:val="18"/>
                <w:szCs w:val="18"/>
                <w:lang w:val="en-CA" w:eastAsia="en-GB"/>
              </w:rPr>
            </w:pPr>
            <w:r w:rsidRPr="005F0A67">
              <w:rPr>
                <w:rFonts w:asciiTheme="majorBidi" w:eastAsia="Tahoma" w:hAnsiTheme="majorBidi" w:cstheme="majorBidi"/>
                <w:b/>
                <w:bCs/>
                <w:color w:val="FFFFFF"/>
                <w:sz w:val="18"/>
                <w:szCs w:val="18"/>
                <w:lang w:val="en-CA" w:eastAsia="en-GB"/>
              </w:rPr>
              <w:t>ID</w:t>
            </w:r>
          </w:p>
        </w:tc>
        <w:tc>
          <w:tcPr>
            <w:tcW w:w="0" w:type="auto"/>
            <w:tcBorders>
              <w:top w:val="single" w:sz="1" w:space="0" w:color="AAAAAA"/>
              <w:left w:val="single" w:sz="1" w:space="0" w:color="AAAAAA"/>
              <w:bottom w:val="single" w:sz="1" w:space="0" w:color="AAAAAA"/>
              <w:right w:val="single" w:sz="1" w:space="0" w:color="AAAAAA"/>
            </w:tcBorders>
            <w:shd w:val="clear" w:color="auto" w:fill="1F4E6B"/>
            <w:tcMar>
              <w:top w:w="60" w:type="dxa"/>
              <w:left w:w="100" w:type="dxa"/>
              <w:bottom w:w="60" w:type="dxa"/>
              <w:right w:w="100" w:type="dxa"/>
            </w:tcMar>
            <w:vAlign w:val="center"/>
          </w:tcPr>
          <w:p w14:paraId="2305201C"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ahoma" w:hAnsiTheme="majorBidi" w:cstheme="majorBidi"/>
                <w:b/>
                <w:bCs/>
                <w:color w:val="FFFFFF"/>
                <w:sz w:val="18"/>
                <w:szCs w:val="18"/>
                <w:lang w:val="en-CA" w:eastAsia="en-GB"/>
              </w:rPr>
              <w:t>Factor</w:t>
            </w:r>
          </w:p>
        </w:tc>
        <w:tc>
          <w:tcPr>
            <w:tcW w:w="0" w:type="auto"/>
            <w:tcBorders>
              <w:top w:val="single" w:sz="1" w:space="0" w:color="AAAAAA"/>
              <w:left w:val="single" w:sz="1" w:space="0" w:color="AAAAAA"/>
              <w:bottom w:val="single" w:sz="1" w:space="0" w:color="AAAAAA"/>
              <w:right w:val="single" w:sz="1" w:space="0" w:color="AAAAAA"/>
            </w:tcBorders>
            <w:shd w:val="clear" w:color="auto" w:fill="1F4E6B"/>
            <w:vAlign w:val="center"/>
          </w:tcPr>
          <w:p w14:paraId="16AD9469"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FFFFFF"/>
                <w:sz w:val="18"/>
                <w:szCs w:val="18"/>
                <w:lang w:val="en-CA" w:eastAsia="en-GB"/>
              </w:rPr>
            </w:pPr>
            <w:r w:rsidRPr="005F0A67">
              <w:rPr>
                <w:rFonts w:asciiTheme="majorBidi" w:eastAsia="Tahoma" w:hAnsiTheme="majorBidi" w:cstheme="majorBidi"/>
                <w:b/>
                <w:bCs/>
                <w:color w:val="FFFFFF"/>
                <w:sz w:val="18"/>
                <w:szCs w:val="18"/>
                <w:lang w:val="en-CA" w:eastAsia="en-GB"/>
              </w:rPr>
              <w:t xml:space="preserve"> Mechanism</w:t>
            </w:r>
          </w:p>
        </w:tc>
      </w:tr>
      <w:tr w:rsidR="005F0A67" w:rsidRPr="005F0A67" w14:paraId="51863FC9" w14:textId="77777777" w:rsidTr="005F0A67">
        <w:trPr>
          <w:trHeight w:val="333"/>
        </w:trPr>
        <w:tc>
          <w:tcPr>
            <w:tcW w:w="0" w:type="auto"/>
            <w:gridSpan w:val="3"/>
            <w:tcBorders>
              <w:top w:val="single" w:sz="1" w:space="0" w:color="AAAAAA"/>
              <w:left w:val="single" w:sz="1" w:space="0" w:color="AAAAAA"/>
              <w:bottom w:val="single" w:sz="1" w:space="0" w:color="AAAAAA"/>
              <w:right w:val="single" w:sz="1" w:space="0" w:color="AAAAAA"/>
            </w:tcBorders>
            <w:shd w:val="clear" w:color="auto" w:fill="D9F2D0"/>
            <w:vAlign w:val="center"/>
          </w:tcPr>
          <w:p w14:paraId="10C786AC"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000000"/>
                <w:sz w:val="18"/>
                <w:szCs w:val="18"/>
                <w:lang w:val="en-CA" w:eastAsia="en-GB"/>
              </w:rPr>
            </w:pPr>
            <w:r w:rsidRPr="005F0A67">
              <w:rPr>
                <w:rFonts w:asciiTheme="majorBidi" w:eastAsia="Tahoma" w:hAnsiTheme="majorBidi" w:cstheme="majorBidi"/>
                <w:b/>
                <w:bCs/>
                <w:color w:val="000000"/>
                <w:sz w:val="18"/>
                <w:szCs w:val="18"/>
                <w:lang w:val="en-CA" w:eastAsia="en-GB"/>
              </w:rPr>
              <w:t>Stage 1: Who is eligible?</w:t>
            </w:r>
          </w:p>
        </w:tc>
      </w:tr>
      <w:tr w:rsidR="005F0A67" w:rsidRPr="005F0A67" w14:paraId="6E7A7006" w14:textId="77777777" w:rsidTr="005F0A67">
        <w:tc>
          <w:tcPr>
            <w:tcW w:w="0" w:type="auto"/>
            <w:tcBorders>
              <w:top w:val="single" w:sz="1" w:space="0" w:color="AAAAAA"/>
              <w:left w:val="single" w:sz="1" w:space="0" w:color="AAAAAA"/>
              <w:bottom w:val="single" w:sz="1" w:space="0" w:color="AAAAAA"/>
              <w:right w:val="single" w:sz="1" w:space="0" w:color="AAAAAA"/>
            </w:tcBorders>
            <w:shd w:val="clear" w:color="auto" w:fill="FFFFFF"/>
            <w:vAlign w:val="center"/>
          </w:tcPr>
          <w:p w14:paraId="2649F0EA"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U3</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7DAC1440"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Entity definition: subsidiary vs. group</w:t>
            </w:r>
          </w:p>
        </w:tc>
        <w:tc>
          <w:tcPr>
            <w:tcW w:w="0" w:type="auto"/>
            <w:tcBorders>
              <w:top w:val="single" w:sz="1" w:space="0" w:color="AAAAAA"/>
              <w:left w:val="single" w:sz="1" w:space="0" w:color="AAAAAA"/>
              <w:bottom w:val="single" w:sz="1" w:space="0" w:color="AAAAAA"/>
              <w:right w:val="single" w:sz="1" w:space="0" w:color="AAAAAA"/>
            </w:tcBorders>
            <w:shd w:val="clear" w:color="auto" w:fill="FFFFFF"/>
            <w:vAlign w:val="center"/>
          </w:tcPr>
          <w:p w14:paraId="4D91D3E2"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Subsidiary branch vs group level affects count and the level of contributions</w:t>
            </w:r>
          </w:p>
        </w:tc>
      </w:tr>
      <w:tr w:rsidR="005F0A67" w:rsidRPr="005F0A67" w14:paraId="40DB6C5D" w14:textId="77777777" w:rsidTr="005F0A67">
        <w:tc>
          <w:tcPr>
            <w:tcW w:w="0" w:type="auto"/>
            <w:tcBorders>
              <w:top w:val="single" w:sz="1" w:space="0" w:color="AAAAAA"/>
              <w:left w:val="single" w:sz="1" w:space="0" w:color="AAAAAA"/>
              <w:bottom w:val="single" w:sz="1" w:space="0" w:color="AAAAAA"/>
              <w:right w:val="single" w:sz="1" w:space="0" w:color="AAAAAA"/>
            </w:tcBorders>
            <w:shd w:val="clear" w:color="auto" w:fill="FFFFFF"/>
            <w:vAlign w:val="center"/>
          </w:tcPr>
          <w:p w14:paraId="6A2877BC"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U4</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2D865452"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Direct vs. indirect use boundary</w:t>
            </w:r>
          </w:p>
        </w:tc>
        <w:tc>
          <w:tcPr>
            <w:tcW w:w="0" w:type="auto"/>
            <w:tcBorders>
              <w:top w:val="single" w:sz="1" w:space="0" w:color="AAAAAA"/>
              <w:left w:val="single" w:sz="1" w:space="0" w:color="AAAAAA"/>
              <w:bottom w:val="single" w:sz="1" w:space="0" w:color="AAAAAA"/>
              <w:right w:val="single" w:sz="1" w:space="0" w:color="AAAAAA"/>
            </w:tcBorders>
            <w:shd w:val="clear" w:color="auto" w:fill="FFFFFF"/>
            <w:vAlign w:val="center"/>
          </w:tcPr>
          <w:p w14:paraId="155D8C48"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Broader interpretation expands scope; value chain double-counting possible</w:t>
            </w:r>
          </w:p>
        </w:tc>
      </w:tr>
      <w:tr w:rsidR="005F0A67" w:rsidRPr="005F0A67" w14:paraId="6DDBEFBC" w14:textId="77777777" w:rsidTr="005F0A67">
        <w:trPr>
          <w:trHeight w:val="318"/>
        </w:trPr>
        <w:tc>
          <w:tcPr>
            <w:tcW w:w="0" w:type="auto"/>
            <w:gridSpan w:val="3"/>
            <w:tcBorders>
              <w:top w:val="single" w:sz="1" w:space="0" w:color="AAAAAA"/>
              <w:left w:val="single" w:sz="1" w:space="0" w:color="AAAAAA"/>
              <w:bottom w:val="single" w:sz="1" w:space="0" w:color="AAAAAA"/>
              <w:right w:val="single" w:sz="1" w:space="0" w:color="AAAAAA"/>
            </w:tcBorders>
            <w:shd w:val="clear" w:color="auto" w:fill="DAE9F7"/>
            <w:vAlign w:val="center"/>
          </w:tcPr>
          <w:p w14:paraId="3CD90D31"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000000"/>
                <w:sz w:val="18"/>
                <w:szCs w:val="18"/>
                <w:lang w:val="en-CA" w:eastAsia="en-GB"/>
              </w:rPr>
            </w:pPr>
            <w:r w:rsidRPr="005F0A67">
              <w:rPr>
                <w:rFonts w:asciiTheme="majorBidi" w:eastAsia="Tahoma" w:hAnsiTheme="majorBidi" w:cstheme="majorBidi"/>
                <w:b/>
                <w:bCs/>
                <w:color w:val="000000"/>
                <w:sz w:val="18"/>
                <w:szCs w:val="18"/>
                <w:lang w:val="en-CA" w:eastAsia="en-GB"/>
              </w:rPr>
              <w:t>Stage 2: Who participates?</w:t>
            </w:r>
          </w:p>
        </w:tc>
      </w:tr>
      <w:tr w:rsidR="005F0A67" w:rsidRPr="005F0A67" w14:paraId="720CE376" w14:textId="77777777" w:rsidTr="005F0A67">
        <w:tc>
          <w:tcPr>
            <w:tcW w:w="0" w:type="auto"/>
            <w:tcBorders>
              <w:top w:val="single" w:sz="1" w:space="0" w:color="AAAAAA"/>
              <w:left w:val="single" w:sz="1" w:space="0" w:color="AAAAAA"/>
              <w:bottom w:val="single" w:sz="1" w:space="0" w:color="AAAAAA"/>
              <w:right w:val="single" w:sz="1" w:space="0" w:color="AAAAAA"/>
            </w:tcBorders>
            <w:shd w:val="clear" w:color="auto" w:fill="FFFFFF"/>
            <w:vAlign w:val="center"/>
          </w:tcPr>
          <w:p w14:paraId="2988DE75"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U6</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02CAFC5C"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ahoma" w:hAnsiTheme="majorBidi" w:cstheme="majorBidi"/>
                <w:color w:val="000000"/>
                <w:sz w:val="18"/>
                <w:szCs w:val="18"/>
                <w:lang w:val="en-CA" w:eastAsia="en-GB"/>
              </w:rPr>
              <w:t>Certificate regulatory value</w:t>
            </w:r>
          </w:p>
        </w:tc>
        <w:tc>
          <w:tcPr>
            <w:tcW w:w="0" w:type="auto"/>
            <w:tcBorders>
              <w:top w:val="single" w:sz="1" w:space="0" w:color="AAAAAA"/>
              <w:left w:val="single" w:sz="1" w:space="0" w:color="AAAAAA"/>
              <w:bottom w:val="single" w:sz="1" w:space="0" w:color="AAAAAA"/>
              <w:right w:val="single" w:sz="1" w:space="0" w:color="AAAAAA"/>
            </w:tcBorders>
            <w:shd w:val="clear" w:color="auto" w:fill="FFFFFF"/>
            <w:vAlign w:val="center"/>
          </w:tcPr>
          <w:p w14:paraId="403FFE55"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Low regulatory value reduces participation incentive</w:t>
            </w:r>
          </w:p>
        </w:tc>
      </w:tr>
      <w:tr w:rsidR="005F0A67" w:rsidRPr="005F0A67" w14:paraId="53FBB836" w14:textId="77777777" w:rsidTr="005F0A67">
        <w:tc>
          <w:tcPr>
            <w:tcW w:w="0" w:type="auto"/>
            <w:tcBorders>
              <w:top w:val="single" w:sz="1" w:space="0" w:color="AAAAAA"/>
              <w:left w:val="single" w:sz="1" w:space="0" w:color="AAAAAA"/>
              <w:bottom w:val="single" w:sz="1" w:space="0" w:color="AAAAAA"/>
              <w:right w:val="single" w:sz="1" w:space="0" w:color="AAAAAA"/>
            </w:tcBorders>
            <w:shd w:val="clear" w:color="auto" w:fill="FFFFFF"/>
            <w:vAlign w:val="center"/>
          </w:tcPr>
          <w:p w14:paraId="737F1BE0"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U7</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6E5D63DF"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ahoma" w:hAnsiTheme="majorBidi" w:cstheme="majorBidi"/>
                <w:color w:val="000000"/>
                <w:sz w:val="18"/>
                <w:szCs w:val="18"/>
                <w:lang w:val="en-CA" w:eastAsia="en-GB"/>
              </w:rPr>
              <w:t>Obligation stacking</w:t>
            </w:r>
          </w:p>
        </w:tc>
        <w:tc>
          <w:tcPr>
            <w:tcW w:w="0" w:type="auto"/>
            <w:tcBorders>
              <w:top w:val="single" w:sz="1" w:space="0" w:color="AAAAAA"/>
              <w:left w:val="single" w:sz="1" w:space="0" w:color="AAAAAA"/>
              <w:bottom w:val="single" w:sz="1" w:space="0" w:color="AAAAAA"/>
              <w:right w:val="single" w:sz="1" w:space="0" w:color="AAAAAA"/>
            </w:tcBorders>
            <w:shd w:val="clear" w:color="auto" w:fill="FFFFFF"/>
            <w:vAlign w:val="center"/>
          </w:tcPr>
          <w:p w14:paraId="0FCD59D3"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Unresolved overlap with national/international instruments deters participation</w:t>
            </w:r>
          </w:p>
        </w:tc>
      </w:tr>
      <w:tr w:rsidR="005F0A67" w:rsidRPr="005F0A67" w14:paraId="64E8B7A4" w14:textId="77777777" w:rsidTr="005F0A67">
        <w:trPr>
          <w:trHeight w:val="513"/>
        </w:trPr>
        <w:tc>
          <w:tcPr>
            <w:tcW w:w="0" w:type="auto"/>
            <w:tcBorders>
              <w:top w:val="single" w:sz="1" w:space="0" w:color="AAAAAA"/>
              <w:left w:val="single" w:sz="1" w:space="0" w:color="AAAAAA"/>
              <w:bottom w:val="single" w:sz="1" w:space="0" w:color="AAAAAA"/>
              <w:right w:val="single" w:sz="1" w:space="0" w:color="AAAAAA"/>
            </w:tcBorders>
            <w:shd w:val="clear" w:color="auto" w:fill="FFFFFF"/>
            <w:vAlign w:val="center"/>
          </w:tcPr>
          <w:p w14:paraId="7AD6D12C"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U8</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1E2371DC"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ahoma" w:hAnsiTheme="majorBidi" w:cstheme="majorBidi"/>
                <w:color w:val="000000"/>
                <w:sz w:val="18"/>
                <w:szCs w:val="18"/>
                <w:lang w:val="en-CA" w:eastAsia="en-GB"/>
              </w:rPr>
              <w:t>National implementation divergence</w:t>
            </w:r>
          </w:p>
        </w:tc>
        <w:tc>
          <w:tcPr>
            <w:tcW w:w="0" w:type="auto"/>
            <w:tcBorders>
              <w:top w:val="single" w:sz="1" w:space="0" w:color="AAAAAA"/>
              <w:left w:val="single" w:sz="1" w:space="0" w:color="AAAAAA"/>
              <w:bottom w:val="single" w:sz="1" w:space="0" w:color="AAAAAA"/>
              <w:right w:val="single" w:sz="1" w:space="0" w:color="AAAAAA"/>
            </w:tcBorders>
            <w:shd w:val="clear" w:color="auto" w:fill="FFFFFF"/>
            <w:vAlign w:val="center"/>
          </w:tcPr>
          <w:p w14:paraId="50D3B58D"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More implementation increases participation; divergence creates asymmetries</w:t>
            </w:r>
          </w:p>
        </w:tc>
      </w:tr>
      <w:tr w:rsidR="005F0A67" w:rsidRPr="005F0A67" w14:paraId="28EEA4FE" w14:textId="77777777" w:rsidTr="005F0A67">
        <w:tc>
          <w:tcPr>
            <w:tcW w:w="0" w:type="auto"/>
            <w:tcBorders>
              <w:top w:val="single" w:sz="1" w:space="0" w:color="AAAAAA"/>
              <w:left w:val="single" w:sz="1" w:space="0" w:color="AAAAAA"/>
              <w:bottom w:val="single" w:sz="1" w:space="0" w:color="AAAAAA"/>
              <w:right w:val="single" w:sz="1" w:space="0" w:color="AAAAAA"/>
            </w:tcBorders>
            <w:shd w:val="clear" w:color="auto" w:fill="FFFFFF"/>
            <w:vAlign w:val="center"/>
          </w:tcPr>
          <w:p w14:paraId="4ED9EB1D"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U10</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191D9DE4"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ahoma" w:hAnsiTheme="majorBidi" w:cstheme="majorBidi"/>
                <w:color w:val="000000"/>
                <w:sz w:val="18"/>
                <w:szCs w:val="18"/>
                <w:lang w:val="en-CA" w:eastAsia="en-GB"/>
              </w:rPr>
              <w:t>Competitor participation</w:t>
            </w:r>
          </w:p>
        </w:tc>
        <w:tc>
          <w:tcPr>
            <w:tcW w:w="0" w:type="auto"/>
            <w:tcBorders>
              <w:top w:val="single" w:sz="1" w:space="0" w:color="AAAAAA"/>
              <w:left w:val="single" w:sz="1" w:space="0" w:color="AAAAAA"/>
              <w:bottom w:val="single" w:sz="1" w:space="0" w:color="AAAAAA"/>
              <w:right w:val="single" w:sz="1" w:space="0" w:color="AAAAAA"/>
            </w:tcBorders>
            <w:shd w:val="clear" w:color="auto" w:fill="FFFFFF"/>
            <w:vAlign w:val="center"/>
          </w:tcPr>
          <w:p w14:paraId="203EEBF4"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Low sector uptake deters individual participation; high uptake encourages it</w:t>
            </w:r>
          </w:p>
        </w:tc>
      </w:tr>
      <w:tr w:rsidR="005F0A67" w:rsidRPr="005F0A67" w14:paraId="35E21CB2" w14:textId="77777777" w:rsidTr="005F0A67">
        <w:trPr>
          <w:trHeight w:val="382"/>
        </w:trPr>
        <w:tc>
          <w:tcPr>
            <w:tcW w:w="0" w:type="auto"/>
            <w:gridSpan w:val="3"/>
            <w:tcBorders>
              <w:top w:val="single" w:sz="1" w:space="0" w:color="AAAAAA"/>
              <w:left w:val="single" w:sz="1" w:space="0" w:color="AAAAAA"/>
              <w:bottom w:val="single" w:sz="1" w:space="0" w:color="AAAAAA"/>
              <w:right w:val="single" w:sz="1" w:space="0" w:color="AAAAAA"/>
            </w:tcBorders>
            <w:shd w:val="clear" w:color="auto" w:fill="FAE2D5"/>
            <w:vAlign w:val="center"/>
          </w:tcPr>
          <w:p w14:paraId="663C6456"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000000"/>
                <w:sz w:val="18"/>
                <w:szCs w:val="18"/>
                <w:lang w:val="en-CA" w:eastAsia="en-GB"/>
              </w:rPr>
            </w:pPr>
            <w:r w:rsidRPr="005F0A67">
              <w:rPr>
                <w:rFonts w:asciiTheme="majorBidi" w:eastAsia="Tahoma" w:hAnsiTheme="majorBidi" w:cstheme="majorBidi"/>
                <w:b/>
                <w:bCs/>
                <w:color w:val="000000"/>
                <w:sz w:val="18"/>
                <w:szCs w:val="18"/>
                <w:lang w:val="en-CA" w:eastAsia="en-GB"/>
              </w:rPr>
              <w:t>Stage 3: How much do they contribute?</w:t>
            </w:r>
          </w:p>
        </w:tc>
      </w:tr>
      <w:tr w:rsidR="005F0A67" w:rsidRPr="005F0A67" w14:paraId="3B461A1D" w14:textId="77777777" w:rsidTr="005F0A67">
        <w:tc>
          <w:tcPr>
            <w:tcW w:w="0" w:type="auto"/>
            <w:tcBorders>
              <w:top w:val="single" w:sz="1" w:space="0" w:color="AAAAAA"/>
              <w:left w:val="single" w:sz="1" w:space="0" w:color="AAAAAA"/>
              <w:bottom w:val="single" w:sz="1" w:space="0" w:color="AAAAAA"/>
              <w:right w:val="single" w:sz="1" w:space="0" w:color="AAAAAA"/>
            </w:tcBorders>
            <w:shd w:val="clear" w:color="auto" w:fill="FFFFFF"/>
            <w:vAlign w:val="center"/>
          </w:tcPr>
          <w:p w14:paraId="3E73B041"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U12</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773D9469"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Partial DSI use and proportionality</w:t>
            </w:r>
          </w:p>
        </w:tc>
        <w:tc>
          <w:tcPr>
            <w:tcW w:w="0" w:type="auto"/>
            <w:tcBorders>
              <w:top w:val="single" w:sz="1" w:space="0" w:color="AAAAAA"/>
              <w:left w:val="single" w:sz="1" w:space="0" w:color="AAAAAA"/>
              <w:bottom w:val="single" w:sz="1" w:space="0" w:color="AAAAAA"/>
              <w:right w:val="single" w:sz="1" w:space="0" w:color="AAAAAA"/>
            </w:tcBorders>
            <w:shd w:val="clear" w:color="auto" w:fill="FFFFFF"/>
            <w:vAlign w:val="center"/>
          </w:tcPr>
          <w:p w14:paraId="10738871"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Same contribution base regardless of DSI intensity; low-DSI firms face disproportionate burden, reducing participation incentive</w:t>
            </w:r>
          </w:p>
        </w:tc>
      </w:tr>
    </w:tbl>
    <w:p w14:paraId="0B6493D2"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p>
    <w:p w14:paraId="2C878521"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i/>
          <w:iCs/>
          <w:sz w:val="18"/>
          <w:szCs w:val="18"/>
          <w:lang w:val="en-CA" w:eastAsia="en-GB"/>
        </w:rPr>
        <w:t xml:space="preserve">Note: </w:t>
      </w:r>
      <w:r w:rsidRPr="005F0A67">
        <w:rPr>
          <w:rFonts w:asciiTheme="majorBidi" w:eastAsia="Times New Roman" w:hAnsiTheme="majorBidi" w:cstheme="majorBidi"/>
          <w:sz w:val="18"/>
          <w:szCs w:val="18"/>
          <w:lang w:val="en-CA" w:eastAsia="en-GB"/>
        </w:rPr>
        <w:t xml:space="preserve">This table summarises the design uncertainties relevant to the competitiveness analysis (part of the uncertainties register from </w:t>
      </w:r>
      <w:r w:rsidRPr="005F0A67">
        <w:rPr>
          <w:rFonts w:asciiTheme="majorBidi" w:eastAsia="Times New Roman" w:hAnsiTheme="majorBidi" w:cstheme="majorBidi"/>
          <w:sz w:val="18"/>
          <w:szCs w:val="18"/>
          <w:lang w:val="en-CA" w:eastAsia="en-GB"/>
        </w:rPr>
        <w:fldChar w:fldCharType="begin"/>
      </w:r>
      <w:r w:rsidRPr="005F0A67">
        <w:rPr>
          <w:rFonts w:asciiTheme="majorBidi" w:eastAsia="Times New Roman" w:hAnsiTheme="majorBidi" w:cstheme="majorBidi"/>
          <w:sz w:val="18"/>
          <w:szCs w:val="18"/>
          <w:lang w:val="en-CA" w:eastAsia="en-GB"/>
        </w:rPr>
        <w:instrText xml:space="preserve"> REF _Ref229844376 \h  \* MERGEFORMAT </w:instrText>
      </w:r>
      <w:r w:rsidRPr="005F0A67">
        <w:rPr>
          <w:rFonts w:asciiTheme="majorBidi" w:eastAsia="Times New Roman" w:hAnsiTheme="majorBidi" w:cstheme="majorBidi"/>
          <w:sz w:val="18"/>
          <w:szCs w:val="18"/>
          <w:lang w:val="en-CA" w:eastAsia="en-GB"/>
        </w:rPr>
      </w:r>
      <w:r w:rsidRPr="005F0A67">
        <w:rPr>
          <w:rFonts w:asciiTheme="majorBidi" w:eastAsia="Times New Roman" w:hAnsiTheme="majorBidi" w:cstheme="majorBidi"/>
          <w:sz w:val="18"/>
          <w:szCs w:val="18"/>
          <w:lang w:val="en-CA" w:eastAsia="en-GB"/>
        </w:rPr>
        <w:fldChar w:fldCharType="separate"/>
      </w:r>
      <w:r w:rsidRPr="005F0A67">
        <w:rPr>
          <w:rFonts w:asciiTheme="majorBidi" w:eastAsia="Times New Roman" w:hAnsiTheme="majorBidi" w:cstheme="majorBidi"/>
          <w:sz w:val="18"/>
          <w:szCs w:val="18"/>
          <w:lang w:val="en-CA" w:eastAsia="en-GB"/>
        </w:rPr>
        <w:t xml:space="preserve">Table </w:t>
      </w:r>
      <w:r w:rsidRPr="005F0A67">
        <w:rPr>
          <w:rFonts w:asciiTheme="majorBidi" w:eastAsia="Times New Roman" w:hAnsiTheme="majorBidi" w:cstheme="majorBidi"/>
          <w:i/>
          <w:iCs/>
          <w:sz w:val="18"/>
          <w:szCs w:val="18"/>
          <w:lang w:val="en-CA" w:eastAsia="en-GB"/>
        </w:rPr>
        <w:t>1</w:t>
      </w:r>
      <w:r w:rsidRPr="005F0A67">
        <w:rPr>
          <w:rFonts w:asciiTheme="majorBidi" w:eastAsia="Times New Roman" w:hAnsiTheme="majorBidi" w:cstheme="majorBidi"/>
          <w:sz w:val="18"/>
          <w:szCs w:val="18"/>
          <w:lang w:val="en-CA" w:eastAsia="en-GB"/>
        </w:rPr>
        <w:fldChar w:fldCharType="end"/>
      </w:r>
      <w:r w:rsidRPr="005F0A67">
        <w:rPr>
          <w:rFonts w:asciiTheme="majorBidi" w:eastAsia="Times New Roman" w:hAnsiTheme="majorBidi" w:cstheme="majorBidi"/>
          <w:sz w:val="18"/>
          <w:szCs w:val="18"/>
          <w:lang w:val="en-CA" w:eastAsia="en-GB"/>
        </w:rPr>
        <w:t xml:space="preserve">) for ease of reference. </w:t>
      </w:r>
    </w:p>
    <w:p w14:paraId="660B1269" w14:textId="77777777" w:rsidR="005F0A67" w:rsidRPr="005F0A67" w:rsidRDefault="005F0A67" w:rsidP="005F0A67">
      <w:pPr>
        <w:tabs>
          <w:tab w:val="clear" w:pos="567"/>
          <w:tab w:val="clear" w:pos="1134"/>
          <w:tab w:val="clear" w:pos="1701"/>
          <w:tab w:val="clear" w:pos="2268"/>
        </w:tabs>
        <w:spacing w:before="240" w:after="200" w:line="312" w:lineRule="auto"/>
        <w:contextualSpacing/>
        <w:rPr>
          <w:rFonts w:asciiTheme="majorBidi" w:eastAsia="Georgia" w:hAnsiTheme="majorBidi" w:cstheme="majorBidi"/>
          <w:b/>
          <w:bCs/>
          <w:color w:val="419844"/>
          <w:lang w:eastAsia="en-GB"/>
        </w:rPr>
      </w:pPr>
      <w:bookmarkStart w:id="174" w:name="_Ref231899586"/>
      <w:r w:rsidRPr="005F0A67">
        <w:rPr>
          <w:rFonts w:asciiTheme="majorBidi" w:eastAsia="Georgia" w:hAnsiTheme="majorBidi" w:cstheme="majorBidi"/>
          <w:b/>
          <w:bCs/>
          <w:color w:val="419844"/>
          <w:lang w:val="en-US" w:eastAsia="ja-JP"/>
        </w:rPr>
        <w:t xml:space="preserve">Table </w:t>
      </w:r>
      <w:r w:rsidRPr="005F0A67">
        <w:rPr>
          <w:rFonts w:asciiTheme="majorBidi" w:eastAsia="Georgia" w:hAnsiTheme="majorBidi" w:cstheme="majorBidi"/>
          <w:b/>
          <w:bCs/>
          <w:color w:val="419844"/>
          <w:lang w:eastAsia="en-GB"/>
        </w:rPr>
        <w:fldChar w:fldCharType="begin"/>
      </w:r>
      <w:r w:rsidRPr="005F0A67">
        <w:rPr>
          <w:rFonts w:asciiTheme="majorBidi" w:eastAsia="Georgia" w:hAnsiTheme="majorBidi" w:cstheme="majorBidi"/>
          <w:b/>
          <w:bCs/>
          <w:color w:val="419844"/>
          <w:lang w:eastAsia="en-GB"/>
        </w:rPr>
        <w:instrText xml:space="preserve"> SEQ Table \* ARABIC </w:instrText>
      </w:r>
      <w:r w:rsidRPr="005F0A67">
        <w:rPr>
          <w:rFonts w:asciiTheme="majorBidi" w:eastAsia="Georgia" w:hAnsiTheme="majorBidi" w:cstheme="majorBidi"/>
          <w:b/>
          <w:bCs/>
          <w:color w:val="419844"/>
          <w:lang w:eastAsia="en-GB"/>
        </w:rPr>
        <w:fldChar w:fldCharType="separate"/>
      </w:r>
      <w:r w:rsidRPr="005F0A67">
        <w:rPr>
          <w:rFonts w:asciiTheme="majorBidi" w:eastAsia="Georgia" w:hAnsiTheme="majorBidi" w:cstheme="majorBidi"/>
          <w:b/>
          <w:bCs/>
          <w:noProof/>
          <w:color w:val="419844"/>
          <w:lang w:eastAsia="en-GB"/>
        </w:rPr>
        <w:t>18</w:t>
      </w:r>
      <w:r w:rsidRPr="005F0A67">
        <w:rPr>
          <w:rFonts w:asciiTheme="majorBidi" w:eastAsia="Georgia" w:hAnsiTheme="majorBidi" w:cstheme="majorBidi"/>
          <w:b/>
          <w:bCs/>
          <w:color w:val="419844"/>
          <w:lang w:eastAsia="en-GB"/>
        </w:rPr>
        <w:fldChar w:fldCharType="end"/>
      </w:r>
      <w:bookmarkEnd w:id="174"/>
      <w:r w:rsidRPr="005F0A67">
        <w:rPr>
          <w:rFonts w:asciiTheme="majorBidi" w:eastAsia="Georgia" w:hAnsiTheme="majorBidi" w:cstheme="majorBidi"/>
          <w:b/>
          <w:bCs/>
          <w:color w:val="419844"/>
          <w:lang w:val="en-US" w:eastAsia="ja-JP"/>
        </w:rPr>
        <w:t xml:space="preserve"> Materiality assessment matrix</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936"/>
        <w:gridCol w:w="1446"/>
        <w:gridCol w:w="1725"/>
        <w:gridCol w:w="1455"/>
      </w:tblGrid>
      <w:tr w:rsidR="005F0A67" w:rsidRPr="005F0A67" w14:paraId="1B65E139" w14:textId="77777777" w:rsidTr="00FB671B">
        <w:trPr>
          <w:trHeight w:val="108"/>
          <w:tblHeader/>
          <w:jc w:val="center"/>
        </w:trPr>
        <w:tc>
          <w:tcPr>
            <w:tcW w:w="0" w:type="auto"/>
            <w:tcBorders>
              <w:top w:val="single" w:sz="1" w:space="0" w:color="AAAAAA"/>
              <w:left w:val="single" w:sz="1" w:space="0" w:color="AAAAAA"/>
              <w:bottom w:val="single" w:sz="1" w:space="0" w:color="AAAAAA"/>
              <w:right w:val="single" w:sz="1" w:space="0" w:color="AAAAAA"/>
            </w:tcBorders>
            <w:shd w:val="clear" w:color="auto" w:fill="1F4E6B"/>
            <w:tcMar>
              <w:top w:w="60" w:type="dxa"/>
              <w:left w:w="100" w:type="dxa"/>
              <w:bottom w:w="60" w:type="dxa"/>
              <w:right w:w="100" w:type="dxa"/>
            </w:tcMar>
            <w:vAlign w:val="center"/>
          </w:tcPr>
          <w:p w14:paraId="51CE34AA"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b/>
                <w:bCs/>
                <w:color w:val="FFFFFF"/>
                <w:sz w:val="18"/>
                <w:szCs w:val="18"/>
                <w:lang w:val="en-CA" w:eastAsia="en-GB"/>
              </w:rPr>
            </w:pPr>
          </w:p>
        </w:tc>
        <w:tc>
          <w:tcPr>
            <w:tcW w:w="0" w:type="auto"/>
            <w:tcBorders>
              <w:top w:val="single" w:sz="1" w:space="0" w:color="AAAAAA"/>
              <w:left w:val="single" w:sz="1" w:space="0" w:color="AAAAAA"/>
              <w:bottom w:val="single" w:sz="1" w:space="0" w:color="AAAAAA"/>
              <w:right w:val="single" w:sz="1" w:space="0" w:color="AAAAAA"/>
            </w:tcBorders>
            <w:shd w:val="clear" w:color="auto" w:fill="1F4E6B"/>
            <w:tcMar>
              <w:top w:w="60" w:type="dxa"/>
              <w:left w:w="100" w:type="dxa"/>
              <w:bottom w:w="60" w:type="dxa"/>
              <w:right w:w="100" w:type="dxa"/>
            </w:tcMar>
            <w:vAlign w:val="center"/>
          </w:tcPr>
          <w:p w14:paraId="6EC73486"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b/>
                <w:bCs/>
                <w:color w:val="FFFFFF"/>
                <w:sz w:val="18"/>
                <w:szCs w:val="18"/>
                <w:lang w:val="en-CA" w:eastAsia="en-GB"/>
              </w:rPr>
            </w:pPr>
            <w:r w:rsidRPr="005F0A67">
              <w:rPr>
                <w:rFonts w:asciiTheme="majorBidi" w:eastAsia="Times New Roman" w:hAnsiTheme="majorBidi" w:cstheme="majorBidi"/>
                <w:b/>
                <w:bCs/>
                <w:color w:val="FFFFFF"/>
                <w:sz w:val="18"/>
                <w:szCs w:val="18"/>
                <w:lang w:val="en-CA" w:eastAsia="en-GB"/>
              </w:rPr>
              <w:t>Low probability</w:t>
            </w:r>
          </w:p>
        </w:tc>
        <w:tc>
          <w:tcPr>
            <w:tcW w:w="0" w:type="auto"/>
            <w:tcBorders>
              <w:top w:val="single" w:sz="1" w:space="0" w:color="AAAAAA"/>
              <w:left w:val="single" w:sz="1" w:space="0" w:color="AAAAAA"/>
              <w:bottom w:val="single" w:sz="1" w:space="0" w:color="AAAAAA"/>
              <w:right w:val="single" w:sz="1" w:space="0" w:color="AAAAAA"/>
            </w:tcBorders>
            <w:shd w:val="clear" w:color="auto" w:fill="1F4E6B"/>
            <w:vAlign w:val="center"/>
          </w:tcPr>
          <w:p w14:paraId="6B36DF8E" w14:textId="77777777" w:rsidR="005F0A67" w:rsidRPr="005F0A67" w:rsidRDefault="005F0A67" w:rsidP="005F0A67">
            <w:pPr>
              <w:tabs>
                <w:tab w:val="clear" w:pos="567"/>
                <w:tab w:val="clear" w:pos="1134"/>
                <w:tab w:val="clear" w:pos="1701"/>
                <w:tab w:val="clear" w:pos="2268"/>
              </w:tabs>
              <w:ind w:left="113"/>
              <w:jc w:val="left"/>
              <w:rPr>
                <w:rFonts w:asciiTheme="majorBidi" w:eastAsia="Times New Roman" w:hAnsiTheme="majorBidi" w:cstheme="majorBidi"/>
                <w:b/>
                <w:bCs/>
                <w:color w:val="FFFFFF"/>
                <w:sz w:val="18"/>
                <w:szCs w:val="18"/>
                <w:lang w:val="en-CA" w:eastAsia="en-GB"/>
              </w:rPr>
            </w:pPr>
            <w:r w:rsidRPr="005F0A67">
              <w:rPr>
                <w:rFonts w:asciiTheme="majorBidi" w:eastAsia="Times New Roman" w:hAnsiTheme="majorBidi" w:cstheme="majorBidi"/>
                <w:b/>
                <w:bCs/>
                <w:color w:val="FFFFFF"/>
                <w:sz w:val="18"/>
                <w:szCs w:val="18"/>
                <w:lang w:val="en-CA" w:eastAsia="en-GB"/>
              </w:rPr>
              <w:t>Medium probability</w:t>
            </w:r>
          </w:p>
        </w:tc>
        <w:tc>
          <w:tcPr>
            <w:tcW w:w="0" w:type="auto"/>
            <w:tcBorders>
              <w:top w:val="single" w:sz="1" w:space="0" w:color="AAAAAA"/>
              <w:left w:val="single" w:sz="1" w:space="0" w:color="AAAAAA"/>
              <w:bottom w:val="single" w:sz="1" w:space="0" w:color="AAAAAA"/>
              <w:right w:val="single" w:sz="1" w:space="0" w:color="AAAAAA"/>
            </w:tcBorders>
            <w:shd w:val="clear" w:color="auto" w:fill="1F4E6B"/>
          </w:tcPr>
          <w:p w14:paraId="332B3390" w14:textId="77777777" w:rsidR="005F0A67" w:rsidRPr="005F0A67" w:rsidRDefault="005F0A67" w:rsidP="005F0A67">
            <w:pPr>
              <w:tabs>
                <w:tab w:val="clear" w:pos="567"/>
                <w:tab w:val="clear" w:pos="1134"/>
                <w:tab w:val="clear" w:pos="1701"/>
                <w:tab w:val="clear" w:pos="2268"/>
              </w:tabs>
              <w:ind w:left="113"/>
              <w:jc w:val="left"/>
              <w:rPr>
                <w:rFonts w:asciiTheme="majorBidi" w:eastAsia="Times New Roman" w:hAnsiTheme="majorBidi" w:cstheme="majorBidi"/>
                <w:b/>
                <w:bCs/>
                <w:color w:val="FFFFFF"/>
                <w:sz w:val="18"/>
                <w:szCs w:val="18"/>
                <w:lang w:val="en-CA" w:eastAsia="en-GB"/>
              </w:rPr>
            </w:pPr>
            <w:r w:rsidRPr="005F0A67">
              <w:rPr>
                <w:rFonts w:asciiTheme="majorBidi" w:eastAsia="Times New Roman" w:hAnsiTheme="majorBidi" w:cstheme="majorBidi"/>
                <w:b/>
                <w:bCs/>
                <w:color w:val="FFFFFF"/>
                <w:sz w:val="18"/>
                <w:szCs w:val="18"/>
                <w:lang w:val="en-CA" w:eastAsia="en-GB"/>
              </w:rPr>
              <w:t>High probability</w:t>
            </w:r>
          </w:p>
        </w:tc>
      </w:tr>
      <w:tr w:rsidR="005F0A67" w:rsidRPr="005F0A67" w14:paraId="68090912" w14:textId="77777777" w:rsidTr="00FB671B">
        <w:trPr>
          <w:trHeight w:val="358"/>
          <w:jc w:val="center"/>
        </w:trPr>
        <w:tc>
          <w:tcPr>
            <w:tcW w:w="0" w:type="auto"/>
            <w:tcBorders>
              <w:top w:val="single" w:sz="1" w:space="0" w:color="AAAAAA"/>
              <w:left w:val="single" w:sz="1" w:space="0" w:color="AAAAAA"/>
              <w:bottom w:val="single" w:sz="1" w:space="0" w:color="AAAAAA"/>
              <w:right w:val="single" w:sz="1" w:space="0" w:color="AAAAAA"/>
            </w:tcBorders>
            <w:shd w:val="clear" w:color="auto" w:fill="1F4E6B"/>
            <w:tcMar>
              <w:top w:w="60" w:type="dxa"/>
              <w:left w:w="100" w:type="dxa"/>
              <w:bottom w:w="60" w:type="dxa"/>
              <w:right w:w="100" w:type="dxa"/>
            </w:tcMar>
          </w:tcPr>
          <w:p w14:paraId="2E7E0D3E"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b/>
                <w:bCs/>
                <w:color w:val="FFFFFF"/>
                <w:sz w:val="18"/>
                <w:szCs w:val="18"/>
                <w:lang w:val="en-CA" w:eastAsia="en-GB"/>
              </w:rPr>
            </w:pPr>
            <w:r w:rsidRPr="005F0A67">
              <w:rPr>
                <w:rFonts w:asciiTheme="majorBidi" w:eastAsia="Times New Roman" w:hAnsiTheme="majorBidi" w:cstheme="majorBidi"/>
                <w:b/>
                <w:bCs/>
                <w:color w:val="FFFFFF"/>
                <w:sz w:val="18"/>
                <w:szCs w:val="18"/>
                <w:lang w:val="en-CA" w:eastAsia="en-GB"/>
              </w:rPr>
              <w:t>Substantial magnitude</w:t>
            </w:r>
          </w:p>
        </w:tc>
        <w:tc>
          <w:tcPr>
            <w:tcW w:w="0" w:type="auto"/>
            <w:tcBorders>
              <w:top w:val="single" w:sz="1" w:space="0" w:color="AAAAAA"/>
              <w:left w:val="single" w:sz="1" w:space="0" w:color="AAAAAA"/>
              <w:bottom w:val="single" w:sz="1" w:space="0" w:color="AAAAAA"/>
              <w:right w:val="single" w:sz="1" w:space="0" w:color="AAAAAA"/>
            </w:tcBorders>
            <w:shd w:val="clear" w:color="auto" w:fill="FFF9CC"/>
            <w:tcMar>
              <w:top w:w="60" w:type="dxa"/>
              <w:left w:w="100" w:type="dxa"/>
              <w:bottom w:w="60" w:type="dxa"/>
              <w:right w:w="100" w:type="dxa"/>
            </w:tcMar>
            <w:vAlign w:val="center"/>
          </w:tcPr>
          <w:p w14:paraId="34CECC94"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Moderate</w:t>
            </w:r>
          </w:p>
        </w:tc>
        <w:tc>
          <w:tcPr>
            <w:tcW w:w="0" w:type="auto"/>
            <w:tcBorders>
              <w:top w:val="single" w:sz="1" w:space="0" w:color="AAAAAA"/>
              <w:left w:val="single" w:sz="1" w:space="0" w:color="AAAAAA"/>
              <w:bottom w:val="single" w:sz="1" w:space="0" w:color="AAAAAA"/>
              <w:right w:val="single" w:sz="1" w:space="0" w:color="AAAAAA"/>
            </w:tcBorders>
            <w:shd w:val="clear" w:color="auto" w:fill="FFDCD8"/>
            <w:vAlign w:val="center"/>
          </w:tcPr>
          <w:p w14:paraId="7C8B276C" w14:textId="77777777" w:rsidR="005F0A67" w:rsidRPr="005F0A67" w:rsidRDefault="005F0A67" w:rsidP="005F0A67">
            <w:pPr>
              <w:tabs>
                <w:tab w:val="clear" w:pos="567"/>
                <w:tab w:val="clear" w:pos="1134"/>
                <w:tab w:val="clear" w:pos="1701"/>
                <w:tab w:val="clear" w:pos="2268"/>
              </w:tabs>
              <w:spacing w:line="276" w:lineRule="auto"/>
              <w:ind w:left="113"/>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High</w:t>
            </w:r>
          </w:p>
        </w:tc>
        <w:tc>
          <w:tcPr>
            <w:tcW w:w="0" w:type="auto"/>
            <w:tcBorders>
              <w:top w:val="single" w:sz="1" w:space="0" w:color="AAAAAA"/>
              <w:left w:val="single" w:sz="1" w:space="0" w:color="AAAAAA"/>
              <w:bottom w:val="single" w:sz="1" w:space="0" w:color="AAAAAA"/>
              <w:right w:val="single" w:sz="1" w:space="0" w:color="AAAAAA"/>
            </w:tcBorders>
            <w:shd w:val="clear" w:color="auto" w:fill="FFDCD8"/>
            <w:vAlign w:val="center"/>
          </w:tcPr>
          <w:p w14:paraId="01745C64" w14:textId="77777777" w:rsidR="005F0A67" w:rsidRPr="005F0A67" w:rsidRDefault="005F0A67" w:rsidP="005F0A67">
            <w:pPr>
              <w:tabs>
                <w:tab w:val="clear" w:pos="567"/>
                <w:tab w:val="clear" w:pos="1134"/>
                <w:tab w:val="clear" w:pos="1701"/>
                <w:tab w:val="clear" w:pos="2268"/>
              </w:tabs>
              <w:spacing w:line="276" w:lineRule="auto"/>
              <w:ind w:left="113"/>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High</w:t>
            </w:r>
          </w:p>
        </w:tc>
      </w:tr>
      <w:tr w:rsidR="005F0A67" w:rsidRPr="005F0A67" w14:paraId="56F89321" w14:textId="77777777" w:rsidTr="005F0A67">
        <w:trPr>
          <w:trHeight w:val="358"/>
          <w:jc w:val="center"/>
        </w:trPr>
        <w:tc>
          <w:tcPr>
            <w:tcW w:w="0" w:type="auto"/>
            <w:tcBorders>
              <w:top w:val="single" w:sz="1" w:space="0" w:color="AAAAAA"/>
              <w:left w:val="single" w:sz="1" w:space="0" w:color="AAAAAA"/>
              <w:bottom w:val="single" w:sz="1" w:space="0" w:color="AAAAAA"/>
              <w:right w:val="single" w:sz="1" w:space="0" w:color="AAAAAA"/>
            </w:tcBorders>
            <w:shd w:val="clear" w:color="auto" w:fill="1F4E6B"/>
            <w:tcMar>
              <w:top w:w="60" w:type="dxa"/>
              <w:left w:w="100" w:type="dxa"/>
              <w:bottom w:w="60" w:type="dxa"/>
              <w:right w:w="100" w:type="dxa"/>
            </w:tcMar>
          </w:tcPr>
          <w:p w14:paraId="3DADDFD7"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b/>
                <w:bCs/>
                <w:color w:val="FFFFFF"/>
                <w:sz w:val="18"/>
                <w:szCs w:val="18"/>
                <w:lang w:val="en-CA" w:eastAsia="en-GB"/>
              </w:rPr>
            </w:pPr>
            <w:r w:rsidRPr="005F0A67">
              <w:rPr>
                <w:rFonts w:asciiTheme="majorBidi" w:eastAsia="Times New Roman" w:hAnsiTheme="majorBidi" w:cstheme="majorBidi"/>
                <w:b/>
                <w:bCs/>
                <w:color w:val="FFFFFF"/>
                <w:sz w:val="18"/>
                <w:szCs w:val="18"/>
                <w:lang w:val="en-CA" w:eastAsia="en-GB"/>
              </w:rPr>
              <w:t>Moderate magnitude</w:t>
            </w:r>
          </w:p>
        </w:tc>
        <w:tc>
          <w:tcPr>
            <w:tcW w:w="0" w:type="auto"/>
            <w:tcBorders>
              <w:top w:val="single" w:sz="1" w:space="0" w:color="AAAAAA"/>
              <w:left w:val="single" w:sz="1" w:space="0" w:color="AAAAAA"/>
              <w:bottom w:val="single" w:sz="1" w:space="0" w:color="AAAAAA"/>
              <w:right w:val="single" w:sz="1" w:space="0" w:color="AAAAAA"/>
            </w:tcBorders>
            <w:shd w:val="clear" w:color="auto" w:fill="D9F2D0"/>
            <w:tcMar>
              <w:top w:w="60" w:type="dxa"/>
              <w:left w:w="100" w:type="dxa"/>
              <w:bottom w:w="60" w:type="dxa"/>
              <w:right w:w="100" w:type="dxa"/>
            </w:tcMar>
            <w:vAlign w:val="center"/>
          </w:tcPr>
          <w:p w14:paraId="52711A6A"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ahoma" w:hAnsiTheme="majorBidi" w:cstheme="majorBidi"/>
                <w:sz w:val="18"/>
                <w:szCs w:val="18"/>
                <w:lang w:eastAsia="en-GB"/>
              </w:rPr>
            </w:pPr>
            <w:r w:rsidRPr="005F0A67">
              <w:rPr>
                <w:rFonts w:asciiTheme="majorBidi" w:eastAsia="Times New Roman" w:hAnsiTheme="majorBidi" w:cstheme="majorBidi"/>
                <w:sz w:val="18"/>
                <w:szCs w:val="18"/>
                <w:lang w:eastAsia="en-GB"/>
              </w:rPr>
              <w:t>Low</w:t>
            </w:r>
          </w:p>
        </w:tc>
        <w:tc>
          <w:tcPr>
            <w:tcW w:w="0" w:type="auto"/>
            <w:tcBorders>
              <w:top w:val="single" w:sz="1" w:space="0" w:color="AAAAAA"/>
              <w:left w:val="single" w:sz="1" w:space="0" w:color="AAAAAA"/>
              <w:bottom w:val="single" w:sz="1" w:space="0" w:color="AAAAAA"/>
              <w:right w:val="single" w:sz="1" w:space="0" w:color="AAAAAA"/>
            </w:tcBorders>
            <w:shd w:val="clear" w:color="auto" w:fill="FFF9CC"/>
            <w:vAlign w:val="center"/>
          </w:tcPr>
          <w:p w14:paraId="580F3025" w14:textId="77777777" w:rsidR="005F0A67" w:rsidRPr="005F0A67" w:rsidRDefault="005F0A67" w:rsidP="005F0A67">
            <w:pPr>
              <w:tabs>
                <w:tab w:val="clear" w:pos="567"/>
                <w:tab w:val="clear" w:pos="1134"/>
                <w:tab w:val="clear" w:pos="1701"/>
                <w:tab w:val="clear" w:pos="2268"/>
              </w:tabs>
              <w:spacing w:line="276" w:lineRule="auto"/>
              <w:ind w:left="113"/>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Moderate</w:t>
            </w:r>
          </w:p>
        </w:tc>
        <w:tc>
          <w:tcPr>
            <w:tcW w:w="0" w:type="auto"/>
            <w:tcBorders>
              <w:top w:val="single" w:sz="1" w:space="0" w:color="AAAAAA"/>
              <w:left w:val="single" w:sz="1" w:space="0" w:color="AAAAAA"/>
              <w:bottom w:val="single" w:sz="1" w:space="0" w:color="AAAAAA"/>
              <w:right w:val="single" w:sz="1" w:space="0" w:color="AAAAAA"/>
            </w:tcBorders>
            <w:shd w:val="clear" w:color="auto" w:fill="FFDCD8"/>
            <w:vAlign w:val="center"/>
          </w:tcPr>
          <w:p w14:paraId="59B6DAE6" w14:textId="77777777" w:rsidR="005F0A67" w:rsidRPr="005F0A67" w:rsidRDefault="005F0A67" w:rsidP="005F0A67">
            <w:pPr>
              <w:tabs>
                <w:tab w:val="clear" w:pos="567"/>
                <w:tab w:val="clear" w:pos="1134"/>
                <w:tab w:val="clear" w:pos="1701"/>
                <w:tab w:val="clear" w:pos="2268"/>
              </w:tabs>
              <w:spacing w:line="276" w:lineRule="auto"/>
              <w:ind w:left="113"/>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High</w:t>
            </w:r>
          </w:p>
        </w:tc>
      </w:tr>
      <w:tr w:rsidR="005F0A67" w:rsidRPr="005F0A67" w14:paraId="3974A7F0" w14:textId="77777777" w:rsidTr="005F0A67">
        <w:trPr>
          <w:trHeight w:val="144"/>
          <w:jc w:val="center"/>
        </w:trPr>
        <w:tc>
          <w:tcPr>
            <w:tcW w:w="0" w:type="auto"/>
            <w:tcBorders>
              <w:top w:val="single" w:sz="1" w:space="0" w:color="AAAAAA"/>
              <w:left w:val="single" w:sz="1" w:space="0" w:color="AAAAAA"/>
              <w:bottom w:val="single" w:sz="1" w:space="0" w:color="AAAAAA"/>
              <w:right w:val="single" w:sz="1" w:space="0" w:color="AAAAAA"/>
            </w:tcBorders>
            <w:shd w:val="clear" w:color="auto" w:fill="1F4E6B"/>
            <w:tcMar>
              <w:top w:w="60" w:type="dxa"/>
              <w:left w:w="100" w:type="dxa"/>
              <w:bottom w:w="60" w:type="dxa"/>
              <w:right w:w="100" w:type="dxa"/>
            </w:tcMar>
          </w:tcPr>
          <w:p w14:paraId="19313035"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b/>
                <w:bCs/>
                <w:color w:val="FFFFFF"/>
                <w:sz w:val="18"/>
                <w:szCs w:val="18"/>
                <w:lang w:val="en-CA" w:eastAsia="en-GB"/>
              </w:rPr>
            </w:pPr>
            <w:r w:rsidRPr="005F0A67">
              <w:rPr>
                <w:rFonts w:asciiTheme="majorBidi" w:eastAsia="Times New Roman" w:hAnsiTheme="majorBidi" w:cstheme="majorBidi"/>
                <w:b/>
                <w:bCs/>
                <w:color w:val="FFFFFF"/>
                <w:sz w:val="18"/>
                <w:szCs w:val="18"/>
                <w:lang w:val="en-CA" w:eastAsia="en-GB"/>
              </w:rPr>
              <w:t>Minor magnitude</w:t>
            </w:r>
          </w:p>
        </w:tc>
        <w:tc>
          <w:tcPr>
            <w:tcW w:w="0" w:type="auto"/>
            <w:tcBorders>
              <w:top w:val="single" w:sz="1" w:space="0" w:color="AAAAAA"/>
              <w:left w:val="single" w:sz="1" w:space="0" w:color="AAAAAA"/>
              <w:bottom w:val="single" w:sz="1" w:space="0" w:color="AAAAAA"/>
              <w:right w:val="single" w:sz="1" w:space="0" w:color="AAAAAA"/>
            </w:tcBorders>
            <w:shd w:val="clear" w:color="auto" w:fill="D9F2D0"/>
            <w:tcMar>
              <w:top w:w="60" w:type="dxa"/>
              <w:left w:w="100" w:type="dxa"/>
              <w:bottom w:w="60" w:type="dxa"/>
              <w:right w:w="100" w:type="dxa"/>
            </w:tcMar>
            <w:vAlign w:val="center"/>
          </w:tcPr>
          <w:p w14:paraId="0F132538"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ahoma" w:hAnsiTheme="majorBidi" w:cstheme="majorBidi"/>
                <w:sz w:val="18"/>
                <w:szCs w:val="18"/>
                <w:lang w:eastAsia="en-GB"/>
              </w:rPr>
            </w:pPr>
            <w:r w:rsidRPr="005F0A67">
              <w:rPr>
                <w:rFonts w:asciiTheme="majorBidi" w:eastAsia="Times New Roman" w:hAnsiTheme="majorBidi" w:cstheme="majorBidi"/>
                <w:sz w:val="18"/>
                <w:szCs w:val="18"/>
                <w:lang w:eastAsia="en-GB"/>
              </w:rPr>
              <w:t>Low</w:t>
            </w:r>
          </w:p>
        </w:tc>
        <w:tc>
          <w:tcPr>
            <w:tcW w:w="0" w:type="auto"/>
            <w:tcBorders>
              <w:top w:val="single" w:sz="1" w:space="0" w:color="AAAAAA"/>
              <w:left w:val="single" w:sz="1" w:space="0" w:color="AAAAAA"/>
              <w:bottom w:val="single" w:sz="1" w:space="0" w:color="AAAAAA"/>
              <w:right w:val="single" w:sz="1" w:space="0" w:color="AAAAAA"/>
            </w:tcBorders>
            <w:shd w:val="clear" w:color="auto" w:fill="D9F2D0"/>
            <w:vAlign w:val="center"/>
          </w:tcPr>
          <w:p w14:paraId="6C877F27" w14:textId="77777777" w:rsidR="005F0A67" w:rsidRPr="005F0A67" w:rsidRDefault="005F0A67" w:rsidP="005F0A67">
            <w:pPr>
              <w:tabs>
                <w:tab w:val="clear" w:pos="567"/>
                <w:tab w:val="clear" w:pos="1134"/>
                <w:tab w:val="clear" w:pos="1701"/>
                <w:tab w:val="clear" w:pos="2268"/>
              </w:tabs>
              <w:spacing w:line="276" w:lineRule="auto"/>
              <w:ind w:left="113"/>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Low</w:t>
            </w:r>
          </w:p>
        </w:tc>
        <w:tc>
          <w:tcPr>
            <w:tcW w:w="0" w:type="auto"/>
            <w:tcBorders>
              <w:top w:val="single" w:sz="1" w:space="0" w:color="AAAAAA"/>
              <w:left w:val="single" w:sz="1" w:space="0" w:color="AAAAAA"/>
              <w:bottom w:val="single" w:sz="1" w:space="0" w:color="AAAAAA"/>
              <w:right w:val="single" w:sz="1" w:space="0" w:color="AAAAAA"/>
            </w:tcBorders>
            <w:shd w:val="clear" w:color="auto" w:fill="FFF9CC"/>
            <w:vAlign w:val="center"/>
          </w:tcPr>
          <w:p w14:paraId="2525E2A5" w14:textId="77777777" w:rsidR="005F0A67" w:rsidRPr="005F0A67" w:rsidRDefault="005F0A67" w:rsidP="005F0A67">
            <w:pPr>
              <w:tabs>
                <w:tab w:val="clear" w:pos="567"/>
                <w:tab w:val="clear" w:pos="1134"/>
                <w:tab w:val="clear" w:pos="1701"/>
                <w:tab w:val="clear" w:pos="2268"/>
              </w:tabs>
              <w:spacing w:line="276" w:lineRule="auto"/>
              <w:ind w:left="113"/>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Moderate</w:t>
            </w:r>
          </w:p>
        </w:tc>
      </w:tr>
    </w:tbl>
    <w:p w14:paraId="4B5B6D6A"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i/>
          <w:iCs/>
          <w:sz w:val="18"/>
          <w:szCs w:val="18"/>
          <w:lang w:val="en-CA" w:eastAsia="en-GB"/>
        </w:rPr>
        <w:t xml:space="preserve">Note: </w:t>
      </w:r>
      <w:r w:rsidRPr="005F0A67">
        <w:rPr>
          <w:rFonts w:asciiTheme="majorBidi" w:eastAsia="Times New Roman" w:hAnsiTheme="majorBidi" w:cstheme="majorBidi"/>
          <w:sz w:val="18"/>
          <w:szCs w:val="18"/>
          <w:lang w:val="en-CA" w:eastAsia="en-GB"/>
        </w:rPr>
        <w:t xml:space="preserve">Materiality is classified as Low, Moderate, or High. Low means the impact is unlikely to affect the competitive position of the relevant firm type. Moderate suggests a plausible competitive effect that should be monitored but is unlikely to be decisive. High indicates a likely material competitive effect that requires design-level attention. </w:t>
      </w:r>
    </w:p>
    <w:p w14:paraId="0D816370"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p>
    <w:p w14:paraId="37D070B1"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sectPr w:rsidR="005F0A67" w:rsidRPr="005F0A67" w:rsidSect="005F0A67">
          <w:pgSz w:w="12240" w:h="15840"/>
          <w:pgMar w:top="1080" w:right="1260" w:bottom="1080" w:left="1260" w:header="706" w:footer="706" w:gutter="0"/>
          <w:cols w:space="720"/>
          <w:docGrid w:linePitch="360"/>
        </w:sectPr>
      </w:pPr>
    </w:p>
    <w:p w14:paraId="52800832" w14:textId="77777777" w:rsidR="005F0A67" w:rsidRPr="005F0A67" w:rsidRDefault="005F0A67" w:rsidP="00B009ED">
      <w:pPr>
        <w:tabs>
          <w:tab w:val="clear" w:pos="567"/>
          <w:tab w:val="clear" w:pos="1134"/>
          <w:tab w:val="clear" w:pos="1701"/>
          <w:tab w:val="clear" w:pos="2268"/>
        </w:tabs>
        <w:spacing w:after="120"/>
        <w:jc w:val="left"/>
        <w:outlineLvl w:val="3"/>
        <w:rPr>
          <w:rFonts w:asciiTheme="majorBidi" w:eastAsia="Georgia" w:hAnsiTheme="majorBidi" w:cstheme="majorBidi"/>
          <w:b/>
          <w:bCs/>
          <w:color w:val="0F4761"/>
          <w:lang w:eastAsia="en-GB"/>
        </w:rPr>
      </w:pPr>
      <w:r w:rsidRPr="005F0A67">
        <w:rPr>
          <w:rFonts w:asciiTheme="majorBidi" w:eastAsia="Georgia" w:hAnsiTheme="majorBidi" w:cstheme="majorBidi"/>
          <w:b/>
          <w:bCs/>
          <w:color w:val="0F4761"/>
          <w:lang w:eastAsia="en-GB"/>
        </w:rPr>
        <w:lastRenderedPageBreak/>
        <w:t>Pillar I: Cost and price competitiveness</w:t>
      </w:r>
    </w:p>
    <w:p w14:paraId="14C75476"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Georgia" w:hAnsiTheme="majorBidi" w:cstheme="majorBidi"/>
          <w:b/>
          <w:bCs/>
          <w:i/>
          <w:iCs/>
          <w:color w:val="419844"/>
          <w:lang w:val="en-CA" w:eastAsia="en-GB"/>
        </w:rPr>
      </w:pPr>
      <w:r w:rsidRPr="005F0A67">
        <w:rPr>
          <w:rFonts w:asciiTheme="majorBidi" w:eastAsia="Times New Roman" w:hAnsiTheme="majorBidi" w:cstheme="majorBidi"/>
          <w:lang w:val="en-CA" w:eastAsia="en-GB"/>
        </w:rPr>
        <w:t xml:space="preserve">Pillar I examines whether the contribution obligation alters the costs for participating firms, with a full list of potential cost burdens outlined in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_Ref231144304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Table 19</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w:t>
      </w:r>
    </w:p>
    <w:p w14:paraId="3DFFF4BB" w14:textId="77777777" w:rsidR="005F0A67" w:rsidRPr="005F0A67" w:rsidRDefault="005F0A67" w:rsidP="005F0A67">
      <w:pPr>
        <w:tabs>
          <w:tab w:val="clear" w:pos="567"/>
          <w:tab w:val="clear" w:pos="1134"/>
          <w:tab w:val="clear" w:pos="1701"/>
          <w:tab w:val="clear" w:pos="2268"/>
        </w:tabs>
        <w:spacing w:after="200" w:line="312" w:lineRule="auto"/>
        <w:contextualSpacing/>
        <w:rPr>
          <w:rFonts w:asciiTheme="majorBidi" w:eastAsia="Georgia" w:hAnsiTheme="majorBidi" w:cstheme="majorBidi"/>
          <w:b/>
          <w:bCs/>
          <w:color w:val="419844"/>
          <w:lang w:eastAsia="en-GB"/>
        </w:rPr>
      </w:pPr>
      <w:bookmarkStart w:id="175" w:name="_Ref231144304"/>
      <w:r w:rsidRPr="005F0A67">
        <w:rPr>
          <w:rFonts w:asciiTheme="majorBidi" w:eastAsia="Georgia" w:hAnsiTheme="majorBidi" w:cstheme="majorBidi"/>
          <w:b/>
          <w:bCs/>
          <w:color w:val="419844"/>
          <w:lang w:val="en-US" w:eastAsia="ja-JP"/>
        </w:rPr>
        <w:t xml:space="preserve">Table </w:t>
      </w:r>
      <w:r w:rsidRPr="005F0A67">
        <w:rPr>
          <w:rFonts w:asciiTheme="majorBidi" w:eastAsia="Georgia" w:hAnsiTheme="majorBidi" w:cstheme="majorBidi"/>
          <w:b/>
          <w:bCs/>
          <w:color w:val="419844"/>
          <w:lang w:eastAsia="en-GB"/>
        </w:rPr>
        <w:fldChar w:fldCharType="begin"/>
      </w:r>
      <w:r w:rsidRPr="005F0A67">
        <w:rPr>
          <w:rFonts w:asciiTheme="majorBidi" w:eastAsia="Georgia" w:hAnsiTheme="majorBidi" w:cstheme="majorBidi"/>
          <w:b/>
          <w:bCs/>
          <w:color w:val="419844"/>
          <w:lang w:eastAsia="en-GB"/>
        </w:rPr>
        <w:instrText xml:space="preserve"> SEQ Table \* ARABIC </w:instrText>
      </w:r>
      <w:r w:rsidRPr="005F0A67">
        <w:rPr>
          <w:rFonts w:asciiTheme="majorBidi" w:eastAsia="Georgia" w:hAnsiTheme="majorBidi" w:cstheme="majorBidi"/>
          <w:b/>
          <w:bCs/>
          <w:color w:val="419844"/>
          <w:lang w:eastAsia="en-GB"/>
        </w:rPr>
        <w:fldChar w:fldCharType="separate"/>
      </w:r>
      <w:r w:rsidRPr="005F0A67">
        <w:rPr>
          <w:rFonts w:asciiTheme="majorBidi" w:eastAsia="Georgia" w:hAnsiTheme="majorBidi" w:cstheme="majorBidi"/>
          <w:b/>
          <w:bCs/>
          <w:noProof/>
          <w:color w:val="419844"/>
          <w:lang w:eastAsia="en-GB"/>
        </w:rPr>
        <w:t>19</w:t>
      </w:r>
      <w:r w:rsidRPr="005F0A67">
        <w:rPr>
          <w:rFonts w:asciiTheme="majorBidi" w:eastAsia="Georgia" w:hAnsiTheme="majorBidi" w:cstheme="majorBidi"/>
          <w:b/>
          <w:bCs/>
          <w:color w:val="419844"/>
          <w:lang w:eastAsia="en-GB"/>
        </w:rPr>
        <w:fldChar w:fldCharType="end"/>
      </w:r>
      <w:bookmarkEnd w:id="175"/>
      <w:r w:rsidRPr="005F0A67">
        <w:rPr>
          <w:rFonts w:asciiTheme="majorBidi" w:eastAsia="Georgia" w:hAnsiTheme="majorBidi" w:cstheme="majorBidi"/>
          <w:b/>
          <w:bCs/>
          <w:color w:val="419844"/>
          <w:lang w:val="en-US" w:eastAsia="ja-JP"/>
        </w:rPr>
        <w:t xml:space="preserve"> Pillar I: Cost and price competitiveness impacts classification</w:t>
      </w:r>
    </w:p>
    <w:tbl>
      <w:tblPr>
        <w:tblW w:w="13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1700"/>
        <w:gridCol w:w="2694"/>
        <w:gridCol w:w="1053"/>
        <w:gridCol w:w="1138"/>
        <w:gridCol w:w="1410"/>
        <w:gridCol w:w="5752"/>
      </w:tblGrid>
      <w:tr w:rsidR="005F0A67" w:rsidRPr="005F0A67" w14:paraId="660B55C0" w14:textId="77777777" w:rsidTr="00FB671B">
        <w:trPr>
          <w:trHeight w:val="413"/>
          <w:tblHeader/>
        </w:trPr>
        <w:tc>
          <w:tcPr>
            <w:tcW w:w="1700" w:type="dxa"/>
            <w:tcBorders>
              <w:top w:val="single" w:sz="1" w:space="0" w:color="AAAAAA"/>
              <w:left w:val="single" w:sz="1" w:space="0" w:color="AAAAAA"/>
              <w:bottom w:val="single" w:sz="1" w:space="0" w:color="AAAAAA"/>
              <w:right w:val="single" w:sz="1" w:space="0" w:color="AAAAAA"/>
            </w:tcBorders>
            <w:shd w:val="clear" w:color="auto" w:fill="1F4E6B"/>
            <w:tcMar>
              <w:top w:w="60" w:type="dxa"/>
              <w:left w:w="100" w:type="dxa"/>
              <w:bottom w:w="60" w:type="dxa"/>
              <w:right w:w="100" w:type="dxa"/>
            </w:tcMar>
            <w:vAlign w:val="center"/>
          </w:tcPr>
          <w:p w14:paraId="1F5C76D0"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FFFFFF"/>
                <w:sz w:val="18"/>
                <w:szCs w:val="18"/>
                <w:lang w:val="en-CA" w:eastAsia="en-GB"/>
              </w:rPr>
            </w:pPr>
            <w:r w:rsidRPr="005F0A67">
              <w:rPr>
                <w:rFonts w:asciiTheme="majorBidi" w:eastAsia="Tahoma" w:hAnsiTheme="majorBidi" w:cstheme="majorBidi"/>
                <w:b/>
                <w:bCs/>
                <w:color w:val="FFFFFF"/>
                <w:sz w:val="18"/>
                <w:szCs w:val="18"/>
                <w:lang w:val="en-CA" w:eastAsia="en-GB"/>
              </w:rPr>
              <w:t>Impact</w:t>
            </w:r>
          </w:p>
        </w:tc>
        <w:tc>
          <w:tcPr>
            <w:tcW w:w="2694" w:type="dxa"/>
            <w:tcBorders>
              <w:top w:val="single" w:sz="1" w:space="0" w:color="AAAAAA"/>
              <w:left w:val="single" w:sz="1" w:space="0" w:color="AAAAAA"/>
              <w:bottom w:val="single" w:sz="1" w:space="0" w:color="AAAAAA"/>
              <w:right w:val="single" w:sz="1" w:space="0" w:color="AAAAAA"/>
            </w:tcBorders>
            <w:shd w:val="clear" w:color="auto" w:fill="1F4E6B"/>
            <w:tcMar>
              <w:top w:w="60" w:type="dxa"/>
              <w:left w:w="100" w:type="dxa"/>
              <w:bottom w:w="60" w:type="dxa"/>
              <w:right w:w="100" w:type="dxa"/>
            </w:tcMar>
            <w:vAlign w:val="center"/>
          </w:tcPr>
          <w:p w14:paraId="3946CAFA"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FFFFFF"/>
                <w:sz w:val="18"/>
                <w:szCs w:val="18"/>
                <w:lang w:val="en-CA" w:eastAsia="en-GB"/>
              </w:rPr>
            </w:pPr>
            <w:r w:rsidRPr="005F0A67">
              <w:rPr>
                <w:rFonts w:asciiTheme="majorBidi" w:eastAsia="Tahoma" w:hAnsiTheme="majorBidi" w:cstheme="majorBidi"/>
                <w:b/>
                <w:bCs/>
                <w:color w:val="FFFFFF"/>
                <w:sz w:val="18"/>
                <w:szCs w:val="18"/>
                <w:lang w:val="en-CA" w:eastAsia="en-GB"/>
              </w:rPr>
              <w:t>Description</w:t>
            </w:r>
          </w:p>
        </w:tc>
        <w:tc>
          <w:tcPr>
            <w:tcW w:w="1053" w:type="dxa"/>
            <w:tcBorders>
              <w:top w:val="single" w:sz="1" w:space="0" w:color="AAAAAA"/>
              <w:left w:val="single" w:sz="1" w:space="0" w:color="AAAAAA"/>
              <w:bottom w:val="single" w:sz="1" w:space="0" w:color="AAAAAA"/>
              <w:right w:val="single" w:sz="1" w:space="0" w:color="AAAAAA"/>
            </w:tcBorders>
            <w:shd w:val="clear" w:color="auto" w:fill="1F4E6B"/>
            <w:vAlign w:val="center"/>
          </w:tcPr>
          <w:p w14:paraId="6BE5A23F"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FFFFFF"/>
                <w:sz w:val="18"/>
                <w:szCs w:val="18"/>
                <w:lang w:val="en-CA" w:eastAsia="en-GB"/>
              </w:rPr>
            </w:pPr>
            <w:r w:rsidRPr="005F0A67">
              <w:rPr>
                <w:rFonts w:asciiTheme="majorBidi" w:eastAsia="Tahoma" w:hAnsiTheme="majorBidi" w:cstheme="majorBidi"/>
                <w:b/>
                <w:bCs/>
                <w:color w:val="FFFFFF"/>
                <w:sz w:val="18"/>
                <w:szCs w:val="18"/>
                <w:lang w:val="en-CA" w:eastAsia="en-GB"/>
              </w:rPr>
              <w:t xml:space="preserve"> Pathway</w:t>
            </w:r>
          </w:p>
        </w:tc>
        <w:tc>
          <w:tcPr>
            <w:tcW w:w="1138" w:type="dxa"/>
            <w:tcBorders>
              <w:top w:val="single" w:sz="1" w:space="0" w:color="AAAAAA"/>
              <w:left w:val="single" w:sz="1" w:space="0" w:color="AAAAAA"/>
              <w:bottom w:val="single" w:sz="1" w:space="0" w:color="AAAAAA"/>
              <w:right w:val="single" w:sz="1" w:space="0" w:color="AAAAAA"/>
            </w:tcBorders>
            <w:shd w:val="clear" w:color="auto" w:fill="1F4E6B"/>
            <w:tcMar>
              <w:top w:w="60" w:type="dxa"/>
              <w:left w:w="100" w:type="dxa"/>
              <w:bottom w:w="60" w:type="dxa"/>
              <w:right w:w="100" w:type="dxa"/>
            </w:tcMar>
            <w:vAlign w:val="center"/>
          </w:tcPr>
          <w:p w14:paraId="638E4B63"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ahoma" w:hAnsiTheme="majorBidi" w:cstheme="majorBidi"/>
                <w:b/>
                <w:bCs/>
                <w:color w:val="FFFFFF"/>
                <w:sz w:val="18"/>
                <w:szCs w:val="18"/>
                <w:lang w:val="en-CA" w:eastAsia="en-GB"/>
              </w:rPr>
              <w:t>Time horizon</w:t>
            </w:r>
          </w:p>
        </w:tc>
        <w:tc>
          <w:tcPr>
            <w:tcW w:w="1410" w:type="dxa"/>
            <w:tcBorders>
              <w:top w:val="single" w:sz="1" w:space="0" w:color="AAAAAA"/>
              <w:left w:val="single" w:sz="1" w:space="0" w:color="AAAAAA"/>
              <w:bottom w:val="single" w:sz="1" w:space="0" w:color="AAAAAA"/>
              <w:right w:val="single" w:sz="1" w:space="0" w:color="AAAAAA"/>
            </w:tcBorders>
            <w:shd w:val="clear" w:color="auto" w:fill="1F4E6B"/>
          </w:tcPr>
          <w:p w14:paraId="64EF0295"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FFFFFF"/>
                <w:sz w:val="18"/>
                <w:szCs w:val="18"/>
                <w:lang w:val="en-CA" w:eastAsia="en-GB"/>
              </w:rPr>
            </w:pPr>
            <w:r w:rsidRPr="005F0A67">
              <w:rPr>
                <w:rFonts w:asciiTheme="majorBidi" w:eastAsia="Tahoma" w:hAnsiTheme="majorBidi" w:cstheme="majorBidi"/>
                <w:b/>
                <w:bCs/>
                <w:color w:val="FFFFFF"/>
                <w:sz w:val="18"/>
                <w:szCs w:val="18"/>
                <w:lang w:val="en-CA" w:eastAsia="en-GB"/>
              </w:rPr>
              <w:t>Likely significant?</w:t>
            </w:r>
          </w:p>
        </w:tc>
        <w:tc>
          <w:tcPr>
            <w:tcW w:w="5752" w:type="dxa"/>
            <w:tcBorders>
              <w:top w:val="single" w:sz="1" w:space="0" w:color="AAAAAA"/>
              <w:left w:val="single" w:sz="1" w:space="0" w:color="AAAAAA"/>
              <w:bottom w:val="single" w:sz="1" w:space="0" w:color="AAAAAA"/>
              <w:right w:val="single" w:sz="1" w:space="0" w:color="AAAAAA"/>
            </w:tcBorders>
            <w:shd w:val="clear" w:color="auto" w:fill="1F4E6B"/>
            <w:tcMar>
              <w:top w:w="60" w:type="dxa"/>
              <w:left w:w="100" w:type="dxa"/>
              <w:bottom w:w="60" w:type="dxa"/>
              <w:right w:w="100" w:type="dxa"/>
            </w:tcMar>
            <w:vAlign w:val="center"/>
          </w:tcPr>
          <w:p w14:paraId="4043045E"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ahoma" w:hAnsiTheme="majorBidi" w:cstheme="majorBidi"/>
                <w:b/>
                <w:bCs/>
                <w:color w:val="FFFFFF"/>
                <w:sz w:val="18"/>
                <w:szCs w:val="18"/>
                <w:lang w:val="en-CA" w:eastAsia="en-GB"/>
              </w:rPr>
              <w:t>Justification</w:t>
            </w:r>
          </w:p>
        </w:tc>
      </w:tr>
      <w:tr w:rsidR="005F0A67" w:rsidRPr="005F0A67" w14:paraId="1018404C" w14:textId="77777777" w:rsidTr="005F0A67">
        <w:trPr>
          <w:trHeight w:val="207"/>
        </w:trPr>
        <w:tc>
          <w:tcPr>
            <w:tcW w:w="0" w:type="auto"/>
            <w:gridSpan w:val="6"/>
            <w:tcBorders>
              <w:top w:val="single" w:sz="1" w:space="0" w:color="AAAAAA"/>
              <w:left w:val="single" w:sz="1" w:space="0" w:color="AAAAAA"/>
              <w:bottom w:val="single" w:sz="1" w:space="0" w:color="AAAAAA"/>
              <w:right w:val="single" w:sz="1" w:space="0" w:color="AAAAAA"/>
            </w:tcBorders>
            <w:shd w:val="clear" w:color="auto" w:fill="BFBFBF"/>
            <w:tcMar>
              <w:top w:w="60" w:type="dxa"/>
              <w:left w:w="100" w:type="dxa"/>
              <w:bottom w:w="60" w:type="dxa"/>
              <w:right w:w="100" w:type="dxa"/>
            </w:tcMar>
            <w:vAlign w:val="center"/>
          </w:tcPr>
          <w:p w14:paraId="5BE58B27"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000000"/>
                <w:sz w:val="18"/>
                <w:szCs w:val="18"/>
                <w:lang w:val="en-CA" w:eastAsia="en-GB"/>
              </w:rPr>
            </w:pPr>
            <w:r w:rsidRPr="005F0A67">
              <w:rPr>
                <w:rFonts w:asciiTheme="majorBidi" w:eastAsia="Tahoma" w:hAnsiTheme="majorBidi" w:cstheme="majorBidi"/>
                <w:b/>
                <w:bCs/>
                <w:color w:val="000000"/>
                <w:sz w:val="18"/>
                <w:szCs w:val="18"/>
                <w:lang w:val="en-CA" w:eastAsia="en-GB"/>
              </w:rPr>
              <w:t xml:space="preserve"> Regulatory costs and cost competitiveness</w:t>
            </w:r>
          </w:p>
        </w:tc>
      </w:tr>
      <w:tr w:rsidR="005F0A67" w:rsidRPr="005F0A67" w14:paraId="46899CE2" w14:textId="77777777" w:rsidTr="005F0A67">
        <w:trPr>
          <w:trHeight w:val="2184"/>
        </w:trPr>
        <w:tc>
          <w:tcPr>
            <w:tcW w:w="1700" w:type="dxa"/>
            <w:tcBorders>
              <w:top w:val="single" w:sz="1" w:space="0" w:color="AAAAAA"/>
              <w:left w:val="single" w:sz="1" w:space="0" w:color="AAAAAA"/>
              <w:bottom w:val="single" w:sz="1" w:space="0" w:color="AAAAAA"/>
              <w:right w:val="single" w:sz="1" w:space="0" w:color="AAAAAA"/>
            </w:tcBorders>
            <w:shd w:val="clear" w:color="auto" w:fill="DAE9F7"/>
            <w:tcMar>
              <w:top w:w="60" w:type="dxa"/>
              <w:left w:w="100" w:type="dxa"/>
              <w:bottom w:w="60" w:type="dxa"/>
              <w:right w:w="100" w:type="dxa"/>
            </w:tcMar>
            <w:vAlign w:val="center"/>
          </w:tcPr>
          <w:p w14:paraId="0D675105"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000000"/>
                <w:sz w:val="18"/>
                <w:szCs w:val="18"/>
                <w:lang w:val="en-CA" w:eastAsia="en-GB"/>
              </w:rPr>
            </w:pPr>
            <w:r w:rsidRPr="005F0A67">
              <w:rPr>
                <w:rFonts w:asciiTheme="majorBidi" w:eastAsia="Tahoma" w:hAnsiTheme="majorBidi" w:cstheme="majorBidi"/>
                <w:b/>
                <w:bCs/>
                <w:color w:val="000000"/>
                <w:sz w:val="18"/>
                <w:szCs w:val="18"/>
                <w:lang w:val="en-CA" w:eastAsia="en-GB"/>
              </w:rPr>
              <w:t xml:space="preserve">Administrative burden </w:t>
            </w:r>
            <w:r w:rsidRPr="005F0A67">
              <w:rPr>
                <w:rFonts w:ascii="Cambria Math" w:eastAsia="Times New Roman" w:hAnsi="Cambria Math" w:cs="Cambria Math"/>
                <w:sz w:val="18"/>
                <w:szCs w:val="18"/>
                <w:lang w:val="en-CA" w:eastAsia="en-GB"/>
              </w:rPr>
              <w:t>◆</w:t>
            </w:r>
          </w:p>
        </w:tc>
        <w:tc>
          <w:tcPr>
            <w:tcW w:w="2694" w:type="dxa"/>
            <w:tcBorders>
              <w:top w:val="single" w:sz="1" w:space="0" w:color="AAAAAA"/>
              <w:left w:val="single" w:sz="1" w:space="0" w:color="AAAAAA"/>
              <w:bottom w:val="single" w:sz="1" w:space="0" w:color="AAAAAA"/>
              <w:right w:val="single" w:sz="1" w:space="0" w:color="AAAAAA"/>
            </w:tcBorders>
            <w:shd w:val="clear" w:color="auto" w:fill="DAE9F7"/>
            <w:tcMar>
              <w:top w:w="60" w:type="dxa"/>
              <w:left w:w="100" w:type="dxa"/>
              <w:bottom w:w="60" w:type="dxa"/>
              <w:right w:w="100" w:type="dxa"/>
            </w:tcMar>
            <w:vAlign w:val="center"/>
          </w:tcPr>
          <w:p w14:paraId="4F9BE324"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 xml:space="preserve">Costs of calculating, reporting and documenting the contribution </w:t>
            </w:r>
          </w:p>
        </w:tc>
        <w:tc>
          <w:tcPr>
            <w:tcW w:w="1053" w:type="dxa"/>
            <w:tcBorders>
              <w:top w:val="single" w:sz="1" w:space="0" w:color="AAAAAA"/>
              <w:left w:val="single" w:sz="1" w:space="0" w:color="AAAAAA"/>
              <w:bottom w:val="single" w:sz="1" w:space="0" w:color="AAAAAA"/>
              <w:right w:val="single" w:sz="1" w:space="0" w:color="AAAAAA"/>
            </w:tcBorders>
            <w:shd w:val="clear" w:color="auto" w:fill="DAE9F7"/>
            <w:vAlign w:val="center"/>
          </w:tcPr>
          <w:p w14:paraId="2A65AA01"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Direct</w:t>
            </w:r>
          </w:p>
        </w:tc>
        <w:tc>
          <w:tcPr>
            <w:tcW w:w="1138" w:type="dxa"/>
            <w:tcBorders>
              <w:top w:val="single" w:sz="1" w:space="0" w:color="AAAAAA"/>
              <w:left w:val="single" w:sz="1" w:space="0" w:color="AAAAAA"/>
              <w:bottom w:val="single" w:sz="1" w:space="0" w:color="AAAAAA"/>
              <w:right w:val="single" w:sz="1" w:space="0" w:color="AAAAAA"/>
            </w:tcBorders>
            <w:shd w:val="clear" w:color="auto" w:fill="DAE9F7"/>
            <w:tcMar>
              <w:top w:w="60" w:type="dxa"/>
              <w:left w:w="100" w:type="dxa"/>
              <w:bottom w:w="60" w:type="dxa"/>
              <w:right w:w="100" w:type="dxa"/>
            </w:tcMar>
            <w:vAlign w:val="center"/>
          </w:tcPr>
          <w:p w14:paraId="1937BE9C"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Short-term</w:t>
            </w:r>
          </w:p>
        </w:tc>
        <w:tc>
          <w:tcPr>
            <w:tcW w:w="1410" w:type="dxa"/>
            <w:tcBorders>
              <w:top w:val="single" w:sz="1" w:space="0" w:color="AAAAAA"/>
              <w:left w:val="single" w:sz="1" w:space="0" w:color="AAAAAA"/>
              <w:bottom w:val="single" w:sz="1" w:space="0" w:color="AAAAAA"/>
              <w:right w:val="single" w:sz="1" w:space="0" w:color="AAAAAA"/>
            </w:tcBorders>
            <w:shd w:val="clear" w:color="auto" w:fill="DAE9F7"/>
            <w:vAlign w:val="center"/>
          </w:tcPr>
          <w:p w14:paraId="0A981CC6"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000000"/>
                <w:sz w:val="18"/>
                <w:szCs w:val="18"/>
                <w:lang w:val="en-CA" w:eastAsia="en-GB"/>
              </w:rPr>
            </w:pPr>
            <w:r w:rsidRPr="005F0A67">
              <w:rPr>
                <w:rFonts w:asciiTheme="majorBidi" w:eastAsia="Tahoma" w:hAnsiTheme="majorBidi" w:cstheme="majorBidi"/>
                <w:b/>
                <w:bCs/>
                <w:color w:val="000000"/>
                <w:sz w:val="18"/>
                <w:szCs w:val="18"/>
                <w:lang w:val="en-CA" w:eastAsia="en-GB"/>
              </w:rPr>
              <w:t>Cannot say</w:t>
            </w:r>
          </w:p>
        </w:tc>
        <w:tc>
          <w:tcPr>
            <w:tcW w:w="5752" w:type="dxa"/>
            <w:tcBorders>
              <w:top w:val="single" w:sz="1" w:space="0" w:color="AAAAAA"/>
              <w:left w:val="single" w:sz="1" w:space="0" w:color="AAAAAA"/>
              <w:bottom w:val="single" w:sz="1" w:space="0" w:color="AAAAAA"/>
              <w:right w:val="single" w:sz="1" w:space="0" w:color="AAAAAA"/>
            </w:tcBorders>
            <w:shd w:val="clear" w:color="auto" w:fill="DAE9F7"/>
            <w:tcMar>
              <w:top w:w="60" w:type="dxa"/>
              <w:left w:w="100" w:type="dxa"/>
              <w:bottom w:w="60" w:type="dxa"/>
              <w:right w:w="100" w:type="dxa"/>
            </w:tcMar>
            <w:vAlign w:val="center"/>
          </w:tcPr>
          <w:p w14:paraId="089490F4"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Low for most firm types under the current revenue/profit design, as both bases rely on indicators already reported for tax and accounting purposes. Significance is highly conditional on resolution of the contribution scope uncertainty: a shift toward product- or use-based attribution would require firms to track and document DSI use at the product level, representing a materially higher information obligation, particularly for firms operating across multiple product lines or jurisdictions. Additional administrative costs may arise for firms subject to overlapping benefit-sharing frameworks, where eligibility and compliance must be assessed and documented across multiple instruments simultaneously.</w:t>
            </w:r>
          </w:p>
        </w:tc>
      </w:tr>
      <w:tr w:rsidR="005F0A67" w:rsidRPr="005F0A67" w14:paraId="431B7DBE" w14:textId="77777777" w:rsidTr="005F0A67">
        <w:trPr>
          <w:trHeight w:val="851"/>
        </w:trPr>
        <w:tc>
          <w:tcPr>
            <w:tcW w:w="1700" w:type="dxa"/>
            <w:tcBorders>
              <w:top w:val="single" w:sz="1" w:space="0" w:color="AAAAAA"/>
              <w:left w:val="single" w:sz="1" w:space="0" w:color="AAAAAA"/>
              <w:bottom w:val="single" w:sz="1" w:space="0" w:color="AAAAAA"/>
              <w:right w:val="single" w:sz="1" w:space="0" w:color="AAAAAA"/>
            </w:tcBorders>
            <w:shd w:val="clear" w:color="auto" w:fill="A5C9EB"/>
            <w:tcMar>
              <w:top w:w="60" w:type="dxa"/>
              <w:left w:w="100" w:type="dxa"/>
              <w:bottom w:w="60" w:type="dxa"/>
              <w:right w:w="100" w:type="dxa"/>
            </w:tcMar>
            <w:vAlign w:val="center"/>
          </w:tcPr>
          <w:p w14:paraId="28546571"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000000"/>
                <w:sz w:val="18"/>
                <w:szCs w:val="18"/>
                <w:lang w:val="en-CA" w:eastAsia="en-GB"/>
              </w:rPr>
            </w:pPr>
            <w:r w:rsidRPr="005F0A67">
              <w:rPr>
                <w:rFonts w:asciiTheme="majorBidi" w:eastAsia="Tahoma" w:hAnsiTheme="majorBidi" w:cstheme="majorBidi"/>
                <w:b/>
                <w:bCs/>
                <w:color w:val="000000"/>
                <w:sz w:val="18"/>
                <w:szCs w:val="18"/>
                <w:lang w:val="en-CA" w:eastAsia="en-GB"/>
              </w:rPr>
              <w:t xml:space="preserve">Substantive compliance costs </w:t>
            </w:r>
            <w:r w:rsidRPr="005F0A67">
              <w:rPr>
                <w:rFonts w:ascii="Cambria Math" w:eastAsia="Times New Roman" w:hAnsi="Cambria Math" w:cs="Cambria Math"/>
                <w:sz w:val="18"/>
                <w:szCs w:val="18"/>
                <w:lang w:val="en-CA" w:eastAsia="en-GB"/>
              </w:rPr>
              <w:t>◆</w:t>
            </w:r>
            <w:r w:rsidRPr="005F0A67">
              <w:rPr>
                <w:rFonts w:asciiTheme="majorBidi" w:eastAsia="Times New Roman" w:hAnsiTheme="majorBidi" w:cstheme="majorBidi"/>
                <w:sz w:val="18"/>
                <w:szCs w:val="18"/>
                <w:vertAlign w:val="superscript"/>
                <w:lang w:val="en-CA" w:eastAsia="en-GB"/>
              </w:rPr>
              <w:footnoteReference w:id="67"/>
            </w:r>
          </w:p>
        </w:tc>
        <w:tc>
          <w:tcPr>
            <w:tcW w:w="2694" w:type="dxa"/>
            <w:tcBorders>
              <w:top w:val="single" w:sz="1" w:space="0" w:color="AAAAAA"/>
              <w:left w:val="single" w:sz="1" w:space="0" w:color="AAAAAA"/>
              <w:bottom w:val="single" w:sz="1" w:space="0" w:color="AAAAAA"/>
              <w:right w:val="single" w:sz="1" w:space="0" w:color="AAAAAA"/>
            </w:tcBorders>
            <w:shd w:val="clear" w:color="auto" w:fill="A5C9EB"/>
            <w:tcMar>
              <w:top w:w="60" w:type="dxa"/>
              <w:left w:w="100" w:type="dxa"/>
              <w:bottom w:w="60" w:type="dxa"/>
              <w:right w:w="100" w:type="dxa"/>
            </w:tcMar>
            <w:vAlign w:val="center"/>
          </w:tcPr>
          <w:p w14:paraId="48C463A3"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The contribution payment itself as a direct cost (primary cost channel)</w:t>
            </w:r>
          </w:p>
        </w:tc>
        <w:tc>
          <w:tcPr>
            <w:tcW w:w="1053" w:type="dxa"/>
            <w:tcBorders>
              <w:top w:val="single" w:sz="1" w:space="0" w:color="AAAAAA"/>
              <w:left w:val="single" w:sz="1" w:space="0" w:color="AAAAAA"/>
              <w:bottom w:val="single" w:sz="1" w:space="0" w:color="AAAAAA"/>
              <w:right w:val="single" w:sz="1" w:space="0" w:color="AAAAAA"/>
            </w:tcBorders>
            <w:shd w:val="clear" w:color="auto" w:fill="A5C9EB"/>
            <w:vAlign w:val="center"/>
          </w:tcPr>
          <w:p w14:paraId="312F37E9"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Direct</w:t>
            </w:r>
          </w:p>
        </w:tc>
        <w:tc>
          <w:tcPr>
            <w:tcW w:w="1138" w:type="dxa"/>
            <w:tcBorders>
              <w:top w:val="single" w:sz="1" w:space="0" w:color="AAAAAA"/>
              <w:left w:val="single" w:sz="1" w:space="0" w:color="AAAAAA"/>
              <w:bottom w:val="single" w:sz="1" w:space="0" w:color="AAAAAA"/>
              <w:right w:val="single" w:sz="1" w:space="0" w:color="AAAAAA"/>
            </w:tcBorders>
            <w:shd w:val="clear" w:color="auto" w:fill="A5C9EB"/>
            <w:tcMar>
              <w:top w:w="60" w:type="dxa"/>
              <w:left w:w="100" w:type="dxa"/>
              <w:bottom w:w="60" w:type="dxa"/>
              <w:right w:w="100" w:type="dxa"/>
            </w:tcMar>
            <w:vAlign w:val="center"/>
          </w:tcPr>
          <w:p w14:paraId="7B80BB5C"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Short-term</w:t>
            </w:r>
          </w:p>
        </w:tc>
        <w:tc>
          <w:tcPr>
            <w:tcW w:w="1410" w:type="dxa"/>
            <w:tcBorders>
              <w:top w:val="single" w:sz="1" w:space="0" w:color="AAAAAA"/>
              <w:left w:val="single" w:sz="1" w:space="0" w:color="AAAAAA"/>
              <w:bottom w:val="single" w:sz="1" w:space="0" w:color="AAAAAA"/>
              <w:right w:val="single" w:sz="1" w:space="0" w:color="AAAAAA"/>
            </w:tcBorders>
            <w:shd w:val="clear" w:color="auto" w:fill="A5C9EB"/>
            <w:vAlign w:val="center"/>
          </w:tcPr>
          <w:p w14:paraId="14A0B0D6"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000000"/>
                <w:sz w:val="18"/>
                <w:szCs w:val="18"/>
                <w:lang w:val="en-CA" w:eastAsia="en-GB"/>
              </w:rPr>
            </w:pPr>
            <w:r w:rsidRPr="005F0A67">
              <w:rPr>
                <w:rFonts w:asciiTheme="majorBidi" w:eastAsia="Tahoma" w:hAnsiTheme="majorBidi" w:cstheme="majorBidi"/>
                <w:b/>
                <w:bCs/>
                <w:color w:val="000000"/>
                <w:sz w:val="18"/>
                <w:szCs w:val="18"/>
                <w:lang w:val="en-CA" w:eastAsia="en-GB"/>
              </w:rPr>
              <w:t>Yes</w:t>
            </w:r>
          </w:p>
        </w:tc>
        <w:tc>
          <w:tcPr>
            <w:tcW w:w="5752" w:type="dxa"/>
            <w:tcBorders>
              <w:top w:val="single" w:sz="1" w:space="0" w:color="AAAAAA"/>
              <w:left w:val="single" w:sz="1" w:space="0" w:color="AAAAAA"/>
              <w:bottom w:val="single" w:sz="1" w:space="0" w:color="AAAAAA"/>
              <w:right w:val="single" w:sz="1" w:space="0" w:color="AAAAAA"/>
            </w:tcBorders>
            <w:shd w:val="clear" w:color="auto" w:fill="A5C9EB"/>
            <w:tcMar>
              <w:top w:w="60" w:type="dxa"/>
              <w:left w:w="100" w:type="dxa"/>
              <w:bottom w:w="60" w:type="dxa"/>
              <w:right w:w="100" w:type="dxa"/>
            </w:tcMar>
            <w:vAlign w:val="center"/>
          </w:tcPr>
          <w:p w14:paraId="73ACB152"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 xml:space="preserve">Contribution falls directly on firm financials; magnitude varies by sector margin and contribution base. </w:t>
            </w:r>
            <w:r w:rsidRPr="005F0A67">
              <w:rPr>
                <w:rFonts w:asciiTheme="majorBidi" w:eastAsia="Tahoma" w:hAnsiTheme="majorBidi" w:cstheme="majorBidi"/>
                <w:color w:val="000000"/>
                <w:sz w:val="18"/>
                <w:szCs w:val="18"/>
                <w:lang w:val="en-CA" w:eastAsia="en-GB"/>
              </w:rPr>
              <w:fldChar w:fldCharType="begin"/>
            </w:r>
            <w:r w:rsidRPr="005F0A67">
              <w:rPr>
                <w:rFonts w:asciiTheme="majorBidi" w:eastAsia="Tahoma" w:hAnsiTheme="majorBidi" w:cstheme="majorBidi"/>
                <w:color w:val="000000"/>
                <w:sz w:val="18"/>
                <w:szCs w:val="18"/>
                <w:lang w:val="en-CA" w:eastAsia="en-GB"/>
              </w:rPr>
              <w:instrText xml:space="preserve"> PRINTDATE  \* MERGEFORMAT </w:instrText>
            </w:r>
            <w:r w:rsidRPr="005F0A67">
              <w:rPr>
                <w:rFonts w:asciiTheme="majorBidi" w:eastAsia="Tahoma" w:hAnsiTheme="majorBidi" w:cstheme="majorBidi"/>
                <w:color w:val="000000"/>
                <w:sz w:val="18"/>
                <w:szCs w:val="18"/>
                <w:lang w:val="en-CA" w:eastAsia="en-GB"/>
              </w:rPr>
              <w:fldChar w:fldCharType="separate"/>
            </w:r>
            <w:r w:rsidRPr="005F0A67">
              <w:rPr>
                <w:rFonts w:asciiTheme="majorBidi" w:eastAsia="Tahoma" w:hAnsiTheme="majorBidi" w:cstheme="majorBidi"/>
                <w:noProof/>
                <w:color w:val="000000"/>
                <w:sz w:val="18"/>
                <w:szCs w:val="18"/>
                <w:lang w:val="en-CA" w:eastAsia="en-GB"/>
              </w:rPr>
              <w:t>2026-05-22 11:12:00 AM</w:t>
            </w:r>
            <w:r w:rsidRPr="005F0A67">
              <w:rPr>
                <w:rFonts w:asciiTheme="majorBidi" w:eastAsia="Tahoma" w:hAnsiTheme="majorBidi" w:cstheme="majorBidi"/>
                <w:color w:val="000000"/>
                <w:sz w:val="18"/>
                <w:szCs w:val="18"/>
                <w:lang w:val="en-CA" w:eastAsia="en-GB"/>
              </w:rPr>
              <w:fldChar w:fldCharType="end"/>
            </w:r>
          </w:p>
        </w:tc>
      </w:tr>
      <w:tr w:rsidR="005F0A67" w:rsidRPr="005F0A67" w14:paraId="57CDFAE4" w14:textId="77777777" w:rsidTr="005F0A67">
        <w:trPr>
          <w:trHeight w:val="207"/>
        </w:trPr>
        <w:tc>
          <w:tcPr>
            <w:tcW w:w="0" w:type="auto"/>
            <w:gridSpan w:val="6"/>
            <w:tcBorders>
              <w:top w:val="single" w:sz="1" w:space="0" w:color="AAAAAA"/>
              <w:left w:val="single" w:sz="1" w:space="0" w:color="AAAAAA"/>
              <w:bottom w:val="single" w:sz="1" w:space="0" w:color="AAAAAA"/>
              <w:right w:val="single" w:sz="1" w:space="0" w:color="AAAAAA"/>
            </w:tcBorders>
            <w:shd w:val="clear" w:color="auto" w:fill="BFBFBF"/>
            <w:tcMar>
              <w:top w:w="60" w:type="dxa"/>
              <w:left w:w="100" w:type="dxa"/>
              <w:bottom w:w="60" w:type="dxa"/>
              <w:right w:w="100" w:type="dxa"/>
            </w:tcMar>
            <w:vAlign w:val="center"/>
          </w:tcPr>
          <w:p w14:paraId="10B3ABAE"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000000"/>
                <w:sz w:val="18"/>
                <w:szCs w:val="18"/>
                <w:lang w:val="en-CA" w:eastAsia="en-GB"/>
              </w:rPr>
            </w:pPr>
            <w:r w:rsidRPr="005F0A67">
              <w:rPr>
                <w:rFonts w:asciiTheme="majorBidi" w:eastAsia="Tahoma" w:hAnsiTheme="majorBidi" w:cstheme="majorBidi"/>
                <w:b/>
                <w:bCs/>
                <w:color w:val="000000"/>
                <w:sz w:val="18"/>
                <w:szCs w:val="18"/>
                <w:lang w:val="en-CA" w:eastAsia="en-GB"/>
              </w:rPr>
              <w:t xml:space="preserve">Factors of production and cost competitiveness </w:t>
            </w:r>
          </w:p>
        </w:tc>
      </w:tr>
      <w:tr w:rsidR="005F0A67" w:rsidRPr="005F0A67" w14:paraId="1D55CE49" w14:textId="77777777" w:rsidTr="005F0A67">
        <w:trPr>
          <w:trHeight w:val="643"/>
        </w:trPr>
        <w:tc>
          <w:tcPr>
            <w:tcW w:w="1700" w:type="dxa"/>
            <w:tcBorders>
              <w:top w:val="single" w:sz="1" w:space="0" w:color="AAAAAA"/>
              <w:left w:val="single" w:sz="1" w:space="0" w:color="AAAAAA"/>
              <w:bottom w:val="single" w:sz="1" w:space="0" w:color="AAAAAA"/>
              <w:right w:val="single" w:sz="1" w:space="0" w:color="AAAAAA"/>
            </w:tcBorders>
            <w:shd w:val="clear" w:color="auto" w:fill="F2F2F2"/>
            <w:tcMar>
              <w:top w:w="60" w:type="dxa"/>
              <w:left w:w="100" w:type="dxa"/>
              <w:bottom w:w="60" w:type="dxa"/>
              <w:right w:w="100" w:type="dxa"/>
            </w:tcMar>
            <w:vAlign w:val="center"/>
          </w:tcPr>
          <w:p w14:paraId="141EDE03"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000000"/>
                <w:sz w:val="18"/>
                <w:szCs w:val="18"/>
                <w:lang w:val="en-CA" w:eastAsia="en-GB"/>
              </w:rPr>
            </w:pPr>
            <w:r w:rsidRPr="005F0A67">
              <w:rPr>
                <w:rFonts w:asciiTheme="majorBidi" w:eastAsia="Tahoma" w:hAnsiTheme="majorBidi" w:cstheme="majorBidi"/>
                <w:b/>
                <w:bCs/>
                <w:color w:val="000000"/>
                <w:sz w:val="18"/>
                <w:szCs w:val="18"/>
                <w:lang w:val="en-CA" w:eastAsia="en-GB"/>
              </w:rPr>
              <w:t>Cost of land</w:t>
            </w:r>
          </w:p>
        </w:tc>
        <w:tc>
          <w:tcPr>
            <w:tcW w:w="2694" w:type="dxa"/>
            <w:tcBorders>
              <w:top w:val="single" w:sz="1" w:space="0" w:color="AAAAAA"/>
              <w:left w:val="single" w:sz="1" w:space="0" w:color="AAAAAA"/>
              <w:bottom w:val="single" w:sz="1" w:space="0" w:color="AAAAAA"/>
              <w:right w:val="single" w:sz="1" w:space="0" w:color="AAAAAA"/>
            </w:tcBorders>
            <w:shd w:val="clear" w:color="auto" w:fill="F2F2F2"/>
            <w:tcMar>
              <w:top w:w="60" w:type="dxa"/>
              <w:left w:w="100" w:type="dxa"/>
              <w:bottom w:w="60" w:type="dxa"/>
              <w:right w:w="100" w:type="dxa"/>
            </w:tcMar>
            <w:vAlign w:val="center"/>
          </w:tcPr>
          <w:p w14:paraId="7F37E31E"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Effects on cost or availability of land used in production</w:t>
            </w:r>
          </w:p>
        </w:tc>
        <w:tc>
          <w:tcPr>
            <w:tcW w:w="1053" w:type="dxa"/>
            <w:tcBorders>
              <w:top w:val="single" w:sz="1" w:space="0" w:color="AAAAAA"/>
              <w:left w:val="single" w:sz="1" w:space="0" w:color="AAAAAA"/>
              <w:bottom w:val="single" w:sz="1" w:space="0" w:color="AAAAAA"/>
              <w:right w:val="single" w:sz="1" w:space="0" w:color="AAAAAA"/>
            </w:tcBorders>
            <w:shd w:val="clear" w:color="auto" w:fill="F2F2F2"/>
            <w:vAlign w:val="center"/>
          </w:tcPr>
          <w:p w14:paraId="1E10E16C"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Direct</w:t>
            </w:r>
          </w:p>
        </w:tc>
        <w:tc>
          <w:tcPr>
            <w:tcW w:w="1138" w:type="dxa"/>
            <w:tcBorders>
              <w:top w:val="single" w:sz="1" w:space="0" w:color="AAAAAA"/>
              <w:left w:val="single" w:sz="1" w:space="0" w:color="AAAAAA"/>
              <w:bottom w:val="single" w:sz="1" w:space="0" w:color="AAAAAA"/>
              <w:right w:val="single" w:sz="1" w:space="0" w:color="AAAAAA"/>
            </w:tcBorders>
            <w:shd w:val="clear" w:color="auto" w:fill="F2F2F2"/>
            <w:tcMar>
              <w:top w:w="60" w:type="dxa"/>
              <w:left w:w="100" w:type="dxa"/>
              <w:bottom w:w="60" w:type="dxa"/>
              <w:right w:w="100" w:type="dxa"/>
            </w:tcMar>
            <w:vAlign w:val="center"/>
          </w:tcPr>
          <w:p w14:paraId="08A4B8E4"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Short-term</w:t>
            </w:r>
          </w:p>
        </w:tc>
        <w:tc>
          <w:tcPr>
            <w:tcW w:w="1410" w:type="dxa"/>
            <w:tcBorders>
              <w:top w:val="single" w:sz="1" w:space="0" w:color="AAAAAA"/>
              <w:left w:val="single" w:sz="1" w:space="0" w:color="AAAAAA"/>
              <w:bottom w:val="single" w:sz="1" w:space="0" w:color="AAAAAA"/>
              <w:right w:val="single" w:sz="1" w:space="0" w:color="AAAAAA"/>
            </w:tcBorders>
            <w:shd w:val="clear" w:color="auto" w:fill="F2F2F2"/>
            <w:vAlign w:val="center"/>
          </w:tcPr>
          <w:p w14:paraId="3255AF56"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000000"/>
                <w:sz w:val="18"/>
                <w:szCs w:val="18"/>
                <w:lang w:val="en-CA" w:eastAsia="en-GB"/>
              </w:rPr>
            </w:pPr>
            <w:r w:rsidRPr="005F0A67">
              <w:rPr>
                <w:rFonts w:asciiTheme="majorBidi" w:eastAsia="Tahoma" w:hAnsiTheme="majorBidi" w:cstheme="majorBidi"/>
                <w:b/>
                <w:bCs/>
                <w:color w:val="000000"/>
                <w:sz w:val="18"/>
                <w:szCs w:val="18"/>
                <w:lang w:val="en-CA" w:eastAsia="en-GB"/>
              </w:rPr>
              <w:t>No</w:t>
            </w:r>
          </w:p>
        </w:tc>
        <w:tc>
          <w:tcPr>
            <w:tcW w:w="5752" w:type="dxa"/>
            <w:tcBorders>
              <w:top w:val="single" w:sz="1" w:space="0" w:color="AAAAAA"/>
              <w:left w:val="single" w:sz="1" w:space="0" w:color="AAAAAA"/>
              <w:bottom w:val="single" w:sz="1" w:space="0" w:color="AAAAAA"/>
              <w:right w:val="single" w:sz="1" w:space="0" w:color="AAAAAA"/>
            </w:tcBorders>
            <w:shd w:val="clear" w:color="auto" w:fill="F2F2F2"/>
            <w:tcMar>
              <w:top w:w="60" w:type="dxa"/>
              <w:left w:w="100" w:type="dxa"/>
              <w:bottom w:w="60" w:type="dxa"/>
              <w:right w:w="100" w:type="dxa"/>
            </w:tcMar>
            <w:vAlign w:val="center"/>
          </w:tcPr>
          <w:p w14:paraId="1C344C0A"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Contribution structure has no land use dimension.</w:t>
            </w:r>
          </w:p>
        </w:tc>
      </w:tr>
      <w:tr w:rsidR="005F0A67" w:rsidRPr="005F0A67" w14:paraId="1A790F4A" w14:textId="77777777" w:rsidTr="005F0A67">
        <w:trPr>
          <w:trHeight w:val="851"/>
        </w:trPr>
        <w:tc>
          <w:tcPr>
            <w:tcW w:w="1700" w:type="dxa"/>
            <w:tcBorders>
              <w:top w:val="single" w:sz="1" w:space="0" w:color="AAAAAA"/>
              <w:left w:val="single" w:sz="1" w:space="0" w:color="AAAAAA"/>
              <w:bottom w:val="single" w:sz="1" w:space="0" w:color="AAAAAA"/>
              <w:right w:val="single" w:sz="1" w:space="0" w:color="AAAAAA"/>
            </w:tcBorders>
            <w:shd w:val="clear" w:color="auto" w:fill="F2F2F2"/>
            <w:tcMar>
              <w:top w:w="60" w:type="dxa"/>
              <w:left w:w="100" w:type="dxa"/>
              <w:bottom w:w="60" w:type="dxa"/>
              <w:right w:w="100" w:type="dxa"/>
            </w:tcMar>
            <w:vAlign w:val="center"/>
          </w:tcPr>
          <w:p w14:paraId="7FD79843"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000000"/>
                <w:sz w:val="18"/>
                <w:szCs w:val="18"/>
                <w:lang w:val="en-CA" w:eastAsia="en-GB"/>
              </w:rPr>
            </w:pPr>
            <w:r w:rsidRPr="005F0A67">
              <w:rPr>
                <w:rFonts w:asciiTheme="majorBidi" w:eastAsia="Tahoma" w:hAnsiTheme="majorBidi" w:cstheme="majorBidi"/>
                <w:b/>
                <w:bCs/>
                <w:color w:val="000000"/>
                <w:sz w:val="18"/>
                <w:szCs w:val="18"/>
                <w:lang w:val="en-CA" w:eastAsia="en-GB"/>
              </w:rPr>
              <w:t>Cost of labour</w:t>
            </w:r>
          </w:p>
        </w:tc>
        <w:tc>
          <w:tcPr>
            <w:tcW w:w="2694" w:type="dxa"/>
            <w:tcBorders>
              <w:top w:val="single" w:sz="1" w:space="0" w:color="AAAAAA"/>
              <w:left w:val="single" w:sz="1" w:space="0" w:color="AAAAAA"/>
              <w:bottom w:val="single" w:sz="1" w:space="0" w:color="AAAAAA"/>
              <w:right w:val="single" w:sz="1" w:space="0" w:color="AAAAAA"/>
            </w:tcBorders>
            <w:shd w:val="clear" w:color="auto" w:fill="F2F2F2"/>
            <w:tcMar>
              <w:top w:w="60" w:type="dxa"/>
              <w:left w:w="100" w:type="dxa"/>
              <w:bottom w:w="60" w:type="dxa"/>
              <w:right w:w="100" w:type="dxa"/>
            </w:tcMar>
            <w:vAlign w:val="center"/>
          </w:tcPr>
          <w:p w14:paraId="0CF94910"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Indirect effects on staffing costs resulting from the contribution obligation</w:t>
            </w:r>
          </w:p>
        </w:tc>
        <w:tc>
          <w:tcPr>
            <w:tcW w:w="1053" w:type="dxa"/>
            <w:tcBorders>
              <w:top w:val="single" w:sz="1" w:space="0" w:color="AAAAAA"/>
              <w:left w:val="single" w:sz="1" w:space="0" w:color="AAAAAA"/>
              <w:bottom w:val="single" w:sz="1" w:space="0" w:color="AAAAAA"/>
              <w:right w:val="single" w:sz="1" w:space="0" w:color="AAAAAA"/>
            </w:tcBorders>
            <w:shd w:val="clear" w:color="auto" w:fill="F2F2F2"/>
            <w:vAlign w:val="center"/>
          </w:tcPr>
          <w:p w14:paraId="5274B511"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Indirect</w:t>
            </w:r>
          </w:p>
        </w:tc>
        <w:tc>
          <w:tcPr>
            <w:tcW w:w="1138" w:type="dxa"/>
            <w:tcBorders>
              <w:top w:val="single" w:sz="1" w:space="0" w:color="AAAAAA"/>
              <w:left w:val="single" w:sz="1" w:space="0" w:color="AAAAAA"/>
              <w:bottom w:val="single" w:sz="1" w:space="0" w:color="AAAAAA"/>
              <w:right w:val="single" w:sz="1" w:space="0" w:color="AAAAAA"/>
            </w:tcBorders>
            <w:shd w:val="clear" w:color="auto" w:fill="F2F2F2"/>
            <w:tcMar>
              <w:top w:w="60" w:type="dxa"/>
              <w:left w:w="100" w:type="dxa"/>
              <w:bottom w:w="60" w:type="dxa"/>
              <w:right w:w="100" w:type="dxa"/>
            </w:tcMar>
            <w:vAlign w:val="center"/>
          </w:tcPr>
          <w:p w14:paraId="6253273D"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Long-term</w:t>
            </w:r>
          </w:p>
        </w:tc>
        <w:tc>
          <w:tcPr>
            <w:tcW w:w="1410" w:type="dxa"/>
            <w:tcBorders>
              <w:top w:val="single" w:sz="1" w:space="0" w:color="AAAAAA"/>
              <w:left w:val="single" w:sz="1" w:space="0" w:color="AAAAAA"/>
              <w:bottom w:val="single" w:sz="1" w:space="0" w:color="AAAAAA"/>
              <w:right w:val="single" w:sz="1" w:space="0" w:color="AAAAAA"/>
            </w:tcBorders>
            <w:shd w:val="clear" w:color="auto" w:fill="F2F2F2"/>
            <w:vAlign w:val="center"/>
          </w:tcPr>
          <w:p w14:paraId="2B1535BD"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000000"/>
                <w:sz w:val="18"/>
                <w:szCs w:val="18"/>
                <w:lang w:val="en-CA" w:eastAsia="en-GB"/>
              </w:rPr>
            </w:pPr>
            <w:r w:rsidRPr="005F0A67">
              <w:rPr>
                <w:rFonts w:asciiTheme="majorBidi" w:eastAsia="Tahoma" w:hAnsiTheme="majorBidi" w:cstheme="majorBidi"/>
                <w:b/>
                <w:bCs/>
                <w:color w:val="000000"/>
                <w:sz w:val="18"/>
                <w:szCs w:val="18"/>
                <w:lang w:val="en-CA" w:eastAsia="en-GB"/>
              </w:rPr>
              <w:t>No</w:t>
            </w:r>
          </w:p>
        </w:tc>
        <w:tc>
          <w:tcPr>
            <w:tcW w:w="5752" w:type="dxa"/>
            <w:tcBorders>
              <w:top w:val="single" w:sz="1" w:space="0" w:color="AAAAAA"/>
              <w:left w:val="single" w:sz="1" w:space="0" w:color="AAAAAA"/>
              <w:bottom w:val="single" w:sz="1" w:space="0" w:color="AAAAAA"/>
              <w:right w:val="single" w:sz="1" w:space="0" w:color="AAAAAA"/>
            </w:tcBorders>
            <w:shd w:val="clear" w:color="auto" w:fill="F2F2F2"/>
            <w:tcMar>
              <w:top w:w="60" w:type="dxa"/>
              <w:left w:w="100" w:type="dxa"/>
              <w:bottom w:w="60" w:type="dxa"/>
              <w:right w:w="100" w:type="dxa"/>
            </w:tcMar>
            <w:vAlign w:val="center"/>
          </w:tcPr>
          <w:p w14:paraId="67BB60AF"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 xml:space="preserve">Contribution structure does not directly affect staffing costs for any eligible firm type. Indirect restructuring-linked labour effects are implausible at indicative rates. See Section </w:t>
            </w:r>
            <w:r w:rsidRPr="005F0A67">
              <w:rPr>
                <w:rFonts w:asciiTheme="majorBidi" w:eastAsia="Tahoma" w:hAnsiTheme="majorBidi" w:cstheme="majorBidi"/>
                <w:color w:val="000000"/>
                <w:sz w:val="18"/>
                <w:szCs w:val="18"/>
                <w:lang w:val="en-CA" w:eastAsia="en-GB"/>
              </w:rPr>
              <w:fldChar w:fldCharType="begin"/>
            </w:r>
            <w:r w:rsidRPr="005F0A67">
              <w:rPr>
                <w:rFonts w:asciiTheme="majorBidi" w:eastAsia="Tahoma" w:hAnsiTheme="majorBidi" w:cstheme="majorBidi"/>
                <w:color w:val="000000"/>
                <w:sz w:val="18"/>
                <w:szCs w:val="18"/>
                <w:lang w:val="en-CA" w:eastAsia="en-GB"/>
              </w:rPr>
              <w:instrText xml:space="preserve"> REF _Ref231121284 \r \h  \* MERGEFORMAT </w:instrText>
            </w:r>
            <w:r w:rsidRPr="005F0A67">
              <w:rPr>
                <w:rFonts w:asciiTheme="majorBidi" w:eastAsia="Tahoma" w:hAnsiTheme="majorBidi" w:cstheme="majorBidi"/>
                <w:color w:val="000000"/>
                <w:sz w:val="18"/>
                <w:szCs w:val="18"/>
                <w:lang w:val="en-CA" w:eastAsia="en-GB"/>
              </w:rPr>
            </w:r>
            <w:r w:rsidRPr="005F0A67">
              <w:rPr>
                <w:rFonts w:asciiTheme="majorBidi" w:eastAsia="Tahoma" w:hAnsiTheme="majorBidi" w:cstheme="majorBidi"/>
                <w:color w:val="000000"/>
                <w:sz w:val="18"/>
                <w:szCs w:val="18"/>
                <w:lang w:val="en-CA" w:eastAsia="en-GB"/>
              </w:rPr>
              <w:fldChar w:fldCharType="separate"/>
            </w:r>
            <w:r w:rsidRPr="005F0A67">
              <w:rPr>
                <w:rFonts w:asciiTheme="majorBidi" w:eastAsia="Tahoma" w:hAnsiTheme="majorBidi" w:cstheme="majorBidi"/>
                <w:color w:val="000000"/>
                <w:sz w:val="18"/>
                <w:szCs w:val="18"/>
                <w:lang w:val="en-CA" w:eastAsia="en-GB"/>
              </w:rPr>
              <w:t>7.4</w:t>
            </w:r>
            <w:r w:rsidRPr="005F0A67">
              <w:rPr>
                <w:rFonts w:asciiTheme="majorBidi" w:eastAsia="Tahoma" w:hAnsiTheme="majorBidi" w:cstheme="majorBidi"/>
                <w:color w:val="000000"/>
                <w:sz w:val="18"/>
                <w:szCs w:val="18"/>
                <w:lang w:val="en-CA" w:eastAsia="en-GB"/>
              </w:rPr>
              <w:fldChar w:fldCharType="end"/>
            </w:r>
            <w:r w:rsidRPr="005F0A67">
              <w:rPr>
                <w:rFonts w:asciiTheme="majorBidi" w:eastAsia="Tahoma" w:hAnsiTheme="majorBidi" w:cstheme="majorBidi"/>
                <w:color w:val="000000"/>
                <w:sz w:val="18"/>
                <w:szCs w:val="18"/>
                <w:lang w:val="en-CA" w:eastAsia="en-GB"/>
              </w:rPr>
              <w:t xml:space="preserve"> - no statistically significant employment effects found at EU ETS costs substantially above the Cali Fund's indicative rates </w:t>
            </w:r>
            <w:r w:rsidRPr="005F0A67">
              <w:rPr>
                <w:rFonts w:asciiTheme="majorBidi" w:eastAsia="Tahoma" w:hAnsiTheme="majorBidi" w:cstheme="majorBidi"/>
                <w:color w:val="000000"/>
                <w:sz w:val="18"/>
                <w:szCs w:val="18"/>
                <w:lang w:val="en-CA" w:eastAsia="en-GB"/>
              </w:rPr>
              <w:fldChar w:fldCharType="begin"/>
            </w:r>
            <w:r w:rsidRPr="005F0A67">
              <w:rPr>
                <w:rFonts w:asciiTheme="majorBidi" w:eastAsia="Tahoma" w:hAnsiTheme="majorBidi" w:cstheme="majorBidi"/>
                <w:color w:val="000000"/>
                <w:sz w:val="18"/>
                <w:szCs w:val="18"/>
                <w:lang w:val="en-CA" w:eastAsia="en-GB"/>
              </w:rPr>
              <w:instrText xml:space="preserve"> ADDIN ZOTERO_ITEM CSL_CITATION {"citationID":"YF2iHi2p","properties":{"unsorted":false,"formattedCitation":"(Dechezlepr\\uc0\\u234{}tre and Sato, 2017)","plainCitation":"(Dechezleprêtre and Sato, 2017)","noteIndex":0},"citationItems":[{"id":195,"uris":["http://zotero.org/users/14977742/items/KGZ2HX99"],"itemData":{"id":195,"type":"article-journal","abstract":"This article reviews the empirical literature on the impacts of environmental regulations\n          on firms’ competitiveness as measured by trade, industry location, employment,\n          productivity, and innovation. The evidence shows that environmental regulations can lead\n          to statistically significant adverse effects on trade, employment, plant location, and\n          productivity in the short run, in particular in a well-identified subset of pollution- and\n          energy-intensive sectors, but that these impacts are small relative to general trends in\n          production. At the same time, there is evidence that environmental regulations induce\n          innovation in clean technologies, but the resulting benefits do not appear to be large\n          enough to outweigh the costs of regulations for the regulated entities. As measures to\n          address competitiveness impacts are increasingly incorporated into the design of\n          environmental regulations, future research will be needed to assess the validity and\n          effectiveness of such measures and to ensure they are compatible with the environmental\n          objectives of the policies.","citation-key":"dechezleprImpactsEnvironmentalRegulations2017","container-title":"Review of Environmental Economics and Policy","DOI":"10.1093/reep/rex013","issue":"2","page":"183-206","publisher":"The University of Chicago Press","source":"journals.uchicago.edu (Atypon)","title":"The Impacts of Environmental Regulations on Competitiveness","volume":"11","author":[{"family":"Dechezleprêtre","given":"Antoine"},{"family":"Sato","given":"Misato"}],"issued":{"date-parts":[["2017",7]]}}}],"schema":"https://github.com/citation-style-language/schema/raw/master/csl-citation.json"} </w:instrText>
            </w:r>
            <w:r w:rsidRPr="005F0A67">
              <w:rPr>
                <w:rFonts w:asciiTheme="majorBidi" w:eastAsia="Tahoma" w:hAnsiTheme="majorBidi" w:cstheme="majorBidi"/>
                <w:color w:val="000000"/>
                <w:sz w:val="18"/>
                <w:szCs w:val="18"/>
                <w:lang w:val="en-CA" w:eastAsia="en-GB"/>
              </w:rPr>
              <w:fldChar w:fldCharType="separate"/>
            </w:r>
            <w:r w:rsidRPr="005F0A67">
              <w:rPr>
                <w:rFonts w:asciiTheme="majorBidi" w:eastAsia="Georgia" w:hAnsiTheme="majorBidi" w:cstheme="majorBidi"/>
                <w:color w:val="000000"/>
                <w:sz w:val="18"/>
                <w:szCs w:val="18"/>
                <w:lang w:val="en-CA" w:eastAsia="en-GB"/>
              </w:rPr>
              <w:t>(Dechezleprêtre and Sato, 2017)</w:t>
            </w:r>
            <w:r w:rsidRPr="005F0A67">
              <w:rPr>
                <w:rFonts w:asciiTheme="majorBidi" w:eastAsia="Tahoma" w:hAnsiTheme="majorBidi" w:cstheme="majorBidi"/>
                <w:color w:val="000000"/>
                <w:sz w:val="18"/>
                <w:szCs w:val="18"/>
                <w:lang w:val="en-CA" w:eastAsia="en-GB"/>
              </w:rPr>
              <w:fldChar w:fldCharType="end"/>
            </w:r>
            <w:r w:rsidRPr="005F0A67">
              <w:rPr>
                <w:rFonts w:asciiTheme="majorBidi" w:eastAsia="Tahoma" w:hAnsiTheme="majorBidi" w:cstheme="majorBidi"/>
                <w:color w:val="000000"/>
                <w:sz w:val="18"/>
                <w:szCs w:val="18"/>
                <w:lang w:val="en-CA" w:eastAsia="en-GB"/>
              </w:rPr>
              <w:t>. The consultation provided no evidence of anticipated labour cost effects.</w:t>
            </w:r>
          </w:p>
        </w:tc>
      </w:tr>
      <w:tr w:rsidR="005F0A67" w:rsidRPr="005F0A67" w14:paraId="1AC12280" w14:textId="77777777" w:rsidTr="005F0A67">
        <w:trPr>
          <w:trHeight w:val="851"/>
        </w:trPr>
        <w:tc>
          <w:tcPr>
            <w:tcW w:w="1700" w:type="dxa"/>
            <w:tcBorders>
              <w:top w:val="single" w:sz="1" w:space="0" w:color="AAAAAA"/>
              <w:left w:val="single" w:sz="1" w:space="0" w:color="AAAAAA"/>
              <w:bottom w:val="single" w:sz="1" w:space="0" w:color="AAAAAA"/>
              <w:right w:val="single" w:sz="1" w:space="0" w:color="AAAAAA"/>
            </w:tcBorders>
            <w:shd w:val="clear" w:color="auto" w:fill="DAE9F7"/>
            <w:tcMar>
              <w:top w:w="60" w:type="dxa"/>
              <w:left w:w="100" w:type="dxa"/>
              <w:bottom w:w="60" w:type="dxa"/>
              <w:right w:w="100" w:type="dxa"/>
            </w:tcMar>
            <w:vAlign w:val="center"/>
          </w:tcPr>
          <w:p w14:paraId="314C4B12"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000000"/>
                <w:sz w:val="18"/>
                <w:szCs w:val="18"/>
                <w:lang w:val="en-CA" w:eastAsia="en-GB"/>
              </w:rPr>
            </w:pPr>
            <w:r w:rsidRPr="005F0A67">
              <w:rPr>
                <w:rFonts w:asciiTheme="majorBidi" w:eastAsia="Tahoma" w:hAnsiTheme="majorBidi" w:cstheme="majorBidi"/>
                <w:b/>
                <w:bCs/>
                <w:color w:val="000000"/>
                <w:sz w:val="18"/>
                <w:szCs w:val="18"/>
                <w:lang w:val="en-CA" w:eastAsia="en-GB"/>
              </w:rPr>
              <w:t>Cost of capital</w:t>
            </w:r>
          </w:p>
        </w:tc>
        <w:tc>
          <w:tcPr>
            <w:tcW w:w="2694" w:type="dxa"/>
            <w:tcBorders>
              <w:top w:val="single" w:sz="1" w:space="0" w:color="AAAAAA"/>
              <w:left w:val="single" w:sz="1" w:space="0" w:color="AAAAAA"/>
              <w:bottom w:val="single" w:sz="1" w:space="0" w:color="AAAAAA"/>
              <w:right w:val="single" w:sz="1" w:space="0" w:color="AAAAAA"/>
            </w:tcBorders>
            <w:shd w:val="clear" w:color="auto" w:fill="DAE9F7"/>
            <w:tcMar>
              <w:top w:w="60" w:type="dxa"/>
              <w:left w:w="100" w:type="dxa"/>
              <w:bottom w:w="60" w:type="dxa"/>
              <w:right w:w="100" w:type="dxa"/>
            </w:tcMar>
            <w:vAlign w:val="center"/>
          </w:tcPr>
          <w:p w14:paraId="56E8CC6D"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Changes in availability or cost of financing resulting from margin compression or reduced free cash flow</w:t>
            </w:r>
          </w:p>
        </w:tc>
        <w:tc>
          <w:tcPr>
            <w:tcW w:w="1053" w:type="dxa"/>
            <w:tcBorders>
              <w:top w:val="single" w:sz="1" w:space="0" w:color="AAAAAA"/>
              <w:left w:val="single" w:sz="1" w:space="0" w:color="AAAAAA"/>
              <w:bottom w:val="single" w:sz="1" w:space="0" w:color="AAAAAA"/>
              <w:right w:val="single" w:sz="1" w:space="0" w:color="AAAAAA"/>
            </w:tcBorders>
            <w:shd w:val="clear" w:color="auto" w:fill="DAE9F7"/>
            <w:vAlign w:val="center"/>
          </w:tcPr>
          <w:p w14:paraId="3BF7581A"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Direct</w:t>
            </w:r>
          </w:p>
        </w:tc>
        <w:tc>
          <w:tcPr>
            <w:tcW w:w="1138" w:type="dxa"/>
            <w:tcBorders>
              <w:top w:val="single" w:sz="1" w:space="0" w:color="AAAAAA"/>
              <w:left w:val="single" w:sz="1" w:space="0" w:color="AAAAAA"/>
              <w:bottom w:val="single" w:sz="1" w:space="0" w:color="AAAAAA"/>
              <w:right w:val="single" w:sz="1" w:space="0" w:color="AAAAAA"/>
            </w:tcBorders>
            <w:shd w:val="clear" w:color="auto" w:fill="DAE9F7"/>
            <w:tcMar>
              <w:top w:w="60" w:type="dxa"/>
              <w:left w:w="100" w:type="dxa"/>
              <w:bottom w:w="60" w:type="dxa"/>
              <w:right w:w="100" w:type="dxa"/>
            </w:tcMar>
            <w:vAlign w:val="center"/>
          </w:tcPr>
          <w:p w14:paraId="1AFBA381"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Short-term / Long-term</w:t>
            </w:r>
          </w:p>
        </w:tc>
        <w:tc>
          <w:tcPr>
            <w:tcW w:w="1410" w:type="dxa"/>
            <w:tcBorders>
              <w:top w:val="single" w:sz="1" w:space="0" w:color="AAAAAA"/>
              <w:left w:val="single" w:sz="1" w:space="0" w:color="AAAAAA"/>
              <w:bottom w:val="single" w:sz="1" w:space="0" w:color="AAAAAA"/>
              <w:right w:val="single" w:sz="1" w:space="0" w:color="AAAAAA"/>
            </w:tcBorders>
            <w:shd w:val="clear" w:color="auto" w:fill="DAE9F7"/>
            <w:vAlign w:val="center"/>
          </w:tcPr>
          <w:p w14:paraId="42BC5F55"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000000"/>
                <w:sz w:val="18"/>
                <w:szCs w:val="18"/>
                <w:lang w:val="en-CA" w:eastAsia="en-GB"/>
              </w:rPr>
            </w:pPr>
            <w:r w:rsidRPr="005F0A67">
              <w:rPr>
                <w:rFonts w:asciiTheme="majorBidi" w:eastAsia="Tahoma" w:hAnsiTheme="majorBidi" w:cstheme="majorBidi"/>
                <w:b/>
                <w:bCs/>
                <w:color w:val="000000"/>
                <w:sz w:val="18"/>
                <w:szCs w:val="18"/>
                <w:lang w:val="en-CA" w:eastAsia="en-GB"/>
              </w:rPr>
              <w:t>Cannot say</w:t>
            </w:r>
          </w:p>
        </w:tc>
        <w:tc>
          <w:tcPr>
            <w:tcW w:w="5752" w:type="dxa"/>
            <w:tcBorders>
              <w:top w:val="single" w:sz="1" w:space="0" w:color="AAAAAA"/>
              <w:left w:val="single" w:sz="1" w:space="0" w:color="AAAAAA"/>
              <w:bottom w:val="single" w:sz="1" w:space="0" w:color="AAAAAA"/>
              <w:right w:val="single" w:sz="1" w:space="0" w:color="AAAAAA"/>
            </w:tcBorders>
            <w:shd w:val="clear" w:color="auto" w:fill="DAE9F7"/>
            <w:tcMar>
              <w:top w:w="60" w:type="dxa"/>
              <w:left w:w="100" w:type="dxa"/>
              <w:bottom w:w="60" w:type="dxa"/>
              <w:right w:w="100" w:type="dxa"/>
            </w:tcMar>
            <w:vAlign w:val="center"/>
          </w:tcPr>
          <w:p w14:paraId="4FA2270E"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Depends on firm-level financial position and whether margin compression is sufficient to affect creditworthiness.</w:t>
            </w:r>
          </w:p>
        </w:tc>
      </w:tr>
      <w:tr w:rsidR="005F0A67" w:rsidRPr="005F0A67" w14:paraId="7F81A7E4" w14:textId="77777777" w:rsidTr="005F0A67">
        <w:trPr>
          <w:trHeight w:val="874"/>
        </w:trPr>
        <w:tc>
          <w:tcPr>
            <w:tcW w:w="1700" w:type="dxa"/>
            <w:tcBorders>
              <w:top w:val="single" w:sz="1" w:space="0" w:color="AAAAAA"/>
              <w:left w:val="single" w:sz="1" w:space="0" w:color="AAAAAA"/>
              <w:bottom w:val="single" w:sz="1" w:space="0" w:color="AAAAAA"/>
              <w:right w:val="single" w:sz="1" w:space="0" w:color="AAAAAA"/>
            </w:tcBorders>
            <w:shd w:val="clear" w:color="auto" w:fill="DAE9F7"/>
            <w:tcMar>
              <w:top w:w="60" w:type="dxa"/>
              <w:left w:w="100" w:type="dxa"/>
              <w:bottom w:w="60" w:type="dxa"/>
              <w:right w:w="100" w:type="dxa"/>
            </w:tcMar>
            <w:vAlign w:val="center"/>
          </w:tcPr>
          <w:p w14:paraId="7E5536E1"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000000"/>
                <w:sz w:val="18"/>
                <w:szCs w:val="18"/>
                <w:lang w:val="en-CA" w:eastAsia="en-GB"/>
              </w:rPr>
            </w:pPr>
            <w:r w:rsidRPr="005F0A67">
              <w:rPr>
                <w:rFonts w:asciiTheme="majorBidi" w:eastAsia="Tahoma" w:hAnsiTheme="majorBidi" w:cstheme="majorBidi"/>
                <w:b/>
                <w:bCs/>
                <w:color w:val="000000"/>
                <w:sz w:val="18"/>
                <w:szCs w:val="18"/>
                <w:lang w:val="en-CA" w:eastAsia="en-GB"/>
              </w:rPr>
              <w:lastRenderedPageBreak/>
              <w:t xml:space="preserve">Cost of intermediate consumption </w:t>
            </w:r>
            <w:r w:rsidRPr="005F0A67">
              <w:rPr>
                <w:rFonts w:ascii="Cambria Math" w:eastAsia="Times New Roman" w:hAnsi="Cambria Math" w:cs="Cambria Math"/>
                <w:sz w:val="18"/>
                <w:szCs w:val="18"/>
                <w:lang w:val="en-CA" w:eastAsia="en-GB"/>
              </w:rPr>
              <w:t>◆</w:t>
            </w:r>
            <w:r w:rsidRPr="005F0A67">
              <w:rPr>
                <w:rFonts w:asciiTheme="majorBidi" w:eastAsia="Times New Roman" w:hAnsiTheme="majorBidi" w:cstheme="majorBidi"/>
                <w:sz w:val="18"/>
                <w:szCs w:val="18"/>
                <w:vertAlign w:val="superscript"/>
                <w:lang w:val="en-CA" w:eastAsia="en-GB"/>
              </w:rPr>
              <w:footnoteReference w:id="68"/>
            </w:r>
          </w:p>
        </w:tc>
        <w:tc>
          <w:tcPr>
            <w:tcW w:w="2694" w:type="dxa"/>
            <w:tcBorders>
              <w:top w:val="single" w:sz="1" w:space="0" w:color="AAAAAA"/>
              <w:left w:val="single" w:sz="1" w:space="0" w:color="AAAAAA"/>
              <w:bottom w:val="single" w:sz="1" w:space="0" w:color="AAAAAA"/>
              <w:right w:val="single" w:sz="1" w:space="0" w:color="AAAAAA"/>
            </w:tcBorders>
            <w:shd w:val="clear" w:color="auto" w:fill="DAE9F7"/>
            <w:tcMar>
              <w:top w:w="60" w:type="dxa"/>
              <w:left w:w="100" w:type="dxa"/>
              <w:bottom w:w="60" w:type="dxa"/>
              <w:right w:w="100" w:type="dxa"/>
            </w:tcMar>
            <w:vAlign w:val="center"/>
          </w:tcPr>
          <w:p w14:paraId="2627404A"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Changes in price or availability of upstream inputs where the obligation falls on supplier sectors within indicative Enclosure I</w:t>
            </w:r>
          </w:p>
        </w:tc>
        <w:tc>
          <w:tcPr>
            <w:tcW w:w="1053" w:type="dxa"/>
            <w:tcBorders>
              <w:top w:val="single" w:sz="1" w:space="0" w:color="AAAAAA"/>
              <w:left w:val="single" w:sz="1" w:space="0" w:color="AAAAAA"/>
              <w:bottom w:val="single" w:sz="1" w:space="0" w:color="AAAAAA"/>
              <w:right w:val="single" w:sz="1" w:space="0" w:color="AAAAAA"/>
            </w:tcBorders>
            <w:shd w:val="clear" w:color="auto" w:fill="DAE9F7"/>
            <w:vAlign w:val="center"/>
          </w:tcPr>
          <w:p w14:paraId="4ADA15BF"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Indirect</w:t>
            </w:r>
          </w:p>
        </w:tc>
        <w:tc>
          <w:tcPr>
            <w:tcW w:w="1138" w:type="dxa"/>
            <w:tcBorders>
              <w:top w:val="single" w:sz="1" w:space="0" w:color="AAAAAA"/>
              <w:left w:val="single" w:sz="1" w:space="0" w:color="AAAAAA"/>
              <w:bottom w:val="single" w:sz="1" w:space="0" w:color="AAAAAA"/>
              <w:right w:val="single" w:sz="1" w:space="0" w:color="AAAAAA"/>
            </w:tcBorders>
            <w:shd w:val="clear" w:color="auto" w:fill="DAE9F7"/>
            <w:tcMar>
              <w:top w:w="60" w:type="dxa"/>
              <w:left w:w="100" w:type="dxa"/>
              <w:bottom w:w="60" w:type="dxa"/>
              <w:right w:w="100" w:type="dxa"/>
            </w:tcMar>
            <w:vAlign w:val="center"/>
          </w:tcPr>
          <w:p w14:paraId="2B812970"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Short-term</w:t>
            </w:r>
          </w:p>
        </w:tc>
        <w:tc>
          <w:tcPr>
            <w:tcW w:w="1410" w:type="dxa"/>
            <w:tcBorders>
              <w:top w:val="single" w:sz="1" w:space="0" w:color="AAAAAA"/>
              <w:left w:val="single" w:sz="1" w:space="0" w:color="AAAAAA"/>
              <w:bottom w:val="single" w:sz="1" w:space="0" w:color="AAAAAA"/>
              <w:right w:val="single" w:sz="1" w:space="0" w:color="AAAAAA"/>
            </w:tcBorders>
            <w:shd w:val="clear" w:color="auto" w:fill="DAE9F7"/>
            <w:vAlign w:val="center"/>
          </w:tcPr>
          <w:p w14:paraId="151F7A7E"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000000"/>
                <w:sz w:val="18"/>
                <w:szCs w:val="18"/>
                <w:lang w:val="en-CA" w:eastAsia="en-GB"/>
              </w:rPr>
            </w:pPr>
            <w:r w:rsidRPr="005F0A67">
              <w:rPr>
                <w:rFonts w:asciiTheme="majorBidi" w:eastAsia="Tahoma" w:hAnsiTheme="majorBidi" w:cstheme="majorBidi"/>
                <w:b/>
                <w:bCs/>
                <w:color w:val="000000"/>
                <w:sz w:val="18"/>
                <w:szCs w:val="18"/>
                <w:lang w:val="en-CA" w:eastAsia="en-GB"/>
              </w:rPr>
              <w:t>Cannot say</w:t>
            </w:r>
          </w:p>
        </w:tc>
        <w:tc>
          <w:tcPr>
            <w:tcW w:w="5752" w:type="dxa"/>
            <w:tcBorders>
              <w:top w:val="single" w:sz="1" w:space="0" w:color="AAAAAA"/>
              <w:left w:val="single" w:sz="1" w:space="0" w:color="AAAAAA"/>
              <w:bottom w:val="single" w:sz="1" w:space="0" w:color="AAAAAA"/>
              <w:right w:val="single" w:sz="1" w:space="0" w:color="AAAAAA"/>
            </w:tcBorders>
            <w:shd w:val="clear" w:color="auto" w:fill="DAE9F7"/>
            <w:tcMar>
              <w:top w:w="60" w:type="dxa"/>
              <w:left w:w="100" w:type="dxa"/>
              <w:bottom w:w="60" w:type="dxa"/>
              <w:right w:w="100" w:type="dxa"/>
            </w:tcMar>
            <w:vAlign w:val="center"/>
          </w:tcPr>
          <w:p w14:paraId="73AAEE37"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Materialises only where upstream and downstream eligible firms operate in linked input markets within indicative Enclosure I and where the upstream firm passes the contribution cost forward through input pricing rather than absorbing it; both conditions hold for some sector pairs, e.g. pharmaceuticals and laboratory equipment, but not across the eligible population as a whole.</w:t>
            </w:r>
          </w:p>
        </w:tc>
      </w:tr>
      <w:tr w:rsidR="005F0A67" w:rsidRPr="005F0A67" w14:paraId="221EB1EF" w14:textId="77777777" w:rsidTr="005F0A67">
        <w:trPr>
          <w:trHeight w:val="144"/>
        </w:trPr>
        <w:tc>
          <w:tcPr>
            <w:tcW w:w="1700" w:type="dxa"/>
            <w:tcBorders>
              <w:top w:val="single" w:sz="1" w:space="0" w:color="AAAAAA"/>
              <w:left w:val="single" w:sz="1" w:space="0" w:color="AAAAAA"/>
              <w:bottom w:val="single" w:sz="1" w:space="0" w:color="AAAAAA"/>
              <w:right w:val="single" w:sz="1" w:space="0" w:color="AAAAAA"/>
            </w:tcBorders>
            <w:shd w:val="clear" w:color="auto" w:fill="F2F2F2"/>
            <w:tcMar>
              <w:top w:w="60" w:type="dxa"/>
              <w:left w:w="100" w:type="dxa"/>
              <w:bottom w:w="60" w:type="dxa"/>
              <w:right w:w="100" w:type="dxa"/>
            </w:tcMar>
            <w:vAlign w:val="center"/>
          </w:tcPr>
          <w:p w14:paraId="2C12D608"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000000"/>
                <w:sz w:val="18"/>
                <w:szCs w:val="18"/>
                <w:lang w:val="en-CA" w:eastAsia="en-GB"/>
              </w:rPr>
            </w:pPr>
            <w:r w:rsidRPr="005F0A67">
              <w:rPr>
                <w:rFonts w:asciiTheme="majorBidi" w:eastAsia="Tahoma" w:hAnsiTheme="majorBidi" w:cstheme="majorBidi"/>
                <w:b/>
                <w:bCs/>
                <w:color w:val="000000"/>
                <w:sz w:val="18"/>
                <w:szCs w:val="18"/>
                <w:lang w:val="en-CA" w:eastAsia="en-GB"/>
              </w:rPr>
              <w:t>Cost of entrepreneurship</w:t>
            </w:r>
          </w:p>
        </w:tc>
        <w:tc>
          <w:tcPr>
            <w:tcW w:w="2694" w:type="dxa"/>
            <w:tcBorders>
              <w:top w:val="single" w:sz="1" w:space="0" w:color="AAAAAA"/>
              <w:left w:val="single" w:sz="1" w:space="0" w:color="AAAAAA"/>
              <w:bottom w:val="single" w:sz="1" w:space="0" w:color="AAAAAA"/>
              <w:right w:val="single" w:sz="1" w:space="0" w:color="AAAAAA"/>
            </w:tcBorders>
            <w:shd w:val="clear" w:color="auto" w:fill="F2F2F2"/>
            <w:tcMar>
              <w:top w:w="60" w:type="dxa"/>
              <w:left w:w="100" w:type="dxa"/>
              <w:bottom w:w="60" w:type="dxa"/>
              <w:right w:w="100" w:type="dxa"/>
            </w:tcMar>
            <w:vAlign w:val="center"/>
          </w:tcPr>
          <w:p w14:paraId="69A9C2A7"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Effects on incentives for new market entrants and early-stage firms</w:t>
            </w:r>
          </w:p>
        </w:tc>
        <w:tc>
          <w:tcPr>
            <w:tcW w:w="1053" w:type="dxa"/>
            <w:tcBorders>
              <w:top w:val="single" w:sz="1" w:space="0" w:color="AAAAAA"/>
              <w:left w:val="single" w:sz="1" w:space="0" w:color="AAAAAA"/>
              <w:bottom w:val="single" w:sz="1" w:space="0" w:color="AAAAAA"/>
              <w:right w:val="single" w:sz="1" w:space="0" w:color="AAAAAA"/>
            </w:tcBorders>
            <w:shd w:val="clear" w:color="auto" w:fill="F2F2F2"/>
            <w:vAlign w:val="center"/>
          </w:tcPr>
          <w:p w14:paraId="309D6107"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Direct</w:t>
            </w:r>
          </w:p>
        </w:tc>
        <w:tc>
          <w:tcPr>
            <w:tcW w:w="1138" w:type="dxa"/>
            <w:tcBorders>
              <w:top w:val="single" w:sz="1" w:space="0" w:color="AAAAAA"/>
              <w:left w:val="single" w:sz="1" w:space="0" w:color="AAAAAA"/>
              <w:bottom w:val="single" w:sz="1" w:space="0" w:color="AAAAAA"/>
              <w:right w:val="single" w:sz="1" w:space="0" w:color="AAAAAA"/>
            </w:tcBorders>
            <w:shd w:val="clear" w:color="auto" w:fill="F2F2F2"/>
            <w:tcMar>
              <w:top w:w="60" w:type="dxa"/>
              <w:left w:w="100" w:type="dxa"/>
              <w:bottom w:w="60" w:type="dxa"/>
              <w:right w:w="100" w:type="dxa"/>
            </w:tcMar>
            <w:vAlign w:val="center"/>
          </w:tcPr>
          <w:p w14:paraId="20A013A6"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Long-term</w:t>
            </w:r>
          </w:p>
        </w:tc>
        <w:tc>
          <w:tcPr>
            <w:tcW w:w="1410" w:type="dxa"/>
            <w:tcBorders>
              <w:top w:val="single" w:sz="1" w:space="0" w:color="AAAAAA"/>
              <w:left w:val="single" w:sz="1" w:space="0" w:color="AAAAAA"/>
              <w:bottom w:val="single" w:sz="1" w:space="0" w:color="AAAAAA"/>
              <w:right w:val="single" w:sz="1" w:space="0" w:color="AAAAAA"/>
            </w:tcBorders>
            <w:shd w:val="clear" w:color="auto" w:fill="F2F2F2"/>
            <w:vAlign w:val="center"/>
          </w:tcPr>
          <w:p w14:paraId="381E936F"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000000"/>
                <w:sz w:val="18"/>
                <w:szCs w:val="18"/>
                <w:lang w:val="en-CA" w:eastAsia="en-GB"/>
              </w:rPr>
            </w:pPr>
            <w:r w:rsidRPr="005F0A67">
              <w:rPr>
                <w:rFonts w:asciiTheme="majorBidi" w:eastAsia="Tahoma" w:hAnsiTheme="majorBidi" w:cstheme="majorBidi"/>
                <w:b/>
                <w:bCs/>
                <w:color w:val="000000"/>
                <w:sz w:val="18"/>
                <w:szCs w:val="18"/>
                <w:lang w:val="en-CA" w:eastAsia="en-GB"/>
              </w:rPr>
              <w:t>No</w:t>
            </w:r>
          </w:p>
        </w:tc>
        <w:tc>
          <w:tcPr>
            <w:tcW w:w="5752" w:type="dxa"/>
            <w:tcBorders>
              <w:top w:val="single" w:sz="1" w:space="0" w:color="AAAAAA"/>
              <w:left w:val="single" w:sz="1" w:space="0" w:color="AAAAAA"/>
              <w:bottom w:val="single" w:sz="1" w:space="0" w:color="AAAAAA"/>
              <w:right w:val="single" w:sz="1" w:space="0" w:color="AAAAAA"/>
            </w:tcBorders>
            <w:shd w:val="clear" w:color="auto" w:fill="F2F2F2"/>
            <w:tcMar>
              <w:top w:w="60" w:type="dxa"/>
              <w:left w:w="100" w:type="dxa"/>
              <w:bottom w:w="60" w:type="dxa"/>
              <w:right w:w="100" w:type="dxa"/>
            </w:tcMar>
            <w:vAlign w:val="center"/>
          </w:tcPr>
          <w:p w14:paraId="080AD1C9"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Crossing the eligibility threshold does not automatically trigger a contribution obligation under the voluntary design of the Cali Fund; firms may choose not to participate upon becoming eligible. The threshold deterrence effect documented for mandatory size-based regulatory obligations therefore does not apply in this context.</w:t>
            </w:r>
          </w:p>
        </w:tc>
      </w:tr>
      <w:tr w:rsidR="005F0A67" w:rsidRPr="005F0A67" w14:paraId="3651CC61" w14:textId="77777777" w:rsidTr="005F0A67">
        <w:trPr>
          <w:trHeight w:val="356"/>
        </w:trPr>
        <w:tc>
          <w:tcPr>
            <w:tcW w:w="0" w:type="auto"/>
            <w:gridSpan w:val="6"/>
            <w:tcBorders>
              <w:top w:val="single" w:sz="1" w:space="0" w:color="AAAAAA"/>
              <w:left w:val="single" w:sz="1" w:space="0" w:color="AAAAAA"/>
              <w:bottom w:val="single" w:sz="1" w:space="0" w:color="AAAAAA"/>
              <w:right w:val="single" w:sz="1" w:space="0" w:color="AAAAAA"/>
            </w:tcBorders>
            <w:shd w:val="clear" w:color="auto" w:fill="BFBFBF"/>
            <w:vAlign w:val="center"/>
          </w:tcPr>
          <w:p w14:paraId="0E9CF438"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000000"/>
                <w:sz w:val="18"/>
                <w:szCs w:val="18"/>
                <w:lang w:val="en-CA" w:eastAsia="en-GB"/>
              </w:rPr>
            </w:pPr>
            <w:r w:rsidRPr="005F0A67">
              <w:rPr>
                <w:rFonts w:asciiTheme="majorBidi" w:eastAsia="Tahoma" w:hAnsiTheme="majorBidi" w:cstheme="majorBidi"/>
                <w:b/>
                <w:bCs/>
                <w:color w:val="000000"/>
                <w:sz w:val="18"/>
                <w:szCs w:val="18"/>
                <w:lang w:val="en-CA" w:eastAsia="en-GB"/>
              </w:rPr>
              <w:t xml:space="preserve">Distributional and dynamic impacts and cost competitiveness </w:t>
            </w:r>
          </w:p>
        </w:tc>
      </w:tr>
      <w:tr w:rsidR="005F0A67" w:rsidRPr="005F0A67" w14:paraId="6C645A60" w14:textId="77777777" w:rsidTr="005F0A67">
        <w:trPr>
          <w:trHeight w:val="144"/>
        </w:trPr>
        <w:tc>
          <w:tcPr>
            <w:tcW w:w="1700" w:type="dxa"/>
            <w:tcBorders>
              <w:top w:val="single" w:sz="1" w:space="0" w:color="AAAAAA"/>
              <w:left w:val="single" w:sz="1" w:space="0" w:color="AAAAAA"/>
              <w:bottom w:val="single" w:sz="1" w:space="0" w:color="AAAAAA"/>
              <w:right w:val="single" w:sz="1" w:space="0" w:color="AAAAAA"/>
            </w:tcBorders>
            <w:shd w:val="clear" w:color="auto" w:fill="F2F2F2"/>
            <w:tcMar>
              <w:top w:w="60" w:type="dxa"/>
              <w:left w:w="100" w:type="dxa"/>
              <w:bottom w:w="60" w:type="dxa"/>
              <w:right w:w="100" w:type="dxa"/>
            </w:tcMar>
            <w:vAlign w:val="center"/>
          </w:tcPr>
          <w:p w14:paraId="7B1A7C60"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000000"/>
                <w:sz w:val="18"/>
                <w:szCs w:val="18"/>
                <w:lang w:val="en-CA" w:eastAsia="en-GB"/>
              </w:rPr>
            </w:pPr>
            <w:r w:rsidRPr="005F0A67">
              <w:rPr>
                <w:rFonts w:asciiTheme="majorBidi" w:eastAsia="Tahoma" w:hAnsiTheme="majorBidi" w:cstheme="majorBidi"/>
                <w:b/>
                <w:bCs/>
                <w:color w:val="000000"/>
                <w:sz w:val="18"/>
                <w:szCs w:val="18"/>
                <w:lang w:val="en-CA" w:eastAsia="en-GB"/>
              </w:rPr>
              <w:t xml:space="preserve">Impact on SMEs </w:t>
            </w:r>
          </w:p>
        </w:tc>
        <w:tc>
          <w:tcPr>
            <w:tcW w:w="2694" w:type="dxa"/>
            <w:tcBorders>
              <w:top w:val="single" w:sz="1" w:space="0" w:color="AAAAAA"/>
              <w:left w:val="single" w:sz="1" w:space="0" w:color="AAAAAA"/>
              <w:bottom w:val="single" w:sz="1" w:space="0" w:color="AAAAAA"/>
              <w:right w:val="single" w:sz="1" w:space="0" w:color="AAAAAA"/>
            </w:tcBorders>
            <w:shd w:val="clear" w:color="auto" w:fill="F2F2F2"/>
            <w:tcMar>
              <w:top w:w="60" w:type="dxa"/>
              <w:left w:w="100" w:type="dxa"/>
              <w:bottom w:w="60" w:type="dxa"/>
              <w:right w:w="100" w:type="dxa"/>
            </w:tcMar>
            <w:vAlign w:val="center"/>
          </w:tcPr>
          <w:p w14:paraId="42227898"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Disproportionate incidence of fixed compliance costs on smaller eligible firms relative to larger ones within the same sector</w:t>
            </w:r>
          </w:p>
        </w:tc>
        <w:tc>
          <w:tcPr>
            <w:tcW w:w="1053" w:type="dxa"/>
            <w:tcBorders>
              <w:top w:val="single" w:sz="1" w:space="0" w:color="AAAAAA"/>
              <w:left w:val="single" w:sz="1" w:space="0" w:color="AAAAAA"/>
              <w:bottom w:val="single" w:sz="1" w:space="0" w:color="AAAAAA"/>
              <w:right w:val="single" w:sz="1" w:space="0" w:color="AAAAAA"/>
            </w:tcBorders>
            <w:shd w:val="clear" w:color="auto" w:fill="F2F2F2"/>
            <w:vAlign w:val="center"/>
          </w:tcPr>
          <w:p w14:paraId="3F7933AA"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Direct</w:t>
            </w:r>
          </w:p>
        </w:tc>
        <w:tc>
          <w:tcPr>
            <w:tcW w:w="1138" w:type="dxa"/>
            <w:tcBorders>
              <w:top w:val="single" w:sz="1" w:space="0" w:color="AAAAAA"/>
              <w:left w:val="single" w:sz="1" w:space="0" w:color="AAAAAA"/>
              <w:bottom w:val="single" w:sz="1" w:space="0" w:color="AAAAAA"/>
              <w:right w:val="single" w:sz="1" w:space="0" w:color="AAAAAA"/>
            </w:tcBorders>
            <w:shd w:val="clear" w:color="auto" w:fill="F2F2F2"/>
            <w:tcMar>
              <w:top w:w="60" w:type="dxa"/>
              <w:left w:w="100" w:type="dxa"/>
              <w:bottom w:w="60" w:type="dxa"/>
              <w:right w:w="100" w:type="dxa"/>
            </w:tcMar>
            <w:vAlign w:val="center"/>
          </w:tcPr>
          <w:p w14:paraId="27BFCF6F"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Short-term</w:t>
            </w:r>
          </w:p>
        </w:tc>
        <w:tc>
          <w:tcPr>
            <w:tcW w:w="1410" w:type="dxa"/>
            <w:tcBorders>
              <w:top w:val="single" w:sz="1" w:space="0" w:color="AAAAAA"/>
              <w:left w:val="single" w:sz="1" w:space="0" w:color="AAAAAA"/>
              <w:bottom w:val="single" w:sz="1" w:space="0" w:color="AAAAAA"/>
              <w:right w:val="single" w:sz="1" w:space="0" w:color="AAAAAA"/>
            </w:tcBorders>
            <w:shd w:val="clear" w:color="auto" w:fill="F2F2F2"/>
            <w:vAlign w:val="center"/>
          </w:tcPr>
          <w:p w14:paraId="0485A487"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000000"/>
                <w:sz w:val="18"/>
                <w:szCs w:val="18"/>
                <w:lang w:val="en-CA" w:eastAsia="en-GB"/>
              </w:rPr>
            </w:pPr>
            <w:r w:rsidRPr="005F0A67">
              <w:rPr>
                <w:rFonts w:asciiTheme="majorBidi" w:eastAsia="Tahoma" w:hAnsiTheme="majorBidi" w:cstheme="majorBidi"/>
                <w:b/>
                <w:bCs/>
                <w:color w:val="000000"/>
                <w:sz w:val="18"/>
                <w:szCs w:val="18"/>
                <w:lang w:val="en-CA" w:eastAsia="en-GB"/>
              </w:rPr>
              <w:t>No</w:t>
            </w:r>
          </w:p>
        </w:tc>
        <w:tc>
          <w:tcPr>
            <w:tcW w:w="5752" w:type="dxa"/>
            <w:tcBorders>
              <w:top w:val="single" w:sz="1" w:space="0" w:color="AAAAAA"/>
              <w:left w:val="single" w:sz="1" w:space="0" w:color="AAAAAA"/>
              <w:bottom w:val="single" w:sz="1" w:space="0" w:color="AAAAAA"/>
              <w:right w:val="single" w:sz="1" w:space="0" w:color="AAAAAA"/>
            </w:tcBorders>
            <w:shd w:val="clear" w:color="auto" w:fill="F2F2F2"/>
            <w:tcMar>
              <w:top w:w="60" w:type="dxa"/>
              <w:left w:w="100" w:type="dxa"/>
              <w:bottom w:w="60" w:type="dxa"/>
              <w:right w:w="100" w:type="dxa"/>
            </w:tcMar>
            <w:vAlign w:val="center"/>
          </w:tcPr>
          <w:p w14:paraId="1605824C"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Most of the eligible population is predominantly composed of large firms with established legal and compliance teams for whom fixed compliance costs are unlikely to be material relative to operating costs; a marginal disadvantage may arise for threshold-proximate firms but is insufficient to warrant detailed assessment (see Part I discussion on SME thresholds across different jurisdictions).</w:t>
            </w:r>
          </w:p>
        </w:tc>
      </w:tr>
      <w:tr w:rsidR="005F0A67" w:rsidRPr="005F0A67" w14:paraId="3094E67D" w14:textId="77777777" w:rsidTr="005F0A67">
        <w:trPr>
          <w:trHeight w:val="751"/>
        </w:trPr>
        <w:tc>
          <w:tcPr>
            <w:tcW w:w="1700" w:type="dxa"/>
            <w:tcBorders>
              <w:top w:val="single" w:sz="1" w:space="0" w:color="AAAAAA"/>
              <w:left w:val="single" w:sz="1" w:space="0" w:color="AAAAAA"/>
              <w:bottom w:val="single" w:sz="1" w:space="0" w:color="AAAAAA"/>
              <w:right w:val="single" w:sz="1" w:space="0" w:color="AAAAAA"/>
            </w:tcBorders>
            <w:shd w:val="clear" w:color="auto" w:fill="F2F2F2"/>
            <w:tcMar>
              <w:top w:w="60" w:type="dxa"/>
              <w:left w:w="100" w:type="dxa"/>
              <w:bottom w:w="60" w:type="dxa"/>
              <w:right w:w="100" w:type="dxa"/>
            </w:tcMar>
            <w:vAlign w:val="center"/>
          </w:tcPr>
          <w:p w14:paraId="60EBFAA0"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000000"/>
                <w:sz w:val="18"/>
                <w:szCs w:val="18"/>
                <w:lang w:val="en-CA" w:eastAsia="en-GB"/>
              </w:rPr>
            </w:pPr>
            <w:r w:rsidRPr="005F0A67">
              <w:rPr>
                <w:rFonts w:asciiTheme="majorBidi" w:eastAsia="Tahoma" w:hAnsiTheme="majorBidi" w:cstheme="majorBidi"/>
                <w:b/>
                <w:bCs/>
                <w:color w:val="000000"/>
                <w:sz w:val="18"/>
                <w:szCs w:val="18"/>
                <w:lang w:val="en-CA" w:eastAsia="en-GB"/>
              </w:rPr>
              <w:t>Restructuring of firms</w:t>
            </w:r>
          </w:p>
        </w:tc>
        <w:tc>
          <w:tcPr>
            <w:tcW w:w="2694" w:type="dxa"/>
            <w:tcBorders>
              <w:top w:val="single" w:sz="1" w:space="0" w:color="AAAAAA"/>
              <w:left w:val="single" w:sz="1" w:space="0" w:color="AAAAAA"/>
              <w:bottom w:val="single" w:sz="1" w:space="0" w:color="AAAAAA"/>
              <w:right w:val="single" w:sz="1" w:space="0" w:color="AAAAAA"/>
            </w:tcBorders>
            <w:shd w:val="clear" w:color="auto" w:fill="F2F2F2"/>
            <w:tcMar>
              <w:top w:w="60" w:type="dxa"/>
              <w:left w:w="100" w:type="dxa"/>
              <w:bottom w:w="60" w:type="dxa"/>
              <w:right w:w="100" w:type="dxa"/>
            </w:tcMar>
            <w:vAlign w:val="center"/>
          </w:tcPr>
          <w:p w14:paraId="57FABFBD"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Market exit, production line closure or reorganisation triggered by the contribution burden</w:t>
            </w:r>
          </w:p>
        </w:tc>
        <w:tc>
          <w:tcPr>
            <w:tcW w:w="1053" w:type="dxa"/>
            <w:tcBorders>
              <w:top w:val="single" w:sz="1" w:space="0" w:color="AAAAAA"/>
              <w:left w:val="single" w:sz="1" w:space="0" w:color="AAAAAA"/>
              <w:bottom w:val="single" w:sz="1" w:space="0" w:color="AAAAAA"/>
              <w:right w:val="single" w:sz="1" w:space="0" w:color="AAAAAA"/>
            </w:tcBorders>
            <w:shd w:val="clear" w:color="auto" w:fill="F2F2F2"/>
            <w:vAlign w:val="center"/>
          </w:tcPr>
          <w:p w14:paraId="499A99EA"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Direct</w:t>
            </w:r>
          </w:p>
        </w:tc>
        <w:tc>
          <w:tcPr>
            <w:tcW w:w="1138" w:type="dxa"/>
            <w:tcBorders>
              <w:top w:val="single" w:sz="1" w:space="0" w:color="AAAAAA"/>
              <w:left w:val="single" w:sz="1" w:space="0" w:color="AAAAAA"/>
              <w:bottom w:val="single" w:sz="1" w:space="0" w:color="AAAAAA"/>
              <w:right w:val="single" w:sz="1" w:space="0" w:color="AAAAAA"/>
            </w:tcBorders>
            <w:shd w:val="clear" w:color="auto" w:fill="F2F2F2"/>
            <w:tcMar>
              <w:top w:w="60" w:type="dxa"/>
              <w:left w:w="100" w:type="dxa"/>
              <w:bottom w:w="60" w:type="dxa"/>
              <w:right w:w="100" w:type="dxa"/>
            </w:tcMar>
            <w:vAlign w:val="center"/>
          </w:tcPr>
          <w:p w14:paraId="4B0F8132"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Long-term</w:t>
            </w:r>
          </w:p>
        </w:tc>
        <w:tc>
          <w:tcPr>
            <w:tcW w:w="1410" w:type="dxa"/>
            <w:tcBorders>
              <w:top w:val="single" w:sz="1" w:space="0" w:color="AAAAAA"/>
              <w:left w:val="single" w:sz="1" w:space="0" w:color="AAAAAA"/>
              <w:bottom w:val="single" w:sz="1" w:space="0" w:color="AAAAAA"/>
              <w:right w:val="single" w:sz="1" w:space="0" w:color="AAAAAA"/>
            </w:tcBorders>
            <w:shd w:val="clear" w:color="auto" w:fill="F2F2F2"/>
            <w:vAlign w:val="center"/>
          </w:tcPr>
          <w:p w14:paraId="2CDC372D"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000000"/>
                <w:sz w:val="18"/>
                <w:szCs w:val="18"/>
                <w:lang w:val="en-CA" w:eastAsia="en-GB"/>
              </w:rPr>
            </w:pPr>
            <w:r w:rsidRPr="005F0A67">
              <w:rPr>
                <w:rFonts w:asciiTheme="majorBidi" w:eastAsia="Tahoma" w:hAnsiTheme="majorBidi" w:cstheme="majorBidi"/>
                <w:b/>
                <w:bCs/>
                <w:color w:val="000000"/>
                <w:sz w:val="18"/>
                <w:szCs w:val="18"/>
                <w:lang w:val="en-CA" w:eastAsia="en-GB"/>
              </w:rPr>
              <w:t>No</w:t>
            </w:r>
          </w:p>
        </w:tc>
        <w:tc>
          <w:tcPr>
            <w:tcW w:w="5752" w:type="dxa"/>
            <w:tcBorders>
              <w:top w:val="single" w:sz="1" w:space="0" w:color="AAAAAA"/>
              <w:left w:val="single" w:sz="1" w:space="0" w:color="AAAAAA"/>
              <w:bottom w:val="single" w:sz="1" w:space="0" w:color="AAAAAA"/>
              <w:right w:val="single" w:sz="1" w:space="0" w:color="AAAAAA"/>
            </w:tcBorders>
            <w:shd w:val="clear" w:color="auto" w:fill="F2F2F2"/>
            <w:tcMar>
              <w:top w:w="60" w:type="dxa"/>
              <w:left w:w="100" w:type="dxa"/>
              <w:bottom w:w="60" w:type="dxa"/>
              <w:right w:w="100" w:type="dxa"/>
            </w:tcMar>
            <w:vAlign w:val="center"/>
          </w:tcPr>
          <w:p w14:paraId="173D954A"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Implausible at indicative contribution rates of 0.1% of revenue or 1% of profit, under a non-binding scheme firms would likely opt out from the scheme; no evidence from consultation or submissions of restructuring risk at current indicative rates. See Section 7.4 - no statistically significant profit or employment effects found at EU ETS costs substantially above the Cali Fund's indicative rates (</w:t>
            </w:r>
            <w:proofErr w:type="spellStart"/>
            <w:r w:rsidRPr="005F0A67">
              <w:rPr>
                <w:rFonts w:asciiTheme="majorBidi" w:eastAsia="Tahoma" w:hAnsiTheme="majorBidi" w:cstheme="majorBidi"/>
                <w:color w:val="000000"/>
                <w:sz w:val="18"/>
                <w:szCs w:val="18"/>
                <w:lang w:val="en-CA" w:eastAsia="en-GB"/>
              </w:rPr>
              <w:t>Dechezleprêtre</w:t>
            </w:r>
            <w:proofErr w:type="spellEnd"/>
            <w:r w:rsidRPr="005F0A67">
              <w:rPr>
                <w:rFonts w:asciiTheme="majorBidi" w:eastAsia="Tahoma" w:hAnsiTheme="majorBidi" w:cstheme="majorBidi"/>
                <w:color w:val="000000"/>
                <w:sz w:val="18"/>
                <w:szCs w:val="18"/>
                <w:lang w:val="en-CA" w:eastAsia="en-GB"/>
              </w:rPr>
              <w:t xml:space="preserve"> and Sato, 2017).</w:t>
            </w:r>
          </w:p>
        </w:tc>
      </w:tr>
      <w:tr w:rsidR="005F0A67" w:rsidRPr="005F0A67" w14:paraId="52476137" w14:textId="77777777" w:rsidTr="005F0A67">
        <w:trPr>
          <w:trHeight w:val="49"/>
        </w:trPr>
        <w:tc>
          <w:tcPr>
            <w:tcW w:w="0" w:type="auto"/>
            <w:gridSpan w:val="6"/>
            <w:tcBorders>
              <w:top w:val="single" w:sz="1" w:space="0" w:color="AAAAAA"/>
              <w:left w:val="single" w:sz="1" w:space="0" w:color="AAAAAA"/>
              <w:bottom w:val="single" w:sz="1" w:space="0" w:color="AAAAAA"/>
              <w:right w:val="single" w:sz="1" w:space="0" w:color="AAAAAA"/>
            </w:tcBorders>
            <w:shd w:val="clear" w:color="auto" w:fill="BFBFBF"/>
            <w:tcMar>
              <w:top w:w="60" w:type="dxa"/>
              <w:left w:w="100" w:type="dxa"/>
              <w:bottom w:w="60" w:type="dxa"/>
              <w:right w:w="100" w:type="dxa"/>
            </w:tcMar>
            <w:vAlign w:val="center"/>
          </w:tcPr>
          <w:p w14:paraId="5B5B2280"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b/>
                <w:bCs/>
                <w:color w:val="000000"/>
                <w:sz w:val="18"/>
                <w:szCs w:val="18"/>
                <w:lang w:val="en-CA" w:eastAsia="en-GB"/>
              </w:rPr>
              <w:t xml:space="preserve">Cost competitiveness and impacts on consumers </w:t>
            </w:r>
          </w:p>
        </w:tc>
      </w:tr>
      <w:tr w:rsidR="005F0A67" w:rsidRPr="005F0A67" w14:paraId="55B8F5B2" w14:textId="77777777" w:rsidTr="005F0A67">
        <w:trPr>
          <w:trHeight w:val="751"/>
        </w:trPr>
        <w:tc>
          <w:tcPr>
            <w:tcW w:w="1700" w:type="dxa"/>
            <w:tcBorders>
              <w:top w:val="single" w:sz="1" w:space="0" w:color="AAAAAA"/>
              <w:left w:val="single" w:sz="1" w:space="0" w:color="AAAAAA"/>
              <w:bottom w:val="single" w:sz="1" w:space="0" w:color="AAAAAA"/>
              <w:right w:val="single" w:sz="1" w:space="0" w:color="AAAAAA"/>
            </w:tcBorders>
            <w:shd w:val="clear" w:color="auto" w:fill="DAE9F7"/>
            <w:tcMar>
              <w:top w:w="60" w:type="dxa"/>
              <w:left w:w="100" w:type="dxa"/>
              <w:bottom w:w="60" w:type="dxa"/>
              <w:right w:w="100" w:type="dxa"/>
            </w:tcMar>
            <w:vAlign w:val="center"/>
          </w:tcPr>
          <w:p w14:paraId="17695738"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000000"/>
                <w:sz w:val="18"/>
                <w:szCs w:val="18"/>
                <w:lang w:val="en-CA" w:eastAsia="en-GB"/>
              </w:rPr>
            </w:pPr>
            <w:r w:rsidRPr="005F0A67">
              <w:rPr>
                <w:rFonts w:asciiTheme="majorBidi" w:eastAsia="Tahoma" w:hAnsiTheme="majorBidi" w:cstheme="majorBidi"/>
                <w:b/>
                <w:bCs/>
                <w:color w:val="000000"/>
                <w:sz w:val="18"/>
                <w:szCs w:val="18"/>
                <w:lang w:val="en-CA" w:eastAsia="en-GB"/>
              </w:rPr>
              <w:t xml:space="preserve">Pass-through to consumers </w:t>
            </w:r>
            <w:r w:rsidRPr="005F0A67">
              <w:rPr>
                <w:rFonts w:ascii="Cambria Math" w:eastAsia="Times New Roman" w:hAnsi="Cambria Math" w:cs="Cambria Math"/>
                <w:sz w:val="18"/>
                <w:szCs w:val="18"/>
                <w:lang w:val="en-CA" w:eastAsia="en-GB"/>
              </w:rPr>
              <w:t>◆</w:t>
            </w:r>
            <w:r w:rsidRPr="005F0A67">
              <w:rPr>
                <w:rFonts w:asciiTheme="majorBidi" w:eastAsia="Times New Roman" w:hAnsiTheme="majorBidi" w:cstheme="majorBidi"/>
                <w:sz w:val="18"/>
                <w:szCs w:val="18"/>
                <w:vertAlign w:val="superscript"/>
                <w:lang w:val="en-CA" w:eastAsia="en-GB"/>
              </w:rPr>
              <w:footnoteReference w:id="69"/>
            </w:r>
          </w:p>
        </w:tc>
        <w:tc>
          <w:tcPr>
            <w:tcW w:w="2694" w:type="dxa"/>
            <w:tcBorders>
              <w:top w:val="single" w:sz="1" w:space="0" w:color="AAAAAA"/>
              <w:left w:val="single" w:sz="1" w:space="0" w:color="AAAAAA"/>
              <w:bottom w:val="single" w:sz="1" w:space="0" w:color="AAAAAA"/>
              <w:right w:val="single" w:sz="1" w:space="0" w:color="AAAAAA"/>
            </w:tcBorders>
            <w:shd w:val="clear" w:color="auto" w:fill="DAE9F7"/>
            <w:tcMar>
              <w:top w:w="60" w:type="dxa"/>
              <w:left w:w="100" w:type="dxa"/>
              <w:bottom w:w="60" w:type="dxa"/>
              <w:right w:w="100" w:type="dxa"/>
            </w:tcMar>
            <w:vAlign w:val="center"/>
          </w:tcPr>
          <w:p w14:paraId="3F43C9D3"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Extent to which the contribution cost is transferred to customers through output pricing. Positive for the firm where pass-through is feasible, negative where demand elasticity or competitive pressure constrains it.</w:t>
            </w:r>
          </w:p>
        </w:tc>
        <w:tc>
          <w:tcPr>
            <w:tcW w:w="1053" w:type="dxa"/>
            <w:tcBorders>
              <w:top w:val="single" w:sz="1" w:space="0" w:color="AAAAAA"/>
              <w:left w:val="single" w:sz="1" w:space="0" w:color="AAAAAA"/>
              <w:bottom w:val="single" w:sz="1" w:space="0" w:color="AAAAAA"/>
              <w:right w:val="single" w:sz="1" w:space="0" w:color="AAAAAA"/>
            </w:tcBorders>
            <w:shd w:val="clear" w:color="auto" w:fill="DAE9F7"/>
            <w:vAlign w:val="center"/>
          </w:tcPr>
          <w:p w14:paraId="26A26C42"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Direct</w:t>
            </w:r>
          </w:p>
        </w:tc>
        <w:tc>
          <w:tcPr>
            <w:tcW w:w="1138" w:type="dxa"/>
            <w:tcBorders>
              <w:top w:val="single" w:sz="1" w:space="0" w:color="AAAAAA"/>
              <w:left w:val="single" w:sz="1" w:space="0" w:color="AAAAAA"/>
              <w:bottom w:val="single" w:sz="1" w:space="0" w:color="AAAAAA"/>
              <w:right w:val="single" w:sz="1" w:space="0" w:color="AAAAAA"/>
            </w:tcBorders>
            <w:shd w:val="clear" w:color="auto" w:fill="DAE9F7"/>
            <w:tcMar>
              <w:top w:w="60" w:type="dxa"/>
              <w:left w:w="100" w:type="dxa"/>
              <w:bottom w:w="60" w:type="dxa"/>
              <w:right w:w="100" w:type="dxa"/>
            </w:tcMar>
            <w:vAlign w:val="center"/>
          </w:tcPr>
          <w:p w14:paraId="401FFA31"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Short-term</w:t>
            </w:r>
          </w:p>
        </w:tc>
        <w:tc>
          <w:tcPr>
            <w:tcW w:w="1410" w:type="dxa"/>
            <w:tcBorders>
              <w:top w:val="single" w:sz="1" w:space="0" w:color="AAAAAA"/>
              <w:left w:val="single" w:sz="1" w:space="0" w:color="AAAAAA"/>
              <w:bottom w:val="single" w:sz="1" w:space="0" w:color="AAAAAA"/>
              <w:right w:val="single" w:sz="1" w:space="0" w:color="AAAAAA"/>
            </w:tcBorders>
            <w:shd w:val="clear" w:color="auto" w:fill="DAE9F7"/>
            <w:vAlign w:val="center"/>
          </w:tcPr>
          <w:p w14:paraId="25CDF7F4"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000000"/>
                <w:sz w:val="18"/>
                <w:szCs w:val="18"/>
                <w:lang w:val="en-CA" w:eastAsia="en-GB"/>
              </w:rPr>
            </w:pPr>
            <w:r w:rsidRPr="005F0A67">
              <w:rPr>
                <w:rFonts w:asciiTheme="majorBidi" w:eastAsia="Tahoma" w:hAnsiTheme="majorBidi" w:cstheme="majorBidi"/>
                <w:b/>
                <w:bCs/>
                <w:color w:val="000000"/>
                <w:sz w:val="18"/>
                <w:szCs w:val="18"/>
                <w:lang w:val="en-CA" w:eastAsia="en-GB"/>
              </w:rPr>
              <w:t>Cannot say</w:t>
            </w:r>
          </w:p>
        </w:tc>
        <w:tc>
          <w:tcPr>
            <w:tcW w:w="5752" w:type="dxa"/>
            <w:tcBorders>
              <w:top w:val="single" w:sz="1" w:space="0" w:color="AAAAAA"/>
              <w:left w:val="single" w:sz="1" w:space="0" w:color="AAAAAA"/>
              <w:bottom w:val="single" w:sz="1" w:space="0" w:color="AAAAAA"/>
              <w:right w:val="single" w:sz="1" w:space="0" w:color="AAAAAA"/>
            </w:tcBorders>
            <w:shd w:val="clear" w:color="auto" w:fill="DAE9F7"/>
            <w:tcMar>
              <w:top w:w="60" w:type="dxa"/>
              <w:left w:w="100" w:type="dxa"/>
              <w:bottom w:w="60" w:type="dxa"/>
              <w:right w:w="100" w:type="dxa"/>
            </w:tcMar>
            <w:vAlign w:val="center"/>
          </w:tcPr>
          <w:p w14:paraId="69AE106C"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Direction and magnitude depend on market structure and demand elasticity by sector and firm type (s</w:t>
            </w:r>
            <w:r w:rsidRPr="005F0A67">
              <w:rPr>
                <w:rFonts w:asciiTheme="majorBidi" w:eastAsia="Tahoma" w:hAnsiTheme="majorBidi" w:cstheme="majorBidi"/>
                <w:sz w:val="18"/>
                <w:szCs w:val="18"/>
                <w:lang w:val="en-CA" w:eastAsia="en-GB"/>
              </w:rPr>
              <w:t>ee each sector's own assessment throughout this Part).</w:t>
            </w:r>
            <w:r w:rsidRPr="005F0A67">
              <w:rPr>
                <w:rFonts w:asciiTheme="majorBidi" w:eastAsia="Tahoma" w:hAnsiTheme="majorBidi" w:cstheme="majorBidi"/>
                <w:color w:val="000000"/>
                <w:sz w:val="18"/>
                <w:szCs w:val="18"/>
                <w:lang w:val="en-CA" w:eastAsia="en-GB"/>
              </w:rPr>
              <w:fldChar w:fldCharType="begin"/>
            </w:r>
            <w:r w:rsidRPr="005F0A67">
              <w:rPr>
                <w:rFonts w:asciiTheme="majorBidi" w:eastAsia="Tahoma" w:hAnsiTheme="majorBidi" w:cstheme="majorBidi"/>
                <w:color w:val="000000"/>
                <w:sz w:val="18"/>
                <w:szCs w:val="18"/>
                <w:lang w:val="en-CA" w:eastAsia="en-GB"/>
              </w:rPr>
              <w:instrText xml:space="preserve"> REF _Ref230445938 \r \h  \* MERGEFORMAT </w:instrText>
            </w:r>
            <w:r w:rsidRPr="005F0A67">
              <w:rPr>
                <w:rFonts w:asciiTheme="majorBidi" w:eastAsia="Tahoma" w:hAnsiTheme="majorBidi" w:cstheme="majorBidi"/>
                <w:color w:val="000000"/>
                <w:sz w:val="18"/>
                <w:szCs w:val="18"/>
                <w:lang w:val="en-CA" w:eastAsia="en-GB"/>
              </w:rPr>
            </w:r>
            <w:r w:rsidRPr="005F0A67">
              <w:rPr>
                <w:rFonts w:asciiTheme="majorBidi" w:eastAsia="Tahoma" w:hAnsiTheme="majorBidi" w:cstheme="majorBidi"/>
                <w:color w:val="000000"/>
                <w:sz w:val="18"/>
                <w:szCs w:val="18"/>
                <w:lang w:val="en-CA" w:eastAsia="en-GB"/>
              </w:rPr>
              <w:fldChar w:fldCharType="separate"/>
            </w:r>
            <w:r w:rsidRPr="005F0A67">
              <w:rPr>
                <w:rFonts w:asciiTheme="majorBidi" w:eastAsia="Tahoma" w:hAnsiTheme="majorBidi" w:cstheme="majorBidi"/>
                <w:color w:val="000000"/>
                <w:sz w:val="18"/>
                <w:szCs w:val="18"/>
                <w:lang w:val="en-CA" w:eastAsia="en-GB"/>
              </w:rPr>
              <w:fldChar w:fldCharType="end"/>
            </w:r>
          </w:p>
        </w:tc>
      </w:tr>
    </w:tbl>
    <w:p w14:paraId="33B68E2C"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i/>
          <w:iCs/>
          <w:sz w:val="18"/>
          <w:szCs w:val="18"/>
          <w:lang w:val="en-CA" w:eastAsia="en-GB"/>
        </w:rPr>
        <w:t xml:space="preserve">Note: </w:t>
      </w:r>
      <w:r w:rsidRPr="005F0A67">
        <w:rPr>
          <w:rFonts w:asciiTheme="majorBidi" w:eastAsia="Times New Roman" w:hAnsiTheme="majorBidi" w:cstheme="majorBidi"/>
          <w:sz w:val="18"/>
          <w:szCs w:val="18"/>
          <w:lang w:val="en-CA" w:eastAsia="en-GB"/>
        </w:rPr>
        <w:t xml:space="preserve">Symbol </w:t>
      </w:r>
      <w:r w:rsidRPr="005F0A67">
        <w:rPr>
          <w:rFonts w:ascii="Cambria Math" w:eastAsia="Times New Roman" w:hAnsi="Cambria Math" w:cs="Cambria Math"/>
          <w:sz w:val="18"/>
          <w:szCs w:val="18"/>
          <w:lang w:val="en-CA" w:eastAsia="en-GB"/>
        </w:rPr>
        <w:t>◆</w:t>
      </w:r>
      <w:r w:rsidRPr="005F0A67">
        <w:rPr>
          <w:rFonts w:asciiTheme="majorBidi" w:eastAsia="Times New Roman" w:hAnsiTheme="majorBidi" w:cstheme="majorBidi"/>
          <w:sz w:val="18"/>
          <w:szCs w:val="18"/>
          <w:lang w:val="en-CA" w:eastAsia="en-GB"/>
        </w:rPr>
        <w:t xml:space="preserve"> indicates impacts supported by the industry consultation or CBD Notification 2024-114 submissions. Impacts without a symbol are assessed on theoretical and structural grounds only. </w:t>
      </w:r>
    </w:p>
    <w:p w14:paraId="35220BCE" w14:textId="77777777" w:rsidR="00B009ED" w:rsidRDefault="00B009ED" w:rsidP="00B009ED">
      <w:pPr>
        <w:tabs>
          <w:tab w:val="clear" w:pos="567"/>
          <w:tab w:val="clear" w:pos="1134"/>
          <w:tab w:val="clear" w:pos="1701"/>
          <w:tab w:val="clear" w:pos="2268"/>
        </w:tabs>
        <w:spacing w:before="240" w:after="120"/>
        <w:jc w:val="left"/>
        <w:outlineLvl w:val="3"/>
        <w:rPr>
          <w:rFonts w:asciiTheme="majorBidi" w:eastAsia="Georgia" w:hAnsiTheme="majorBidi" w:cstheme="majorBidi"/>
          <w:b/>
          <w:bCs/>
          <w:color w:val="0F4761"/>
          <w:lang w:eastAsia="en-GB"/>
        </w:rPr>
      </w:pPr>
    </w:p>
    <w:p w14:paraId="7D790606" w14:textId="2593E0C1" w:rsidR="005F0A67" w:rsidRPr="005F0A67" w:rsidRDefault="005F0A67" w:rsidP="00B009ED">
      <w:pPr>
        <w:tabs>
          <w:tab w:val="clear" w:pos="567"/>
          <w:tab w:val="clear" w:pos="1134"/>
          <w:tab w:val="clear" w:pos="1701"/>
          <w:tab w:val="clear" w:pos="2268"/>
        </w:tabs>
        <w:spacing w:before="240" w:after="120"/>
        <w:jc w:val="left"/>
        <w:outlineLvl w:val="3"/>
        <w:rPr>
          <w:rFonts w:asciiTheme="majorBidi" w:eastAsia="Georgia" w:hAnsiTheme="majorBidi" w:cstheme="majorBidi"/>
          <w:b/>
          <w:bCs/>
          <w:color w:val="0F4761"/>
          <w:lang w:eastAsia="en-GB"/>
        </w:rPr>
      </w:pPr>
      <w:r w:rsidRPr="005F0A67">
        <w:rPr>
          <w:rFonts w:asciiTheme="majorBidi" w:eastAsia="Georgia" w:hAnsiTheme="majorBidi" w:cstheme="majorBidi"/>
          <w:b/>
          <w:bCs/>
          <w:color w:val="0F4761"/>
          <w:lang w:eastAsia="en-GB"/>
        </w:rPr>
        <w:lastRenderedPageBreak/>
        <w:t>Pillar II: Capacity to innovate</w:t>
      </w:r>
    </w:p>
    <w:p w14:paraId="26E8FE6E"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Pillar II assesses whether the contribution obligation affects the capacity of participating firms to innovate, with a full list of potential innovation impacts outlined in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_Ref231034655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Table 20</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w:t>
      </w:r>
    </w:p>
    <w:p w14:paraId="53758B51" w14:textId="77777777" w:rsidR="005F0A67" w:rsidRPr="005F0A67" w:rsidRDefault="005F0A67" w:rsidP="005F0A67">
      <w:pPr>
        <w:tabs>
          <w:tab w:val="clear" w:pos="567"/>
          <w:tab w:val="clear" w:pos="1134"/>
          <w:tab w:val="clear" w:pos="1701"/>
          <w:tab w:val="clear" w:pos="2268"/>
        </w:tabs>
        <w:spacing w:after="200" w:line="312" w:lineRule="auto"/>
        <w:contextualSpacing/>
        <w:rPr>
          <w:rFonts w:asciiTheme="majorBidi" w:eastAsia="Georgia" w:hAnsiTheme="majorBidi" w:cstheme="majorBidi"/>
          <w:b/>
          <w:bCs/>
          <w:color w:val="419844"/>
          <w:lang w:eastAsia="en-GB"/>
        </w:rPr>
      </w:pPr>
      <w:bookmarkStart w:id="176" w:name="_Ref231034655"/>
      <w:r w:rsidRPr="005F0A67">
        <w:rPr>
          <w:rFonts w:asciiTheme="majorBidi" w:eastAsia="Georgia" w:hAnsiTheme="majorBidi" w:cstheme="majorBidi"/>
          <w:b/>
          <w:bCs/>
          <w:color w:val="419844"/>
          <w:lang w:val="en-US" w:eastAsia="ja-JP"/>
        </w:rPr>
        <w:t xml:space="preserve">Table </w:t>
      </w:r>
      <w:r w:rsidRPr="005F0A67">
        <w:rPr>
          <w:rFonts w:asciiTheme="majorBidi" w:eastAsia="Georgia" w:hAnsiTheme="majorBidi" w:cstheme="majorBidi"/>
          <w:b/>
          <w:bCs/>
          <w:color w:val="419844"/>
          <w:lang w:eastAsia="en-GB"/>
        </w:rPr>
        <w:fldChar w:fldCharType="begin"/>
      </w:r>
      <w:r w:rsidRPr="005F0A67">
        <w:rPr>
          <w:rFonts w:asciiTheme="majorBidi" w:eastAsia="Georgia" w:hAnsiTheme="majorBidi" w:cstheme="majorBidi"/>
          <w:b/>
          <w:bCs/>
          <w:color w:val="419844"/>
          <w:lang w:eastAsia="en-GB"/>
        </w:rPr>
        <w:instrText xml:space="preserve"> SEQ Table \* ARABIC </w:instrText>
      </w:r>
      <w:r w:rsidRPr="005F0A67">
        <w:rPr>
          <w:rFonts w:asciiTheme="majorBidi" w:eastAsia="Georgia" w:hAnsiTheme="majorBidi" w:cstheme="majorBidi"/>
          <w:b/>
          <w:bCs/>
          <w:color w:val="419844"/>
          <w:lang w:eastAsia="en-GB"/>
        </w:rPr>
        <w:fldChar w:fldCharType="separate"/>
      </w:r>
      <w:r w:rsidRPr="005F0A67">
        <w:rPr>
          <w:rFonts w:asciiTheme="majorBidi" w:eastAsia="Georgia" w:hAnsiTheme="majorBidi" w:cstheme="majorBidi"/>
          <w:b/>
          <w:bCs/>
          <w:noProof/>
          <w:color w:val="419844"/>
          <w:lang w:eastAsia="en-GB"/>
        </w:rPr>
        <w:t>20</w:t>
      </w:r>
      <w:r w:rsidRPr="005F0A67">
        <w:rPr>
          <w:rFonts w:asciiTheme="majorBidi" w:eastAsia="Georgia" w:hAnsiTheme="majorBidi" w:cstheme="majorBidi"/>
          <w:b/>
          <w:bCs/>
          <w:color w:val="419844"/>
          <w:lang w:eastAsia="en-GB"/>
        </w:rPr>
        <w:fldChar w:fldCharType="end"/>
      </w:r>
      <w:bookmarkEnd w:id="176"/>
      <w:r w:rsidRPr="005F0A67">
        <w:rPr>
          <w:rFonts w:asciiTheme="majorBidi" w:eastAsia="Georgia" w:hAnsiTheme="majorBidi" w:cstheme="majorBidi"/>
          <w:b/>
          <w:bCs/>
          <w:color w:val="419844"/>
          <w:lang w:val="en-US" w:eastAsia="ja-JP"/>
        </w:rPr>
        <w:t xml:space="preserve"> Pillar II: Capacity to innovate impacts classification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1429"/>
        <w:gridCol w:w="3073"/>
        <w:gridCol w:w="1026"/>
        <w:gridCol w:w="992"/>
        <w:gridCol w:w="1276"/>
        <w:gridCol w:w="5882"/>
      </w:tblGrid>
      <w:tr w:rsidR="005F0A67" w:rsidRPr="005F0A67" w14:paraId="37B75CE2" w14:textId="77777777" w:rsidTr="00FB671B">
        <w:trPr>
          <w:tblHeader/>
        </w:trPr>
        <w:tc>
          <w:tcPr>
            <w:tcW w:w="0" w:type="auto"/>
            <w:tcBorders>
              <w:top w:val="single" w:sz="1" w:space="0" w:color="AAAAAA"/>
              <w:left w:val="single" w:sz="1" w:space="0" w:color="AAAAAA"/>
              <w:bottom w:val="single" w:sz="1" w:space="0" w:color="AAAAAA"/>
              <w:right w:val="single" w:sz="1" w:space="0" w:color="AAAAAA"/>
            </w:tcBorders>
            <w:shd w:val="clear" w:color="auto" w:fill="1F4E6B"/>
            <w:tcMar>
              <w:top w:w="60" w:type="dxa"/>
              <w:left w:w="100" w:type="dxa"/>
              <w:bottom w:w="60" w:type="dxa"/>
              <w:right w:w="100" w:type="dxa"/>
            </w:tcMar>
            <w:vAlign w:val="center"/>
          </w:tcPr>
          <w:p w14:paraId="5F6E7598"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FFFFFF"/>
                <w:sz w:val="18"/>
                <w:szCs w:val="18"/>
                <w:lang w:val="en-CA" w:eastAsia="en-GB"/>
              </w:rPr>
            </w:pPr>
            <w:r w:rsidRPr="005F0A67">
              <w:rPr>
                <w:rFonts w:asciiTheme="majorBidi" w:eastAsia="Tahoma" w:hAnsiTheme="majorBidi" w:cstheme="majorBidi"/>
                <w:b/>
                <w:bCs/>
                <w:color w:val="FFFFFF"/>
                <w:sz w:val="18"/>
                <w:szCs w:val="18"/>
                <w:lang w:val="en-CA" w:eastAsia="en-GB"/>
              </w:rPr>
              <w:t>Impact</w:t>
            </w:r>
          </w:p>
        </w:tc>
        <w:tc>
          <w:tcPr>
            <w:tcW w:w="3073" w:type="dxa"/>
            <w:tcBorders>
              <w:top w:val="single" w:sz="1" w:space="0" w:color="AAAAAA"/>
              <w:left w:val="single" w:sz="1" w:space="0" w:color="AAAAAA"/>
              <w:bottom w:val="single" w:sz="1" w:space="0" w:color="AAAAAA"/>
              <w:right w:val="single" w:sz="1" w:space="0" w:color="AAAAAA"/>
            </w:tcBorders>
            <w:shd w:val="clear" w:color="auto" w:fill="1F4E6B"/>
            <w:tcMar>
              <w:top w:w="60" w:type="dxa"/>
              <w:left w:w="100" w:type="dxa"/>
              <w:bottom w:w="60" w:type="dxa"/>
              <w:right w:w="100" w:type="dxa"/>
            </w:tcMar>
            <w:vAlign w:val="center"/>
          </w:tcPr>
          <w:p w14:paraId="2BA239E3"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FFFFFF"/>
                <w:sz w:val="18"/>
                <w:szCs w:val="18"/>
                <w:lang w:val="en-CA" w:eastAsia="en-GB"/>
              </w:rPr>
            </w:pPr>
            <w:r w:rsidRPr="005F0A67">
              <w:rPr>
                <w:rFonts w:asciiTheme="majorBidi" w:eastAsia="Tahoma" w:hAnsiTheme="majorBidi" w:cstheme="majorBidi"/>
                <w:b/>
                <w:bCs/>
                <w:color w:val="FFFFFF"/>
                <w:sz w:val="18"/>
                <w:szCs w:val="18"/>
                <w:lang w:val="en-CA" w:eastAsia="en-GB"/>
              </w:rPr>
              <w:t>Description</w:t>
            </w:r>
          </w:p>
        </w:tc>
        <w:tc>
          <w:tcPr>
            <w:tcW w:w="1026" w:type="dxa"/>
            <w:tcBorders>
              <w:top w:val="single" w:sz="1" w:space="0" w:color="AAAAAA"/>
              <w:left w:val="single" w:sz="1" w:space="0" w:color="AAAAAA"/>
              <w:bottom w:val="single" w:sz="1" w:space="0" w:color="AAAAAA"/>
              <w:right w:val="single" w:sz="1" w:space="0" w:color="AAAAAA"/>
            </w:tcBorders>
            <w:shd w:val="clear" w:color="auto" w:fill="1F4E6B"/>
            <w:vAlign w:val="center"/>
          </w:tcPr>
          <w:p w14:paraId="09938200"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FFFFFF"/>
                <w:sz w:val="18"/>
                <w:szCs w:val="18"/>
                <w:lang w:val="en-CA" w:eastAsia="en-GB"/>
              </w:rPr>
            </w:pPr>
            <w:r w:rsidRPr="005F0A67">
              <w:rPr>
                <w:rFonts w:asciiTheme="majorBidi" w:eastAsia="Tahoma" w:hAnsiTheme="majorBidi" w:cstheme="majorBidi"/>
                <w:b/>
                <w:bCs/>
                <w:color w:val="FFFFFF"/>
                <w:sz w:val="18"/>
                <w:szCs w:val="18"/>
                <w:lang w:val="en-CA" w:eastAsia="en-GB"/>
              </w:rPr>
              <w:t xml:space="preserve"> Pathway</w:t>
            </w:r>
          </w:p>
        </w:tc>
        <w:tc>
          <w:tcPr>
            <w:tcW w:w="992" w:type="dxa"/>
            <w:tcBorders>
              <w:top w:val="single" w:sz="1" w:space="0" w:color="AAAAAA"/>
              <w:left w:val="single" w:sz="1" w:space="0" w:color="AAAAAA"/>
              <w:bottom w:val="single" w:sz="1" w:space="0" w:color="AAAAAA"/>
              <w:right w:val="single" w:sz="1" w:space="0" w:color="AAAAAA"/>
            </w:tcBorders>
            <w:shd w:val="clear" w:color="auto" w:fill="1F4E6B"/>
            <w:tcMar>
              <w:top w:w="60" w:type="dxa"/>
              <w:left w:w="100" w:type="dxa"/>
              <w:bottom w:w="60" w:type="dxa"/>
              <w:right w:w="100" w:type="dxa"/>
            </w:tcMar>
            <w:vAlign w:val="center"/>
          </w:tcPr>
          <w:p w14:paraId="7AEEE6E1"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ahoma" w:hAnsiTheme="majorBidi" w:cstheme="majorBidi"/>
                <w:b/>
                <w:bCs/>
                <w:color w:val="FFFFFF"/>
                <w:sz w:val="18"/>
                <w:szCs w:val="18"/>
                <w:lang w:val="en-CA" w:eastAsia="en-GB"/>
              </w:rPr>
              <w:t>Time horizon</w:t>
            </w:r>
          </w:p>
        </w:tc>
        <w:tc>
          <w:tcPr>
            <w:tcW w:w="1276" w:type="dxa"/>
            <w:tcBorders>
              <w:top w:val="single" w:sz="1" w:space="0" w:color="AAAAAA"/>
              <w:left w:val="single" w:sz="1" w:space="0" w:color="AAAAAA"/>
              <w:bottom w:val="single" w:sz="1" w:space="0" w:color="AAAAAA"/>
              <w:right w:val="single" w:sz="1" w:space="0" w:color="AAAAAA"/>
            </w:tcBorders>
            <w:shd w:val="clear" w:color="auto" w:fill="1F4E6B"/>
          </w:tcPr>
          <w:p w14:paraId="3A1C3E60"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FFFFFF"/>
                <w:sz w:val="18"/>
                <w:szCs w:val="18"/>
                <w:lang w:val="en-CA" w:eastAsia="en-GB"/>
              </w:rPr>
            </w:pPr>
            <w:r w:rsidRPr="005F0A67">
              <w:rPr>
                <w:rFonts w:asciiTheme="majorBidi" w:eastAsia="Tahoma" w:hAnsiTheme="majorBidi" w:cstheme="majorBidi"/>
                <w:b/>
                <w:bCs/>
                <w:color w:val="FFFFFF"/>
                <w:sz w:val="18"/>
                <w:szCs w:val="18"/>
                <w:lang w:val="en-CA" w:eastAsia="en-GB"/>
              </w:rPr>
              <w:t>Likely significant?</w:t>
            </w:r>
          </w:p>
        </w:tc>
        <w:tc>
          <w:tcPr>
            <w:tcW w:w="5882" w:type="dxa"/>
            <w:tcBorders>
              <w:top w:val="single" w:sz="1" w:space="0" w:color="AAAAAA"/>
              <w:left w:val="single" w:sz="1" w:space="0" w:color="AAAAAA"/>
              <w:bottom w:val="single" w:sz="1" w:space="0" w:color="AAAAAA"/>
              <w:right w:val="single" w:sz="1" w:space="0" w:color="AAAAAA"/>
            </w:tcBorders>
            <w:shd w:val="clear" w:color="auto" w:fill="1F4E6B"/>
            <w:tcMar>
              <w:top w:w="60" w:type="dxa"/>
              <w:left w:w="100" w:type="dxa"/>
              <w:bottom w:w="60" w:type="dxa"/>
              <w:right w:w="100" w:type="dxa"/>
            </w:tcMar>
            <w:vAlign w:val="center"/>
          </w:tcPr>
          <w:p w14:paraId="6891AD6F"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ahoma" w:hAnsiTheme="majorBidi" w:cstheme="majorBidi"/>
                <w:b/>
                <w:bCs/>
                <w:color w:val="FFFFFF"/>
                <w:sz w:val="18"/>
                <w:szCs w:val="18"/>
                <w:lang w:val="en-CA" w:eastAsia="en-GB"/>
              </w:rPr>
              <w:t>Justification</w:t>
            </w:r>
          </w:p>
        </w:tc>
      </w:tr>
      <w:tr w:rsidR="005F0A67" w:rsidRPr="005F0A67" w14:paraId="29510797" w14:textId="77777777" w:rsidTr="005F0A67">
        <w:tc>
          <w:tcPr>
            <w:tcW w:w="13678" w:type="dxa"/>
            <w:gridSpan w:val="6"/>
            <w:tcBorders>
              <w:top w:val="single" w:sz="1" w:space="0" w:color="AAAAAA"/>
              <w:left w:val="single" w:sz="1" w:space="0" w:color="AAAAAA"/>
              <w:bottom w:val="single" w:sz="1" w:space="0" w:color="AAAAAA"/>
              <w:right w:val="single" w:sz="1" w:space="0" w:color="AAAAAA"/>
            </w:tcBorders>
            <w:shd w:val="clear" w:color="auto" w:fill="BFBFBF"/>
            <w:tcMar>
              <w:top w:w="60" w:type="dxa"/>
              <w:left w:w="100" w:type="dxa"/>
              <w:bottom w:w="60" w:type="dxa"/>
              <w:right w:w="100" w:type="dxa"/>
            </w:tcMar>
            <w:vAlign w:val="center"/>
          </w:tcPr>
          <w:p w14:paraId="1073109D"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000000"/>
                <w:sz w:val="18"/>
                <w:szCs w:val="18"/>
                <w:lang w:val="en-CA" w:eastAsia="en-GB"/>
              </w:rPr>
            </w:pPr>
            <w:r w:rsidRPr="005F0A67">
              <w:rPr>
                <w:rFonts w:asciiTheme="majorBidi" w:eastAsia="Tahoma" w:hAnsiTheme="majorBidi" w:cstheme="majorBidi"/>
                <w:b/>
                <w:bCs/>
                <w:color w:val="000000"/>
                <w:sz w:val="18"/>
                <w:szCs w:val="18"/>
                <w:lang w:val="en-CA" w:eastAsia="en-GB"/>
              </w:rPr>
              <w:t>Capacity to carry out R&amp;D</w:t>
            </w:r>
          </w:p>
        </w:tc>
      </w:tr>
      <w:tr w:rsidR="005F0A67" w:rsidRPr="005F0A67" w14:paraId="0CF11F28" w14:textId="77777777" w:rsidTr="005F0A67">
        <w:tc>
          <w:tcPr>
            <w:tcW w:w="0" w:type="auto"/>
            <w:tcBorders>
              <w:top w:val="single" w:sz="1" w:space="0" w:color="AAAAAA"/>
              <w:left w:val="single" w:sz="1" w:space="0" w:color="AAAAAA"/>
              <w:bottom w:val="single" w:sz="1" w:space="0" w:color="AAAAAA"/>
              <w:right w:val="single" w:sz="1" w:space="0" w:color="AAAAAA"/>
            </w:tcBorders>
            <w:shd w:val="clear" w:color="auto" w:fill="A5C9EB"/>
            <w:tcMar>
              <w:top w:w="60" w:type="dxa"/>
              <w:left w:w="100" w:type="dxa"/>
              <w:bottom w:w="60" w:type="dxa"/>
              <w:right w:w="100" w:type="dxa"/>
            </w:tcMar>
            <w:vAlign w:val="center"/>
          </w:tcPr>
          <w:p w14:paraId="249CFA4F"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000000"/>
                <w:sz w:val="18"/>
                <w:szCs w:val="18"/>
                <w:lang w:val="en-CA" w:eastAsia="en-GB"/>
              </w:rPr>
            </w:pPr>
            <w:r w:rsidRPr="005F0A67">
              <w:rPr>
                <w:rFonts w:asciiTheme="majorBidi" w:eastAsia="Tahoma" w:hAnsiTheme="majorBidi" w:cstheme="majorBidi"/>
                <w:b/>
                <w:bCs/>
                <w:color w:val="000000"/>
                <w:sz w:val="18"/>
                <w:szCs w:val="18"/>
                <w:lang w:val="en-CA" w:eastAsia="en-GB"/>
              </w:rPr>
              <w:t xml:space="preserve">R&amp;D investment capacity </w:t>
            </w:r>
            <w:r w:rsidRPr="005F0A67">
              <w:rPr>
                <w:rFonts w:ascii="Cambria Math" w:eastAsia="Tahoma" w:hAnsi="Cambria Math" w:cs="Cambria Math"/>
                <w:b/>
                <w:bCs/>
                <w:color w:val="000000"/>
                <w:sz w:val="18"/>
                <w:szCs w:val="18"/>
                <w:lang w:val="en-CA" w:eastAsia="en-GB"/>
              </w:rPr>
              <w:t>◆</w:t>
            </w:r>
            <w:r w:rsidRPr="005F0A67">
              <w:rPr>
                <w:rFonts w:asciiTheme="majorBidi" w:eastAsia="Tahoma" w:hAnsiTheme="majorBidi" w:cstheme="majorBidi"/>
                <w:color w:val="000000"/>
                <w:sz w:val="18"/>
                <w:szCs w:val="18"/>
                <w:vertAlign w:val="superscript"/>
                <w:lang w:val="en-CA" w:eastAsia="en-GB"/>
              </w:rPr>
              <w:footnoteReference w:id="70"/>
            </w:r>
          </w:p>
        </w:tc>
        <w:tc>
          <w:tcPr>
            <w:tcW w:w="3073" w:type="dxa"/>
            <w:tcBorders>
              <w:top w:val="single" w:sz="1" w:space="0" w:color="AAAAAA"/>
              <w:left w:val="single" w:sz="1" w:space="0" w:color="AAAAAA"/>
              <w:bottom w:val="single" w:sz="1" w:space="0" w:color="AAAAAA"/>
              <w:right w:val="single" w:sz="1" w:space="0" w:color="AAAAAA"/>
            </w:tcBorders>
            <w:shd w:val="clear" w:color="auto" w:fill="A5C9EB"/>
            <w:tcMar>
              <w:top w:w="60" w:type="dxa"/>
              <w:left w:w="100" w:type="dxa"/>
              <w:bottom w:w="60" w:type="dxa"/>
              <w:right w:w="100" w:type="dxa"/>
            </w:tcMar>
            <w:vAlign w:val="center"/>
          </w:tcPr>
          <w:p w14:paraId="353B62FF"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Reduction in capital available for research and development activity operating through margin compression or reduced free cash flow due to the contribution</w:t>
            </w:r>
          </w:p>
        </w:tc>
        <w:tc>
          <w:tcPr>
            <w:tcW w:w="1026" w:type="dxa"/>
            <w:tcBorders>
              <w:top w:val="single" w:sz="1" w:space="0" w:color="AAAAAA"/>
              <w:left w:val="single" w:sz="1" w:space="0" w:color="AAAAAA"/>
              <w:bottom w:val="single" w:sz="1" w:space="0" w:color="AAAAAA"/>
              <w:right w:val="single" w:sz="1" w:space="0" w:color="AAAAAA"/>
            </w:tcBorders>
            <w:shd w:val="clear" w:color="auto" w:fill="A5C9EB"/>
            <w:tcMar>
              <w:top w:w="60" w:type="dxa"/>
              <w:left w:w="100" w:type="dxa"/>
              <w:bottom w:w="60" w:type="dxa"/>
              <w:right w:w="100" w:type="dxa"/>
            </w:tcMar>
            <w:vAlign w:val="center"/>
          </w:tcPr>
          <w:p w14:paraId="42519040"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Direct</w:t>
            </w:r>
          </w:p>
        </w:tc>
        <w:tc>
          <w:tcPr>
            <w:tcW w:w="992" w:type="dxa"/>
            <w:tcBorders>
              <w:top w:val="single" w:sz="1" w:space="0" w:color="AAAAAA"/>
              <w:left w:val="single" w:sz="1" w:space="0" w:color="AAAAAA"/>
              <w:bottom w:val="single" w:sz="1" w:space="0" w:color="AAAAAA"/>
              <w:right w:val="single" w:sz="1" w:space="0" w:color="AAAAAA"/>
            </w:tcBorders>
            <w:shd w:val="clear" w:color="auto" w:fill="A5C9EB"/>
            <w:tcMar>
              <w:top w:w="60" w:type="dxa"/>
              <w:left w:w="100" w:type="dxa"/>
              <w:bottom w:w="60" w:type="dxa"/>
              <w:right w:w="100" w:type="dxa"/>
            </w:tcMar>
            <w:vAlign w:val="center"/>
          </w:tcPr>
          <w:p w14:paraId="4E17C941"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Long-term</w:t>
            </w:r>
          </w:p>
        </w:tc>
        <w:tc>
          <w:tcPr>
            <w:tcW w:w="1276" w:type="dxa"/>
            <w:tcBorders>
              <w:top w:val="single" w:sz="1" w:space="0" w:color="AAAAAA"/>
              <w:left w:val="single" w:sz="1" w:space="0" w:color="AAAAAA"/>
              <w:bottom w:val="single" w:sz="1" w:space="0" w:color="AAAAAA"/>
              <w:right w:val="single" w:sz="1" w:space="0" w:color="AAAAAA"/>
            </w:tcBorders>
            <w:shd w:val="clear" w:color="auto" w:fill="A5C9EB"/>
            <w:tcMar>
              <w:top w:w="60" w:type="dxa"/>
              <w:left w:w="100" w:type="dxa"/>
              <w:bottom w:w="60" w:type="dxa"/>
              <w:right w:w="100" w:type="dxa"/>
            </w:tcMar>
            <w:vAlign w:val="center"/>
          </w:tcPr>
          <w:p w14:paraId="0190B2EF"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000000"/>
                <w:sz w:val="18"/>
                <w:szCs w:val="18"/>
                <w:lang w:val="en-CA" w:eastAsia="en-GB"/>
              </w:rPr>
            </w:pPr>
            <w:r w:rsidRPr="005F0A67">
              <w:rPr>
                <w:rFonts w:asciiTheme="majorBidi" w:eastAsia="Tahoma" w:hAnsiTheme="majorBidi" w:cstheme="majorBidi"/>
                <w:b/>
                <w:bCs/>
                <w:color w:val="000000"/>
                <w:sz w:val="18"/>
                <w:szCs w:val="18"/>
                <w:lang w:val="en-CA" w:eastAsia="en-GB"/>
              </w:rPr>
              <w:t>Yes</w:t>
            </w:r>
          </w:p>
        </w:tc>
        <w:tc>
          <w:tcPr>
            <w:tcW w:w="5882" w:type="dxa"/>
            <w:tcBorders>
              <w:top w:val="single" w:sz="1" w:space="0" w:color="AAAAAA"/>
              <w:left w:val="single" w:sz="1" w:space="0" w:color="AAAAAA"/>
              <w:bottom w:val="single" w:sz="1" w:space="0" w:color="AAAAAA"/>
              <w:right w:val="single" w:sz="1" w:space="0" w:color="AAAAAA"/>
            </w:tcBorders>
            <w:shd w:val="clear" w:color="auto" w:fill="A5C9EB"/>
            <w:tcMar>
              <w:top w:w="60" w:type="dxa"/>
              <w:left w:w="100" w:type="dxa"/>
              <w:bottom w:w="60" w:type="dxa"/>
              <w:right w:w="100" w:type="dxa"/>
            </w:tcMar>
            <w:vAlign w:val="center"/>
          </w:tcPr>
          <w:p w14:paraId="272D3904"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 xml:space="preserve">R&amp;D-intensive sectors face a direct trade-off between contribution payments and investable capital; most significant for firms with long pipeline horizons and high R&amp;D intensity. See Section 7.4 - a comparable one percentage point profit tax burden reduces R&amp;D by approximately 6-7% over eight years, with larger effects for financially constrained firms </w:t>
            </w:r>
            <w:r w:rsidRPr="005F0A67">
              <w:rPr>
                <w:rFonts w:asciiTheme="majorBidi" w:eastAsia="Tahoma" w:hAnsiTheme="majorBidi" w:cstheme="majorBidi"/>
                <w:color w:val="000000"/>
                <w:sz w:val="18"/>
                <w:szCs w:val="18"/>
                <w:lang w:val="en-CA" w:eastAsia="en-GB"/>
              </w:rPr>
              <w:fldChar w:fldCharType="begin"/>
            </w:r>
            <w:r w:rsidRPr="005F0A67">
              <w:rPr>
                <w:rFonts w:asciiTheme="majorBidi" w:eastAsia="Tahoma" w:hAnsiTheme="majorBidi" w:cstheme="majorBidi"/>
                <w:color w:val="000000"/>
                <w:sz w:val="18"/>
                <w:szCs w:val="18"/>
                <w:lang w:val="en-CA" w:eastAsia="en-GB"/>
              </w:rPr>
              <w:instrText xml:space="preserve"> ADDIN ZOTERO_ITEM CSL_CITATION {"citationID":"axWwU8Iw","properties":{"unsorted":false,"formattedCitation":"(Lichter {\\i{}et al.}, 2025)","plainCitation":"(Lichter et al., 2025)","noteIndex":0},"citationItems":[{"id":181,"uris":["http://zotero.org/users/14977742/items/H43L3BEQ"],"itemData":{"id":181,"type":"article-journal","abstract":"We study how profit taxes affect establishments' R&amp;D activities. Relying on detailed panel data of R&amp;D-active firms in Germany over two decades, we exploit identifying variation induced by more than 10,000 municipal changes in the local business tax rate and federal tax reforms with locally varying effects. Using event-study techniques, we find a sizable, negative effect of profit taxes on establishments' total R&amp;D spending and patents filed. Zooming into the innovation production process, we uncover substantial heterogeneity in the impact of profit taxation for various R&amp;D input factors, among firm characteristics, and for different types of research projects.","citation-key":"lichterProfitTaxationRampD2025","container-title":"American Economic Journal: Economic Policy","DOI":"10.1257/pol.20220580","ISSN":"1945-7731","issue":"1","language":"en","page":"432-463","source":"www.aeaweb.org","title":"Profit Taxation, R&amp;amp;D Spending, and Innovation","volume":"17","author":[{"family":"Lichter","given":"Andreas"},{"family":"Löffler","given":"Max"},{"family":"Isphording","given":"Ingo E."},{"family":"Nguyen","given":"Thu-Van"},{"family":"Poege","given":"Felix"},{"family":"Siegloch","given":"Sebastian"}],"issued":{"date-parts":[["2025",2]]}}}],"schema":"https://github.com/citation-style-language/schema/raw/master/csl-citation.json"} </w:instrText>
            </w:r>
            <w:r w:rsidRPr="005F0A67">
              <w:rPr>
                <w:rFonts w:asciiTheme="majorBidi" w:eastAsia="Tahoma" w:hAnsiTheme="majorBidi" w:cstheme="majorBidi"/>
                <w:color w:val="000000"/>
                <w:sz w:val="18"/>
                <w:szCs w:val="18"/>
                <w:lang w:val="en-CA" w:eastAsia="en-GB"/>
              </w:rPr>
              <w:fldChar w:fldCharType="separate"/>
            </w:r>
            <w:r w:rsidRPr="005F0A67">
              <w:rPr>
                <w:rFonts w:asciiTheme="majorBidi" w:eastAsia="Georgia" w:hAnsiTheme="majorBidi" w:cstheme="majorBidi"/>
                <w:color w:val="000000"/>
                <w:sz w:val="18"/>
                <w:szCs w:val="18"/>
                <w:lang w:val="en-CA" w:eastAsia="en-GB"/>
              </w:rPr>
              <w:t xml:space="preserve">(Lichter </w:t>
            </w:r>
            <w:r w:rsidRPr="005F0A67">
              <w:rPr>
                <w:rFonts w:asciiTheme="majorBidi" w:eastAsia="Georgia" w:hAnsiTheme="majorBidi" w:cstheme="majorBidi"/>
                <w:i/>
                <w:iCs/>
                <w:color w:val="000000"/>
                <w:sz w:val="18"/>
                <w:szCs w:val="18"/>
                <w:lang w:val="en-CA" w:eastAsia="en-GB"/>
              </w:rPr>
              <w:t>et al.</w:t>
            </w:r>
            <w:r w:rsidRPr="005F0A67">
              <w:rPr>
                <w:rFonts w:asciiTheme="majorBidi" w:eastAsia="Georgia" w:hAnsiTheme="majorBidi" w:cstheme="majorBidi"/>
                <w:color w:val="000000"/>
                <w:sz w:val="18"/>
                <w:szCs w:val="18"/>
                <w:lang w:val="en-CA" w:eastAsia="en-GB"/>
              </w:rPr>
              <w:t>, 2025)</w:t>
            </w:r>
            <w:r w:rsidRPr="005F0A67">
              <w:rPr>
                <w:rFonts w:asciiTheme="majorBidi" w:eastAsia="Tahoma" w:hAnsiTheme="majorBidi" w:cstheme="majorBidi"/>
                <w:color w:val="000000"/>
                <w:sz w:val="18"/>
                <w:szCs w:val="18"/>
                <w:lang w:val="en-CA" w:eastAsia="en-GB"/>
              </w:rPr>
              <w:fldChar w:fldCharType="end"/>
            </w:r>
            <w:r w:rsidRPr="005F0A67">
              <w:rPr>
                <w:rFonts w:asciiTheme="majorBidi" w:eastAsia="Tahoma" w:hAnsiTheme="majorBidi" w:cstheme="majorBidi"/>
                <w:color w:val="000000"/>
                <w:sz w:val="18"/>
                <w:szCs w:val="18"/>
                <w:lang w:val="en-CA" w:eastAsia="en-GB"/>
              </w:rPr>
              <w:t>.</w:t>
            </w:r>
          </w:p>
        </w:tc>
      </w:tr>
      <w:tr w:rsidR="005F0A67" w:rsidRPr="005F0A67" w14:paraId="3C43B00F" w14:textId="77777777" w:rsidTr="005F0A67">
        <w:tc>
          <w:tcPr>
            <w:tcW w:w="0" w:type="auto"/>
            <w:tcBorders>
              <w:top w:val="single" w:sz="1" w:space="0" w:color="AAAAAA"/>
              <w:left w:val="single" w:sz="1" w:space="0" w:color="AAAAAA"/>
              <w:bottom w:val="single" w:sz="1" w:space="0" w:color="AAAAAA"/>
              <w:right w:val="single" w:sz="1" w:space="0" w:color="AAAAAA"/>
            </w:tcBorders>
            <w:shd w:val="clear" w:color="auto" w:fill="F2F2F2"/>
            <w:tcMar>
              <w:top w:w="60" w:type="dxa"/>
              <w:left w:w="100" w:type="dxa"/>
              <w:bottom w:w="60" w:type="dxa"/>
              <w:right w:w="100" w:type="dxa"/>
            </w:tcMar>
            <w:vAlign w:val="center"/>
          </w:tcPr>
          <w:p w14:paraId="1944F233"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000000"/>
                <w:sz w:val="18"/>
                <w:szCs w:val="18"/>
                <w:lang w:val="en-CA" w:eastAsia="en-GB"/>
              </w:rPr>
            </w:pPr>
            <w:r w:rsidRPr="005F0A67">
              <w:rPr>
                <w:rFonts w:asciiTheme="majorBidi" w:eastAsia="Tahoma" w:hAnsiTheme="majorBidi" w:cstheme="majorBidi"/>
                <w:b/>
                <w:bCs/>
                <w:color w:val="000000"/>
                <w:sz w:val="18"/>
                <w:szCs w:val="18"/>
                <w:lang w:val="en-CA" w:eastAsia="en-GB"/>
              </w:rPr>
              <w:t>IP protection efficiency</w:t>
            </w:r>
          </w:p>
        </w:tc>
        <w:tc>
          <w:tcPr>
            <w:tcW w:w="3073" w:type="dxa"/>
            <w:tcBorders>
              <w:top w:val="single" w:sz="1" w:space="0" w:color="AAAAAA"/>
              <w:left w:val="single" w:sz="1" w:space="0" w:color="AAAAAA"/>
              <w:bottom w:val="single" w:sz="1" w:space="0" w:color="AAAAAA"/>
              <w:right w:val="single" w:sz="1" w:space="0" w:color="AAAAAA"/>
            </w:tcBorders>
            <w:shd w:val="clear" w:color="auto" w:fill="F2F2F2"/>
            <w:tcMar>
              <w:top w:w="60" w:type="dxa"/>
              <w:left w:w="100" w:type="dxa"/>
              <w:bottom w:w="60" w:type="dxa"/>
              <w:right w:w="100" w:type="dxa"/>
            </w:tcMar>
            <w:vAlign w:val="center"/>
          </w:tcPr>
          <w:p w14:paraId="050C5441"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Whether the mechanism affects the ability of firms to appropriate returns from innovation investment through IP protection frameworks</w:t>
            </w:r>
          </w:p>
        </w:tc>
        <w:tc>
          <w:tcPr>
            <w:tcW w:w="1026" w:type="dxa"/>
            <w:tcBorders>
              <w:top w:val="single" w:sz="1" w:space="0" w:color="AAAAAA"/>
              <w:left w:val="single" w:sz="1" w:space="0" w:color="AAAAAA"/>
              <w:bottom w:val="single" w:sz="1" w:space="0" w:color="AAAAAA"/>
              <w:right w:val="single" w:sz="1" w:space="0" w:color="AAAAAA"/>
            </w:tcBorders>
            <w:shd w:val="clear" w:color="auto" w:fill="F2F2F2"/>
            <w:tcMar>
              <w:top w:w="60" w:type="dxa"/>
              <w:left w:w="100" w:type="dxa"/>
              <w:bottom w:w="60" w:type="dxa"/>
              <w:right w:w="100" w:type="dxa"/>
            </w:tcMar>
            <w:vAlign w:val="center"/>
          </w:tcPr>
          <w:p w14:paraId="4508E28B"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Direct</w:t>
            </w:r>
          </w:p>
        </w:tc>
        <w:tc>
          <w:tcPr>
            <w:tcW w:w="992" w:type="dxa"/>
            <w:tcBorders>
              <w:top w:val="single" w:sz="1" w:space="0" w:color="AAAAAA"/>
              <w:left w:val="single" w:sz="1" w:space="0" w:color="AAAAAA"/>
              <w:bottom w:val="single" w:sz="1" w:space="0" w:color="AAAAAA"/>
              <w:right w:val="single" w:sz="1" w:space="0" w:color="AAAAAA"/>
            </w:tcBorders>
            <w:shd w:val="clear" w:color="auto" w:fill="F2F2F2"/>
            <w:tcMar>
              <w:top w:w="60" w:type="dxa"/>
              <w:left w:w="100" w:type="dxa"/>
              <w:bottom w:w="60" w:type="dxa"/>
              <w:right w:w="100" w:type="dxa"/>
            </w:tcMar>
            <w:vAlign w:val="center"/>
          </w:tcPr>
          <w:p w14:paraId="00E7D50A"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Long-term</w:t>
            </w:r>
          </w:p>
        </w:tc>
        <w:tc>
          <w:tcPr>
            <w:tcW w:w="1276" w:type="dxa"/>
            <w:tcBorders>
              <w:top w:val="single" w:sz="1" w:space="0" w:color="AAAAAA"/>
              <w:left w:val="single" w:sz="1" w:space="0" w:color="AAAAAA"/>
              <w:bottom w:val="single" w:sz="1" w:space="0" w:color="AAAAAA"/>
              <w:right w:val="single" w:sz="1" w:space="0" w:color="AAAAAA"/>
            </w:tcBorders>
            <w:shd w:val="clear" w:color="auto" w:fill="F2F2F2"/>
            <w:tcMar>
              <w:top w:w="60" w:type="dxa"/>
              <w:left w:w="100" w:type="dxa"/>
              <w:bottom w:w="60" w:type="dxa"/>
              <w:right w:w="100" w:type="dxa"/>
            </w:tcMar>
            <w:vAlign w:val="center"/>
          </w:tcPr>
          <w:p w14:paraId="58E49708"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000000"/>
                <w:sz w:val="18"/>
                <w:szCs w:val="18"/>
                <w:lang w:val="en-CA" w:eastAsia="en-GB"/>
              </w:rPr>
            </w:pPr>
            <w:r w:rsidRPr="005F0A67">
              <w:rPr>
                <w:rFonts w:asciiTheme="majorBidi" w:eastAsia="Tahoma" w:hAnsiTheme="majorBidi" w:cstheme="majorBidi"/>
                <w:b/>
                <w:bCs/>
                <w:color w:val="000000"/>
                <w:sz w:val="18"/>
                <w:szCs w:val="18"/>
                <w:lang w:val="en-CA" w:eastAsia="en-GB"/>
              </w:rPr>
              <w:t>No</w:t>
            </w:r>
          </w:p>
        </w:tc>
        <w:tc>
          <w:tcPr>
            <w:tcW w:w="5882" w:type="dxa"/>
            <w:tcBorders>
              <w:top w:val="single" w:sz="1" w:space="0" w:color="AAAAAA"/>
              <w:left w:val="single" w:sz="1" w:space="0" w:color="AAAAAA"/>
              <w:bottom w:val="single" w:sz="1" w:space="0" w:color="AAAAAA"/>
              <w:right w:val="single" w:sz="1" w:space="0" w:color="AAAAAA"/>
            </w:tcBorders>
            <w:shd w:val="clear" w:color="auto" w:fill="F2F2F2"/>
            <w:tcMar>
              <w:top w:w="60" w:type="dxa"/>
              <w:left w:w="100" w:type="dxa"/>
              <w:bottom w:w="60" w:type="dxa"/>
              <w:right w:w="100" w:type="dxa"/>
            </w:tcMar>
            <w:vAlign w:val="center"/>
          </w:tcPr>
          <w:p w14:paraId="5482E2CD"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Contribution structure does not interact directly with IP protection frameworks; no mechanism by which the payment alters patent, copyright, or trade secret protections for any eligible firm type.</w:t>
            </w:r>
          </w:p>
        </w:tc>
      </w:tr>
      <w:tr w:rsidR="005F0A67" w:rsidRPr="005F0A67" w14:paraId="469E9638" w14:textId="77777777" w:rsidTr="005F0A67">
        <w:tc>
          <w:tcPr>
            <w:tcW w:w="13678" w:type="dxa"/>
            <w:gridSpan w:val="6"/>
            <w:tcBorders>
              <w:top w:val="single" w:sz="1" w:space="0" w:color="AAAAAA"/>
              <w:left w:val="single" w:sz="1" w:space="0" w:color="AAAAAA"/>
              <w:bottom w:val="single" w:sz="1" w:space="0" w:color="AAAAAA"/>
              <w:right w:val="single" w:sz="1" w:space="0" w:color="AAAAAA"/>
            </w:tcBorders>
            <w:shd w:val="clear" w:color="auto" w:fill="BFBFBF"/>
            <w:tcMar>
              <w:top w:w="60" w:type="dxa"/>
              <w:left w:w="100" w:type="dxa"/>
              <w:bottom w:w="60" w:type="dxa"/>
              <w:right w:w="100" w:type="dxa"/>
            </w:tcMar>
            <w:vAlign w:val="center"/>
          </w:tcPr>
          <w:p w14:paraId="0BC60446"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000000"/>
                <w:sz w:val="18"/>
                <w:szCs w:val="18"/>
                <w:lang w:val="en-CA" w:eastAsia="en-GB"/>
              </w:rPr>
            </w:pPr>
            <w:r w:rsidRPr="005F0A67">
              <w:rPr>
                <w:rFonts w:asciiTheme="majorBidi" w:eastAsia="Tahoma" w:hAnsiTheme="majorBidi" w:cstheme="majorBidi"/>
                <w:b/>
                <w:bCs/>
                <w:color w:val="000000"/>
                <w:sz w:val="18"/>
                <w:szCs w:val="18"/>
                <w:lang w:val="en-CA" w:eastAsia="en-GB"/>
              </w:rPr>
              <w:t>Capacity to market new or improved products</w:t>
            </w:r>
          </w:p>
        </w:tc>
      </w:tr>
      <w:tr w:rsidR="005F0A67" w:rsidRPr="005F0A67" w14:paraId="2C1D5167" w14:textId="77777777" w:rsidTr="005F0A67">
        <w:tc>
          <w:tcPr>
            <w:tcW w:w="0" w:type="auto"/>
            <w:tcBorders>
              <w:top w:val="single" w:sz="1" w:space="0" w:color="AAAAAA"/>
              <w:left w:val="single" w:sz="1" w:space="0" w:color="AAAAAA"/>
              <w:bottom w:val="single" w:sz="1" w:space="0" w:color="AAAAAA"/>
              <w:right w:val="single" w:sz="1" w:space="0" w:color="AAAAAA"/>
            </w:tcBorders>
            <w:shd w:val="clear" w:color="auto" w:fill="A5C9EB"/>
            <w:tcMar>
              <w:top w:w="60" w:type="dxa"/>
              <w:left w:w="100" w:type="dxa"/>
              <w:bottom w:w="60" w:type="dxa"/>
              <w:right w:w="100" w:type="dxa"/>
            </w:tcMar>
            <w:vAlign w:val="center"/>
          </w:tcPr>
          <w:p w14:paraId="4CF5C34D"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000000"/>
                <w:sz w:val="18"/>
                <w:szCs w:val="18"/>
                <w:lang w:val="en-CA" w:eastAsia="en-GB"/>
              </w:rPr>
            </w:pPr>
            <w:r w:rsidRPr="005F0A67">
              <w:rPr>
                <w:rFonts w:asciiTheme="majorBidi" w:eastAsia="Tahoma" w:hAnsiTheme="majorBidi" w:cstheme="majorBidi"/>
                <w:b/>
                <w:bCs/>
                <w:color w:val="000000"/>
                <w:sz w:val="18"/>
                <w:szCs w:val="18"/>
                <w:lang w:val="en-CA" w:eastAsia="en-GB"/>
              </w:rPr>
              <w:t xml:space="preserve">Product innovation capacity </w:t>
            </w:r>
            <w:r w:rsidRPr="005F0A67">
              <w:rPr>
                <w:rFonts w:ascii="Cambria Math" w:eastAsia="Tahoma" w:hAnsi="Cambria Math" w:cs="Cambria Math"/>
                <w:b/>
                <w:bCs/>
                <w:color w:val="000000"/>
                <w:sz w:val="18"/>
                <w:szCs w:val="18"/>
                <w:lang w:val="en-CA" w:eastAsia="en-GB"/>
              </w:rPr>
              <w:t>◆</w:t>
            </w:r>
            <w:r w:rsidRPr="005F0A67">
              <w:rPr>
                <w:rFonts w:asciiTheme="majorBidi" w:eastAsia="Tahoma" w:hAnsiTheme="majorBidi" w:cstheme="majorBidi"/>
                <w:color w:val="000000"/>
                <w:sz w:val="18"/>
                <w:szCs w:val="18"/>
                <w:vertAlign w:val="superscript"/>
                <w:lang w:val="en-CA" w:eastAsia="en-GB"/>
              </w:rPr>
              <w:footnoteReference w:id="71"/>
            </w:r>
          </w:p>
        </w:tc>
        <w:tc>
          <w:tcPr>
            <w:tcW w:w="3073" w:type="dxa"/>
            <w:tcBorders>
              <w:top w:val="single" w:sz="1" w:space="0" w:color="AAAAAA"/>
              <w:left w:val="single" w:sz="1" w:space="0" w:color="AAAAAA"/>
              <w:bottom w:val="single" w:sz="1" w:space="0" w:color="AAAAAA"/>
              <w:right w:val="single" w:sz="1" w:space="0" w:color="AAAAAA"/>
            </w:tcBorders>
            <w:shd w:val="clear" w:color="auto" w:fill="A5C9EB"/>
            <w:tcMar>
              <w:top w:w="60" w:type="dxa"/>
              <w:left w:w="100" w:type="dxa"/>
              <w:bottom w:w="60" w:type="dxa"/>
              <w:right w:w="100" w:type="dxa"/>
            </w:tcMar>
            <w:vAlign w:val="center"/>
          </w:tcPr>
          <w:p w14:paraId="0B523C77"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Reduction in capital available for development and commercialisation of new or improved products, operating through the same margin compression channel as R&amp;D investment capacity</w:t>
            </w:r>
          </w:p>
        </w:tc>
        <w:tc>
          <w:tcPr>
            <w:tcW w:w="1026" w:type="dxa"/>
            <w:tcBorders>
              <w:top w:val="single" w:sz="1" w:space="0" w:color="AAAAAA"/>
              <w:left w:val="single" w:sz="1" w:space="0" w:color="AAAAAA"/>
              <w:bottom w:val="single" w:sz="1" w:space="0" w:color="AAAAAA"/>
              <w:right w:val="single" w:sz="1" w:space="0" w:color="AAAAAA"/>
            </w:tcBorders>
            <w:shd w:val="clear" w:color="auto" w:fill="A5C9EB"/>
            <w:tcMar>
              <w:top w:w="60" w:type="dxa"/>
              <w:left w:w="100" w:type="dxa"/>
              <w:bottom w:w="60" w:type="dxa"/>
              <w:right w:w="100" w:type="dxa"/>
            </w:tcMar>
            <w:vAlign w:val="center"/>
          </w:tcPr>
          <w:p w14:paraId="6CE64C63"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Direct</w:t>
            </w:r>
          </w:p>
        </w:tc>
        <w:tc>
          <w:tcPr>
            <w:tcW w:w="992" w:type="dxa"/>
            <w:tcBorders>
              <w:top w:val="single" w:sz="1" w:space="0" w:color="AAAAAA"/>
              <w:left w:val="single" w:sz="1" w:space="0" w:color="AAAAAA"/>
              <w:bottom w:val="single" w:sz="1" w:space="0" w:color="AAAAAA"/>
              <w:right w:val="single" w:sz="1" w:space="0" w:color="AAAAAA"/>
            </w:tcBorders>
            <w:shd w:val="clear" w:color="auto" w:fill="A5C9EB"/>
            <w:tcMar>
              <w:top w:w="60" w:type="dxa"/>
              <w:left w:w="100" w:type="dxa"/>
              <w:bottom w:w="60" w:type="dxa"/>
              <w:right w:w="100" w:type="dxa"/>
            </w:tcMar>
            <w:vAlign w:val="center"/>
          </w:tcPr>
          <w:p w14:paraId="5A0D63C8"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Long-term</w:t>
            </w:r>
          </w:p>
        </w:tc>
        <w:tc>
          <w:tcPr>
            <w:tcW w:w="1276" w:type="dxa"/>
            <w:tcBorders>
              <w:top w:val="single" w:sz="1" w:space="0" w:color="AAAAAA"/>
              <w:left w:val="single" w:sz="1" w:space="0" w:color="AAAAAA"/>
              <w:bottom w:val="single" w:sz="1" w:space="0" w:color="AAAAAA"/>
              <w:right w:val="single" w:sz="1" w:space="0" w:color="AAAAAA"/>
            </w:tcBorders>
            <w:shd w:val="clear" w:color="auto" w:fill="A5C9EB"/>
            <w:tcMar>
              <w:top w:w="60" w:type="dxa"/>
              <w:left w:w="100" w:type="dxa"/>
              <w:bottom w:w="60" w:type="dxa"/>
              <w:right w:w="100" w:type="dxa"/>
            </w:tcMar>
            <w:vAlign w:val="center"/>
          </w:tcPr>
          <w:p w14:paraId="4EB9C633"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000000"/>
                <w:sz w:val="18"/>
                <w:szCs w:val="18"/>
                <w:lang w:val="en-CA" w:eastAsia="en-GB"/>
              </w:rPr>
            </w:pPr>
            <w:r w:rsidRPr="005F0A67">
              <w:rPr>
                <w:rFonts w:asciiTheme="majorBidi" w:eastAsia="Tahoma" w:hAnsiTheme="majorBidi" w:cstheme="majorBidi"/>
                <w:b/>
                <w:bCs/>
                <w:color w:val="000000"/>
                <w:sz w:val="18"/>
                <w:szCs w:val="18"/>
                <w:lang w:val="en-CA" w:eastAsia="en-GB"/>
              </w:rPr>
              <w:t>Yes</w:t>
            </w:r>
          </w:p>
        </w:tc>
        <w:tc>
          <w:tcPr>
            <w:tcW w:w="5882" w:type="dxa"/>
            <w:tcBorders>
              <w:top w:val="single" w:sz="1" w:space="0" w:color="AAAAAA"/>
              <w:left w:val="single" w:sz="1" w:space="0" w:color="AAAAAA"/>
              <w:bottom w:val="single" w:sz="1" w:space="0" w:color="AAAAAA"/>
              <w:right w:val="single" w:sz="1" w:space="0" w:color="AAAAAA"/>
            </w:tcBorders>
            <w:shd w:val="clear" w:color="auto" w:fill="A5C9EB"/>
            <w:tcMar>
              <w:top w:w="60" w:type="dxa"/>
              <w:left w:w="100" w:type="dxa"/>
              <w:bottom w:w="60" w:type="dxa"/>
              <w:right w:w="100" w:type="dxa"/>
            </w:tcMar>
            <w:vAlign w:val="center"/>
          </w:tcPr>
          <w:p w14:paraId="47F56480"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 xml:space="preserve">Most significant for sectors with high product development costs and long commercialisation timelines. See Section 7.4 - innovation effects are most pronounced for financially constrained firms; large multinationals accounting for the bulk of contributions are less exposed </w:t>
            </w:r>
            <w:r w:rsidRPr="005F0A67">
              <w:rPr>
                <w:rFonts w:asciiTheme="majorBidi" w:eastAsia="Tahoma" w:hAnsiTheme="majorBidi" w:cstheme="majorBidi"/>
                <w:color w:val="000000"/>
                <w:sz w:val="18"/>
                <w:szCs w:val="18"/>
                <w:lang w:val="en-CA" w:eastAsia="en-GB"/>
              </w:rPr>
              <w:fldChar w:fldCharType="begin"/>
            </w:r>
            <w:r w:rsidRPr="005F0A67">
              <w:rPr>
                <w:rFonts w:asciiTheme="majorBidi" w:eastAsia="Tahoma" w:hAnsiTheme="majorBidi" w:cstheme="majorBidi"/>
                <w:color w:val="000000"/>
                <w:sz w:val="18"/>
                <w:szCs w:val="18"/>
                <w:lang w:val="en-CA" w:eastAsia="en-GB"/>
              </w:rPr>
              <w:instrText xml:space="preserve"> ADDIN ZOTERO_ITEM CSL_CITATION {"citationID":"Jdg78jMo","properties":{"unsorted":false,"formattedCitation":"(Atanassov and Liu, 2020; Lichter {\\i{}et al.}, 2025)","plainCitation":"(Atanassov and Liu, 2020; Lichter et al., 2025)","noteIndex":0},"citationItems":[{"id":183,"uris":["http://zotero.org/users/14977742/items/J3VINYQV"],"itemData":{"id":183,"type":"article-journal","abstract":"We hypothesize that corporate income taxes distort firms’ incentives to innovate by reducing their pledgeable income. Using a differences-in-differences methodology, we document that large corporate income tax cuts boost corporate innovation. We find a similar but opposite effect for tax increases. Most of the change in innovation occurs 2 or more years after the tax change, and there’s no effect before the tax change. Exploring the mechanisms, we show that tax cuts have a stronger impact on innovation for firms with weaker governance, greater financial constraints, fewer tangible assets, smaller patent stock, and a greater degree of tax avoidance.","citation-key":"atanassovCanCorporateIncome2020","container-title":"Journal of Financial and Quantitative Analysis","DOI":"10.1017/S0022109019000152","ISSN":"0022-1090, 1756-6916","issue":"5","language":"en","page":"1415-1465","source":"Cambridge University Press","title":"Can Corporate Income Tax Cuts Stimulate Innovation?","volume":"55","author":[{"family":"Atanassov","given":"Julian"},{"family":"Liu","given":"Xiaoding"}],"issued":{"date-parts":[["2020",8]]}}},{"id":181,"uris":["http://zotero.org/users/14977742/items/H43L3BEQ"],"itemData":{"id":181,"type":"article-journal","abstract":"We study how profit taxes affect establishments' R&amp;D activities. Relying on detailed panel data of R&amp;D-active firms in Germany over two decades, we exploit identifying variation induced by more than 10,000 municipal changes in the local business tax rate and federal tax reforms with locally varying effects. Using event-study techniques, we find a sizable, negative effect of profit taxes on establishments' total R&amp;D spending and patents filed. Zooming into the innovation production process, we uncover substantial heterogeneity in the impact of profit taxation for various R&amp;D input factors, among firm characteristics, and for different types of research projects.","citation-key":"lichterProfitTaxationRampD2025","container-title":"American Economic Journal: Economic Policy","DOI":"10.1257/pol.20220580","ISSN":"1945-7731","issue":"1","language":"en","page":"432-463","source":"www.aeaweb.org","title":"Profit Taxation, R&amp;amp;D Spending, and Innovation","volume":"17","author":[{"family":"Lichter","given":"Andreas"},{"family":"Löffler","given":"Max"},{"family":"Isphording","given":"Ingo E."},{"family":"Nguyen","given":"Thu-Van"},{"family":"Poege","given":"Felix"},{"family":"Siegloch","given":"Sebastian"}],"issued":{"date-parts":[["2025",2]]}}}],"schema":"https://github.com/citation-style-language/schema/raw/master/csl-citation.json"} </w:instrText>
            </w:r>
            <w:r w:rsidRPr="005F0A67">
              <w:rPr>
                <w:rFonts w:asciiTheme="majorBidi" w:eastAsia="Tahoma" w:hAnsiTheme="majorBidi" w:cstheme="majorBidi"/>
                <w:color w:val="000000"/>
                <w:sz w:val="18"/>
                <w:szCs w:val="18"/>
                <w:lang w:val="en-CA" w:eastAsia="en-GB"/>
              </w:rPr>
              <w:fldChar w:fldCharType="separate"/>
            </w:r>
            <w:r w:rsidRPr="005F0A67">
              <w:rPr>
                <w:rFonts w:asciiTheme="majorBidi" w:eastAsia="Georgia" w:hAnsiTheme="majorBidi" w:cstheme="majorBidi"/>
                <w:color w:val="000000"/>
                <w:sz w:val="18"/>
                <w:szCs w:val="18"/>
                <w:lang w:val="en-CA" w:eastAsia="en-GB"/>
              </w:rPr>
              <w:t xml:space="preserve">(Atanassov and Liu, 2020; Lichter </w:t>
            </w:r>
            <w:r w:rsidRPr="005F0A67">
              <w:rPr>
                <w:rFonts w:asciiTheme="majorBidi" w:eastAsia="Georgia" w:hAnsiTheme="majorBidi" w:cstheme="majorBidi"/>
                <w:i/>
                <w:iCs/>
                <w:color w:val="000000"/>
                <w:sz w:val="18"/>
                <w:szCs w:val="18"/>
                <w:lang w:val="en-CA" w:eastAsia="en-GB"/>
              </w:rPr>
              <w:t>et al.</w:t>
            </w:r>
            <w:r w:rsidRPr="005F0A67">
              <w:rPr>
                <w:rFonts w:asciiTheme="majorBidi" w:eastAsia="Georgia" w:hAnsiTheme="majorBidi" w:cstheme="majorBidi"/>
                <w:color w:val="000000"/>
                <w:sz w:val="18"/>
                <w:szCs w:val="18"/>
                <w:lang w:val="en-CA" w:eastAsia="en-GB"/>
              </w:rPr>
              <w:t>, 2025)</w:t>
            </w:r>
            <w:r w:rsidRPr="005F0A67">
              <w:rPr>
                <w:rFonts w:asciiTheme="majorBidi" w:eastAsia="Tahoma" w:hAnsiTheme="majorBidi" w:cstheme="majorBidi"/>
                <w:color w:val="000000"/>
                <w:sz w:val="18"/>
                <w:szCs w:val="18"/>
                <w:lang w:val="en-CA" w:eastAsia="en-GB"/>
              </w:rPr>
              <w:fldChar w:fldCharType="end"/>
            </w:r>
            <w:r w:rsidRPr="005F0A67">
              <w:rPr>
                <w:rFonts w:asciiTheme="majorBidi" w:eastAsia="Tahoma" w:hAnsiTheme="majorBidi" w:cstheme="majorBidi"/>
                <w:color w:val="000000"/>
                <w:sz w:val="18"/>
                <w:szCs w:val="18"/>
                <w:lang w:val="en-CA" w:eastAsia="en-GB"/>
              </w:rPr>
              <w:t>.</w:t>
            </w:r>
          </w:p>
        </w:tc>
      </w:tr>
      <w:tr w:rsidR="005F0A67" w:rsidRPr="005F0A67" w14:paraId="59CEE425" w14:textId="77777777" w:rsidTr="005F0A67">
        <w:tc>
          <w:tcPr>
            <w:tcW w:w="13678" w:type="dxa"/>
            <w:gridSpan w:val="6"/>
            <w:tcBorders>
              <w:top w:val="single" w:sz="1" w:space="0" w:color="AAAAAA"/>
              <w:left w:val="single" w:sz="1" w:space="0" w:color="AAAAAA"/>
              <w:bottom w:val="single" w:sz="1" w:space="0" w:color="AAAAAA"/>
              <w:right w:val="single" w:sz="1" w:space="0" w:color="AAAAAA"/>
            </w:tcBorders>
            <w:shd w:val="clear" w:color="auto" w:fill="BFBFBF"/>
            <w:tcMar>
              <w:top w:w="60" w:type="dxa"/>
              <w:left w:w="100" w:type="dxa"/>
              <w:bottom w:w="60" w:type="dxa"/>
              <w:right w:w="100" w:type="dxa"/>
            </w:tcMar>
            <w:vAlign w:val="center"/>
          </w:tcPr>
          <w:p w14:paraId="7BC89A28"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000000"/>
                <w:sz w:val="18"/>
                <w:szCs w:val="18"/>
                <w:lang w:val="en-CA" w:eastAsia="en-GB"/>
              </w:rPr>
            </w:pPr>
            <w:r w:rsidRPr="005F0A67">
              <w:rPr>
                <w:rFonts w:asciiTheme="majorBidi" w:eastAsia="Tahoma" w:hAnsiTheme="majorBidi" w:cstheme="majorBidi"/>
                <w:b/>
                <w:bCs/>
                <w:color w:val="000000"/>
                <w:sz w:val="18"/>
                <w:szCs w:val="18"/>
                <w:lang w:val="en-CA" w:eastAsia="en-GB"/>
              </w:rPr>
              <w:t>Capacity for process innovation</w:t>
            </w:r>
          </w:p>
        </w:tc>
      </w:tr>
      <w:tr w:rsidR="005F0A67" w:rsidRPr="005F0A67" w14:paraId="5443C482" w14:textId="77777777" w:rsidTr="005F0A67">
        <w:tc>
          <w:tcPr>
            <w:tcW w:w="0" w:type="auto"/>
            <w:tcBorders>
              <w:top w:val="single" w:sz="1" w:space="0" w:color="AAAAAA"/>
              <w:left w:val="single" w:sz="1" w:space="0" w:color="AAAAAA"/>
              <w:bottom w:val="single" w:sz="1" w:space="0" w:color="AAAAAA"/>
              <w:right w:val="single" w:sz="1" w:space="0" w:color="AAAAAA"/>
            </w:tcBorders>
            <w:shd w:val="clear" w:color="auto" w:fill="F2F2F2"/>
            <w:tcMar>
              <w:top w:w="60" w:type="dxa"/>
              <w:left w:w="100" w:type="dxa"/>
              <w:bottom w:w="60" w:type="dxa"/>
              <w:right w:w="100" w:type="dxa"/>
            </w:tcMar>
            <w:vAlign w:val="center"/>
          </w:tcPr>
          <w:p w14:paraId="711343C5"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000000"/>
                <w:sz w:val="18"/>
                <w:szCs w:val="18"/>
                <w:lang w:val="en-CA" w:eastAsia="en-GB"/>
              </w:rPr>
            </w:pPr>
            <w:r w:rsidRPr="005F0A67">
              <w:rPr>
                <w:rFonts w:asciiTheme="majorBidi" w:eastAsia="Tahoma" w:hAnsiTheme="majorBidi" w:cstheme="majorBidi"/>
                <w:b/>
                <w:bCs/>
                <w:color w:val="000000"/>
                <w:sz w:val="18"/>
                <w:szCs w:val="18"/>
                <w:lang w:val="en-CA" w:eastAsia="en-GB"/>
              </w:rPr>
              <w:t>Process innovation capacity</w:t>
            </w:r>
          </w:p>
        </w:tc>
        <w:tc>
          <w:tcPr>
            <w:tcW w:w="3073" w:type="dxa"/>
            <w:tcBorders>
              <w:top w:val="single" w:sz="1" w:space="0" w:color="AAAAAA"/>
              <w:left w:val="single" w:sz="1" w:space="0" w:color="AAAAAA"/>
              <w:bottom w:val="single" w:sz="1" w:space="0" w:color="AAAAAA"/>
              <w:right w:val="single" w:sz="1" w:space="0" w:color="AAAAAA"/>
            </w:tcBorders>
            <w:shd w:val="clear" w:color="auto" w:fill="F2F2F2"/>
            <w:tcMar>
              <w:top w:w="60" w:type="dxa"/>
              <w:left w:w="100" w:type="dxa"/>
              <w:bottom w:w="60" w:type="dxa"/>
              <w:right w:w="100" w:type="dxa"/>
            </w:tcMar>
            <w:vAlign w:val="center"/>
          </w:tcPr>
          <w:p w14:paraId="0B1BBEBA"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Reduction in capital available for improvements to production, distribution, marketing, or organisational methods</w:t>
            </w:r>
          </w:p>
        </w:tc>
        <w:tc>
          <w:tcPr>
            <w:tcW w:w="1026" w:type="dxa"/>
            <w:tcBorders>
              <w:top w:val="single" w:sz="1" w:space="0" w:color="AAAAAA"/>
              <w:left w:val="single" w:sz="1" w:space="0" w:color="AAAAAA"/>
              <w:bottom w:val="single" w:sz="1" w:space="0" w:color="AAAAAA"/>
              <w:right w:val="single" w:sz="1" w:space="0" w:color="AAAAAA"/>
            </w:tcBorders>
            <w:shd w:val="clear" w:color="auto" w:fill="F2F2F2"/>
            <w:tcMar>
              <w:top w:w="60" w:type="dxa"/>
              <w:left w:w="100" w:type="dxa"/>
              <w:bottom w:w="60" w:type="dxa"/>
              <w:right w:w="100" w:type="dxa"/>
            </w:tcMar>
            <w:vAlign w:val="center"/>
          </w:tcPr>
          <w:p w14:paraId="4270973F"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Direct</w:t>
            </w:r>
          </w:p>
        </w:tc>
        <w:tc>
          <w:tcPr>
            <w:tcW w:w="992" w:type="dxa"/>
            <w:tcBorders>
              <w:top w:val="single" w:sz="1" w:space="0" w:color="AAAAAA"/>
              <w:left w:val="single" w:sz="1" w:space="0" w:color="AAAAAA"/>
              <w:bottom w:val="single" w:sz="1" w:space="0" w:color="AAAAAA"/>
              <w:right w:val="single" w:sz="1" w:space="0" w:color="AAAAAA"/>
            </w:tcBorders>
            <w:shd w:val="clear" w:color="auto" w:fill="F2F2F2"/>
            <w:tcMar>
              <w:top w:w="60" w:type="dxa"/>
              <w:left w:w="100" w:type="dxa"/>
              <w:bottom w:w="60" w:type="dxa"/>
              <w:right w:w="100" w:type="dxa"/>
            </w:tcMar>
            <w:vAlign w:val="center"/>
          </w:tcPr>
          <w:p w14:paraId="74673622"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Long-term</w:t>
            </w:r>
          </w:p>
        </w:tc>
        <w:tc>
          <w:tcPr>
            <w:tcW w:w="1276" w:type="dxa"/>
            <w:tcBorders>
              <w:top w:val="single" w:sz="1" w:space="0" w:color="AAAAAA"/>
              <w:left w:val="single" w:sz="1" w:space="0" w:color="AAAAAA"/>
              <w:bottom w:val="single" w:sz="1" w:space="0" w:color="AAAAAA"/>
              <w:right w:val="single" w:sz="1" w:space="0" w:color="AAAAAA"/>
            </w:tcBorders>
            <w:shd w:val="clear" w:color="auto" w:fill="F2F2F2"/>
            <w:tcMar>
              <w:top w:w="60" w:type="dxa"/>
              <w:left w:w="100" w:type="dxa"/>
              <w:bottom w:w="60" w:type="dxa"/>
              <w:right w:w="100" w:type="dxa"/>
            </w:tcMar>
            <w:vAlign w:val="center"/>
          </w:tcPr>
          <w:p w14:paraId="3694A5EC"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000000"/>
                <w:sz w:val="18"/>
                <w:szCs w:val="18"/>
                <w:lang w:val="en-CA" w:eastAsia="en-GB"/>
              </w:rPr>
            </w:pPr>
            <w:r w:rsidRPr="005F0A67">
              <w:rPr>
                <w:rFonts w:asciiTheme="majorBidi" w:eastAsia="Tahoma" w:hAnsiTheme="majorBidi" w:cstheme="majorBidi"/>
                <w:b/>
                <w:bCs/>
                <w:color w:val="000000"/>
                <w:sz w:val="18"/>
                <w:szCs w:val="18"/>
                <w:lang w:val="en-CA" w:eastAsia="en-GB"/>
              </w:rPr>
              <w:t>No</w:t>
            </w:r>
          </w:p>
        </w:tc>
        <w:tc>
          <w:tcPr>
            <w:tcW w:w="5882" w:type="dxa"/>
            <w:tcBorders>
              <w:top w:val="single" w:sz="1" w:space="0" w:color="AAAAAA"/>
              <w:left w:val="single" w:sz="1" w:space="0" w:color="AAAAAA"/>
              <w:bottom w:val="single" w:sz="1" w:space="0" w:color="AAAAAA"/>
              <w:right w:val="single" w:sz="1" w:space="0" w:color="AAAAAA"/>
            </w:tcBorders>
            <w:shd w:val="clear" w:color="auto" w:fill="F2F2F2"/>
            <w:tcMar>
              <w:top w:w="60" w:type="dxa"/>
              <w:left w:w="100" w:type="dxa"/>
              <w:bottom w:w="60" w:type="dxa"/>
              <w:right w:w="100" w:type="dxa"/>
            </w:tcMar>
            <w:vAlign w:val="center"/>
          </w:tcPr>
          <w:p w14:paraId="7FAE140A"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Process innovation investments typically have shorter payback horizons than product R&amp;D and are less likely to be crowded out by a contribution at indicative rates; no sector-specific evidence from the consultation or submissions suggests this impact is material for any eligible firm type.</w:t>
            </w:r>
          </w:p>
        </w:tc>
      </w:tr>
      <w:tr w:rsidR="005F0A67" w:rsidRPr="005F0A67" w14:paraId="31C206EA" w14:textId="77777777" w:rsidTr="005F0A67">
        <w:tc>
          <w:tcPr>
            <w:tcW w:w="13678" w:type="dxa"/>
            <w:gridSpan w:val="6"/>
            <w:tcBorders>
              <w:top w:val="single" w:sz="1" w:space="0" w:color="AAAAAA"/>
              <w:left w:val="single" w:sz="1" w:space="0" w:color="AAAAAA"/>
              <w:bottom w:val="single" w:sz="1" w:space="0" w:color="AAAAAA"/>
              <w:right w:val="single" w:sz="1" w:space="0" w:color="AAAAAA"/>
            </w:tcBorders>
            <w:shd w:val="clear" w:color="auto" w:fill="BFBFBF"/>
            <w:tcMar>
              <w:top w:w="60" w:type="dxa"/>
              <w:left w:w="100" w:type="dxa"/>
              <w:bottom w:w="60" w:type="dxa"/>
              <w:right w:w="100" w:type="dxa"/>
            </w:tcMar>
            <w:vAlign w:val="center"/>
          </w:tcPr>
          <w:p w14:paraId="46D69940"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b/>
                <w:bCs/>
                <w:color w:val="000000"/>
                <w:sz w:val="18"/>
                <w:szCs w:val="18"/>
                <w:lang w:val="en-CA" w:eastAsia="en-GB"/>
              </w:rPr>
              <w:t>Access to risk capital</w:t>
            </w:r>
          </w:p>
        </w:tc>
      </w:tr>
      <w:tr w:rsidR="005F0A67" w:rsidRPr="005F0A67" w14:paraId="42E83473" w14:textId="77777777" w:rsidTr="005F0A67">
        <w:tc>
          <w:tcPr>
            <w:tcW w:w="0" w:type="auto"/>
            <w:tcBorders>
              <w:top w:val="single" w:sz="1" w:space="0" w:color="AAAAAA"/>
              <w:left w:val="single" w:sz="1" w:space="0" w:color="AAAAAA"/>
              <w:bottom w:val="single" w:sz="1" w:space="0" w:color="AAAAAA"/>
              <w:right w:val="single" w:sz="1" w:space="0" w:color="AAAAAA"/>
            </w:tcBorders>
            <w:shd w:val="clear" w:color="auto" w:fill="DAE9F7"/>
            <w:tcMar>
              <w:top w:w="60" w:type="dxa"/>
              <w:left w:w="100" w:type="dxa"/>
              <w:bottom w:w="60" w:type="dxa"/>
              <w:right w:w="100" w:type="dxa"/>
            </w:tcMar>
            <w:vAlign w:val="center"/>
          </w:tcPr>
          <w:p w14:paraId="7B90109A"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000000"/>
                <w:sz w:val="18"/>
                <w:szCs w:val="18"/>
                <w:lang w:val="en-CA" w:eastAsia="en-GB"/>
              </w:rPr>
            </w:pPr>
            <w:r w:rsidRPr="005F0A67">
              <w:rPr>
                <w:rFonts w:asciiTheme="majorBidi" w:eastAsia="Tahoma" w:hAnsiTheme="majorBidi" w:cstheme="majorBidi"/>
                <w:b/>
                <w:bCs/>
                <w:color w:val="000000"/>
                <w:sz w:val="18"/>
                <w:szCs w:val="18"/>
                <w:lang w:val="en-CA" w:eastAsia="en-GB"/>
              </w:rPr>
              <w:t>Access to risk capital</w:t>
            </w:r>
          </w:p>
        </w:tc>
        <w:tc>
          <w:tcPr>
            <w:tcW w:w="3073" w:type="dxa"/>
            <w:tcBorders>
              <w:top w:val="single" w:sz="1" w:space="0" w:color="AAAAAA"/>
              <w:left w:val="single" w:sz="1" w:space="0" w:color="AAAAAA"/>
              <w:bottom w:val="single" w:sz="1" w:space="0" w:color="AAAAAA"/>
              <w:right w:val="single" w:sz="1" w:space="0" w:color="AAAAAA"/>
            </w:tcBorders>
            <w:shd w:val="clear" w:color="auto" w:fill="DAE9F7"/>
            <w:tcMar>
              <w:top w:w="60" w:type="dxa"/>
              <w:left w:w="100" w:type="dxa"/>
              <w:bottom w:w="60" w:type="dxa"/>
              <w:right w:w="100" w:type="dxa"/>
            </w:tcMar>
            <w:vAlign w:val="center"/>
          </w:tcPr>
          <w:p w14:paraId="60D9DCBA"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Effect on ability to attract external equity or debt financing for innovation activity where the contribution reduces perceived returns or compresses margins</w:t>
            </w:r>
          </w:p>
        </w:tc>
        <w:tc>
          <w:tcPr>
            <w:tcW w:w="1026" w:type="dxa"/>
            <w:tcBorders>
              <w:top w:val="single" w:sz="1" w:space="0" w:color="AAAAAA"/>
              <w:left w:val="single" w:sz="1" w:space="0" w:color="AAAAAA"/>
              <w:bottom w:val="single" w:sz="1" w:space="0" w:color="AAAAAA"/>
              <w:right w:val="single" w:sz="1" w:space="0" w:color="AAAAAA"/>
            </w:tcBorders>
            <w:shd w:val="clear" w:color="auto" w:fill="DAE9F7"/>
            <w:tcMar>
              <w:top w:w="60" w:type="dxa"/>
              <w:left w:w="100" w:type="dxa"/>
              <w:bottom w:w="60" w:type="dxa"/>
              <w:right w:w="100" w:type="dxa"/>
            </w:tcMar>
            <w:vAlign w:val="center"/>
          </w:tcPr>
          <w:p w14:paraId="20F5C448"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Direct</w:t>
            </w:r>
          </w:p>
        </w:tc>
        <w:tc>
          <w:tcPr>
            <w:tcW w:w="992" w:type="dxa"/>
            <w:tcBorders>
              <w:top w:val="single" w:sz="1" w:space="0" w:color="AAAAAA"/>
              <w:left w:val="single" w:sz="1" w:space="0" w:color="AAAAAA"/>
              <w:bottom w:val="single" w:sz="1" w:space="0" w:color="AAAAAA"/>
              <w:right w:val="single" w:sz="1" w:space="0" w:color="AAAAAA"/>
            </w:tcBorders>
            <w:shd w:val="clear" w:color="auto" w:fill="DAE9F7"/>
            <w:tcMar>
              <w:top w:w="60" w:type="dxa"/>
              <w:left w:w="100" w:type="dxa"/>
              <w:bottom w:w="60" w:type="dxa"/>
              <w:right w:w="100" w:type="dxa"/>
            </w:tcMar>
            <w:vAlign w:val="center"/>
          </w:tcPr>
          <w:p w14:paraId="0F77C98A"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Short-term / Long-term</w:t>
            </w:r>
          </w:p>
        </w:tc>
        <w:tc>
          <w:tcPr>
            <w:tcW w:w="1276" w:type="dxa"/>
            <w:tcBorders>
              <w:top w:val="single" w:sz="1" w:space="0" w:color="AAAAAA"/>
              <w:left w:val="single" w:sz="1" w:space="0" w:color="AAAAAA"/>
              <w:bottom w:val="single" w:sz="1" w:space="0" w:color="AAAAAA"/>
              <w:right w:val="single" w:sz="1" w:space="0" w:color="AAAAAA"/>
            </w:tcBorders>
            <w:shd w:val="clear" w:color="auto" w:fill="DAE9F7"/>
            <w:tcMar>
              <w:top w:w="60" w:type="dxa"/>
              <w:left w:w="100" w:type="dxa"/>
              <w:bottom w:w="60" w:type="dxa"/>
              <w:right w:w="100" w:type="dxa"/>
            </w:tcMar>
            <w:vAlign w:val="center"/>
          </w:tcPr>
          <w:p w14:paraId="017B5C46"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000000"/>
                <w:sz w:val="18"/>
                <w:szCs w:val="18"/>
                <w:lang w:val="en-CA" w:eastAsia="en-GB"/>
              </w:rPr>
            </w:pPr>
            <w:r w:rsidRPr="005F0A67">
              <w:rPr>
                <w:rFonts w:asciiTheme="majorBidi" w:eastAsia="Tahoma" w:hAnsiTheme="majorBidi" w:cstheme="majorBidi"/>
                <w:b/>
                <w:bCs/>
                <w:color w:val="000000"/>
                <w:sz w:val="18"/>
                <w:szCs w:val="18"/>
                <w:lang w:val="en-CA" w:eastAsia="en-GB"/>
              </w:rPr>
              <w:t>Cannot say</w:t>
            </w:r>
          </w:p>
        </w:tc>
        <w:tc>
          <w:tcPr>
            <w:tcW w:w="5882" w:type="dxa"/>
            <w:tcBorders>
              <w:top w:val="single" w:sz="1" w:space="0" w:color="AAAAAA"/>
              <w:left w:val="single" w:sz="1" w:space="0" w:color="AAAAAA"/>
              <w:bottom w:val="single" w:sz="1" w:space="0" w:color="AAAAAA"/>
              <w:right w:val="single" w:sz="1" w:space="0" w:color="AAAAAA"/>
            </w:tcBorders>
            <w:shd w:val="clear" w:color="auto" w:fill="DAE9F7"/>
            <w:tcMar>
              <w:top w:w="60" w:type="dxa"/>
              <w:left w:w="100" w:type="dxa"/>
              <w:bottom w:w="60" w:type="dxa"/>
              <w:right w:w="100" w:type="dxa"/>
            </w:tcMar>
            <w:vAlign w:val="center"/>
          </w:tcPr>
          <w:p w14:paraId="748F9230"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ahoma" w:hAnsiTheme="majorBidi" w:cstheme="majorBidi"/>
                <w:color w:val="000000"/>
                <w:sz w:val="18"/>
                <w:szCs w:val="18"/>
                <w:lang w:val="en-CA" w:eastAsia="en-GB"/>
              </w:rPr>
              <w:t xml:space="preserve">Depends on firm-level financial position and investor sensitivity to margin effects at indicative contribution rates; likely most significant for early-stage biotech and information and AI firms with limited retained earnings. </w:t>
            </w:r>
            <w:r w:rsidRPr="005F0A67">
              <w:rPr>
                <w:rFonts w:asciiTheme="majorBidi" w:eastAsia="Tahoma" w:hAnsiTheme="majorBidi" w:cstheme="majorBidi"/>
                <w:sz w:val="18"/>
                <w:szCs w:val="18"/>
                <w:lang w:val="en-CA" w:eastAsia="en-GB"/>
              </w:rPr>
              <w:t xml:space="preserve">This effect may run in the opposite direction for some firms: visible participation could function as a positive ESG signal to investors, particularly for firms in </w:t>
            </w:r>
            <w:r w:rsidRPr="005F0A67">
              <w:rPr>
                <w:rFonts w:asciiTheme="majorBidi" w:eastAsia="Tahoma" w:hAnsiTheme="majorBidi" w:cstheme="majorBidi"/>
                <w:sz w:val="18"/>
                <w:szCs w:val="18"/>
                <w:lang w:val="en-CA" w:eastAsia="en-GB"/>
              </w:rPr>
              <w:lastRenderedPageBreak/>
              <w:t>emerging markets with fewer other credible reputational signals available, though this would depend on the certificate achieving genuine visibility and recognition value (see Certificate regulatory value, Section 4.2)</w:t>
            </w:r>
          </w:p>
        </w:tc>
      </w:tr>
      <w:tr w:rsidR="005F0A67" w:rsidRPr="005F0A67" w14:paraId="2CE54B17" w14:textId="77777777" w:rsidTr="005F0A67">
        <w:tc>
          <w:tcPr>
            <w:tcW w:w="13678" w:type="dxa"/>
            <w:gridSpan w:val="6"/>
            <w:tcBorders>
              <w:top w:val="single" w:sz="1" w:space="0" w:color="AAAAAA"/>
              <w:left w:val="single" w:sz="1" w:space="0" w:color="AAAAAA"/>
              <w:bottom w:val="single" w:sz="1" w:space="0" w:color="AAAAAA"/>
              <w:right w:val="single" w:sz="1" w:space="0" w:color="AAAAAA"/>
            </w:tcBorders>
            <w:shd w:val="clear" w:color="auto" w:fill="BFBFBF"/>
            <w:tcMar>
              <w:top w:w="60" w:type="dxa"/>
              <w:left w:w="100" w:type="dxa"/>
              <w:bottom w:w="60" w:type="dxa"/>
              <w:right w:w="100" w:type="dxa"/>
            </w:tcMar>
            <w:vAlign w:val="center"/>
          </w:tcPr>
          <w:p w14:paraId="6130EC47"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000000"/>
                <w:sz w:val="18"/>
                <w:szCs w:val="18"/>
                <w:lang w:val="en-CA" w:eastAsia="en-GB"/>
              </w:rPr>
            </w:pPr>
            <w:r w:rsidRPr="005F0A67">
              <w:rPr>
                <w:rFonts w:asciiTheme="majorBidi" w:eastAsia="Tahoma" w:hAnsiTheme="majorBidi" w:cstheme="majorBidi"/>
                <w:b/>
                <w:bCs/>
                <w:color w:val="000000"/>
                <w:sz w:val="18"/>
                <w:szCs w:val="18"/>
                <w:lang w:val="en-CA" w:eastAsia="en-GB"/>
              </w:rPr>
              <w:lastRenderedPageBreak/>
              <w:t>Creative destruction and market entry</w:t>
            </w:r>
          </w:p>
        </w:tc>
      </w:tr>
      <w:tr w:rsidR="005F0A67" w:rsidRPr="005F0A67" w14:paraId="670CF784" w14:textId="77777777" w:rsidTr="005F0A67">
        <w:tc>
          <w:tcPr>
            <w:tcW w:w="0" w:type="auto"/>
            <w:tcBorders>
              <w:top w:val="single" w:sz="1" w:space="0" w:color="AAAAAA"/>
              <w:left w:val="single" w:sz="1" w:space="0" w:color="AAAAAA"/>
              <w:bottom w:val="single" w:sz="1" w:space="0" w:color="AAAAAA"/>
              <w:right w:val="single" w:sz="1" w:space="0" w:color="AAAAAA"/>
            </w:tcBorders>
            <w:shd w:val="clear" w:color="auto" w:fill="F2F2F2"/>
            <w:tcMar>
              <w:top w:w="60" w:type="dxa"/>
              <w:left w:w="100" w:type="dxa"/>
              <w:bottom w:w="60" w:type="dxa"/>
              <w:right w:w="100" w:type="dxa"/>
            </w:tcMar>
            <w:vAlign w:val="center"/>
          </w:tcPr>
          <w:p w14:paraId="737E8F63"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000000"/>
                <w:sz w:val="18"/>
                <w:szCs w:val="18"/>
                <w:lang w:val="en-CA" w:eastAsia="en-GB"/>
              </w:rPr>
            </w:pPr>
            <w:r w:rsidRPr="005F0A67">
              <w:rPr>
                <w:rFonts w:asciiTheme="majorBidi" w:eastAsia="Tahoma" w:hAnsiTheme="majorBidi" w:cstheme="majorBidi"/>
                <w:b/>
                <w:bCs/>
                <w:color w:val="000000"/>
                <w:sz w:val="18"/>
                <w:szCs w:val="18"/>
                <w:lang w:val="en-CA" w:eastAsia="en-GB"/>
              </w:rPr>
              <w:t xml:space="preserve">New entrant incentives </w:t>
            </w:r>
          </w:p>
        </w:tc>
        <w:tc>
          <w:tcPr>
            <w:tcW w:w="3073" w:type="dxa"/>
            <w:tcBorders>
              <w:top w:val="single" w:sz="1" w:space="0" w:color="AAAAAA"/>
              <w:left w:val="single" w:sz="1" w:space="0" w:color="AAAAAA"/>
              <w:bottom w:val="single" w:sz="1" w:space="0" w:color="AAAAAA"/>
              <w:right w:val="single" w:sz="1" w:space="0" w:color="AAAAAA"/>
            </w:tcBorders>
            <w:shd w:val="clear" w:color="auto" w:fill="F2F2F2"/>
            <w:tcMar>
              <w:top w:w="60" w:type="dxa"/>
              <w:left w:w="100" w:type="dxa"/>
              <w:bottom w:w="60" w:type="dxa"/>
              <w:right w:w="100" w:type="dxa"/>
            </w:tcMar>
            <w:vAlign w:val="center"/>
          </w:tcPr>
          <w:p w14:paraId="594FC798"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Effect on incentives for new firms to enter DSI-using markets</w:t>
            </w:r>
          </w:p>
        </w:tc>
        <w:tc>
          <w:tcPr>
            <w:tcW w:w="1026" w:type="dxa"/>
            <w:tcBorders>
              <w:top w:val="single" w:sz="1" w:space="0" w:color="AAAAAA"/>
              <w:left w:val="single" w:sz="1" w:space="0" w:color="AAAAAA"/>
              <w:bottom w:val="single" w:sz="1" w:space="0" w:color="AAAAAA"/>
              <w:right w:val="single" w:sz="1" w:space="0" w:color="AAAAAA"/>
            </w:tcBorders>
            <w:shd w:val="clear" w:color="auto" w:fill="F2F2F2"/>
            <w:tcMar>
              <w:top w:w="60" w:type="dxa"/>
              <w:left w:w="100" w:type="dxa"/>
              <w:bottom w:w="60" w:type="dxa"/>
              <w:right w:w="100" w:type="dxa"/>
            </w:tcMar>
            <w:vAlign w:val="center"/>
          </w:tcPr>
          <w:p w14:paraId="64A8EB28"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Direct</w:t>
            </w:r>
          </w:p>
        </w:tc>
        <w:tc>
          <w:tcPr>
            <w:tcW w:w="992" w:type="dxa"/>
            <w:tcBorders>
              <w:top w:val="single" w:sz="1" w:space="0" w:color="AAAAAA"/>
              <w:left w:val="single" w:sz="1" w:space="0" w:color="AAAAAA"/>
              <w:bottom w:val="single" w:sz="1" w:space="0" w:color="AAAAAA"/>
              <w:right w:val="single" w:sz="1" w:space="0" w:color="AAAAAA"/>
            </w:tcBorders>
            <w:shd w:val="clear" w:color="auto" w:fill="F2F2F2"/>
            <w:tcMar>
              <w:top w:w="60" w:type="dxa"/>
              <w:left w:w="100" w:type="dxa"/>
              <w:bottom w:w="60" w:type="dxa"/>
              <w:right w:w="100" w:type="dxa"/>
            </w:tcMar>
            <w:vAlign w:val="center"/>
          </w:tcPr>
          <w:p w14:paraId="3F524EAC"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Long-term</w:t>
            </w:r>
          </w:p>
        </w:tc>
        <w:tc>
          <w:tcPr>
            <w:tcW w:w="1276" w:type="dxa"/>
            <w:tcBorders>
              <w:top w:val="single" w:sz="1" w:space="0" w:color="AAAAAA"/>
              <w:left w:val="single" w:sz="1" w:space="0" w:color="AAAAAA"/>
              <w:bottom w:val="single" w:sz="1" w:space="0" w:color="AAAAAA"/>
              <w:right w:val="single" w:sz="1" w:space="0" w:color="AAAAAA"/>
            </w:tcBorders>
            <w:shd w:val="clear" w:color="auto" w:fill="F2F2F2"/>
            <w:tcMar>
              <w:top w:w="60" w:type="dxa"/>
              <w:left w:w="100" w:type="dxa"/>
              <w:bottom w:w="60" w:type="dxa"/>
              <w:right w:w="100" w:type="dxa"/>
            </w:tcMar>
            <w:vAlign w:val="center"/>
          </w:tcPr>
          <w:p w14:paraId="53A100F6"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000000"/>
                <w:sz w:val="18"/>
                <w:szCs w:val="18"/>
                <w:lang w:val="en-CA" w:eastAsia="en-GB"/>
              </w:rPr>
            </w:pPr>
            <w:r w:rsidRPr="005F0A67">
              <w:rPr>
                <w:rFonts w:asciiTheme="majorBidi" w:eastAsia="Tahoma" w:hAnsiTheme="majorBidi" w:cstheme="majorBidi"/>
                <w:b/>
                <w:bCs/>
                <w:color w:val="000000"/>
                <w:sz w:val="18"/>
                <w:szCs w:val="18"/>
                <w:lang w:val="en-CA" w:eastAsia="en-GB"/>
              </w:rPr>
              <w:t>No</w:t>
            </w:r>
          </w:p>
        </w:tc>
        <w:tc>
          <w:tcPr>
            <w:tcW w:w="5882" w:type="dxa"/>
            <w:tcBorders>
              <w:top w:val="single" w:sz="1" w:space="0" w:color="AAAAAA"/>
              <w:left w:val="single" w:sz="1" w:space="0" w:color="AAAAAA"/>
              <w:bottom w:val="single" w:sz="1" w:space="0" w:color="AAAAAA"/>
              <w:right w:val="single" w:sz="1" w:space="0" w:color="AAAAAA"/>
            </w:tcBorders>
            <w:shd w:val="clear" w:color="auto" w:fill="F2F2F2"/>
            <w:tcMar>
              <w:top w:w="60" w:type="dxa"/>
              <w:left w:w="100" w:type="dxa"/>
              <w:bottom w:w="60" w:type="dxa"/>
              <w:right w:w="100" w:type="dxa"/>
            </w:tcMar>
            <w:vAlign w:val="center"/>
          </w:tcPr>
          <w:p w14:paraId="62AECD75"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Genuine early-stage entrants are likely to fall below the Decision 16/2 financial thresholds and are therefore outside the eligible population entirely. Among eligible firms, loss-making entrants are protected by the profit floor. The residual deterrence effect on firms in early growth phases is narrow. No material impact on new entrant incentives across the eligible population is not supported by the available evidence at indicative contribution rates.</w:t>
            </w:r>
          </w:p>
        </w:tc>
      </w:tr>
      <w:tr w:rsidR="005F0A67" w:rsidRPr="005F0A67" w14:paraId="12F043DC" w14:textId="77777777" w:rsidTr="005F0A67">
        <w:tc>
          <w:tcPr>
            <w:tcW w:w="13678" w:type="dxa"/>
            <w:gridSpan w:val="6"/>
            <w:tcBorders>
              <w:top w:val="single" w:sz="1" w:space="0" w:color="AAAAAA"/>
              <w:left w:val="single" w:sz="1" w:space="0" w:color="AAAAAA"/>
              <w:bottom w:val="single" w:sz="1" w:space="0" w:color="AAAAAA"/>
              <w:right w:val="single" w:sz="1" w:space="0" w:color="AAAAAA"/>
            </w:tcBorders>
            <w:shd w:val="clear" w:color="auto" w:fill="BFBFBF"/>
            <w:tcMar>
              <w:top w:w="60" w:type="dxa"/>
              <w:left w:w="100" w:type="dxa"/>
              <w:bottom w:w="60" w:type="dxa"/>
              <w:right w:w="100" w:type="dxa"/>
            </w:tcMar>
            <w:vAlign w:val="center"/>
          </w:tcPr>
          <w:p w14:paraId="77806003"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000000"/>
                <w:sz w:val="18"/>
                <w:szCs w:val="18"/>
                <w:lang w:val="en-CA" w:eastAsia="en-GB"/>
              </w:rPr>
            </w:pPr>
            <w:r w:rsidRPr="005F0A67">
              <w:rPr>
                <w:rFonts w:asciiTheme="majorBidi" w:eastAsia="Tahoma" w:hAnsiTheme="majorBidi" w:cstheme="majorBidi"/>
                <w:b/>
                <w:bCs/>
                <w:color w:val="000000"/>
                <w:sz w:val="18"/>
                <w:szCs w:val="18"/>
                <w:lang w:val="en-CA" w:eastAsia="en-GB"/>
              </w:rPr>
              <w:t>Regulatory environment and innovation incentives</w:t>
            </w:r>
          </w:p>
        </w:tc>
      </w:tr>
      <w:tr w:rsidR="005F0A67" w:rsidRPr="005F0A67" w14:paraId="36680AD3" w14:textId="77777777" w:rsidTr="005F0A67">
        <w:tc>
          <w:tcPr>
            <w:tcW w:w="0" w:type="auto"/>
            <w:tcBorders>
              <w:top w:val="single" w:sz="1" w:space="0" w:color="AAAAAA"/>
              <w:left w:val="single" w:sz="1" w:space="0" w:color="AAAAAA"/>
              <w:bottom w:val="single" w:sz="1" w:space="0" w:color="AAAAAA"/>
              <w:right w:val="single" w:sz="1" w:space="0" w:color="AAAAAA"/>
            </w:tcBorders>
            <w:shd w:val="clear" w:color="auto" w:fill="DAE9F7"/>
            <w:tcMar>
              <w:top w:w="60" w:type="dxa"/>
              <w:left w:w="100" w:type="dxa"/>
              <w:bottom w:w="60" w:type="dxa"/>
              <w:right w:w="100" w:type="dxa"/>
            </w:tcMar>
            <w:vAlign w:val="center"/>
          </w:tcPr>
          <w:p w14:paraId="266810A3"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000000"/>
                <w:sz w:val="18"/>
                <w:szCs w:val="18"/>
                <w:lang w:val="en-CA" w:eastAsia="en-GB"/>
              </w:rPr>
            </w:pPr>
            <w:r w:rsidRPr="005F0A67">
              <w:rPr>
                <w:rFonts w:asciiTheme="majorBidi" w:eastAsia="Tahoma" w:hAnsiTheme="majorBidi" w:cstheme="majorBidi"/>
                <w:b/>
                <w:bCs/>
                <w:color w:val="000000"/>
                <w:sz w:val="18"/>
                <w:szCs w:val="18"/>
                <w:lang w:val="en-CA" w:eastAsia="en-GB"/>
              </w:rPr>
              <w:t xml:space="preserve">Certainty and predictability </w:t>
            </w:r>
            <w:r w:rsidRPr="005F0A67">
              <w:rPr>
                <w:rFonts w:ascii="Cambria Math" w:eastAsia="Tahoma" w:hAnsi="Cambria Math" w:cs="Cambria Math"/>
                <w:b/>
                <w:bCs/>
                <w:color w:val="000000"/>
                <w:sz w:val="18"/>
                <w:szCs w:val="18"/>
                <w:lang w:val="en-CA" w:eastAsia="en-GB"/>
              </w:rPr>
              <w:t>◆</w:t>
            </w:r>
            <w:r w:rsidRPr="005F0A67">
              <w:rPr>
                <w:rFonts w:asciiTheme="majorBidi" w:eastAsia="Tahoma" w:hAnsiTheme="majorBidi" w:cstheme="majorBidi"/>
                <w:color w:val="000000"/>
                <w:sz w:val="18"/>
                <w:szCs w:val="18"/>
                <w:vertAlign w:val="superscript"/>
                <w:lang w:val="en-CA" w:eastAsia="en-GB"/>
              </w:rPr>
              <w:footnoteReference w:id="72"/>
            </w:r>
          </w:p>
        </w:tc>
        <w:tc>
          <w:tcPr>
            <w:tcW w:w="3073" w:type="dxa"/>
            <w:tcBorders>
              <w:top w:val="single" w:sz="1" w:space="0" w:color="AAAAAA"/>
              <w:left w:val="single" w:sz="1" w:space="0" w:color="AAAAAA"/>
              <w:bottom w:val="single" w:sz="1" w:space="0" w:color="AAAAAA"/>
              <w:right w:val="single" w:sz="1" w:space="0" w:color="AAAAAA"/>
            </w:tcBorders>
            <w:shd w:val="clear" w:color="auto" w:fill="DAE9F7"/>
            <w:tcMar>
              <w:top w:w="60" w:type="dxa"/>
              <w:left w:w="100" w:type="dxa"/>
              <w:bottom w:w="60" w:type="dxa"/>
              <w:right w:w="100" w:type="dxa"/>
            </w:tcMar>
            <w:vAlign w:val="center"/>
          </w:tcPr>
          <w:p w14:paraId="0152FC29"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Effect of unresolved Decision 16/2 design parameters on firms’ willingness to commit to long-term R&amp;D investment pipelines</w:t>
            </w:r>
          </w:p>
        </w:tc>
        <w:tc>
          <w:tcPr>
            <w:tcW w:w="1026" w:type="dxa"/>
            <w:tcBorders>
              <w:top w:val="single" w:sz="1" w:space="0" w:color="AAAAAA"/>
              <w:left w:val="single" w:sz="1" w:space="0" w:color="AAAAAA"/>
              <w:bottom w:val="single" w:sz="1" w:space="0" w:color="AAAAAA"/>
              <w:right w:val="single" w:sz="1" w:space="0" w:color="AAAAAA"/>
            </w:tcBorders>
            <w:shd w:val="clear" w:color="auto" w:fill="DAE9F7"/>
            <w:tcMar>
              <w:top w:w="60" w:type="dxa"/>
              <w:left w:w="100" w:type="dxa"/>
              <w:bottom w:w="60" w:type="dxa"/>
              <w:right w:w="100" w:type="dxa"/>
            </w:tcMar>
            <w:vAlign w:val="center"/>
          </w:tcPr>
          <w:p w14:paraId="67A0542F"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Direct</w:t>
            </w:r>
          </w:p>
        </w:tc>
        <w:tc>
          <w:tcPr>
            <w:tcW w:w="992" w:type="dxa"/>
            <w:tcBorders>
              <w:top w:val="single" w:sz="1" w:space="0" w:color="AAAAAA"/>
              <w:left w:val="single" w:sz="1" w:space="0" w:color="AAAAAA"/>
              <w:bottom w:val="single" w:sz="1" w:space="0" w:color="AAAAAA"/>
              <w:right w:val="single" w:sz="1" w:space="0" w:color="AAAAAA"/>
            </w:tcBorders>
            <w:shd w:val="clear" w:color="auto" w:fill="DAE9F7"/>
            <w:tcMar>
              <w:top w:w="60" w:type="dxa"/>
              <w:left w:w="100" w:type="dxa"/>
              <w:bottom w:w="60" w:type="dxa"/>
              <w:right w:w="100" w:type="dxa"/>
            </w:tcMar>
            <w:vAlign w:val="center"/>
          </w:tcPr>
          <w:p w14:paraId="0CCA7E1F"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Long-term</w:t>
            </w:r>
          </w:p>
        </w:tc>
        <w:tc>
          <w:tcPr>
            <w:tcW w:w="1276" w:type="dxa"/>
            <w:tcBorders>
              <w:top w:val="single" w:sz="1" w:space="0" w:color="AAAAAA"/>
              <w:left w:val="single" w:sz="1" w:space="0" w:color="AAAAAA"/>
              <w:bottom w:val="single" w:sz="1" w:space="0" w:color="AAAAAA"/>
              <w:right w:val="single" w:sz="1" w:space="0" w:color="AAAAAA"/>
            </w:tcBorders>
            <w:shd w:val="clear" w:color="auto" w:fill="DAE9F7"/>
            <w:tcMar>
              <w:top w:w="60" w:type="dxa"/>
              <w:left w:w="100" w:type="dxa"/>
              <w:bottom w:w="60" w:type="dxa"/>
              <w:right w:w="100" w:type="dxa"/>
            </w:tcMar>
            <w:vAlign w:val="center"/>
          </w:tcPr>
          <w:p w14:paraId="4F55318B"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000000"/>
                <w:sz w:val="18"/>
                <w:szCs w:val="18"/>
                <w:lang w:val="en-CA" w:eastAsia="en-GB"/>
              </w:rPr>
            </w:pPr>
            <w:r w:rsidRPr="005F0A67">
              <w:rPr>
                <w:rFonts w:asciiTheme="majorBidi" w:eastAsia="Tahoma" w:hAnsiTheme="majorBidi" w:cstheme="majorBidi"/>
                <w:b/>
                <w:bCs/>
                <w:color w:val="000000"/>
                <w:sz w:val="18"/>
                <w:szCs w:val="18"/>
                <w:lang w:val="en-CA" w:eastAsia="en-GB"/>
              </w:rPr>
              <w:t>Cannot say</w:t>
            </w:r>
          </w:p>
        </w:tc>
        <w:tc>
          <w:tcPr>
            <w:tcW w:w="5882" w:type="dxa"/>
            <w:tcBorders>
              <w:top w:val="single" w:sz="1" w:space="0" w:color="AAAAAA"/>
              <w:left w:val="single" w:sz="1" w:space="0" w:color="AAAAAA"/>
              <w:bottom w:val="single" w:sz="1" w:space="0" w:color="AAAAAA"/>
              <w:right w:val="single" w:sz="1" w:space="0" w:color="AAAAAA"/>
            </w:tcBorders>
            <w:shd w:val="clear" w:color="auto" w:fill="DAE9F7"/>
            <w:tcMar>
              <w:top w:w="60" w:type="dxa"/>
              <w:left w:w="100" w:type="dxa"/>
              <w:bottom w:w="60" w:type="dxa"/>
              <w:right w:w="100" w:type="dxa"/>
            </w:tcMar>
            <w:vAlign w:val="center"/>
          </w:tcPr>
          <w:p w14:paraId="125A89E0"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The non-binding design means uncertainty primarily deters participation rather than investment; however, for sectors with long R&amp;D horizons, sustained uncertainty about the mechanism's terms (</w:t>
            </w:r>
            <w:r w:rsidRPr="005F0A67">
              <w:rPr>
                <w:rFonts w:asciiTheme="majorBidi" w:eastAsia="Tahoma" w:hAnsiTheme="majorBidi" w:cstheme="majorBidi"/>
                <w:color w:val="000000"/>
                <w:sz w:val="18"/>
                <w:szCs w:val="18"/>
                <w:lang w:val="en-CA" w:eastAsia="en-GB"/>
              </w:rPr>
              <w:fldChar w:fldCharType="begin"/>
            </w:r>
            <w:r w:rsidRPr="005F0A67">
              <w:rPr>
                <w:rFonts w:asciiTheme="majorBidi" w:eastAsia="Tahoma" w:hAnsiTheme="majorBidi" w:cstheme="majorBidi"/>
                <w:color w:val="000000"/>
                <w:sz w:val="18"/>
                <w:szCs w:val="18"/>
                <w:lang w:val="en-CA" w:eastAsia="en-GB"/>
              </w:rPr>
              <w:instrText xml:space="preserve"> REF _Ref229844376 \h  \* MERGEFORMAT </w:instrText>
            </w:r>
            <w:r w:rsidRPr="005F0A67">
              <w:rPr>
                <w:rFonts w:asciiTheme="majorBidi" w:eastAsia="Tahoma" w:hAnsiTheme="majorBidi" w:cstheme="majorBidi"/>
                <w:color w:val="000000"/>
                <w:sz w:val="18"/>
                <w:szCs w:val="18"/>
                <w:lang w:val="en-CA" w:eastAsia="en-GB"/>
              </w:rPr>
            </w:r>
            <w:r w:rsidRPr="005F0A67">
              <w:rPr>
                <w:rFonts w:asciiTheme="majorBidi" w:eastAsia="Tahoma" w:hAnsiTheme="majorBidi" w:cstheme="majorBidi"/>
                <w:color w:val="000000"/>
                <w:sz w:val="18"/>
                <w:szCs w:val="18"/>
                <w:lang w:val="en-CA" w:eastAsia="en-GB"/>
              </w:rPr>
              <w:fldChar w:fldCharType="separate"/>
            </w:r>
            <w:r w:rsidRPr="005F0A67">
              <w:rPr>
                <w:rFonts w:asciiTheme="majorBidi" w:eastAsia="Tahoma" w:hAnsiTheme="majorBidi" w:cstheme="majorBidi"/>
                <w:color w:val="000000"/>
                <w:sz w:val="18"/>
                <w:szCs w:val="18"/>
                <w:lang w:val="en-CA" w:eastAsia="en-GB"/>
              </w:rPr>
              <w:t>Table 1</w:t>
            </w:r>
            <w:r w:rsidRPr="005F0A67">
              <w:rPr>
                <w:rFonts w:asciiTheme="majorBidi" w:eastAsia="Tahoma" w:hAnsiTheme="majorBidi" w:cstheme="majorBidi"/>
                <w:color w:val="000000"/>
                <w:sz w:val="18"/>
                <w:szCs w:val="18"/>
                <w:lang w:val="en-CA" w:eastAsia="en-GB"/>
              </w:rPr>
              <w:fldChar w:fldCharType="end"/>
            </w:r>
            <w:r w:rsidRPr="005F0A67">
              <w:rPr>
                <w:rFonts w:asciiTheme="majorBidi" w:eastAsia="Tahoma" w:hAnsiTheme="majorBidi" w:cstheme="majorBidi"/>
                <w:color w:val="000000"/>
                <w:sz w:val="18"/>
                <w:szCs w:val="18"/>
                <w:lang w:val="en-CA" w:eastAsia="en-GB"/>
              </w:rPr>
              <w:t>) may affect pipeline decisions at the margin where DSI access and legal certainty are relevant inputs.</w:t>
            </w:r>
          </w:p>
        </w:tc>
      </w:tr>
      <w:tr w:rsidR="005F0A67" w:rsidRPr="005F0A67" w14:paraId="124F0A4B" w14:textId="77777777" w:rsidTr="005F0A67">
        <w:trPr>
          <w:trHeight w:val="176"/>
        </w:trPr>
        <w:tc>
          <w:tcPr>
            <w:tcW w:w="0" w:type="auto"/>
            <w:tcBorders>
              <w:top w:val="single" w:sz="1" w:space="0" w:color="AAAAAA"/>
              <w:left w:val="single" w:sz="1" w:space="0" w:color="AAAAAA"/>
              <w:bottom w:val="single" w:sz="1" w:space="0" w:color="AAAAAA"/>
              <w:right w:val="single" w:sz="1" w:space="0" w:color="AAAAAA"/>
            </w:tcBorders>
            <w:shd w:val="clear" w:color="auto" w:fill="F2F2F2"/>
            <w:tcMar>
              <w:top w:w="60" w:type="dxa"/>
              <w:left w:w="100" w:type="dxa"/>
              <w:bottom w:w="60" w:type="dxa"/>
              <w:right w:w="100" w:type="dxa"/>
            </w:tcMar>
            <w:vAlign w:val="center"/>
          </w:tcPr>
          <w:p w14:paraId="5074202F"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000000"/>
                <w:sz w:val="18"/>
                <w:szCs w:val="18"/>
                <w:lang w:val="en-CA" w:eastAsia="en-GB"/>
              </w:rPr>
            </w:pPr>
            <w:r w:rsidRPr="005F0A67">
              <w:rPr>
                <w:rFonts w:asciiTheme="majorBidi" w:eastAsia="Tahoma" w:hAnsiTheme="majorBidi" w:cstheme="majorBidi"/>
                <w:b/>
                <w:bCs/>
                <w:color w:val="000000"/>
                <w:sz w:val="18"/>
                <w:szCs w:val="18"/>
                <w:lang w:val="en-CA" w:eastAsia="en-GB"/>
              </w:rPr>
              <w:t>Regulatory stringency effect</w:t>
            </w:r>
          </w:p>
        </w:tc>
        <w:tc>
          <w:tcPr>
            <w:tcW w:w="3073" w:type="dxa"/>
            <w:tcBorders>
              <w:top w:val="single" w:sz="1" w:space="0" w:color="AAAAAA"/>
              <w:left w:val="single" w:sz="1" w:space="0" w:color="AAAAAA"/>
              <w:bottom w:val="single" w:sz="1" w:space="0" w:color="AAAAAA"/>
              <w:right w:val="single" w:sz="1" w:space="0" w:color="AAAAAA"/>
            </w:tcBorders>
            <w:shd w:val="clear" w:color="auto" w:fill="F2F2F2"/>
            <w:tcMar>
              <w:top w:w="60" w:type="dxa"/>
              <w:left w:w="100" w:type="dxa"/>
              <w:bottom w:w="60" w:type="dxa"/>
              <w:right w:w="100" w:type="dxa"/>
            </w:tcMar>
            <w:vAlign w:val="center"/>
          </w:tcPr>
          <w:p w14:paraId="12039B9F"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Whether the contribution obligation induces compensatory innovation as a behavioural response to cost pressure</w:t>
            </w:r>
          </w:p>
        </w:tc>
        <w:tc>
          <w:tcPr>
            <w:tcW w:w="1026" w:type="dxa"/>
            <w:tcBorders>
              <w:top w:val="single" w:sz="1" w:space="0" w:color="AAAAAA"/>
              <w:left w:val="single" w:sz="1" w:space="0" w:color="AAAAAA"/>
              <w:bottom w:val="single" w:sz="1" w:space="0" w:color="AAAAAA"/>
              <w:right w:val="single" w:sz="1" w:space="0" w:color="AAAAAA"/>
            </w:tcBorders>
            <w:shd w:val="clear" w:color="auto" w:fill="F2F2F2"/>
            <w:tcMar>
              <w:top w:w="60" w:type="dxa"/>
              <w:left w:w="100" w:type="dxa"/>
              <w:bottom w:w="60" w:type="dxa"/>
              <w:right w:w="100" w:type="dxa"/>
            </w:tcMar>
            <w:vAlign w:val="center"/>
          </w:tcPr>
          <w:p w14:paraId="2F75CF7F"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Direct</w:t>
            </w:r>
          </w:p>
        </w:tc>
        <w:tc>
          <w:tcPr>
            <w:tcW w:w="992" w:type="dxa"/>
            <w:tcBorders>
              <w:top w:val="single" w:sz="1" w:space="0" w:color="AAAAAA"/>
              <w:left w:val="single" w:sz="1" w:space="0" w:color="AAAAAA"/>
              <w:bottom w:val="single" w:sz="1" w:space="0" w:color="AAAAAA"/>
              <w:right w:val="single" w:sz="1" w:space="0" w:color="AAAAAA"/>
            </w:tcBorders>
            <w:shd w:val="clear" w:color="auto" w:fill="F2F2F2"/>
            <w:tcMar>
              <w:top w:w="60" w:type="dxa"/>
              <w:left w:w="100" w:type="dxa"/>
              <w:bottom w:w="60" w:type="dxa"/>
              <w:right w:w="100" w:type="dxa"/>
            </w:tcMar>
            <w:vAlign w:val="center"/>
          </w:tcPr>
          <w:p w14:paraId="55A5FF78"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Long-term</w:t>
            </w:r>
          </w:p>
        </w:tc>
        <w:tc>
          <w:tcPr>
            <w:tcW w:w="1276" w:type="dxa"/>
            <w:tcBorders>
              <w:top w:val="single" w:sz="1" w:space="0" w:color="AAAAAA"/>
              <w:left w:val="single" w:sz="1" w:space="0" w:color="AAAAAA"/>
              <w:bottom w:val="single" w:sz="1" w:space="0" w:color="AAAAAA"/>
              <w:right w:val="single" w:sz="1" w:space="0" w:color="AAAAAA"/>
            </w:tcBorders>
            <w:shd w:val="clear" w:color="auto" w:fill="F2F2F2"/>
            <w:tcMar>
              <w:top w:w="60" w:type="dxa"/>
              <w:left w:w="100" w:type="dxa"/>
              <w:bottom w:w="60" w:type="dxa"/>
              <w:right w:w="100" w:type="dxa"/>
            </w:tcMar>
            <w:vAlign w:val="center"/>
          </w:tcPr>
          <w:p w14:paraId="5C46919B"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000000"/>
                <w:sz w:val="18"/>
                <w:szCs w:val="18"/>
                <w:lang w:val="en-CA" w:eastAsia="en-GB"/>
              </w:rPr>
            </w:pPr>
            <w:r w:rsidRPr="005F0A67">
              <w:rPr>
                <w:rFonts w:asciiTheme="majorBidi" w:eastAsia="Tahoma" w:hAnsiTheme="majorBidi" w:cstheme="majorBidi"/>
                <w:b/>
                <w:bCs/>
                <w:color w:val="000000"/>
                <w:sz w:val="18"/>
                <w:szCs w:val="18"/>
                <w:lang w:val="en-CA" w:eastAsia="en-GB"/>
              </w:rPr>
              <w:t>No</w:t>
            </w:r>
          </w:p>
        </w:tc>
        <w:tc>
          <w:tcPr>
            <w:tcW w:w="5882" w:type="dxa"/>
            <w:tcBorders>
              <w:top w:val="single" w:sz="1" w:space="0" w:color="AAAAAA"/>
              <w:left w:val="single" w:sz="1" w:space="0" w:color="AAAAAA"/>
              <w:bottom w:val="single" w:sz="1" w:space="0" w:color="AAAAAA"/>
              <w:right w:val="single" w:sz="1" w:space="0" w:color="AAAAAA"/>
            </w:tcBorders>
            <w:shd w:val="clear" w:color="auto" w:fill="F2F2F2"/>
            <w:tcMar>
              <w:top w:w="60" w:type="dxa"/>
              <w:left w:w="100" w:type="dxa"/>
              <w:bottom w:w="60" w:type="dxa"/>
              <w:right w:w="100" w:type="dxa"/>
            </w:tcMar>
            <w:vAlign w:val="center"/>
          </w:tcPr>
          <w:p w14:paraId="1A4CE08C"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The Porter hypothesis</w:t>
            </w:r>
            <w:r w:rsidRPr="005F0A67">
              <w:rPr>
                <w:rFonts w:asciiTheme="majorBidi" w:eastAsia="Tahoma" w:hAnsiTheme="majorBidi" w:cstheme="majorBidi"/>
                <w:color w:val="000000"/>
                <w:sz w:val="18"/>
                <w:szCs w:val="18"/>
                <w:vertAlign w:val="superscript"/>
                <w:lang w:val="en-CA" w:eastAsia="en-GB"/>
              </w:rPr>
              <w:footnoteReference w:id="73"/>
            </w:r>
            <w:r w:rsidRPr="005F0A67">
              <w:rPr>
                <w:rFonts w:asciiTheme="majorBidi" w:eastAsia="Tahoma" w:hAnsiTheme="majorBidi" w:cstheme="majorBidi"/>
                <w:color w:val="000000"/>
                <w:sz w:val="18"/>
                <w:szCs w:val="18"/>
                <w:lang w:val="en-CA" w:eastAsia="en-GB"/>
              </w:rPr>
              <w:t xml:space="preserve"> channel applies to regulatory constraints that create specific operational pressures to which innovation is a direct response (e.g. green transition). Not applicable to the Cali Fund.</w:t>
            </w:r>
          </w:p>
        </w:tc>
      </w:tr>
    </w:tbl>
    <w:p w14:paraId="7D4A91E5"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i/>
          <w:iCs/>
          <w:sz w:val="18"/>
          <w:szCs w:val="18"/>
          <w:lang w:val="en-CA" w:eastAsia="en-GB"/>
        </w:rPr>
        <w:t xml:space="preserve">Note: </w:t>
      </w:r>
      <w:r w:rsidRPr="005F0A67">
        <w:rPr>
          <w:rFonts w:asciiTheme="majorBidi" w:eastAsia="Times New Roman" w:hAnsiTheme="majorBidi" w:cstheme="majorBidi"/>
          <w:sz w:val="18"/>
          <w:szCs w:val="18"/>
          <w:lang w:val="en-CA" w:eastAsia="en-GB"/>
        </w:rPr>
        <w:t xml:space="preserve">Symbol </w:t>
      </w:r>
      <w:r w:rsidRPr="005F0A67">
        <w:rPr>
          <w:rFonts w:ascii="Cambria Math" w:eastAsia="Times New Roman" w:hAnsi="Cambria Math" w:cs="Cambria Math"/>
          <w:sz w:val="18"/>
          <w:szCs w:val="18"/>
          <w:lang w:val="en-CA" w:eastAsia="en-GB"/>
        </w:rPr>
        <w:t>◆</w:t>
      </w:r>
      <w:r w:rsidRPr="005F0A67">
        <w:rPr>
          <w:rFonts w:asciiTheme="majorBidi" w:eastAsia="Times New Roman" w:hAnsiTheme="majorBidi" w:cstheme="majorBidi"/>
          <w:sz w:val="18"/>
          <w:szCs w:val="18"/>
          <w:lang w:val="en-CA" w:eastAsia="en-GB"/>
        </w:rPr>
        <w:t xml:space="preserve"> indicates impacts supported by the industry consultation or CBD Notification 2024-114 submissions. Impacts without a symbol are assessed on theoretical and structural grounds only. </w:t>
      </w:r>
    </w:p>
    <w:p w14:paraId="30CBF64D"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p>
    <w:p w14:paraId="1BB4C868" w14:textId="4652BC6D" w:rsidR="005F0A67" w:rsidRPr="005F0A67" w:rsidRDefault="005F0A67" w:rsidP="00B009ED">
      <w:pPr>
        <w:tabs>
          <w:tab w:val="clear" w:pos="567"/>
          <w:tab w:val="clear" w:pos="1134"/>
          <w:tab w:val="clear" w:pos="1701"/>
          <w:tab w:val="clear" w:pos="2268"/>
        </w:tabs>
        <w:spacing w:after="120"/>
        <w:jc w:val="left"/>
        <w:outlineLvl w:val="3"/>
        <w:rPr>
          <w:rFonts w:asciiTheme="majorBidi" w:eastAsia="Georgia" w:hAnsiTheme="majorBidi" w:cstheme="majorBidi"/>
          <w:b/>
          <w:bCs/>
          <w:color w:val="0F4761"/>
          <w:lang w:eastAsia="en-GB"/>
        </w:rPr>
      </w:pPr>
      <w:r w:rsidRPr="005F0A67">
        <w:rPr>
          <w:rFonts w:asciiTheme="majorBidi" w:eastAsia="Georgia" w:hAnsiTheme="majorBidi" w:cstheme="majorBidi"/>
          <w:b/>
          <w:bCs/>
          <w:color w:val="0F4761"/>
          <w:lang w:eastAsia="en-GB"/>
        </w:rPr>
        <w:t xml:space="preserve">Pillar III: International competitiveness </w:t>
      </w:r>
    </w:p>
    <w:p w14:paraId="01790EDC"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Pillar III assesses whether the contribution obligation affects the competitive position of participating firms in international markets relative to non-Party competitors, with a full list of potential international competitiveness impacts outlined in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_Ref231036773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Table 47</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w:t>
      </w:r>
    </w:p>
    <w:p w14:paraId="43B6601F" w14:textId="77777777" w:rsidR="00B009ED" w:rsidRDefault="00B009ED" w:rsidP="005F0A67">
      <w:pPr>
        <w:tabs>
          <w:tab w:val="clear" w:pos="567"/>
          <w:tab w:val="clear" w:pos="1134"/>
          <w:tab w:val="clear" w:pos="1701"/>
          <w:tab w:val="clear" w:pos="2268"/>
        </w:tabs>
        <w:spacing w:after="200" w:line="312" w:lineRule="auto"/>
        <w:contextualSpacing/>
        <w:rPr>
          <w:rFonts w:asciiTheme="majorBidi" w:eastAsia="Georgia" w:hAnsiTheme="majorBidi" w:cstheme="majorBidi"/>
          <w:b/>
          <w:bCs/>
          <w:color w:val="419844"/>
          <w:lang w:val="en-US" w:eastAsia="ja-JP"/>
        </w:rPr>
      </w:pPr>
      <w:bookmarkStart w:id="177" w:name="_Ref231145521"/>
    </w:p>
    <w:p w14:paraId="193C2B25" w14:textId="77777777" w:rsidR="00B009ED" w:rsidRDefault="00B009ED" w:rsidP="005F0A67">
      <w:pPr>
        <w:tabs>
          <w:tab w:val="clear" w:pos="567"/>
          <w:tab w:val="clear" w:pos="1134"/>
          <w:tab w:val="clear" w:pos="1701"/>
          <w:tab w:val="clear" w:pos="2268"/>
        </w:tabs>
        <w:spacing w:after="200" w:line="312" w:lineRule="auto"/>
        <w:contextualSpacing/>
        <w:rPr>
          <w:rFonts w:asciiTheme="majorBidi" w:eastAsia="Georgia" w:hAnsiTheme="majorBidi" w:cstheme="majorBidi"/>
          <w:b/>
          <w:bCs/>
          <w:color w:val="419844"/>
          <w:lang w:val="en-US" w:eastAsia="ja-JP"/>
        </w:rPr>
      </w:pPr>
    </w:p>
    <w:p w14:paraId="51E962E8" w14:textId="77777777" w:rsidR="00B009ED" w:rsidRDefault="00B009ED" w:rsidP="005F0A67">
      <w:pPr>
        <w:tabs>
          <w:tab w:val="clear" w:pos="567"/>
          <w:tab w:val="clear" w:pos="1134"/>
          <w:tab w:val="clear" w:pos="1701"/>
          <w:tab w:val="clear" w:pos="2268"/>
        </w:tabs>
        <w:spacing w:after="200" w:line="312" w:lineRule="auto"/>
        <w:contextualSpacing/>
        <w:rPr>
          <w:rFonts w:asciiTheme="majorBidi" w:eastAsia="Georgia" w:hAnsiTheme="majorBidi" w:cstheme="majorBidi"/>
          <w:b/>
          <w:bCs/>
          <w:color w:val="419844"/>
          <w:lang w:val="en-US" w:eastAsia="ja-JP"/>
        </w:rPr>
      </w:pPr>
    </w:p>
    <w:p w14:paraId="0B481A20" w14:textId="77777777" w:rsidR="00B009ED" w:rsidRDefault="00B009ED" w:rsidP="005F0A67">
      <w:pPr>
        <w:tabs>
          <w:tab w:val="clear" w:pos="567"/>
          <w:tab w:val="clear" w:pos="1134"/>
          <w:tab w:val="clear" w:pos="1701"/>
          <w:tab w:val="clear" w:pos="2268"/>
        </w:tabs>
        <w:spacing w:after="200" w:line="312" w:lineRule="auto"/>
        <w:contextualSpacing/>
        <w:rPr>
          <w:rFonts w:asciiTheme="majorBidi" w:eastAsia="Georgia" w:hAnsiTheme="majorBidi" w:cstheme="majorBidi"/>
          <w:b/>
          <w:bCs/>
          <w:color w:val="419844"/>
          <w:lang w:val="en-US" w:eastAsia="ja-JP"/>
        </w:rPr>
      </w:pPr>
    </w:p>
    <w:p w14:paraId="1C3BAF91" w14:textId="513C2444" w:rsidR="005F0A67" w:rsidRPr="005F0A67" w:rsidRDefault="005F0A67" w:rsidP="005F0A67">
      <w:pPr>
        <w:tabs>
          <w:tab w:val="clear" w:pos="567"/>
          <w:tab w:val="clear" w:pos="1134"/>
          <w:tab w:val="clear" w:pos="1701"/>
          <w:tab w:val="clear" w:pos="2268"/>
        </w:tabs>
        <w:spacing w:after="200" w:line="312" w:lineRule="auto"/>
        <w:contextualSpacing/>
        <w:rPr>
          <w:rFonts w:asciiTheme="majorBidi" w:eastAsia="Georgia" w:hAnsiTheme="majorBidi" w:cstheme="majorBidi"/>
          <w:b/>
          <w:bCs/>
          <w:color w:val="419844"/>
          <w:lang w:eastAsia="en-GB"/>
        </w:rPr>
      </w:pPr>
      <w:r w:rsidRPr="005F0A67">
        <w:rPr>
          <w:rFonts w:asciiTheme="majorBidi" w:eastAsia="Georgia" w:hAnsiTheme="majorBidi" w:cstheme="majorBidi"/>
          <w:b/>
          <w:bCs/>
          <w:color w:val="419844"/>
          <w:lang w:val="en-US" w:eastAsia="ja-JP"/>
        </w:rPr>
        <w:lastRenderedPageBreak/>
        <w:t xml:space="preserve">Table </w:t>
      </w:r>
      <w:r w:rsidRPr="005F0A67">
        <w:rPr>
          <w:rFonts w:asciiTheme="majorBidi" w:eastAsia="Georgia" w:hAnsiTheme="majorBidi" w:cstheme="majorBidi"/>
          <w:b/>
          <w:bCs/>
          <w:color w:val="419844"/>
          <w:lang w:eastAsia="en-GB"/>
        </w:rPr>
        <w:fldChar w:fldCharType="begin"/>
      </w:r>
      <w:r w:rsidRPr="005F0A67">
        <w:rPr>
          <w:rFonts w:asciiTheme="majorBidi" w:eastAsia="Georgia" w:hAnsiTheme="majorBidi" w:cstheme="majorBidi"/>
          <w:b/>
          <w:bCs/>
          <w:color w:val="419844"/>
          <w:lang w:eastAsia="en-GB"/>
        </w:rPr>
        <w:instrText xml:space="preserve"> SEQ Table \* ARABIC </w:instrText>
      </w:r>
      <w:r w:rsidRPr="005F0A67">
        <w:rPr>
          <w:rFonts w:asciiTheme="majorBidi" w:eastAsia="Georgia" w:hAnsiTheme="majorBidi" w:cstheme="majorBidi"/>
          <w:b/>
          <w:bCs/>
          <w:color w:val="419844"/>
          <w:lang w:eastAsia="en-GB"/>
        </w:rPr>
        <w:fldChar w:fldCharType="separate"/>
      </w:r>
      <w:r w:rsidRPr="005F0A67">
        <w:rPr>
          <w:rFonts w:asciiTheme="majorBidi" w:eastAsia="Georgia" w:hAnsiTheme="majorBidi" w:cstheme="majorBidi"/>
          <w:b/>
          <w:bCs/>
          <w:noProof/>
          <w:color w:val="419844"/>
          <w:lang w:eastAsia="en-GB"/>
        </w:rPr>
        <w:t>21</w:t>
      </w:r>
      <w:r w:rsidRPr="005F0A67">
        <w:rPr>
          <w:rFonts w:asciiTheme="majorBidi" w:eastAsia="Georgia" w:hAnsiTheme="majorBidi" w:cstheme="majorBidi"/>
          <w:b/>
          <w:bCs/>
          <w:color w:val="419844"/>
          <w:lang w:eastAsia="en-GB"/>
        </w:rPr>
        <w:fldChar w:fldCharType="end"/>
      </w:r>
      <w:bookmarkEnd w:id="177"/>
      <w:r w:rsidRPr="005F0A67">
        <w:rPr>
          <w:rFonts w:asciiTheme="majorBidi" w:eastAsia="Georgia" w:hAnsiTheme="majorBidi" w:cstheme="majorBidi"/>
          <w:b/>
          <w:bCs/>
          <w:color w:val="419844"/>
          <w:lang w:val="en-US" w:eastAsia="ja-JP"/>
        </w:rPr>
        <w:t xml:space="preserve"> Pillar III: International competitiveness impacts classification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3" w:type="dxa"/>
          <w:right w:w="113" w:type="dxa"/>
        </w:tblCellMar>
        <w:tblLook w:val="04A0" w:firstRow="1" w:lastRow="0" w:firstColumn="1" w:lastColumn="0" w:noHBand="0" w:noVBand="1"/>
      </w:tblPr>
      <w:tblGrid>
        <w:gridCol w:w="1675"/>
        <w:gridCol w:w="3002"/>
        <w:gridCol w:w="1076"/>
        <w:gridCol w:w="991"/>
        <w:gridCol w:w="1335"/>
        <w:gridCol w:w="5599"/>
      </w:tblGrid>
      <w:tr w:rsidR="005F0A67" w:rsidRPr="005F0A67" w14:paraId="48944AE6" w14:textId="77777777" w:rsidTr="00FB671B">
        <w:trPr>
          <w:tblHeader/>
        </w:trPr>
        <w:tc>
          <w:tcPr>
            <w:tcW w:w="1675" w:type="dxa"/>
            <w:tcBorders>
              <w:top w:val="single" w:sz="1" w:space="0" w:color="AAAAAA"/>
              <w:left w:val="single" w:sz="1" w:space="0" w:color="AAAAAA"/>
              <w:bottom w:val="single" w:sz="1" w:space="0" w:color="AAAAAA"/>
              <w:right w:val="single" w:sz="1" w:space="0" w:color="AAAAAA"/>
            </w:tcBorders>
            <w:shd w:val="clear" w:color="auto" w:fill="1F4E6B"/>
            <w:tcMar>
              <w:top w:w="60" w:type="dxa"/>
              <w:left w:w="100" w:type="dxa"/>
              <w:bottom w:w="60" w:type="dxa"/>
              <w:right w:w="100" w:type="dxa"/>
            </w:tcMar>
            <w:vAlign w:val="center"/>
          </w:tcPr>
          <w:p w14:paraId="38CB1682"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FFFFFF"/>
                <w:sz w:val="18"/>
                <w:szCs w:val="18"/>
                <w:lang w:val="en-CA" w:eastAsia="en-GB"/>
              </w:rPr>
            </w:pPr>
            <w:r w:rsidRPr="005F0A67">
              <w:rPr>
                <w:rFonts w:asciiTheme="majorBidi" w:eastAsia="Tahoma" w:hAnsiTheme="majorBidi" w:cstheme="majorBidi"/>
                <w:b/>
                <w:bCs/>
                <w:color w:val="FFFFFF"/>
                <w:sz w:val="18"/>
                <w:szCs w:val="18"/>
                <w:lang w:val="en-CA" w:eastAsia="en-GB"/>
              </w:rPr>
              <w:t>Impact</w:t>
            </w:r>
          </w:p>
        </w:tc>
        <w:tc>
          <w:tcPr>
            <w:tcW w:w="3002" w:type="dxa"/>
            <w:tcBorders>
              <w:top w:val="single" w:sz="1" w:space="0" w:color="AAAAAA"/>
              <w:left w:val="single" w:sz="1" w:space="0" w:color="AAAAAA"/>
              <w:bottom w:val="single" w:sz="1" w:space="0" w:color="AAAAAA"/>
              <w:right w:val="single" w:sz="1" w:space="0" w:color="AAAAAA"/>
            </w:tcBorders>
            <w:shd w:val="clear" w:color="auto" w:fill="1F4E6B"/>
            <w:tcMar>
              <w:top w:w="60" w:type="dxa"/>
              <w:left w:w="100" w:type="dxa"/>
              <w:bottom w:w="60" w:type="dxa"/>
              <w:right w:w="100" w:type="dxa"/>
            </w:tcMar>
            <w:vAlign w:val="center"/>
          </w:tcPr>
          <w:p w14:paraId="622B4D7B"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FFFFFF"/>
                <w:sz w:val="18"/>
                <w:szCs w:val="18"/>
                <w:lang w:val="en-CA" w:eastAsia="en-GB"/>
              </w:rPr>
            </w:pPr>
            <w:r w:rsidRPr="005F0A67">
              <w:rPr>
                <w:rFonts w:asciiTheme="majorBidi" w:eastAsia="Tahoma" w:hAnsiTheme="majorBidi" w:cstheme="majorBidi"/>
                <w:b/>
                <w:bCs/>
                <w:color w:val="FFFFFF"/>
                <w:sz w:val="18"/>
                <w:szCs w:val="18"/>
                <w:lang w:val="en-CA" w:eastAsia="en-GB"/>
              </w:rPr>
              <w:t>Description</w:t>
            </w:r>
          </w:p>
        </w:tc>
        <w:tc>
          <w:tcPr>
            <w:tcW w:w="1076" w:type="dxa"/>
            <w:tcBorders>
              <w:top w:val="single" w:sz="1" w:space="0" w:color="AAAAAA"/>
              <w:left w:val="single" w:sz="1" w:space="0" w:color="AAAAAA"/>
              <w:bottom w:val="single" w:sz="1" w:space="0" w:color="AAAAAA"/>
              <w:right w:val="single" w:sz="1" w:space="0" w:color="AAAAAA"/>
            </w:tcBorders>
            <w:shd w:val="clear" w:color="auto" w:fill="1F4E6B"/>
            <w:vAlign w:val="center"/>
          </w:tcPr>
          <w:p w14:paraId="32485E85"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FFFFFF"/>
                <w:sz w:val="18"/>
                <w:szCs w:val="18"/>
                <w:lang w:val="en-CA" w:eastAsia="en-GB"/>
              </w:rPr>
            </w:pPr>
            <w:r w:rsidRPr="005F0A67">
              <w:rPr>
                <w:rFonts w:asciiTheme="majorBidi" w:eastAsia="Tahoma" w:hAnsiTheme="majorBidi" w:cstheme="majorBidi"/>
                <w:b/>
                <w:bCs/>
                <w:color w:val="FFFFFF"/>
                <w:sz w:val="18"/>
                <w:szCs w:val="18"/>
                <w:lang w:val="en-CA" w:eastAsia="en-GB"/>
              </w:rPr>
              <w:t xml:space="preserve"> Pathway</w:t>
            </w:r>
          </w:p>
        </w:tc>
        <w:tc>
          <w:tcPr>
            <w:tcW w:w="991" w:type="dxa"/>
            <w:tcBorders>
              <w:top w:val="single" w:sz="1" w:space="0" w:color="AAAAAA"/>
              <w:left w:val="single" w:sz="1" w:space="0" w:color="AAAAAA"/>
              <w:bottom w:val="single" w:sz="1" w:space="0" w:color="AAAAAA"/>
              <w:right w:val="single" w:sz="1" w:space="0" w:color="AAAAAA"/>
            </w:tcBorders>
            <w:shd w:val="clear" w:color="auto" w:fill="1F4E6B"/>
            <w:tcMar>
              <w:top w:w="60" w:type="dxa"/>
              <w:left w:w="100" w:type="dxa"/>
              <w:bottom w:w="60" w:type="dxa"/>
              <w:right w:w="100" w:type="dxa"/>
            </w:tcMar>
            <w:vAlign w:val="center"/>
          </w:tcPr>
          <w:p w14:paraId="1D5EF14E"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ahoma" w:hAnsiTheme="majorBidi" w:cstheme="majorBidi"/>
                <w:b/>
                <w:bCs/>
                <w:color w:val="FFFFFF"/>
                <w:sz w:val="18"/>
                <w:szCs w:val="18"/>
                <w:lang w:val="en-CA" w:eastAsia="en-GB"/>
              </w:rPr>
              <w:t>Time horizon</w:t>
            </w:r>
          </w:p>
        </w:tc>
        <w:tc>
          <w:tcPr>
            <w:tcW w:w="1335" w:type="dxa"/>
            <w:tcBorders>
              <w:top w:val="single" w:sz="1" w:space="0" w:color="AAAAAA"/>
              <w:left w:val="single" w:sz="1" w:space="0" w:color="AAAAAA"/>
              <w:bottom w:val="single" w:sz="1" w:space="0" w:color="AAAAAA"/>
              <w:right w:val="single" w:sz="1" w:space="0" w:color="AAAAAA"/>
            </w:tcBorders>
            <w:shd w:val="clear" w:color="auto" w:fill="1F4E6B"/>
          </w:tcPr>
          <w:p w14:paraId="5E5C00C5"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FFFFFF"/>
                <w:sz w:val="18"/>
                <w:szCs w:val="18"/>
                <w:lang w:val="en-CA" w:eastAsia="en-GB"/>
              </w:rPr>
            </w:pPr>
            <w:r w:rsidRPr="005F0A67">
              <w:rPr>
                <w:rFonts w:asciiTheme="majorBidi" w:eastAsia="Tahoma" w:hAnsiTheme="majorBidi" w:cstheme="majorBidi"/>
                <w:b/>
                <w:bCs/>
                <w:color w:val="FFFFFF"/>
                <w:sz w:val="18"/>
                <w:szCs w:val="18"/>
                <w:lang w:val="en-CA" w:eastAsia="en-GB"/>
              </w:rPr>
              <w:t>Likely significant?</w:t>
            </w:r>
          </w:p>
        </w:tc>
        <w:tc>
          <w:tcPr>
            <w:tcW w:w="5599" w:type="dxa"/>
            <w:tcBorders>
              <w:top w:val="single" w:sz="1" w:space="0" w:color="AAAAAA"/>
              <w:left w:val="single" w:sz="1" w:space="0" w:color="AAAAAA"/>
              <w:bottom w:val="single" w:sz="1" w:space="0" w:color="AAAAAA"/>
              <w:right w:val="single" w:sz="1" w:space="0" w:color="AAAAAA"/>
            </w:tcBorders>
            <w:shd w:val="clear" w:color="auto" w:fill="1F4E6B"/>
            <w:tcMar>
              <w:top w:w="60" w:type="dxa"/>
              <w:left w:w="100" w:type="dxa"/>
              <w:bottom w:w="60" w:type="dxa"/>
              <w:right w:w="100" w:type="dxa"/>
            </w:tcMar>
            <w:vAlign w:val="center"/>
          </w:tcPr>
          <w:p w14:paraId="0A9671B1"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ahoma" w:hAnsiTheme="majorBidi" w:cstheme="majorBidi"/>
                <w:b/>
                <w:bCs/>
                <w:color w:val="FFFFFF"/>
                <w:sz w:val="18"/>
                <w:szCs w:val="18"/>
                <w:lang w:val="en-CA" w:eastAsia="en-GB"/>
              </w:rPr>
              <w:t>Justification</w:t>
            </w:r>
          </w:p>
        </w:tc>
      </w:tr>
      <w:tr w:rsidR="005F0A67" w:rsidRPr="005F0A67" w14:paraId="2D1ACA1C" w14:textId="77777777" w:rsidTr="005F0A67">
        <w:tc>
          <w:tcPr>
            <w:tcW w:w="13678" w:type="dxa"/>
            <w:gridSpan w:val="6"/>
            <w:tcBorders>
              <w:top w:val="single" w:sz="1" w:space="0" w:color="AAAAAA"/>
              <w:left w:val="single" w:sz="1" w:space="0" w:color="AAAAAA"/>
              <w:bottom w:val="single" w:sz="1" w:space="0" w:color="AAAAAA"/>
              <w:right w:val="single" w:sz="1" w:space="0" w:color="AAAAAA"/>
            </w:tcBorders>
            <w:shd w:val="clear" w:color="auto" w:fill="BFBFBF"/>
            <w:tcMar>
              <w:top w:w="60" w:type="dxa"/>
              <w:left w:w="100" w:type="dxa"/>
              <w:bottom w:w="60" w:type="dxa"/>
              <w:right w:w="100" w:type="dxa"/>
            </w:tcMar>
            <w:vAlign w:val="center"/>
          </w:tcPr>
          <w:p w14:paraId="7C0A2AD9"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000000"/>
                <w:sz w:val="18"/>
                <w:szCs w:val="18"/>
                <w:lang w:val="en-CA" w:eastAsia="en-GB"/>
              </w:rPr>
            </w:pPr>
            <w:r w:rsidRPr="005F0A67">
              <w:rPr>
                <w:rFonts w:asciiTheme="majorBidi" w:eastAsia="Tahoma" w:hAnsiTheme="majorBidi" w:cstheme="majorBidi"/>
                <w:b/>
                <w:bCs/>
                <w:color w:val="000000"/>
                <w:sz w:val="18"/>
                <w:szCs w:val="18"/>
                <w:lang w:val="en-CA" w:eastAsia="en-GB"/>
              </w:rPr>
              <w:t>A. The impact of the contribution on the competitive position of firms internationally and on trade</w:t>
            </w:r>
          </w:p>
        </w:tc>
      </w:tr>
      <w:tr w:rsidR="005F0A67" w:rsidRPr="005F0A67" w14:paraId="58D2A8BA" w14:textId="77777777" w:rsidTr="005F0A67">
        <w:tc>
          <w:tcPr>
            <w:tcW w:w="1675" w:type="dxa"/>
            <w:tcBorders>
              <w:top w:val="single" w:sz="1" w:space="0" w:color="AAAAAA"/>
              <w:left w:val="single" w:sz="1" w:space="0" w:color="AAAAAA"/>
              <w:bottom w:val="single" w:sz="1" w:space="0" w:color="AAAAAA"/>
              <w:right w:val="single" w:sz="1" w:space="0" w:color="AAAAAA"/>
            </w:tcBorders>
            <w:shd w:val="clear" w:color="auto" w:fill="A5C9EB"/>
            <w:tcMar>
              <w:top w:w="60" w:type="dxa"/>
              <w:left w:w="100" w:type="dxa"/>
              <w:bottom w:w="60" w:type="dxa"/>
              <w:right w:w="100" w:type="dxa"/>
            </w:tcMar>
            <w:vAlign w:val="center"/>
          </w:tcPr>
          <w:p w14:paraId="77C850A3"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000000"/>
                <w:sz w:val="18"/>
                <w:szCs w:val="18"/>
                <w:lang w:val="en-CA" w:eastAsia="en-GB"/>
              </w:rPr>
            </w:pPr>
            <w:r w:rsidRPr="005F0A67">
              <w:rPr>
                <w:rFonts w:asciiTheme="majorBidi" w:eastAsia="Tahoma" w:hAnsiTheme="majorBidi" w:cstheme="majorBidi"/>
                <w:b/>
                <w:bCs/>
                <w:color w:val="000000"/>
                <w:sz w:val="18"/>
                <w:szCs w:val="18"/>
                <w:lang w:val="en-CA" w:eastAsia="en-GB"/>
              </w:rPr>
              <w:t xml:space="preserve">Competitive position vs non-Party competitors </w:t>
            </w:r>
            <w:r w:rsidRPr="005F0A67">
              <w:rPr>
                <w:rFonts w:ascii="Cambria Math" w:eastAsia="Tahoma" w:hAnsi="Cambria Math" w:cs="Cambria Math"/>
                <w:b/>
                <w:bCs/>
                <w:color w:val="000000"/>
                <w:sz w:val="18"/>
                <w:szCs w:val="18"/>
                <w:lang w:val="en-CA" w:eastAsia="en-GB"/>
              </w:rPr>
              <w:t>◆</w:t>
            </w:r>
            <w:r w:rsidRPr="005F0A67">
              <w:rPr>
                <w:rFonts w:asciiTheme="majorBidi" w:eastAsia="Tahoma" w:hAnsiTheme="majorBidi" w:cstheme="majorBidi"/>
                <w:color w:val="000000"/>
                <w:sz w:val="18"/>
                <w:szCs w:val="18"/>
                <w:vertAlign w:val="superscript"/>
                <w:lang w:val="en-CA" w:eastAsia="en-GB"/>
              </w:rPr>
              <w:footnoteReference w:id="74"/>
            </w:r>
          </w:p>
        </w:tc>
        <w:tc>
          <w:tcPr>
            <w:tcW w:w="3002" w:type="dxa"/>
            <w:tcBorders>
              <w:top w:val="single" w:sz="1" w:space="0" w:color="AAAAAA"/>
              <w:left w:val="single" w:sz="1" w:space="0" w:color="AAAAAA"/>
              <w:bottom w:val="single" w:sz="1" w:space="0" w:color="AAAAAA"/>
              <w:right w:val="single" w:sz="1" w:space="0" w:color="AAAAAA"/>
            </w:tcBorders>
            <w:shd w:val="clear" w:color="auto" w:fill="A5C9EB"/>
            <w:tcMar>
              <w:top w:w="60" w:type="dxa"/>
              <w:left w:w="100" w:type="dxa"/>
              <w:bottom w:w="60" w:type="dxa"/>
              <w:right w:w="100" w:type="dxa"/>
            </w:tcMar>
            <w:vAlign w:val="center"/>
          </w:tcPr>
          <w:p w14:paraId="5ACA6D75"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Direct cost asymmetry between contributing firms and competitors headquartered in non-CBD-Party jurisdictions, principally the United States, who are not subject to the DSI MLM</w:t>
            </w:r>
          </w:p>
        </w:tc>
        <w:tc>
          <w:tcPr>
            <w:tcW w:w="1076" w:type="dxa"/>
            <w:tcBorders>
              <w:top w:val="single" w:sz="1" w:space="0" w:color="AAAAAA"/>
              <w:left w:val="single" w:sz="1" w:space="0" w:color="AAAAAA"/>
              <w:bottom w:val="single" w:sz="1" w:space="0" w:color="AAAAAA"/>
              <w:right w:val="single" w:sz="1" w:space="0" w:color="AAAAAA"/>
            </w:tcBorders>
            <w:shd w:val="clear" w:color="auto" w:fill="A5C9EB"/>
            <w:tcMar>
              <w:top w:w="60" w:type="dxa"/>
              <w:left w:w="100" w:type="dxa"/>
              <w:bottom w:w="60" w:type="dxa"/>
              <w:right w:w="100" w:type="dxa"/>
            </w:tcMar>
            <w:vAlign w:val="center"/>
          </w:tcPr>
          <w:p w14:paraId="22D5FF3E"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Direct</w:t>
            </w:r>
          </w:p>
        </w:tc>
        <w:tc>
          <w:tcPr>
            <w:tcW w:w="991" w:type="dxa"/>
            <w:tcBorders>
              <w:top w:val="single" w:sz="1" w:space="0" w:color="AAAAAA"/>
              <w:left w:val="single" w:sz="1" w:space="0" w:color="AAAAAA"/>
              <w:bottom w:val="single" w:sz="1" w:space="0" w:color="AAAAAA"/>
              <w:right w:val="single" w:sz="1" w:space="0" w:color="AAAAAA"/>
            </w:tcBorders>
            <w:shd w:val="clear" w:color="auto" w:fill="A5C9EB"/>
            <w:tcMar>
              <w:top w:w="60" w:type="dxa"/>
              <w:left w:w="100" w:type="dxa"/>
              <w:bottom w:w="60" w:type="dxa"/>
              <w:right w:w="100" w:type="dxa"/>
            </w:tcMar>
            <w:vAlign w:val="center"/>
          </w:tcPr>
          <w:p w14:paraId="06ADA9EB"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Short-term</w:t>
            </w:r>
          </w:p>
        </w:tc>
        <w:tc>
          <w:tcPr>
            <w:tcW w:w="1335" w:type="dxa"/>
            <w:tcBorders>
              <w:top w:val="single" w:sz="1" w:space="0" w:color="AAAAAA"/>
              <w:left w:val="single" w:sz="1" w:space="0" w:color="AAAAAA"/>
              <w:bottom w:val="single" w:sz="1" w:space="0" w:color="AAAAAA"/>
              <w:right w:val="single" w:sz="1" w:space="0" w:color="AAAAAA"/>
            </w:tcBorders>
            <w:shd w:val="clear" w:color="auto" w:fill="A5C9EB"/>
            <w:tcMar>
              <w:top w:w="60" w:type="dxa"/>
              <w:left w:w="100" w:type="dxa"/>
              <w:bottom w:w="60" w:type="dxa"/>
              <w:right w:w="100" w:type="dxa"/>
            </w:tcMar>
            <w:vAlign w:val="center"/>
          </w:tcPr>
          <w:p w14:paraId="4F5C5F48"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000000"/>
                <w:sz w:val="18"/>
                <w:szCs w:val="18"/>
                <w:lang w:val="en-CA" w:eastAsia="en-GB"/>
              </w:rPr>
            </w:pPr>
            <w:r w:rsidRPr="005F0A67">
              <w:rPr>
                <w:rFonts w:asciiTheme="majorBidi" w:eastAsia="Tahoma" w:hAnsiTheme="majorBidi" w:cstheme="majorBidi"/>
                <w:b/>
                <w:bCs/>
                <w:color w:val="000000"/>
                <w:sz w:val="18"/>
                <w:szCs w:val="18"/>
                <w:lang w:val="en-CA" w:eastAsia="en-GB"/>
              </w:rPr>
              <w:t>Yes</w:t>
            </w:r>
          </w:p>
        </w:tc>
        <w:tc>
          <w:tcPr>
            <w:tcW w:w="5599" w:type="dxa"/>
            <w:tcBorders>
              <w:top w:val="single" w:sz="1" w:space="0" w:color="AAAAAA"/>
              <w:left w:val="single" w:sz="1" w:space="0" w:color="AAAAAA"/>
              <w:bottom w:val="single" w:sz="1" w:space="0" w:color="AAAAAA"/>
              <w:right w:val="single" w:sz="1" w:space="0" w:color="AAAAAA"/>
            </w:tcBorders>
            <w:shd w:val="clear" w:color="auto" w:fill="A5C9EB"/>
            <w:tcMar>
              <w:top w:w="60" w:type="dxa"/>
              <w:left w:w="100" w:type="dxa"/>
              <w:bottom w:w="60" w:type="dxa"/>
              <w:right w:w="100" w:type="dxa"/>
            </w:tcMar>
            <w:vAlign w:val="center"/>
          </w:tcPr>
          <w:p w14:paraId="25C02EDD"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 xml:space="preserve">Non-Party competitor presence is significant across multiple indicative Enclosure I sectors. See Section 7.4 - competitiveness risks from asymmetric burdens arise primarily where uncovered competitors are close commercial substitutes, rather than from the cost burden alone (Fowlie, 2009; </w:t>
            </w:r>
            <w:proofErr w:type="spellStart"/>
            <w:r w:rsidRPr="005F0A67">
              <w:rPr>
                <w:rFonts w:asciiTheme="majorBidi" w:eastAsia="Tahoma" w:hAnsiTheme="majorBidi" w:cstheme="majorBidi"/>
                <w:color w:val="000000"/>
                <w:sz w:val="18"/>
                <w:szCs w:val="18"/>
                <w:lang w:val="en-CA" w:eastAsia="en-GB"/>
              </w:rPr>
              <w:t>Dechezleprêtre</w:t>
            </w:r>
            <w:proofErr w:type="spellEnd"/>
            <w:r w:rsidRPr="005F0A67">
              <w:rPr>
                <w:rFonts w:asciiTheme="majorBidi" w:eastAsia="Tahoma" w:hAnsiTheme="majorBidi" w:cstheme="majorBidi"/>
                <w:color w:val="000000"/>
                <w:sz w:val="18"/>
                <w:szCs w:val="18"/>
                <w:lang w:val="en-CA" w:eastAsia="en-GB"/>
              </w:rPr>
              <w:t xml:space="preserve"> and Sato, 2017).</w:t>
            </w:r>
          </w:p>
        </w:tc>
      </w:tr>
      <w:tr w:rsidR="005F0A67" w:rsidRPr="005F0A67" w14:paraId="3A8BB3A5" w14:textId="77777777" w:rsidTr="005F0A67">
        <w:tc>
          <w:tcPr>
            <w:tcW w:w="1675" w:type="dxa"/>
            <w:tcBorders>
              <w:top w:val="single" w:sz="1" w:space="0" w:color="AAAAAA"/>
              <w:left w:val="single" w:sz="1" w:space="0" w:color="AAAAAA"/>
              <w:bottom w:val="single" w:sz="1" w:space="0" w:color="AAAAAA"/>
              <w:right w:val="single" w:sz="1" w:space="0" w:color="AAAAAA"/>
            </w:tcBorders>
            <w:shd w:val="clear" w:color="auto" w:fill="A5C9EB"/>
            <w:tcMar>
              <w:top w:w="60" w:type="dxa"/>
              <w:left w:w="100" w:type="dxa"/>
              <w:bottom w:w="60" w:type="dxa"/>
              <w:right w:w="100" w:type="dxa"/>
            </w:tcMar>
            <w:vAlign w:val="center"/>
          </w:tcPr>
          <w:p w14:paraId="249FDC9C"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000000"/>
                <w:sz w:val="18"/>
                <w:szCs w:val="18"/>
                <w:lang w:val="en-CA" w:eastAsia="en-GB"/>
              </w:rPr>
            </w:pPr>
            <w:r w:rsidRPr="005F0A67">
              <w:rPr>
                <w:rFonts w:asciiTheme="majorBidi" w:eastAsia="Tahoma" w:hAnsiTheme="majorBidi" w:cstheme="majorBidi"/>
                <w:b/>
                <w:bCs/>
                <w:color w:val="000000"/>
                <w:sz w:val="18"/>
                <w:szCs w:val="18"/>
                <w:lang w:val="en-CA" w:eastAsia="en-GB"/>
              </w:rPr>
              <w:t xml:space="preserve">Export competitiveness </w:t>
            </w:r>
            <w:r w:rsidRPr="005F0A67">
              <w:rPr>
                <w:rFonts w:ascii="Cambria Math" w:eastAsia="Tahoma" w:hAnsi="Cambria Math" w:cs="Cambria Math"/>
                <w:b/>
                <w:bCs/>
                <w:color w:val="000000"/>
                <w:sz w:val="18"/>
                <w:szCs w:val="18"/>
                <w:lang w:val="en-CA" w:eastAsia="en-GB"/>
              </w:rPr>
              <w:t>◆</w:t>
            </w:r>
            <w:r w:rsidRPr="005F0A67">
              <w:rPr>
                <w:rFonts w:asciiTheme="majorBidi" w:eastAsia="Tahoma" w:hAnsiTheme="majorBidi" w:cstheme="majorBidi"/>
                <w:color w:val="000000"/>
                <w:sz w:val="18"/>
                <w:szCs w:val="18"/>
                <w:vertAlign w:val="superscript"/>
                <w:lang w:val="en-CA" w:eastAsia="en-GB"/>
              </w:rPr>
              <w:footnoteReference w:id="75"/>
            </w:r>
          </w:p>
        </w:tc>
        <w:tc>
          <w:tcPr>
            <w:tcW w:w="3002" w:type="dxa"/>
            <w:tcBorders>
              <w:top w:val="single" w:sz="1" w:space="0" w:color="AAAAAA"/>
              <w:left w:val="single" w:sz="1" w:space="0" w:color="AAAAAA"/>
              <w:bottom w:val="single" w:sz="1" w:space="0" w:color="AAAAAA"/>
              <w:right w:val="single" w:sz="1" w:space="0" w:color="AAAAAA"/>
            </w:tcBorders>
            <w:shd w:val="clear" w:color="auto" w:fill="A5C9EB"/>
            <w:tcMar>
              <w:top w:w="60" w:type="dxa"/>
              <w:left w:w="100" w:type="dxa"/>
              <w:bottom w:w="60" w:type="dxa"/>
              <w:right w:w="100" w:type="dxa"/>
            </w:tcMar>
            <w:vAlign w:val="center"/>
          </w:tcPr>
          <w:p w14:paraId="23DF1BE0"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Direct effects on export competitiveness where the contribution increases the cost of doing business and cannot be fully passed through to export customers in non-Party markets</w:t>
            </w:r>
          </w:p>
        </w:tc>
        <w:tc>
          <w:tcPr>
            <w:tcW w:w="1076" w:type="dxa"/>
            <w:tcBorders>
              <w:top w:val="single" w:sz="1" w:space="0" w:color="AAAAAA"/>
              <w:left w:val="single" w:sz="1" w:space="0" w:color="AAAAAA"/>
              <w:bottom w:val="single" w:sz="1" w:space="0" w:color="AAAAAA"/>
              <w:right w:val="single" w:sz="1" w:space="0" w:color="AAAAAA"/>
            </w:tcBorders>
            <w:shd w:val="clear" w:color="auto" w:fill="A5C9EB"/>
            <w:tcMar>
              <w:top w:w="60" w:type="dxa"/>
              <w:left w:w="100" w:type="dxa"/>
              <w:bottom w:w="60" w:type="dxa"/>
              <w:right w:w="100" w:type="dxa"/>
            </w:tcMar>
            <w:vAlign w:val="center"/>
          </w:tcPr>
          <w:p w14:paraId="413D13A0"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Direct</w:t>
            </w:r>
          </w:p>
        </w:tc>
        <w:tc>
          <w:tcPr>
            <w:tcW w:w="991" w:type="dxa"/>
            <w:tcBorders>
              <w:top w:val="single" w:sz="1" w:space="0" w:color="AAAAAA"/>
              <w:left w:val="single" w:sz="1" w:space="0" w:color="AAAAAA"/>
              <w:bottom w:val="single" w:sz="1" w:space="0" w:color="AAAAAA"/>
              <w:right w:val="single" w:sz="1" w:space="0" w:color="AAAAAA"/>
            </w:tcBorders>
            <w:shd w:val="clear" w:color="auto" w:fill="A5C9EB"/>
            <w:tcMar>
              <w:top w:w="60" w:type="dxa"/>
              <w:left w:w="100" w:type="dxa"/>
              <w:bottom w:w="60" w:type="dxa"/>
              <w:right w:w="100" w:type="dxa"/>
            </w:tcMar>
            <w:vAlign w:val="center"/>
          </w:tcPr>
          <w:p w14:paraId="5F26C441"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Short-term</w:t>
            </w:r>
          </w:p>
        </w:tc>
        <w:tc>
          <w:tcPr>
            <w:tcW w:w="1335" w:type="dxa"/>
            <w:tcBorders>
              <w:top w:val="single" w:sz="1" w:space="0" w:color="AAAAAA"/>
              <w:left w:val="single" w:sz="1" w:space="0" w:color="AAAAAA"/>
              <w:bottom w:val="single" w:sz="1" w:space="0" w:color="AAAAAA"/>
              <w:right w:val="single" w:sz="1" w:space="0" w:color="AAAAAA"/>
            </w:tcBorders>
            <w:shd w:val="clear" w:color="auto" w:fill="A5C9EB"/>
            <w:tcMar>
              <w:top w:w="60" w:type="dxa"/>
              <w:left w:w="100" w:type="dxa"/>
              <w:bottom w:w="60" w:type="dxa"/>
              <w:right w:w="100" w:type="dxa"/>
            </w:tcMar>
            <w:vAlign w:val="center"/>
          </w:tcPr>
          <w:p w14:paraId="6D43D75D"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000000"/>
                <w:sz w:val="18"/>
                <w:szCs w:val="18"/>
                <w:lang w:val="en-CA" w:eastAsia="en-GB"/>
              </w:rPr>
            </w:pPr>
            <w:r w:rsidRPr="005F0A67">
              <w:rPr>
                <w:rFonts w:asciiTheme="majorBidi" w:eastAsia="Tahoma" w:hAnsiTheme="majorBidi" w:cstheme="majorBidi"/>
                <w:b/>
                <w:bCs/>
                <w:color w:val="000000"/>
                <w:sz w:val="18"/>
                <w:szCs w:val="18"/>
                <w:lang w:val="en-CA" w:eastAsia="en-GB"/>
              </w:rPr>
              <w:t>Yes</w:t>
            </w:r>
          </w:p>
        </w:tc>
        <w:tc>
          <w:tcPr>
            <w:tcW w:w="5599" w:type="dxa"/>
            <w:tcBorders>
              <w:top w:val="single" w:sz="1" w:space="0" w:color="AAAAAA"/>
              <w:left w:val="single" w:sz="1" w:space="0" w:color="AAAAAA"/>
              <w:bottom w:val="single" w:sz="1" w:space="0" w:color="AAAAAA"/>
              <w:right w:val="single" w:sz="1" w:space="0" w:color="AAAAAA"/>
            </w:tcBorders>
            <w:shd w:val="clear" w:color="auto" w:fill="A5C9EB"/>
            <w:tcMar>
              <w:top w:w="60" w:type="dxa"/>
              <w:left w:w="100" w:type="dxa"/>
              <w:bottom w:w="60" w:type="dxa"/>
              <w:right w:w="100" w:type="dxa"/>
            </w:tcMar>
            <w:vAlign w:val="center"/>
          </w:tcPr>
          <w:p w14:paraId="5EA9FE40"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Materialises where firms compete in export markets with non-Party competitors not subject to equivalent obligations. Contributing firms bear a cost that non-Party export competitors do not; where pass-through to export customers is constrained by competitive pressure, this reduces the contributing firm's margin relative to non-contributing rivals.</w:t>
            </w:r>
          </w:p>
        </w:tc>
      </w:tr>
      <w:tr w:rsidR="005F0A67" w:rsidRPr="005F0A67" w14:paraId="029538E9" w14:textId="77777777" w:rsidTr="005F0A67">
        <w:tc>
          <w:tcPr>
            <w:tcW w:w="1675" w:type="dxa"/>
            <w:tcBorders>
              <w:top w:val="single" w:sz="1" w:space="0" w:color="AAAAAA"/>
              <w:left w:val="single" w:sz="1" w:space="0" w:color="AAAAAA"/>
              <w:bottom w:val="single" w:sz="1" w:space="0" w:color="AAAAAA"/>
              <w:right w:val="single" w:sz="1" w:space="0" w:color="AAAAAA"/>
            </w:tcBorders>
            <w:shd w:val="clear" w:color="auto" w:fill="F2F2F2"/>
            <w:tcMar>
              <w:top w:w="60" w:type="dxa"/>
              <w:left w:w="100" w:type="dxa"/>
              <w:bottom w:w="60" w:type="dxa"/>
              <w:right w:w="100" w:type="dxa"/>
            </w:tcMar>
            <w:vAlign w:val="center"/>
          </w:tcPr>
          <w:p w14:paraId="1C7784FB"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000000"/>
                <w:sz w:val="18"/>
                <w:szCs w:val="18"/>
                <w:lang w:val="en-CA" w:eastAsia="en-GB"/>
              </w:rPr>
            </w:pPr>
            <w:r w:rsidRPr="005F0A67">
              <w:rPr>
                <w:rFonts w:asciiTheme="majorBidi" w:eastAsia="Tahoma" w:hAnsiTheme="majorBidi" w:cstheme="majorBidi"/>
                <w:b/>
                <w:bCs/>
                <w:color w:val="000000"/>
                <w:sz w:val="18"/>
                <w:szCs w:val="18"/>
                <w:lang w:val="en-CA" w:eastAsia="en-GB"/>
              </w:rPr>
              <w:t xml:space="preserve">Market share effects </w:t>
            </w:r>
          </w:p>
        </w:tc>
        <w:tc>
          <w:tcPr>
            <w:tcW w:w="3002" w:type="dxa"/>
            <w:tcBorders>
              <w:top w:val="single" w:sz="1" w:space="0" w:color="AAAAAA"/>
              <w:left w:val="single" w:sz="1" w:space="0" w:color="AAAAAA"/>
              <w:bottom w:val="single" w:sz="1" w:space="0" w:color="AAAAAA"/>
              <w:right w:val="single" w:sz="1" w:space="0" w:color="AAAAAA"/>
            </w:tcBorders>
            <w:shd w:val="clear" w:color="auto" w:fill="F2F2F2"/>
            <w:tcMar>
              <w:top w:w="60" w:type="dxa"/>
              <w:left w:w="100" w:type="dxa"/>
              <w:bottom w:w="60" w:type="dxa"/>
              <w:right w:w="100" w:type="dxa"/>
            </w:tcMar>
            <w:vAlign w:val="center"/>
          </w:tcPr>
          <w:p w14:paraId="303541F7"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Loss of international market share due to sustained cost differences between contributing and non-contributing competitors</w:t>
            </w:r>
          </w:p>
        </w:tc>
        <w:tc>
          <w:tcPr>
            <w:tcW w:w="1076" w:type="dxa"/>
            <w:tcBorders>
              <w:top w:val="single" w:sz="1" w:space="0" w:color="AAAAAA"/>
              <w:left w:val="single" w:sz="1" w:space="0" w:color="AAAAAA"/>
              <w:bottom w:val="single" w:sz="1" w:space="0" w:color="AAAAAA"/>
              <w:right w:val="single" w:sz="1" w:space="0" w:color="AAAAAA"/>
            </w:tcBorders>
            <w:shd w:val="clear" w:color="auto" w:fill="F2F2F2"/>
            <w:tcMar>
              <w:top w:w="60" w:type="dxa"/>
              <w:left w:w="100" w:type="dxa"/>
              <w:bottom w:w="60" w:type="dxa"/>
              <w:right w:w="100" w:type="dxa"/>
            </w:tcMar>
            <w:vAlign w:val="center"/>
          </w:tcPr>
          <w:p w14:paraId="06305DBA"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Indirect</w:t>
            </w:r>
          </w:p>
        </w:tc>
        <w:tc>
          <w:tcPr>
            <w:tcW w:w="991" w:type="dxa"/>
            <w:tcBorders>
              <w:top w:val="single" w:sz="1" w:space="0" w:color="AAAAAA"/>
              <w:left w:val="single" w:sz="1" w:space="0" w:color="AAAAAA"/>
              <w:bottom w:val="single" w:sz="1" w:space="0" w:color="AAAAAA"/>
              <w:right w:val="single" w:sz="1" w:space="0" w:color="AAAAAA"/>
            </w:tcBorders>
            <w:shd w:val="clear" w:color="auto" w:fill="F2F2F2"/>
            <w:tcMar>
              <w:top w:w="60" w:type="dxa"/>
              <w:left w:w="100" w:type="dxa"/>
              <w:bottom w:w="60" w:type="dxa"/>
              <w:right w:w="100" w:type="dxa"/>
            </w:tcMar>
            <w:vAlign w:val="center"/>
          </w:tcPr>
          <w:p w14:paraId="08885681"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Long-term</w:t>
            </w:r>
          </w:p>
        </w:tc>
        <w:tc>
          <w:tcPr>
            <w:tcW w:w="1335" w:type="dxa"/>
            <w:tcBorders>
              <w:top w:val="single" w:sz="1" w:space="0" w:color="AAAAAA"/>
              <w:left w:val="single" w:sz="1" w:space="0" w:color="AAAAAA"/>
              <w:bottom w:val="single" w:sz="1" w:space="0" w:color="AAAAAA"/>
              <w:right w:val="single" w:sz="1" w:space="0" w:color="AAAAAA"/>
            </w:tcBorders>
            <w:shd w:val="clear" w:color="auto" w:fill="F2F2F2"/>
            <w:tcMar>
              <w:top w:w="60" w:type="dxa"/>
              <w:left w:w="100" w:type="dxa"/>
              <w:bottom w:w="60" w:type="dxa"/>
              <w:right w:w="100" w:type="dxa"/>
            </w:tcMar>
            <w:vAlign w:val="center"/>
          </w:tcPr>
          <w:p w14:paraId="716B5399"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000000"/>
                <w:sz w:val="18"/>
                <w:szCs w:val="18"/>
                <w:lang w:val="en-CA" w:eastAsia="en-GB"/>
              </w:rPr>
            </w:pPr>
            <w:r w:rsidRPr="005F0A67">
              <w:rPr>
                <w:rFonts w:asciiTheme="majorBidi" w:eastAsia="Tahoma" w:hAnsiTheme="majorBidi" w:cstheme="majorBidi"/>
                <w:b/>
                <w:bCs/>
                <w:color w:val="000000"/>
                <w:sz w:val="18"/>
                <w:szCs w:val="18"/>
                <w:lang w:val="en-CA" w:eastAsia="en-GB"/>
              </w:rPr>
              <w:t>No</w:t>
            </w:r>
          </w:p>
        </w:tc>
        <w:tc>
          <w:tcPr>
            <w:tcW w:w="5599" w:type="dxa"/>
            <w:tcBorders>
              <w:top w:val="single" w:sz="1" w:space="0" w:color="AAAAAA"/>
              <w:left w:val="single" w:sz="1" w:space="0" w:color="AAAAAA"/>
              <w:bottom w:val="single" w:sz="1" w:space="0" w:color="AAAAAA"/>
              <w:right w:val="single" w:sz="1" w:space="0" w:color="AAAAAA"/>
            </w:tcBorders>
            <w:shd w:val="clear" w:color="auto" w:fill="F2F2F2"/>
            <w:tcMar>
              <w:top w:w="60" w:type="dxa"/>
              <w:left w:w="100" w:type="dxa"/>
              <w:bottom w:w="60" w:type="dxa"/>
              <w:right w:w="100" w:type="dxa"/>
            </w:tcMar>
            <w:vAlign w:val="center"/>
          </w:tcPr>
          <w:p w14:paraId="3D731263"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A second-order consequence of competitive position and export competitiveness effects above; materialises only where those first-order effects are themselves significant and compound over time.</w:t>
            </w:r>
          </w:p>
        </w:tc>
      </w:tr>
      <w:tr w:rsidR="005F0A67" w:rsidRPr="005F0A67" w14:paraId="702D8860" w14:textId="77777777" w:rsidTr="005F0A67">
        <w:tc>
          <w:tcPr>
            <w:tcW w:w="1675" w:type="dxa"/>
            <w:tcBorders>
              <w:top w:val="single" w:sz="1" w:space="0" w:color="AAAAAA"/>
              <w:left w:val="single" w:sz="1" w:space="0" w:color="AAAAAA"/>
              <w:bottom w:val="single" w:sz="1" w:space="0" w:color="AAAAAA"/>
              <w:right w:val="single" w:sz="1" w:space="0" w:color="AAAAAA"/>
            </w:tcBorders>
            <w:shd w:val="clear" w:color="auto" w:fill="F2F2F2"/>
            <w:tcMar>
              <w:top w:w="60" w:type="dxa"/>
              <w:left w:w="100" w:type="dxa"/>
              <w:bottom w:w="60" w:type="dxa"/>
              <w:right w:w="100" w:type="dxa"/>
            </w:tcMar>
            <w:vAlign w:val="center"/>
          </w:tcPr>
          <w:p w14:paraId="31B4E710"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000000"/>
                <w:sz w:val="18"/>
                <w:szCs w:val="18"/>
                <w:lang w:val="en-CA" w:eastAsia="en-GB"/>
              </w:rPr>
            </w:pPr>
            <w:r w:rsidRPr="005F0A67">
              <w:rPr>
                <w:rFonts w:asciiTheme="majorBidi" w:eastAsia="Tahoma" w:hAnsiTheme="majorBidi" w:cstheme="majorBidi"/>
                <w:b/>
                <w:bCs/>
                <w:color w:val="000000"/>
                <w:sz w:val="18"/>
                <w:szCs w:val="18"/>
                <w:lang w:val="en-CA" w:eastAsia="en-GB"/>
              </w:rPr>
              <w:t xml:space="preserve">Regulatory divergence costs </w:t>
            </w:r>
            <w:r w:rsidRPr="005F0A67">
              <w:rPr>
                <w:rFonts w:ascii="Cambria Math" w:eastAsia="Tahoma" w:hAnsi="Cambria Math" w:cs="Cambria Math"/>
                <w:b/>
                <w:bCs/>
                <w:color w:val="000000"/>
                <w:sz w:val="18"/>
                <w:szCs w:val="18"/>
                <w:lang w:val="en-CA" w:eastAsia="en-GB"/>
              </w:rPr>
              <w:t>◆</w:t>
            </w:r>
            <w:r w:rsidRPr="005F0A67">
              <w:rPr>
                <w:rFonts w:asciiTheme="majorBidi" w:eastAsia="Tahoma" w:hAnsiTheme="majorBidi" w:cstheme="majorBidi"/>
                <w:color w:val="000000"/>
                <w:sz w:val="18"/>
                <w:szCs w:val="18"/>
                <w:vertAlign w:val="superscript"/>
                <w:lang w:val="en-CA" w:eastAsia="en-GB"/>
              </w:rPr>
              <w:footnoteReference w:id="76"/>
            </w:r>
          </w:p>
        </w:tc>
        <w:tc>
          <w:tcPr>
            <w:tcW w:w="3002" w:type="dxa"/>
            <w:tcBorders>
              <w:top w:val="single" w:sz="1" w:space="0" w:color="AAAAAA"/>
              <w:left w:val="single" w:sz="1" w:space="0" w:color="AAAAAA"/>
              <w:bottom w:val="single" w:sz="1" w:space="0" w:color="AAAAAA"/>
              <w:right w:val="single" w:sz="1" w:space="0" w:color="AAAAAA"/>
            </w:tcBorders>
            <w:shd w:val="clear" w:color="auto" w:fill="F2F2F2"/>
            <w:tcMar>
              <w:top w:w="60" w:type="dxa"/>
              <w:left w:w="100" w:type="dxa"/>
              <w:bottom w:w="60" w:type="dxa"/>
              <w:right w:w="100" w:type="dxa"/>
            </w:tcMar>
            <w:vAlign w:val="center"/>
          </w:tcPr>
          <w:p w14:paraId="04110EEF"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Frictions arising from asymmetric national implementation of Decision 16/2 across CBD Party jurisdictions</w:t>
            </w:r>
          </w:p>
        </w:tc>
        <w:tc>
          <w:tcPr>
            <w:tcW w:w="1076" w:type="dxa"/>
            <w:tcBorders>
              <w:top w:val="single" w:sz="1" w:space="0" w:color="AAAAAA"/>
              <w:left w:val="single" w:sz="1" w:space="0" w:color="AAAAAA"/>
              <w:bottom w:val="single" w:sz="1" w:space="0" w:color="AAAAAA"/>
              <w:right w:val="single" w:sz="1" w:space="0" w:color="AAAAAA"/>
            </w:tcBorders>
            <w:shd w:val="clear" w:color="auto" w:fill="F2F2F2"/>
            <w:tcMar>
              <w:top w:w="60" w:type="dxa"/>
              <w:left w:w="100" w:type="dxa"/>
              <w:bottom w:w="60" w:type="dxa"/>
              <w:right w:w="100" w:type="dxa"/>
            </w:tcMar>
            <w:vAlign w:val="center"/>
          </w:tcPr>
          <w:p w14:paraId="1D76A132"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Direct</w:t>
            </w:r>
          </w:p>
        </w:tc>
        <w:tc>
          <w:tcPr>
            <w:tcW w:w="991" w:type="dxa"/>
            <w:tcBorders>
              <w:top w:val="single" w:sz="1" w:space="0" w:color="AAAAAA"/>
              <w:left w:val="single" w:sz="1" w:space="0" w:color="AAAAAA"/>
              <w:bottom w:val="single" w:sz="1" w:space="0" w:color="AAAAAA"/>
              <w:right w:val="single" w:sz="1" w:space="0" w:color="AAAAAA"/>
            </w:tcBorders>
            <w:shd w:val="clear" w:color="auto" w:fill="F2F2F2"/>
            <w:tcMar>
              <w:top w:w="60" w:type="dxa"/>
              <w:left w:w="100" w:type="dxa"/>
              <w:bottom w:w="60" w:type="dxa"/>
              <w:right w:w="100" w:type="dxa"/>
            </w:tcMar>
            <w:vAlign w:val="center"/>
          </w:tcPr>
          <w:p w14:paraId="6B12C1BF"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Short-term / Long-term</w:t>
            </w:r>
          </w:p>
        </w:tc>
        <w:tc>
          <w:tcPr>
            <w:tcW w:w="1335" w:type="dxa"/>
            <w:tcBorders>
              <w:top w:val="single" w:sz="1" w:space="0" w:color="AAAAAA"/>
              <w:left w:val="single" w:sz="1" w:space="0" w:color="AAAAAA"/>
              <w:bottom w:val="single" w:sz="1" w:space="0" w:color="AAAAAA"/>
              <w:right w:val="single" w:sz="1" w:space="0" w:color="AAAAAA"/>
            </w:tcBorders>
            <w:shd w:val="clear" w:color="auto" w:fill="F2F2F2"/>
            <w:tcMar>
              <w:top w:w="60" w:type="dxa"/>
              <w:left w:w="100" w:type="dxa"/>
              <w:bottom w:w="60" w:type="dxa"/>
              <w:right w:w="100" w:type="dxa"/>
            </w:tcMar>
            <w:vAlign w:val="center"/>
          </w:tcPr>
          <w:p w14:paraId="499F9A46"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000000"/>
                <w:sz w:val="18"/>
                <w:szCs w:val="18"/>
                <w:lang w:val="en-CA" w:eastAsia="en-GB"/>
              </w:rPr>
            </w:pPr>
            <w:r w:rsidRPr="005F0A67">
              <w:rPr>
                <w:rFonts w:asciiTheme="majorBidi" w:eastAsia="Tahoma" w:hAnsiTheme="majorBidi" w:cstheme="majorBidi"/>
                <w:b/>
                <w:bCs/>
                <w:color w:val="000000"/>
                <w:sz w:val="18"/>
                <w:szCs w:val="18"/>
                <w:lang w:val="en-CA" w:eastAsia="en-GB"/>
              </w:rPr>
              <w:t>No</w:t>
            </w:r>
          </w:p>
        </w:tc>
        <w:tc>
          <w:tcPr>
            <w:tcW w:w="5599" w:type="dxa"/>
            <w:tcBorders>
              <w:top w:val="single" w:sz="1" w:space="0" w:color="AAAAAA"/>
              <w:left w:val="single" w:sz="1" w:space="0" w:color="AAAAAA"/>
              <w:bottom w:val="single" w:sz="1" w:space="0" w:color="AAAAAA"/>
              <w:right w:val="single" w:sz="1" w:space="0" w:color="AAAAAA"/>
            </w:tcBorders>
            <w:shd w:val="clear" w:color="auto" w:fill="F2F2F2"/>
            <w:tcMar>
              <w:top w:w="60" w:type="dxa"/>
              <w:left w:w="100" w:type="dxa"/>
              <w:bottom w:w="60" w:type="dxa"/>
              <w:right w:w="100" w:type="dxa"/>
            </w:tcMar>
            <w:vAlign w:val="center"/>
          </w:tcPr>
          <w:p w14:paraId="0AEE39D6"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No divergence has yet materialised as implementation remains at an early stage across most Parties; significance is highly conditional on how Parties implement Decision 16/2 ahead of and following future COP decisions. Currently not significant.</w:t>
            </w:r>
          </w:p>
        </w:tc>
      </w:tr>
      <w:tr w:rsidR="005F0A67" w:rsidRPr="005F0A67" w14:paraId="5D5B695F" w14:textId="77777777" w:rsidTr="005F0A67">
        <w:tc>
          <w:tcPr>
            <w:tcW w:w="1675" w:type="dxa"/>
            <w:tcBorders>
              <w:top w:val="single" w:sz="1" w:space="0" w:color="AAAAAA"/>
              <w:left w:val="single" w:sz="1" w:space="0" w:color="AAAAAA"/>
              <w:bottom w:val="single" w:sz="1" w:space="0" w:color="AAAAAA"/>
              <w:right w:val="single" w:sz="1" w:space="0" w:color="AAAAAA"/>
            </w:tcBorders>
            <w:shd w:val="clear" w:color="auto" w:fill="F2F2F2"/>
            <w:tcMar>
              <w:top w:w="60" w:type="dxa"/>
              <w:left w:w="100" w:type="dxa"/>
              <w:bottom w:w="60" w:type="dxa"/>
              <w:right w:w="100" w:type="dxa"/>
            </w:tcMar>
            <w:vAlign w:val="center"/>
          </w:tcPr>
          <w:p w14:paraId="1DD5CF93"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000000"/>
                <w:sz w:val="18"/>
                <w:szCs w:val="18"/>
                <w:lang w:val="en-CA" w:eastAsia="en-GB"/>
              </w:rPr>
            </w:pPr>
            <w:r w:rsidRPr="005F0A67">
              <w:rPr>
                <w:rFonts w:asciiTheme="majorBidi" w:eastAsia="Tahoma" w:hAnsiTheme="majorBidi" w:cstheme="majorBidi"/>
                <w:b/>
                <w:bCs/>
                <w:color w:val="000000"/>
                <w:sz w:val="18"/>
                <w:szCs w:val="18"/>
                <w:lang w:val="en-CA" w:eastAsia="en-GB"/>
              </w:rPr>
              <w:t>Conformity assessment costs</w:t>
            </w:r>
          </w:p>
        </w:tc>
        <w:tc>
          <w:tcPr>
            <w:tcW w:w="3002" w:type="dxa"/>
            <w:tcBorders>
              <w:top w:val="single" w:sz="1" w:space="0" w:color="AAAAAA"/>
              <w:left w:val="single" w:sz="1" w:space="0" w:color="AAAAAA"/>
              <w:bottom w:val="single" w:sz="1" w:space="0" w:color="AAAAAA"/>
              <w:right w:val="single" w:sz="1" w:space="0" w:color="AAAAAA"/>
            </w:tcBorders>
            <w:shd w:val="clear" w:color="auto" w:fill="F2F2F2"/>
            <w:tcMar>
              <w:top w:w="60" w:type="dxa"/>
              <w:left w:w="100" w:type="dxa"/>
              <w:bottom w:w="60" w:type="dxa"/>
              <w:right w:w="100" w:type="dxa"/>
            </w:tcMar>
            <w:vAlign w:val="center"/>
          </w:tcPr>
          <w:p w14:paraId="2E890841"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Costs of demonstrating compliance with contribution obligations across multiple regulatory frameworks where national assessment procedures differ</w:t>
            </w:r>
          </w:p>
        </w:tc>
        <w:tc>
          <w:tcPr>
            <w:tcW w:w="1076" w:type="dxa"/>
            <w:tcBorders>
              <w:top w:val="single" w:sz="1" w:space="0" w:color="AAAAAA"/>
              <w:left w:val="single" w:sz="1" w:space="0" w:color="AAAAAA"/>
              <w:bottom w:val="single" w:sz="1" w:space="0" w:color="AAAAAA"/>
              <w:right w:val="single" w:sz="1" w:space="0" w:color="AAAAAA"/>
            </w:tcBorders>
            <w:shd w:val="clear" w:color="auto" w:fill="F2F2F2"/>
            <w:tcMar>
              <w:top w:w="60" w:type="dxa"/>
              <w:left w:w="100" w:type="dxa"/>
              <w:bottom w:w="60" w:type="dxa"/>
              <w:right w:w="100" w:type="dxa"/>
            </w:tcMar>
            <w:vAlign w:val="center"/>
          </w:tcPr>
          <w:p w14:paraId="5A0E74E3"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Direct</w:t>
            </w:r>
          </w:p>
        </w:tc>
        <w:tc>
          <w:tcPr>
            <w:tcW w:w="991" w:type="dxa"/>
            <w:tcBorders>
              <w:top w:val="single" w:sz="1" w:space="0" w:color="AAAAAA"/>
              <w:left w:val="single" w:sz="1" w:space="0" w:color="AAAAAA"/>
              <w:bottom w:val="single" w:sz="1" w:space="0" w:color="AAAAAA"/>
              <w:right w:val="single" w:sz="1" w:space="0" w:color="AAAAAA"/>
            </w:tcBorders>
            <w:shd w:val="clear" w:color="auto" w:fill="F2F2F2"/>
            <w:tcMar>
              <w:top w:w="60" w:type="dxa"/>
              <w:left w:w="100" w:type="dxa"/>
              <w:bottom w:w="60" w:type="dxa"/>
              <w:right w:w="100" w:type="dxa"/>
            </w:tcMar>
            <w:vAlign w:val="center"/>
          </w:tcPr>
          <w:p w14:paraId="77A7090B"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Short-term</w:t>
            </w:r>
          </w:p>
        </w:tc>
        <w:tc>
          <w:tcPr>
            <w:tcW w:w="1335" w:type="dxa"/>
            <w:tcBorders>
              <w:top w:val="single" w:sz="1" w:space="0" w:color="AAAAAA"/>
              <w:left w:val="single" w:sz="1" w:space="0" w:color="AAAAAA"/>
              <w:bottom w:val="single" w:sz="1" w:space="0" w:color="AAAAAA"/>
              <w:right w:val="single" w:sz="1" w:space="0" w:color="AAAAAA"/>
            </w:tcBorders>
            <w:shd w:val="clear" w:color="auto" w:fill="F2F2F2"/>
            <w:tcMar>
              <w:top w:w="60" w:type="dxa"/>
              <w:left w:w="100" w:type="dxa"/>
              <w:bottom w:w="60" w:type="dxa"/>
              <w:right w:w="100" w:type="dxa"/>
            </w:tcMar>
            <w:vAlign w:val="center"/>
          </w:tcPr>
          <w:p w14:paraId="5E12F05E"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000000"/>
                <w:sz w:val="18"/>
                <w:szCs w:val="18"/>
                <w:lang w:val="en-CA" w:eastAsia="en-GB"/>
              </w:rPr>
            </w:pPr>
            <w:r w:rsidRPr="005F0A67">
              <w:rPr>
                <w:rFonts w:asciiTheme="majorBidi" w:eastAsia="Tahoma" w:hAnsiTheme="majorBidi" w:cstheme="majorBidi"/>
                <w:b/>
                <w:bCs/>
                <w:color w:val="000000"/>
                <w:sz w:val="18"/>
                <w:szCs w:val="18"/>
                <w:lang w:val="en-CA" w:eastAsia="en-GB"/>
              </w:rPr>
              <w:t>No</w:t>
            </w:r>
          </w:p>
        </w:tc>
        <w:tc>
          <w:tcPr>
            <w:tcW w:w="5599" w:type="dxa"/>
            <w:tcBorders>
              <w:top w:val="single" w:sz="1" w:space="0" w:color="AAAAAA"/>
              <w:left w:val="single" w:sz="1" w:space="0" w:color="AAAAAA"/>
              <w:bottom w:val="single" w:sz="1" w:space="0" w:color="AAAAAA"/>
              <w:right w:val="single" w:sz="1" w:space="0" w:color="AAAAAA"/>
            </w:tcBorders>
            <w:shd w:val="clear" w:color="auto" w:fill="F2F2F2"/>
            <w:tcMar>
              <w:top w:w="60" w:type="dxa"/>
              <w:left w:w="100" w:type="dxa"/>
              <w:bottom w:w="60" w:type="dxa"/>
              <w:right w:w="100" w:type="dxa"/>
            </w:tcMar>
            <w:vAlign w:val="center"/>
          </w:tcPr>
          <w:p w14:paraId="179C2C47"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Under the current design the Cali Fund contribution is non-binding, and participation currently does not provide market access authorisation; no conformity assessment costs arise in the trade sense. This assessment would change if e.g. national implementation established the certificate as a condition of market access for DSI-derived products.</w:t>
            </w:r>
          </w:p>
        </w:tc>
      </w:tr>
      <w:tr w:rsidR="005F0A67" w:rsidRPr="005F0A67" w14:paraId="1BA1E4CC" w14:textId="77777777" w:rsidTr="005F0A67">
        <w:tc>
          <w:tcPr>
            <w:tcW w:w="13678" w:type="dxa"/>
            <w:gridSpan w:val="6"/>
            <w:tcBorders>
              <w:top w:val="single" w:sz="1" w:space="0" w:color="AAAAAA"/>
              <w:left w:val="single" w:sz="1" w:space="0" w:color="AAAAAA"/>
              <w:bottom w:val="single" w:sz="1" w:space="0" w:color="AAAAAA"/>
              <w:right w:val="single" w:sz="1" w:space="0" w:color="AAAAAA"/>
            </w:tcBorders>
            <w:shd w:val="clear" w:color="auto" w:fill="BFBFBF"/>
            <w:tcMar>
              <w:top w:w="60" w:type="dxa"/>
              <w:left w:w="100" w:type="dxa"/>
              <w:bottom w:w="60" w:type="dxa"/>
              <w:right w:w="100" w:type="dxa"/>
            </w:tcMar>
            <w:vAlign w:val="center"/>
          </w:tcPr>
          <w:p w14:paraId="16E64997"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000000"/>
                <w:sz w:val="18"/>
                <w:szCs w:val="18"/>
                <w:lang w:val="en-CA" w:eastAsia="en-GB"/>
              </w:rPr>
            </w:pPr>
            <w:r w:rsidRPr="005F0A67">
              <w:rPr>
                <w:rFonts w:asciiTheme="majorBidi" w:eastAsia="Tahoma" w:hAnsiTheme="majorBidi" w:cstheme="majorBidi"/>
                <w:b/>
                <w:bCs/>
                <w:color w:val="000000"/>
                <w:sz w:val="18"/>
                <w:szCs w:val="18"/>
                <w:lang w:val="en-CA" w:eastAsia="en-GB"/>
              </w:rPr>
              <w:t>B. Systematic consideration of international regulatory co-operation</w:t>
            </w:r>
          </w:p>
        </w:tc>
      </w:tr>
      <w:tr w:rsidR="005F0A67" w:rsidRPr="005F0A67" w14:paraId="3426959D" w14:textId="77777777" w:rsidTr="005F0A67">
        <w:tc>
          <w:tcPr>
            <w:tcW w:w="1675" w:type="dxa"/>
            <w:tcBorders>
              <w:top w:val="single" w:sz="1" w:space="0" w:color="AAAAAA"/>
              <w:left w:val="single" w:sz="1" w:space="0" w:color="AAAAAA"/>
              <w:bottom w:val="single" w:sz="1" w:space="0" w:color="AAAAAA"/>
              <w:right w:val="single" w:sz="1" w:space="0" w:color="AAAAAA"/>
            </w:tcBorders>
            <w:shd w:val="clear" w:color="auto" w:fill="DAE9F7"/>
            <w:tcMar>
              <w:top w:w="60" w:type="dxa"/>
              <w:left w:w="100" w:type="dxa"/>
              <w:bottom w:w="60" w:type="dxa"/>
              <w:right w:w="100" w:type="dxa"/>
            </w:tcMar>
            <w:vAlign w:val="center"/>
          </w:tcPr>
          <w:p w14:paraId="2CD32FC4"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000000"/>
                <w:sz w:val="18"/>
                <w:szCs w:val="18"/>
                <w:lang w:val="en-CA" w:eastAsia="en-GB"/>
              </w:rPr>
            </w:pPr>
            <w:r w:rsidRPr="005F0A67">
              <w:rPr>
                <w:rFonts w:asciiTheme="majorBidi" w:eastAsia="Tahoma" w:hAnsiTheme="majorBidi" w:cstheme="majorBidi"/>
                <w:b/>
                <w:bCs/>
                <w:color w:val="000000"/>
                <w:sz w:val="18"/>
                <w:szCs w:val="18"/>
                <w:lang w:val="en-CA" w:eastAsia="en-GB"/>
              </w:rPr>
              <w:t xml:space="preserve">International standards and regulatory dialogues </w:t>
            </w:r>
            <w:r w:rsidRPr="005F0A67">
              <w:rPr>
                <w:rFonts w:asciiTheme="majorBidi" w:eastAsia="Tahoma" w:hAnsiTheme="majorBidi" w:cstheme="majorBidi"/>
                <w:color w:val="000000"/>
                <w:sz w:val="18"/>
                <w:szCs w:val="18"/>
                <w:vertAlign w:val="superscript"/>
                <w:lang w:val="en-CA" w:eastAsia="en-GB"/>
              </w:rPr>
              <w:footnoteReference w:id="77"/>
            </w:r>
          </w:p>
        </w:tc>
        <w:tc>
          <w:tcPr>
            <w:tcW w:w="3002" w:type="dxa"/>
            <w:tcBorders>
              <w:top w:val="single" w:sz="1" w:space="0" w:color="AAAAAA"/>
              <w:left w:val="single" w:sz="1" w:space="0" w:color="AAAAAA"/>
              <w:bottom w:val="single" w:sz="1" w:space="0" w:color="AAAAAA"/>
              <w:right w:val="single" w:sz="1" w:space="0" w:color="AAAAAA"/>
            </w:tcBorders>
            <w:shd w:val="clear" w:color="auto" w:fill="DAE9F7"/>
            <w:tcMar>
              <w:top w:w="60" w:type="dxa"/>
              <w:left w:w="100" w:type="dxa"/>
              <w:bottom w:w="60" w:type="dxa"/>
              <w:right w:w="100" w:type="dxa"/>
            </w:tcMar>
            <w:vAlign w:val="center"/>
          </w:tcPr>
          <w:p w14:paraId="3CDC3AE2"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 xml:space="preserve">Whether divergence between the Cali Fund and other international DSI-related frameworks creates an uneven regulatory environment for </w:t>
            </w:r>
            <w:r w:rsidRPr="005F0A67">
              <w:rPr>
                <w:rFonts w:asciiTheme="majorBidi" w:eastAsia="Tahoma" w:hAnsiTheme="majorBidi" w:cstheme="majorBidi"/>
                <w:color w:val="000000"/>
                <w:sz w:val="18"/>
                <w:szCs w:val="18"/>
                <w:lang w:val="en-CA" w:eastAsia="en-GB"/>
              </w:rPr>
              <w:lastRenderedPageBreak/>
              <w:t>contributing firms relative to competitors operating under different or overlapping instruments</w:t>
            </w:r>
          </w:p>
        </w:tc>
        <w:tc>
          <w:tcPr>
            <w:tcW w:w="1076" w:type="dxa"/>
            <w:tcBorders>
              <w:top w:val="single" w:sz="1" w:space="0" w:color="AAAAAA"/>
              <w:left w:val="single" w:sz="1" w:space="0" w:color="AAAAAA"/>
              <w:bottom w:val="single" w:sz="1" w:space="0" w:color="AAAAAA"/>
              <w:right w:val="single" w:sz="1" w:space="0" w:color="AAAAAA"/>
            </w:tcBorders>
            <w:shd w:val="clear" w:color="auto" w:fill="DAE9F7"/>
            <w:tcMar>
              <w:top w:w="60" w:type="dxa"/>
              <w:left w:w="100" w:type="dxa"/>
              <w:bottom w:w="60" w:type="dxa"/>
              <w:right w:w="100" w:type="dxa"/>
            </w:tcMar>
            <w:vAlign w:val="center"/>
          </w:tcPr>
          <w:p w14:paraId="67CBD148"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lastRenderedPageBreak/>
              <w:t>Indirect</w:t>
            </w:r>
          </w:p>
        </w:tc>
        <w:tc>
          <w:tcPr>
            <w:tcW w:w="991" w:type="dxa"/>
            <w:tcBorders>
              <w:top w:val="single" w:sz="1" w:space="0" w:color="AAAAAA"/>
              <w:left w:val="single" w:sz="1" w:space="0" w:color="AAAAAA"/>
              <w:bottom w:val="single" w:sz="1" w:space="0" w:color="AAAAAA"/>
              <w:right w:val="single" w:sz="1" w:space="0" w:color="AAAAAA"/>
            </w:tcBorders>
            <w:shd w:val="clear" w:color="auto" w:fill="DAE9F7"/>
            <w:tcMar>
              <w:top w:w="60" w:type="dxa"/>
              <w:left w:w="100" w:type="dxa"/>
              <w:bottom w:w="60" w:type="dxa"/>
              <w:right w:w="100" w:type="dxa"/>
            </w:tcMar>
            <w:vAlign w:val="center"/>
          </w:tcPr>
          <w:p w14:paraId="1128A78D"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Long-term</w:t>
            </w:r>
          </w:p>
        </w:tc>
        <w:tc>
          <w:tcPr>
            <w:tcW w:w="1335" w:type="dxa"/>
            <w:tcBorders>
              <w:top w:val="single" w:sz="1" w:space="0" w:color="AAAAAA"/>
              <w:left w:val="single" w:sz="1" w:space="0" w:color="AAAAAA"/>
              <w:bottom w:val="single" w:sz="1" w:space="0" w:color="AAAAAA"/>
              <w:right w:val="single" w:sz="1" w:space="0" w:color="AAAAAA"/>
            </w:tcBorders>
            <w:shd w:val="clear" w:color="auto" w:fill="DAE9F7"/>
            <w:tcMar>
              <w:top w:w="60" w:type="dxa"/>
              <w:left w:w="100" w:type="dxa"/>
              <w:bottom w:w="60" w:type="dxa"/>
              <w:right w:w="100" w:type="dxa"/>
            </w:tcMar>
            <w:vAlign w:val="center"/>
          </w:tcPr>
          <w:p w14:paraId="5FB09161"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000000"/>
                <w:sz w:val="18"/>
                <w:szCs w:val="18"/>
                <w:lang w:val="en-CA" w:eastAsia="en-GB"/>
              </w:rPr>
            </w:pPr>
            <w:r w:rsidRPr="005F0A67">
              <w:rPr>
                <w:rFonts w:asciiTheme="majorBidi" w:eastAsia="Tahoma" w:hAnsiTheme="majorBidi" w:cstheme="majorBidi"/>
                <w:b/>
                <w:bCs/>
                <w:color w:val="000000"/>
                <w:sz w:val="18"/>
                <w:szCs w:val="18"/>
                <w:lang w:val="en-CA" w:eastAsia="en-GB"/>
              </w:rPr>
              <w:t>Cannot say</w:t>
            </w:r>
          </w:p>
        </w:tc>
        <w:tc>
          <w:tcPr>
            <w:tcW w:w="5599" w:type="dxa"/>
            <w:tcBorders>
              <w:top w:val="single" w:sz="1" w:space="0" w:color="AAAAAA"/>
              <w:left w:val="single" w:sz="1" w:space="0" w:color="AAAAAA"/>
              <w:bottom w:val="single" w:sz="1" w:space="0" w:color="AAAAAA"/>
              <w:right w:val="single" w:sz="1" w:space="0" w:color="AAAAAA"/>
            </w:tcBorders>
            <w:shd w:val="clear" w:color="auto" w:fill="DAE9F7"/>
            <w:tcMar>
              <w:top w:w="60" w:type="dxa"/>
              <w:left w:w="100" w:type="dxa"/>
              <w:bottom w:w="60" w:type="dxa"/>
              <w:right w:w="100" w:type="dxa"/>
            </w:tcMar>
            <w:vAlign w:val="center"/>
          </w:tcPr>
          <w:p w14:paraId="13C6292E"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 xml:space="preserve">The Cali Fund operates alongside other international frameworks covering DSI, including the WHO PABS, and BBNJ, none of which are fully aligned in scope, contribution modalities, or coverage; divergence between these frameworks may create asymmetric burdens for firms subject to </w:t>
            </w:r>
            <w:r w:rsidRPr="005F0A67">
              <w:rPr>
                <w:rFonts w:asciiTheme="majorBidi" w:eastAsia="Tahoma" w:hAnsiTheme="majorBidi" w:cstheme="majorBidi"/>
                <w:color w:val="000000"/>
                <w:sz w:val="18"/>
                <w:szCs w:val="18"/>
                <w:lang w:val="en-CA" w:eastAsia="en-GB"/>
              </w:rPr>
              <w:lastRenderedPageBreak/>
              <w:t>multiple instruments relative to competitors subject to fewer; the competitive implications could depend on how these overlaps are resolved by the Conference of the Parties.</w:t>
            </w:r>
          </w:p>
        </w:tc>
      </w:tr>
      <w:tr w:rsidR="005F0A67" w:rsidRPr="005F0A67" w14:paraId="76F41FEA" w14:textId="77777777" w:rsidTr="005F0A67">
        <w:tc>
          <w:tcPr>
            <w:tcW w:w="13678" w:type="dxa"/>
            <w:gridSpan w:val="6"/>
            <w:tcBorders>
              <w:top w:val="single" w:sz="1" w:space="0" w:color="AAAAAA"/>
              <w:left w:val="single" w:sz="1" w:space="0" w:color="AAAAAA"/>
              <w:bottom w:val="single" w:sz="1" w:space="0" w:color="AAAAAA"/>
              <w:right w:val="single" w:sz="1" w:space="0" w:color="AAAAAA"/>
            </w:tcBorders>
            <w:shd w:val="clear" w:color="auto" w:fill="BFBFBF"/>
            <w:tcMar>
              <w:top w:w="60" w:type="dxa"/>
              <w:left w:w="100" w:type="dxa"/>
              <w:bottom w:w="60" w:type="dxa"/>
              <w:right w:w="100" w:type="dxa"/>
            </w:tcMar>
            <w:vAlign w:val="center"/>
          </w:tcPr>
          <w:p w14:paraId="474681F3"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000000"/>
                <w:sz w:val="18"/>
                <w:szCs w:val="18"/>
                <w:lang w:val="en-CA" w:eastAsia="en-GB"/>
              </w:rPr>
            </w:pPr>
            <w:r w:rsidRPr="005F0A67">
              <w:rPr>
                <w:rFonts w:asciiTheme="majorBidi" w:eastAsia="Tahoma" w:hAnsiTheme="majorBidi" w:cstheme="majorBidi"/>
                <w:b/>
                <w:bCs/>
                <w:color w:val="000000"/>
                <w:sz w:val="18"/>
                <w:szCs w:val="18"/>
                <w:lang w:val="en-CA" w:eastAsia="en-GB"/>
              </w:rPr>
              <w:lastRenderedPageBreak/>
              <w:t>C. Burdensome regulations and international investment</w:t>
            </w:r>
          </w:p>
        </w:tc>
      </w:tr>
      <w:tr w:rsidR="005F0A67" w:rsidRPr="005F0A67" w14:paraId="2F00DDE9" w14:textId="77777777" w:rsidTr="005F0A67">
        <w:tc>
          <w:tcPr>
            <w:tcW w:w="1675" w:type="dxa"/>
            <w:tcBorders>
              <w:top w:val="single" w:sz="1" w:space="0" w:color="AAAAAA"/>
              <w:left w:val="single" w:sz="1" w:space="0" w:color="AAAAAA"/>
              <w:bottom w:val="single" w:sz="1" w:space="0" w:color="AAAAAA"/>
              <w:right w:val="single" w:sz="1" w:space="0" w:color="AAAAAA"/>
            </w:tcBorders>
            <w:shd w:val="clear" w:color="auto" w:fill="DAE9F7"/>
            <w:tcMar>
              <w:top w:w="60" w:type="dxa"/>
              <w:left w:w="100" w:type="dxa"/>
              <w:bottom w:w="60" w:type="dxa"/>
              <w:right w:w="100" w:type="dxa"/>
            </w:tcMar>
            <w:vAlign w:val="center"/>
          </w:tcPr>
          <w:p w14:paraId="0E794FA5"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000000"/>
                <w:sz w:val="18"/>
                <w:szCs w:val="18"/>
                <w:lang w:val="en-CA" w:eastAsia="en-GB"/>
              </w:rPr>
            </w:pPr>
            <w:r w:rsidRPr="005F0A67">
              <w:rPr>
                <w:rFonts w:asciiTheme="majorBidi" w:eastAsia="Tahoma" w:hAnsiTheme="majorBidi" w:cstheme="majorBidi"/>
                <w:b/>
                <w:bCs/>
                <w:color w:val="000000"/>
                <w:sz w:val="18"/>
                <w:szCs w:val="18"/>
                <w:lang w:val="en-CA" w:eastAsia="en-GB"/>
              </w:rPr>
              <w:t xml:space="preserve">FDI and relocation effects </w:t>
            </w:r>
            <w:r w:rsidRPr="005F0A67">
              <w:rPr>
                <w:rFonts w:ascii="Cambria Math" w:eastAsia="Tahoma" w:hAnsi="Cambria Math" w:cs="Cambria Math"/>
                <w:b/>
                <w:bCs/>
                <w:color w:val="000000"/>
                <w:sz w:val="18"/>
                <w:szCs w:val="18"/>
                <w:lang w:val="en-CA" w:eastAsia="en-GB"/>
              </w:rPr>
              <w:t>◆</w:t>
            </w:r>
            <w:r w:rsidRPr="005F0A67">
              <w:rPr>
                <w:rFonts w:asciiTheme="majorBidi" w:eastAsia="Tahoma" w:hAnsiTheme="majorBidi" w:cstheme="majorBidi"/>
                <w:color w:val="000000"/>
                <w:sz w:val="18"/>
                <w:szCs w:val="18"/>
                <w:vertAlign w:val="superscript"/>
                <w:lang w:val="en-CA" w:eastAsia="en-GB"/>
              </w:rPr>
              <w:footnoteReference w:id="78"/>
            </w:r>
          </w:p>
        </w:tc>
        <w:tc>
          <w:tcPr>
            <w:tcW w:w="3002" w:type="dxa"/>
            <w:tcBorders>
              <w:top w:val="single" w:sz="1" w:space="0" w:color="AAAAAA"/>
              <w:left w:val="single" w:sz="1" w:space="0" w:color="AAAAAA"/>
              <w:bottom w:val="single" w:sz="1" w:space="0" w:color="AAAAAA"/>
              <w:right w:val="single" w:sz="1" w:space="0" w:color="AAAAAA"/>
            </w:tcBorders>
            <w:shd w:val="clear" w:color="auto" w:fill="DAE9F7"/>
            <w:tcMar>
              <w:top w:w="60" w:type="dxa"/>
              <w:left w:w="100" w:type="dxa"/>
              <w:bottom w:w="60" w:type="dxa"/>
              <w:right w:w="100" w:type="dxa"/>
            </w:tcMar>
            <w:vAlign w:val="center"/>
          </w:tcPr>
          <w:p w14:paraId="5EF11554"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Effects on location decisions for R&amp;D and investment activity where the contribution creates jurisdiction-specific cost differentials relative to non-CBD-Party locations.</w:t>
            </w:r>
          </w:p>
        </w:tc>
        <w:tc>
          <w:tcPr>
            <w:tcW w:w="1076" w:type="dxa"/>
            <w:tcBorders>
              <w:top w:val="single" w:sz="1" w:space="0" w:color="AAAAAA"/>
              <w:left w:val="single" w:sz="1" w:space="0" w:color="AAAAAA"/>
              <w:bottom w:val="single" w:sz="1" w:space="0" w:color="AAAAAA"/>
              <w:right w:val="single" w:sz="1" w:space="0" w:color="AAAAAA"/>
            </w:tcBorders>
            <w:shd w:val="clear" w:color="auto" w:fill="DAE9F7"/>
            <w:tcMar>
              <w:top w:w="60" w:type="dxa"/>
              <w:left w:w="100" w:type="dxa"/>
              <w:bottom w:w="60" w:type="dxa"/>
              <w:right w:w="100" w:type="dxa"/>
            </w:tcMar>
            <w:vAlign w:val="center"/>
          </w:tcPr>
          <w:p w14:paraId="61CC0DAE"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Indirect</w:t>
            </w:r>
          </w:p>
        </w:tc>
        <w:tc>
          <w:tcPr>
            <w:tcW w:w="991" w:type="dxa"/>
            <w:tcBorders>
              <w:top w:val="single" w:sz="1" w:space="0" w:color="AAAAAA"/>
              <w:left w:val="single" w:sz="1" w:space="0" w:color="AAAAAA"/>
              <w:bottom w:val="single" w:sz="1" w:space="0" w:color="AAAAAA"/>
              <w:right w:val="single" w:sz="1" w:space="0" w:color="AAAAAA"/>
            </w:tcBorders>
            <w:shd w:val="clear" w:color="auto" w:fill="DAE9F7"/>
            <w:tcMar>
              <w:top w:w="60" w:type="dxa"/>
              <w:left w:w="100" w:type="dxa"/>
              <w:bottom w:w="60" w:type="dxa"/>
              <w:right w:w="100" w:type="dxa"/>
            </w:tcMar>
            <w:vAlign w:val="center"/>
          </w:tcPr>
          <w:p w14:paraId="6C35C811"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Long-term</w:t>
            </w:r>
          </w:p>
        </w:tc>
        <w:tc>
          <w:tcPr>
            <w:tcW w:w="1335" w:type="dxa"/>
            <w:tcBorders>
              <w:top w:val="single" w:sz="1" w:space="0" w:color="AAAAAA"/>
              <w:left w:val="single" w:sz="1" w:space="0" w:color="AAAAAA"/>
              <w:bottom w:val="single" w:sz="1" w:space="0" w:color="AAAAAA"/>
              <w:right w:val="single" w:sz="1" w:space="0" w:color="AAAAAA"/>
            </w:tcBorders>
            <w:shd w:val="clear" w:color="auto" w:fill="DAE9F7"/>
            <w:tcMar>
              <w:top w:w="60" w:type="dxa"/>
              <w:left w:w="100" w:type="dxa"/>
              <w:bottom w:w="60" w:type="dxa"/>
              <w:right w:w="100" w:type="dxa"/>
            </w:tcMar>
            <w:vAlign w:val="center"/>
          </w:tcPr>
          <w:p w14:paraId="664917AE"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000000"/>
                <w:sz w:val="18"/>
                <w:szCs w:val="18"/>
                <w:lang w:val="en-CA" w:eastAsia="en-GB"/>
              </w:rPr>
            </w:pPr>
            <w:r w:rsidRPr="005F0A67">
              <w:rPr>
                <w:rFonts w:asciiTheme="majorBidi" w:eastAsia="Tahoma" w:hAnsiTheme="majorBidi" w:cstheme="majorBidi"/>
                <w:b/>
                <w:bCs/>
                <w:color w:val="000000"/>
                <w:sz w:val="18"/>
                <w:szCs w:val="18"/>
                <w:lang w:val="en-CA" w:eastAsia="en-GB"/>
              </w:rPr>
              <w:t>Cannot say</w:t>
            </w:r>
          </w:p>
        </w:tc>
        <w:tc>
          <w:tcPr>
            <w:tcW w:w="5599" w:type="dxa"/>
            <w:tcBorders>
              <w:top w:val="single" w:sz="1" w:space="0" w:color="AAAAAA"/>
              <w:left w:val="single" w:sz="1" w:space="0" w:color="AAAAAA"/>
              <w:bottom w:val="single" w:sz="1" w:space="0" w:color="AAAAAA"/>
              <w:right w:val="single" w:sz="1" w:space="0" w:color="AAAAAA"/>
            </w:tcBorders>
            <w:shd w:val="clear" w:color="auto" w:fill="DAE9F7"/>
            <w:tcMar>
              <w:top w:w="60" w:type="dxa"/>
              <w:left w:w="100" w:type="dxa"/>
              <w:bottom w:w="60" w:type="dxa"/>
              <w:right w:w="100" w:type="dxa"/>
            </w:tcMar>
            <w:vAlign w:val="center"/>
          </w:tcPr>
          <w:p w14:paraId="1D1E5072"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sz w:val="18"/>
                <w:szCs w:val="18"/>
                <w:lang w:val="en-CA" w:eastAsia="en-GB"/>
              </w:rPr>
            </w:pPr>
            <w:r w:rsidRPr="005F0A67">
              <w:rPr>
                <w:rFonts w:asciiTheme="majorBidi" w:eastAsia="Tahoma" w:hAnsiTheme="majorBidi" w:cstheme="majorBidi"/>
                <w:color w:val="000000"/>
                <w:sz w:val="18"/>
                <w:szCs w:val="18"/>
                <w:lang w:val="en-CA" w:eastAsia="en-GB"/>
              </w:rPr>
              <w:t xml:space="preserve">Production relocation is implausible at indicative rates given the scale of switching costs. R&amp;D location effects are more plausible at the margin of new investment decisions given lower switching costs; however, Lichter et al. </w:t>
            </w:r>
            <w:r w:rsidRPr="005F0A67">
              <w:rPr>
                <w:rFonts w:asciiTheme="majorBidi" w:eastAsia="Tahoma" w:hAnsiTheme="majorBidi" w:cstheme="majorBidi"/>
                <w:color w:val="000000"/>
                <w:sz w:val="18"/>
                <w:szCs w:val="18"/>
                <w:lang w:val="en-CA" w:eastAsia="en-GB"/>
              </w:rPr>
              <w:fldChar w:fldCharType="begin"/>
            </w:r>
            <w:r w:rsidRPr="005F0A67">
              <w:rPr>
                <w:rFonts w:asciiTheme="majorBidi" w:eastAsia="Tahoma" w:hAnsiTheme="majorBidi" w:cstheme="majorBidi"/>
                <w:color w:val="000000"/>
                <w:sz w:val="18"/>
                <w:szCs w:val="18"/>
                <w:lang w:val="en-CA" w:eastAsia="en-GB"/>
              </w:rPr>
              <w:instrText xml:space="preserve"> ADDIN ZOTERO_ITEM CSL_CITATION {"citationID":"NsbKQSn7","properties":{"unsorted":false,"formattedCitation":"(2025)","plainCitation":"(2025)","noteIndex":0},"citationItems":[{"id":181,"uris":["http://zotero.org/users/14977742/items/H43L3BEQ"],"itemData":{"id":181,"type":"article-journal","abstract":"We study how profit taxes affect establishments' R&amp;D activities. Relying on detailed panel data of R&amp;D-active firms in Germany over two decades, we exploit identifying variation induced by more than 10,000 municipal changes in the local business tax rate and federal tax reforms with locally varying effects. Using event-study techniques, we find a sizable, negative effect of profit taxes on establishments' total R&amp;D spending and patents filed. Zooming into the innovation production process, we uncover substantial heterogeneity in the impact of profit taxation for various R&amp;D input factors, among firm characteristics, and for different types of research projects.","citation-key":"lichterProfitTaxationRampD2025","container-title":"American Economic Journal: Economic Policy","DOI":"10.1257/pol.20220580","ISSN":"1945-7731","issue":"1","language":"en","page":"432-463","source":"www.aeaweb.org","title":"Profit Taxation, R&amp;amp;D Spending, and Innovation","volume":"17","author":[{"family":"Lichter","given":"Andreas"},{"family":"Löffler","given":"Max"},{"family":"Isphording","given":"Ingo E."},{"family":"Nguyen","given":"Thu-Van"},{"family":"Poege","given":"Felix"},{"family":"Siegloch","given":"Sebastian"}],"issued":{"date-parts":[["2025",2]]}},"suppress-author":true}],"schema":"https://github.com/citation-style-language/schema/raw/master/csl-citation.json"} </w:instrText>
            </w:r>
            <w:r w:rsidRPr="005F0A67">
              <w:rPr>
                <w:rFonts w:asciiTheme="majorBidi" w:eastAsia="Tahoma" w:hAnsiTheme="majorBidi" w:cstheme="majorBidi"/>
                <w:color w:val="000000"/>
                <w:sz w:val="18"/>
                <w:szCs w:val="18"/>
                <w:lang w:val="en-CA" w:eastAsia="en-GB"/>
              </w:rPr>
              <w:fldChar w:fldCharType="separate"/>
            </w:r>
            <w:r w:rsidRPr="005F0A67">
              <w:rPr>
                <w:rFonts w:asciiTheme="majorBidi" w:eastAsia="Tahoma" w:hAnsiTheme="majorBidi" w:cstheme="majorBidi"/>
                <w:color w:val="000000"/>
                <w:sz w:val="18"/>
                <w:szCs w:val="18"/>
                <w:lang w:val="en-CA" w:eastAsia="en-GB"/>
              </w:rPr>
              <w:t>(2025)</w:t>
            </w:r>
            <w:r w:rsidRPr="005F0A67">
              <w:rPr>
                <w:rFonts w:asciiTheme="majorBidi" w:eastAsia="Tahoma" w:hAnsiTheme="majorBidi" w:cstheme="majorBidi"/>
                <w:color w:val="000000"/>
                <w:sz w:val="18"/>
                <w:szCs w:val="18"/>
                <w:lang w:val="en-CA" w:eastAsia="en-GB"/>
              </w:rPr>
              <w:fldChar w:fldCharType="end"/>
            </w:r>
            <w:r w:rsidRPr="005F0A67">
              <w:rPr>
                <w:rFonts w:asciiTheme="majorBidi" w:eastAsia="Tahoma" w:hAnsiTheme="majorBidi" w:cstheme="majorBidi"/>
                <w:color w:val="000000"/>
                <w:sz w:val="18"/>
                <w:szCs w:val="18"/>
                <w:lang w:val="en-CA" w:eastAsia="en-GB"/>
              </w:rPr>
              <w:t xml:space="preserve"> find that the primary firm response to a comparable profit tax burden is a modest reduction in R&amp;D spending over an eight-year horizon rather than relocation, suggesting deliberate jurisdictional arbitrage is unlikely for most firm types. </w:t>
            </w:r>
            <w:r w:rsidRPr="005F0A67">
              <w:rPr>
                <w:rFonts w:asciiTheme="majorBidi" w:eastAsia="Tahoma" w:hAnsiTheme="majorBidi" w:cstheme="majorBidi"/>
                <w:sz w:val="18"/>
                <w:szCs w:val="18"/>
                <w:lang w:val="en-CA" w:eastAsia="en-GB"/>
              </w:rPr>
              <w:t xml:space="preserve">This finding may not extend to early-stage or emerging-market firms with more limited access to domestic risk capital, for whom relocation costs are lower and the relative burden of the contribution higher </w:t>
            </w:r>
            <w:r w:rsidRPr="005F0A67">
              <w:rPr>
                <w:rFonts w:asciiTheme="majorBidi" w:eastAsia="Tahoma" w:hAnsiTheme="majorBidi" w:cstheme="majorBidi"/>
                <w:sz w:val="18"/>
                <w:szCs w:val="18"/>
                <w:lang w:val="en-CA" w:eastAsia="en-GB"/>
              </w:rPr>
              <w:fldChar w:fldCharType="begin"/>
            </w:r>
            <w:r w:rsidRPr="005F0A67">
              <w:rPr>
                <w:rFonts w:asciiTheme="majorBidi" w:eastAsia="Tahoma" w:hAnsiTheme="majorBidi" w:cstheme="majorBidi"/>
                <w:sz w:val="18"/>
                <w:szCs w:val="18"/>
                <w:lang w:val="en-CA" w:eastAsia="en-GB"/>
              </w:rPr>
              <w:instrText xml:space="preserve"> ADDIN ZOTERO_ITEM CSL_CITATION {"citationID":"a2o145jj7vd","properties":{"unsorted":false,"formattedCitation":"\\uldash{(Kreiken and Asveld, 2025)}","plainCitation":"(Kreiken and Asveld, 2025)","noteIndex":0},"citationItems":[{"id":3066,"uris":["http://zotero.org/users/14977742/items/9WX9QZ52"],"itemData":{"id":3066,"type":"article-journal","abstract":"To tackle the global biotechnological innovation divide, Parties to the Convention on Biological Diversity (CBD) are negotiating policies to fairly share the benefits from the use of digital sequence information (DSI) on genetic resources. The policies aim to transfer money, knowledge and technologies from technology-rich developed to biodiversity-rich developing countries in order to bolster the latter’s capacities to achieve the CBD’s objectives. However, by focusing predominantly on scientific capacities, these policies overlook the complex interactions between various actors, conditions and infrastructures that collectively constitute a country’s innovation capacity. In the first-time application of the National Innovation System approach in this policy context, we identify many factors contributing to an innovation gap in Colombia, the host country of COP16, resulting in barriers to study and valorize biodiversity and in lost opportunities for the country to benefit from new technologies. This analysis calls for consideration of broader policy reforms in access and benefit-sharing (ABS) negotiations, and illustrates how holistic policy interventions are needed in countries that benefit from ABS instruments to effectively use financial, scientific and technological resources. Without such an approach, efforts to enhance benefit-sharing from genetic resources and DSI risk reinforcing inequalities in innovation capacity. Finally, we discuss actions countries could take to use their current resources better, as well as how scientists and companies as users of genetic resources and DSI can pursue mutual interests by tackling innovation bottlenecks.\n[Para una versión en español del resumen, por favor consulte los Datos suplementarios]","citation-key":"kreikenPromiseAccessBenefitsharing2025","container-title":"Genetic Resources","DOI":"10.46265/genresj.APNR6909","ISSN":"2708-3764","issue":"12","language":"en","license":"Copyright (c) 2025 Bob Kreiken, Lotte Asveld","page":"39-56","source":"www.genresj.org","title":"The promise of access and benefit-sharing is met through holistic policy reform: Insights from Colombia’s genetic diversity and innovation landscape during COP16","title-short":"The promise of access and benefit-sharing is met through holistic policy reform","volume":"6","author":[{"family":"Kreiken","given":"Bob"},{"family":"Asveld","given":"Lotte"}],"issued":{"date-parts":[["2025",8,19]]}}}],"schema":"https://github.com/citation-style-language/schema/raw/master/csl-citation.json"} </w:instrText>
            </w:r>
            <w:r w:rsidRPr="005F0A67">
              <w:rPr>
                <w:rFonts w:asciiTheme="majorBidi" w:eastAsia="Tahoma" w:hAnsiTheme="majorBidi" w:cstheme="majorBidi"/>
                <w:sz w:val="18"/>
                <w:szCs w:val="18"/>
                <w:lang w:val="en-CA" w:eastAsia="en-GB"/>
              </w:rPr>
              <w:fldChar w:fldCharType="separate"/>
            </w:r>
            <w:r w:rsidRPr="005F0A67">
              <w:rPr>
                <w:rFonts w:asciiTheme="majorBidi" w:eastAsia="Georgia" w:hAnsiTheme="majorBidi" w:cstheme="majorBidi"/>
                <w:sz w:val="18"/>
                <w:szCs w:val="24"/>
                <w:u w:val="dash"/>
                <w:lang w:eastAsia="en-GB"/>
              </w:rPr>
              <w:t>(Kreiken and Asveld, 2025)</w:t>
            </w:r>
            <w:r w:rsidRPr="005F0A67">
              <w:rPr>
                <w:rFonts w:asciiTheme="majorBidi" w:eastAsia="Tahoma" w:hAnsiTheme="majorBidi" w:cstheme="majorBidi"/>
                <w:sz w:val="18"/>
                <w:szCs w:val="18"/>
                <w:lang w:val="en-CA" w:eastAsia="en-GB"/>
              </w:rPr>
              <w:fldChar w:fldCharType="end"/>
            </w:r>
            <w:r w:rsidRPr="005F0A67">
              <w:rPr>
                <w:rFonts w:asciiTheme="majorBidi" w:eastAsia="Tahoma" w:hAnsiTheme="majorBidi" w:cstheme="majorBidi"/>
                <w:sz w:val="18"/>
                <w:szCs w:val="18"/>
                <w:lang w:val="en-CA" w:eastAsia="en-GB"/>
              </w:rPr>
              <w:t>.</w:t>
            </w:r>
          </w:p>
        </w:tc>
      </w:tr>
    </w:tbl>
    <w:p w14:paraId="4F4E0BD6"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18"/>
          <w:szCs w:val="18"/>
          <w:lang w:val="en-CA" w:eastAsia="en-GB"/>
        </w:rPr>
        <w:sectPr w:rsidR="005F0A67" w:rsidRPr="005F0A67" w:rsidSect="005F0A67">
          <w:pgSz w:w="15840" w:h="12240" w:orient="landscape"/>
          <w:pgMar w:top="1260" w:right="1080" w:bottom="1260" w:left="1080" w:header="706" w:footer="706" w:gutter="0"/>
          <w:cols w:space="720"/>
          <w:docGrid w:linePitch="360"/>
        </w:sectPr>
      </w:pPr>
      <w:r w:rsidRPr="005F0A67">
        <w:rPr>
          <w:rFonts w:asciiTheme="majorBidi" w:eastAsia="Times New Roman" w:hAnsiTheme="majorBidi" w:cstheme="majorBidi"/>
          <w:i/>
          <w:iCs/>
          <w:sz w:val="18"/>
          <w:szCs w:val="18"/>
          <w:lang w:val="en-CA" w:eastAsia="en-GB"/>
        </w:rPr>
        <w:t xml:space="preserve">Note: </w:t>
      </w:r>
      <w:r w:rsidRPr="005F0A67">
        <w:rPr>
          <w:rFonts w:asciiTheme="majorBidi" w:eastAsia="Times New Roman" w:hAnsiTheme="majorBidi" w:cstheme="majorBidi"/>
          <w:sz w:val="18"/>
          <w:szCs w:val="18"/>
          <w:lang w:val="en-CA" w:eastAsia="en-GB"/>
        </w:rPr>
        <w:t xml:space="preserve">Symbol </w:t>
      </w:r>
      <w:r w:rsidRPr="005F0A67">
        <w:rPr>
          <w:rFonts w:ascii="Cambria Math" w:eastAsia="Times New Roman" w:hAnsi="Cambria Math" w:cs="Cambria Math"/>
          <w:sz w:val="18"/>
          <w:szCs w:val="18"/>
          <w:lang w:val="en-CA" w:eastAsia="en-GB"/>
        </w:rPr>
        <w:t>◆</w:t>
      </w:r>
      <w:r w:rsidRPr="005F0A67">
        <w:rPr>
          <w:rFonts w:asciiTheme="majorBidi" w:eastAsia="Times New Roman" w:hAnsiTheme="majorBidi" w:cstheme="majorBidi"/>
          <w:sz w:val="18"/>
          <w:szCs w:val="18"/>
          <w:lang w:val="en-CA" w:eastAsia="en-GB"/>
        </w:rPr>
        <w:t xml:space="preserve"> indicates impacts supported by the industry consultation or CBD Notification 2024-114 submissions. Impacts without a symbol are assessed on theoretical and structural grounds only. </w:t>
      </w:r>
    </w:p>
    <w:p w14:paraId="0028E291" w14:textId="77777777" w:rsidR="005F0A67" w:rsidRPr="005F0A67" w:rsidRDefault="005F0A67" w:rsidP="005F0A67">
      <w:pPr>
        <w:numPr>
          <w:ilvl w:val="1"/>
          <w:numId w:val="12"/>
        </w:numPr>
        <w:tabs>
          <w:tab w:val="clear" w:pos="567"/>
          <w:tab w:val="clear" w:pos="1134"/>
          <w:tab w:val="clear" w:pos="1701"/>
          <w:tab w:val="clear" w:pos="2268"/>
        </w:tabs>
        <w:spacing w:before="320" w:after="160"/>
        <w:ind w:left="576" w:hanging="576"/>
        <w:jc w:val="left"/>
        <w:outlineLvl w:val="1"/>
        <w:rPr>
          <w:rFonts w:asciiTheme="majorBidi" w:eastAsia="Arial" w:hAnsiTheme="majorBidi" w:cstheme="majorBidi"/>
          <w:b/>
          <w:bCs/>
          <w:color w:val="1A1A1A"/>
          <w:sz w:val="23"/>
          <w:szCs w:val="23"/>
          <w:lang w:val="en-CA" w:eastAsia="en-GB"/>
        </w:rPr>
      </w:pPr>
      <w:bookmarkStart w:id="178" w:name="_Ref231901776"/>
      <w:bookmarkStart w:id="179" w:name="_Toc234579599"/>
      <w:r w:rsidRPr="005F0A67">
        <w:rPr>
          <w:rFonts w:asciiTheme="majorBidi" w:eastAsia="Arial" w:hAnsiTheme="majorBidi" w:cstheme="majorBidi"/>
          <w:b/>
          <w:bCs/>
          <w:color w:val="1A1A1A"/>
          <w:sz w:val="23"/>
          <w:szCs w:val="23"/>
          <w:lang w:val="en-CA" w:eastAsia="en-GB"/>
        </w:rPr>
        <w:lastRenderedPageBreak/>
        <w:t>Participation base and contribution burden by sector</w:t>
      </w:r>
      <w:bookmarkEnd w:id="178"/>
      <w:bookmarkEnd w:id="179"/>
      <w:r w:rsidRPr="005F0A67">
        <w:rPr>
          <w:rFonts w:asciiTheme="majorBidi" w:eastAsia="Arial" w:hAnsiTheme="majorBidi" w:cstheme="majorBidi"/>
          <w:b/>
          <w:bCs/>
          <w:color w:val="1A1A1A"/>
          <w:sz w:val="23"/>
          <w:szCs w:val="23"/>
          <w:lang w:val="en-CA" w:eastAsia="en-GB"/>
        </w:rPr>
        <w:t xml:space="preserve"> </w:t>
      </w:r>
    </w:p>
    <w:p w14:paraId="3B8895A4"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Sections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_Ref231901776 \r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7.6</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to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_Ref231899209 \r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7.14</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apply the three-step framework set out in Section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_Ref230281726 \r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7.5</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across the seven indicative Enclosure I sectors. This section summarises the contribution burden by sector under the central scenario, which provides the quantitative anchor for the assessments that follow. Sections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_Ref231420184 \r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7.7</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to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_Ref231897708 \r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7.13</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present the Steps 1–3 analysis for each sector. Section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_Ref231899209 \r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7.14</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draws together the findings across sectors and pillars.</w:t>
      </w:r>
    </w:p>
    <w:p w14:paraId="01E17A91"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_Ref231155116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Table 22</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summarises the scale of the participating base and estimated contribution burden by Indicative Enclosure I sector under the central scenario (S3)</w:t>
      </w:r>
      <w:r w:rsidRPr="005F0A67">
        <w:rPr>
          <w:rFonts w:asciiTheme="majorBidi" w:eastAsia="Times New Roman" w:hAnsiTheme="majorBidi" w:cstheme="majorBidi"/>
          <w:vertAlign w:val="superscript"/>
          <w:lang w:val="en-CA" w:eastAsia="en-GB"/>
        </w:rPr>
        <w:footnoteReference w:id="79"/>
      </w:r>
      <w:r w:rsidRPr="005F0A67">
        <w:rPr>
          <w:rFonts w:asciiTheme="majorBidi" w:eastAsia="Times New Roman" w:hAnsiTheme="majorBidi" w:cstheme="majorBidi"/>
          <w:lang w:val="en-CA" w:eastAsia="en-GB"/>
        </w:rPr>
        <w:t xml:space="preserve">. The central scenario is used as the basis for the competitiveness assessment because it reflects realistic participation conditions calibrated from the literature, rather than the theoretical maximum under full compliance. </w:t>
      </w:r>
    </w:p>
    <w:p w14:paraId="4227C133" w14:textId="77777777" w:rsidR="005F0A67" w:rsidRPr="005F0A67" w:rsidRDefault="005F0A67" w:rsidP="005F0A67">
      <w:pPr>
        <w:tabs>
          <w:tab w:val="clear" w:pos="567"/>
          <w:tab w:val="clear" w:pos="1134"/>
          <w:tab w:val="clear" w:pos="1701"/>
          <w:tab w:val="clear" w:pos="2268"/>
        </w:tabs>
        <w:spacing w:after="200" w:line="312" w:lineRule="auto"/>
        <w:contextualSpacing/>
        <w:rPr>
          <w:rFonts w:asciiTheme="majorBidi" w:eastAsia="Georgia" w:hAnsiTheme="majorBidi" w:cstheme="majorBidi"/>
          <w:b/>
          <w:bCs/>
          <w:color w:val="419844"/>
          <w:lang w:eastAsia="en-GB"/>
        </w:rPr>
      </w:pPr>
      <w:bookmarkStart w:id="180" w:name="_Ref231155116"/>
      <w:r w:rsidRPr="005F0A67">
        <w:rPr>
          <w:rFonts w:asciiTheme="majorBidi" w:eastAsia="Georgia" w:hAnsiTheme="majorBidi" w:cstheme="majorBidi"/>
          <w:b/>
          <w:bCs/>
          <w:color w:val="419844"/>
          <w:lang w:val="en-US" w:eastAsia="ja-JP"/>
        </w:rPr>
        <w:t xml:space="preserve">Table </w:t>
      </w:r>
      <w:r w:rsidRPr="005F0A67">
        <w:rPr>
          <w:rFonts w:asciiTheme="majorBidi" w:eastAsia="Georgia" w:hAnsiTheme="majorBidi" w:cstheme="majorBidi"/>
          <w:b/>
          <w:bCs/>
          <w:color w:val="419844"/>
          <w:lang w:eastAsia="en-GB"/>
        </w:rPr>
        <w:fldChar w:fldCharType="begin"/>
      </w:r>
      <w:r w:rsidRPr="005F0A67">
        <w:rPr>
          <w:rFonts w:asciiTheme="majorBidi" w:eastAsia="Georgia" w:hAnsiTheme="majorBidi" w:cstheme="majorBidi"/>
          <w:b/>
          <w:bCs/>
          <w:color w:val="419844"/>
          <w:lang w:eastAsia="en-GB"/>
        </w:rPr>
        <w:instrText xml:space="preserve"> SEQ Table \* ARABIC </w:instrText>
      </w:r>
      <w:r w:rsidRPr="005F0A67">
        <w:rPr>
          <w:rFonts w:asciiTheme="majorBidi" w:eastAsia="Georgia" w:hAnsiTheme="majorBidi" w:cstheme="majorBidi"/>
          <w:b/>
          <w:bCs/>
          <w:color w:val="419844"/>
          <w:lang w:eastAsia="en-GB"/>
        </w:rPr>
        <w:fldChar w:fldCharType="separate"/>
      </w:r>
      <w:r w:rsidRPr="005F0A67">
        <w:rPr>
          <w:rFonts w:asciiTheme="majorBidi" w:eastAsia="Georgia" w:hAnsiTheme="majorBidi" w:cstheme="majorBidi"/>
          <w:b/>
          <w:bCs/>
          <w:noProof/>
          <w:color w:val="419844"/>
          <w:lang w:eastAsia="en-GB"/>
        </w:rPr>
        <w:t>22</w:t>
      </w:r>
      <w:r w:rsidRPr="005F0A67">
        <w:rPr>
          <w:rFonts w:asciiTheme="majorBidi" w:eastAsia="Georgia" w:hAnsiTheme="majorBidi" w:cstheme="majorBidi"/>
          <w:b/>
          <w:bCs/>
          <w:color w:val="419844"/>
          <w:lang w:eastAsia="en-GB"/>
        </w:rPr>
        <w:fldChar w:fldCharType="end"/>
      </w:r>
      <w:bookmarkEnd w:id="180"/>
      <w:r w:rsidRPr="005F0A67">
        <w:rPr>
          <w:rFonts w:asciiTheme="majorBidi" w:eastAsia="Georgia" w:hAnsiTheme="majorBidi" w:cstheme="majorBidi"/>
          <w:b/>
          <w:bCs/>
          <w:color w:val="419844"/>
          <w:lang w:val="en-US" w:eastAsia="ja-JP"/>
        </w:rPr>
        <w:t xml:space="preserve"> Contribution burden by sector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1877"/>
        <w:gridCol w:w="1094"/>
        <w:gridCol w:w="2354"/>
        <w:gridCol w:w="2452"/>
        <w:gridCol w:w="1941"/>
      </w:tblGrid>
      <w:tr w:rsidR="005F0A67" w:rsidRPr="005F0A67" w14:paraId="041C4494" w14:textId="77777777" w:rsidTr="00FB671B">
        <w:trPr>
          <w:tblHeader/>
        </w:trPr>
        <w:tc>
          <w:tcPr>
            <w:tcW w:w="0" w:type="auto"/>
            <w:tcBorders>
              <w:top w:val="single" w:sz="1" w:space="0" w:color="AAAAAA"/>
              <w:left w:val="single" w:sz="1" w:space="0" w:color="AAAAAA"/>
              <w:bottom w:val="single" w:sz="1" w:space="0" w:color="AAAAAA"/>
              <w:right w:val="single" w:sz="1" w:space="0" w:color="AAAAAA"/>
            </w:tcBorders>
            <w:shd w:val="clear" w:color="auto" w:fill="1F4E6B"/>
            <w:tcMar>
              <w:top w:w="60" w:type="dxa"/>
              <w:left w:w="100" w:type="dxa"/>
              <w:bottom w:w="60" w:type="dxa"/>
              <w:right w:w="100" w:type="dxa"/>
            </w:tcMar>
            <w:vAlign w:val="center"/>
          </w:tcPr>
          <w:p w14:paraId="0A2BA809"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FFFFFF"/>
                <w:sz w:val="18"/>
                <w:szCs w:val="18"/>
                <w:lang w:val="en-CA" w:eastAsia="en-GB"/>
              </w:rPr>
            </w:pPr>
            <w:r w:rsidRPr="005F0A67">
              <w:rPr>
                <w:rFonts w:asciiTheme="majorBidi" w:eastAsia="Tahoma" w:hAnsiTheme="majorBidi" w:cstheme="majorBidi"/>
                <w:b/>
                <w:bCs/>
                <w:color w:val="FFFFFF"/>
                <w:sz w:val="18"/>
                <w:szCs w:val="18"/>
                <w:lang w:val="en-CA" w:eastAsia="en-GB"/>
              </w:rPr>
              <w:t>Sector</w:t>
            </w:r>
          </w:p>
        </w:tc>
        <w:tc>
          <w:tcPr>
            <w:tcW w:w="0" w:type="auto"/>
            <w:tcBorders>
              <w:top w:val="single" w:sz="1" w:space="0" w:color="AAAAAA"/>
              <w:left w:val="single" w:sz="1" w:space="0" w:color="AAAAAA"/>
              <w:bottom w:val="single" w:sz="1" w:space="0" w:color="AAAAAA"/>
              <w:right w:val="single" w:sz="1" w:space="0" w:color="AAAAAA"/>
            </w:tcBorders>
            <w:shd w:val="clear" w:color="auto" w:fill="1F4E6B"/>
            <w:tcMar>
              <w:top w:w="60" w:type="dxa"/>
              <w:left w:w="100" w:type="dxa"/>
              <w:bottom w:w="60" w:type="dxa"/>
              <w:right w:w="100" w:type="dxa"/>
            </w:tcMar>
            <w:vAlign w:val="center"/>
          </w:tcPr>
          <w:p w14:paraId="47DA17F8" w14:textId="77777777" w:rsidR="005F0A67" w:rsidRPr="005F0A67" w:rsidRDefault="005F0A67" w:rsidP="005F0A67">
            <w:pPr>
              <w:tabs>
                <w:tab w:val="clear" w:pos="567"/>
                <w:tab w:val="clear" w:pos="1134"/>
                <w:tab w:val="clear" w:pos="1701"/>
                <w:tab w:val="clear" w:pos="2268"/>
              </w:tabs>
              <w:jc w:val="right"/>
              <w:rPr>
                <w:rFonts w:asciiTheme="majorBidi" w:eastAsia="Tahoma" w:hAnsiTheme="majorBidi" w:cstheme="majorBidi"/>
                <w:b/>
                <w:bCs/>
                <w:color w:val="FFFFFF"/>
                <w:sz w:val="18"/>
                <w:szCs w:val="18"/>
                <w:lang w:val="en-CA" w:eastAsia="en-GB"/>
              </w:rPr>
            </w:pPr>
            <w:r w:rsidRPr="005F0A67">
              <w:rPr>
                <w:rFonts w:asciiTheme="majorBidi" w:eastAsia="Tahoma" w:hAnsiTheme="majorBidi" w:cstheme="majorBidi"/>
                <w:b/>
                <w:bCs/>
                <w:color w:val="FFFFFF"/>
                <w:sz w:val="18"/>
                <w:szCs w:val="18"/>
                <w:lang w:val="en-CA" w:eastAsia="en-GB"/>
              </w:rPr>
              <w:t>Eligible firms</w:t>
            </w:r>
          </w:p>
        </w:tc>
        <w:tc>
          <w:tcPr>
            <w:tcW w:w="0" w:type="auto"/>
            <w:tcBorders>
              <w:top w:val="single" w:sz="1" w:space="0" w:color="AAAAAA"/>
              <w:left w:val="single" w:sz="1" w:space="0" w:color="AAAAAA"/>
              <w:bottom w:val="single" w:sz="1" w:space="0" w:color="AAAAAA"/>
              <w:right w:val="single" w:sz="1" w:space="0" w:color="AAAAAA"/>
            </w:tcBorders>
            <w:shd w:val="clear" w:color="auto" w:fill="1F4E6B"/>
            <w:tcMar>
              <w:top w:w="60" w:type="dxa"/>
              <w:left w:w="100" w:type="dxa"/>
              <w:bottom w:w="60" w:type="dxa"/>
              <w:right w:w="100" w:type="dxa"/>
            </w:tcMar>
            <w:vAlign w:val="center"/>
          </w:tcPr>
          <w:p w14:paraId="14D64F80" w14:textId="77777777" w:rsidR="005F0A67" w:rsidRPr="005F0A67" w:rsidRDefault="005F0A67" w:rsidP="005F0A67">
            <w:pPr>
              <w:tabs>
                <w:tab w:val="clear" w:pos="567"/>
                <w:tab w:val="clear" w:pos="1134"/>
                <w:tab w:val="clear" w:pos="1701"/>
                <w:tab w:val="clear" w:pos="2268"/>
              </w:tabs>
              <w:jc w:val="right"/>
              <w:rPr>
                <w:rFonts w:asciiTheme="majorBidi" w:eastAsia="Tahoma" w:hAnsiTheme="majorBidi" w:cstheme="majorBidi"/>
                <w:b/>
                <w:bCs/>
                <w:color w:val="FFFFFF"/>
                <w:sz w:val="18"/>
                <w:szCs w:val="18"/>
                <w:lang w:val="en-CA" w:eastAsia="en-GB"/>
              </w:rPr>
            </w:pPr>
            <w:r w:rsidRPr="005F0A67">
              <w:rPr>
                <w:rFonts w:asciiTheme="majorBidi" w:eastAsia="Tahoma" w:hAnsiTheme="majorBidi" w:cstheme="majorBidi"/>
                <w:b/>
                <w:bCs/>
                <w:color w:val="FFFFFF"/>
                <w:sz w:val="18"/>
                <w:szCs w:val="18"/>
                <w:lang w:val="en-CA" w:eastAsia="en-GB"/>
              </w:rPr>
              <w:t>Participating revenue (USD billion)</w:t>
            </w:r>
          </w:p>
        </w:tc>
        <w:tc>
          <w:tcPr>
            <w:tcW w:w="0" w:type="auto"/>
            <w:tcBorders>
              <w:top w:val="single" w:sz="1" w:space="0" w:color="AAAAAA"/>
              <w:left w:val="single" w:sz="1" w:space="0" w:color="AAAAAA"/>
              <w:bottom w:val="single" w:sz="1" w:space="0" w:color="AAAAAA"/>
              <w:right w:val="single" w:sz="1" w:space="0" w:color="AAAAAA"/>
            </w:tcBorders>
            <w:shd w:val="clear" w:color="auto" w:fill="1F4E6B"/>
            <w:tcMar>
              <w:top w:w="60" w:type="dxa"/>
              <w:left w:w="100" w:type="dxa"/>
              <w:bottom w:w="60" w:type="dxa"/>
              <w:right w:w="100" w:type="dxa"/>
            </w:tcMar>
            <w:vAlign w:val="center"/>
          </w:tcPr>
          <w:p w14:paraId="7CB4A322" w14:textId="77777777" w:rsidR="005F0A67" w:rsidRPr="005F0A67" w:rsidRDefault="005F0A67" w:rsidP="005F0A67">
            <w:pPr>
              <w:tabs>
                <w:tab w:val="clear" w:pos="567"/>
                <w:tab w:val="clear" w:pos="1134"/>
                <w:tab w:val="clear" w:pos="1701"/>
                <w:tab w:val="clear" w:pos="2268"/>
              </w:tabs>
              <w:jc w:val="right"/>
              <w:rPr>
                <w:rFonts w:asciiTheme="majorBidi" w:eastAsia="Tahoma" w:hAnsiTheme="majorBidi" w:cstheme="majorBidi"/>
                <w:b/>
                <w:bCs/>
                <w:color w:val="FFFFFF"/>
                <w:sz w:val="18"/>
                <w:szCs w:val="18"/>
                <w:lang w:val="en-CA" w:eastAsia="en-GB"/>
              </w:rPr>
            </w:pPr>
            <w:r w:rsidRPr="005F0A67">
              <w:rPr>
                <w:rFonts w:asciiTheme="majorBidi" w:eastAsia="Tahoma" w:hAnsiTheme="majorBidi" w:cstheme="majorBidi"/>
                <w:b/>
                <w:bCs/>
                <w:color w:val="FFFFFF"/>
                <w:sz w:val="18"/>
                <w:szCs w:val="18"/>
                <w:lang w:val="en-CA" w:eastAsia="en-GB"/>
              </w:rPr>
              <w:t>Estimated contribution (USD million)</w:t>
            </w:r>
          </w:p>
        </w:tc>
        <w:tc>
          <w:tcPr>
            <w:tcW w:w="0" w:type="auto"/>
            <w:tcBorders>
              <w:top w:val="single" w:sz="1" w:space="0" w:color="AAAAAA"/>
              <w:left w:val="single" w:sz="1" w:space="0" w:color="AAAAAA"/>
              <w:bottom w:val="single" w:sz="1" w:space="0" w:color="AAAAAA"/>
              <w:right w:val="single" w:sz="1" w:space="0" w:color="AAAAAA"/>
            </w:tcBorders>
            <w:shd w:val="clear" w:color="auto" w:fill="1F4E6B"/>
            <w:tcMar>
              <w:top w:w="60" w:type="dxa"/>
              <w:left w:w="100" w:type="dxa"/>
              <w:bottom w:w="60" w:type="dxa"/>
              <w:right w:w="100" w:type="dxa"/>
            </w:tcMar>
            <w:vAlign w:val="center"/>
          </w:tcPr>
          <w:p w14:paraId="38E3540D" w14:textId="77777777" w:rsidR="005F0A67" w:rsidRPr="005F0A67" w:rsidRDefault="005F0A67" w:rsidP="005F0A67">
            <w:pPr>
              <w:tabs>
                <w:tab w:val="clear" w:pos="567"/>
                <w:tab w:val="clear" w:pos="1134"/>
                <w:tab w:val="clear" w:pos="1701"/>
                <w:tab w:val="clear" w:pos="2268"/>
              </w:tabs>
              <w:jc w:val="right"/>
              <w:rPr>
                <w:rFonts w:asciiTheme="majorBidi" w:eastAsia="Tahoma" w:hAnsiTheme="majorBidi" w:cstheme="majorBidi"/>
                <w:b/>
                <w:bCs/>
                <w:color w:val="FFFFFF"/>
                <w:sz w:val="18"/>
                <w:szCs w:val="18"/>
                <w:lang w:val="en-CA" w:eastAsia="en-GB"/>
              </w:rPr>
            </w:pPr>
            <w:r w:rsidRPr="005F0A67">
              <w:rPr>
                <w:rFonts w:asciiTheme="majorBidi" w:eastAsia="Tahoma" w:hAnsiTheme="majorBidi" w:cstheme="majorBidi"/>
                <w:b/>
                <w:bCs/>
                <w:color w:val="FFFFFF"/>
                <w:sz w:val="18"/>
                <w:szCs w:val="18"/>
                <w:lang w:val="en-CA" w:eastAsia="en-GB"/>
              </w:rPr>
              <w:t>Contribution / revenue (%)</w:t>
            </w:r>
          </w:p>
        </w:tc>
      </w:tr>
      <w:tr w:rsidR="005F0A67" w:rsidRPr="005F0A67" w14:paraId="41E3CD98" w14:textId="77777777" w:rsidTr="005F0A67">
        <w:tc>
          <w:tcPr>
            <w:tcW w:w="0" w:type="auto"/>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4B7F8AAD"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Pharmaceuticals</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76F7EF6D" w14:textId="77777777" w:rsidR="005F0A67" w:rsidRPr="005F0A67" w:rsidRDefault="005F0A67" w:rsidP="005F0A67">
            <w:pPr>
              <w:tabs>
                <w:tab w:val="clear" w:pos="567"/>
                <w:tab w:val="clear" w:pos="1134"/>
                <w:tab w:val="clear" w:pos="1701"/>
                <w:tab w:val="clear" w:pos="2268"/>
              </w:tabs>
              <w:jc w:val="righ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3,401</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20A92DF9" w14:textId="77777777" w:rsidR="005F0A67" w:rsidRPr="005F0A67" w:rsidRDefault="005F0A67" w:rsidP="005F0A67">
            <w:pPr>
              <w:tabs>
                <w:tab w:val="clear" w:pos="567"/>
                <w:tab w:val="clear" w:pos="1134"/>
                <w:tab w:val="clear" w:pos="1701"/>
                <w:tab w:val="clear" w:pos="2268"/>
              </w:tabs>
              <w:jc w:val="righ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712</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15556939" w14:textId="77777777" w:rsidR="005F0A67" w:rsidRPr="005F0A67" w:rsidRDefault="005F0A67" w:rsidP="005F0A67">
            <w:pPr>
              <w:tabs>
                <w:tab w:val="clear" w:pos="567"/>
                <w:tab w:val="clear" w:pos="1134"/>
                <w:tab w:val="clear" w:pos="1701"/>
                <w:tab w:val="clear" w:pos="2268"/>
              </w:tabs>
              <w:jc w:val="righ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461</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08B2794A" w14:textId="77777777" w:rsidR="005F0A67" w:rsidRPr="005F0A67" w:rsidRDefault="005F0A67" w:rsidP="005F0A67">
            <w:pPr>
              <w:tabs>
                <w:tab w:val="clear" w:pos="567"/>
                <w:tab w:val="clear" w:pos="1134"/>
                <w:tab w:val="clear" w:pos="1701"/>
                <w:tab w:val="clear" w:pos="2268"/>
              </w:tabs>
              <w:jc w:val="righ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0.065</w:t>
            </w:r>
          </w:p>
        </w:tc>
      </w:tr>
      <w:tr w:rsidR="005F0A67" w:rsidRPr="005F0A67" w14:paraId="3ABE1594" w14:textId="77777777" w:rsidTr="005F0A67">
        <w:tc>
          <w:tcPr>
            <w:tcW w:w="0" w:type="auto"/>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5B532585"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Biotechnology</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1FD34F56" w14:textId="77777777" w:rsidR="005F0A67" w:rsidRPr="005F0A67" w:rsidRDefault="005F0A67" w:rsidP="005F0A67">
            <w:pPr>
              <w:tabs>
                <w:tab w:val="clear" w:pos="567"/>
                <w:tab w:val="clear" w:pos="1134"/>
                <w:tab w:val="clear" w:pos="1701"/>
                <w:tab w:val="clear" w:pos="2268"/>
              </w:tabs>
              <w:jc w:val="righ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3,709</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08975EED" w14:textId="77777777" w:rsidR="005F0A67" w:rsidRPr="005F0A67" w:rsidRDefault="005F0A67" w:rsidP="005F0A67">
            <w:pPr>
              <w:tabs>
                <w:tab w:val="clear" w:pos="567"/>
                <w:tab w:val="clear" w:pos="1134"/>
                <w:tab w:val="clear" w:pos="1701"/>
                <w:tab w:val="clear" w:pos="2268"/>
              </w:tabs>
              <w:jc w:val="righ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365</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322164EB" w14:textId="77777777" w:rsidR="005F0A67" w:rsidRPr="005F0A67" w:rsidRDefault="005F0A67" w:rsidP="005F0A67">
            <w:pPr>
              <w:tabs>
                <w:tab w:val="clear" w:pos="567"/>
                <w:tab w:val="clear" w:pos="1134"/>
                <w:tab w:val="clear" w:pos="1701"/>
                <w:tab w:val="clear" w:pos="2268"/>
              </w:tabs>
              <w:jc w:val="righ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178</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46295566" w14:textId="77777777" w:rsidR="005F0A67" w:rsidRPr="005F0A67" w:rsidRDefault="005F0A67" w:rsidP="005F0A67">
            <w:pPr>
              <w:tabs>
                <w:tab w:val="clear" w:pos="567"/>
                <w:tab w:val="clear" w:pos="1134"/>
                <w:tab w:val="clear" w:pos="1701"/>
                <w:tab w:val="clear" w:pos="2268"/>
              </w:tabs>
              <w:jc w:val="righ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0.049</w:t>
            </w:r>
          </w:p>
        </w:tc>
      </w:tr>
      <w:tr w:rsidR="005F0A67" w:rsidRPr="005F0A67" w14:paraId="44A87DEE" w14:textId="77777777" w:rsidTr="005F0A67">
        <w:tc>
          <w:tcPr>
            <w:tcW w:w="0" w:type="auto"/>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294E9B58"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Information and AI</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47AA4ADF" w14:textId="77777777" w:rsidR="005F0A67" w:rsidRPr="005F0A67" w:rsidRDefault="005F0A67" w:rsidP="005F0A67">
            <w:pPr>
              <w:tabs>
                <w:tab w:val="clear" w:pos="567"/>
                <w:tab w:val="clear" w:pos="1134"/>
                <w:tab w:val="clear" w:pos="1701"/>
                <w:tab w:val="clear" w:pos="2268"/>
              </w:tabs>
              <w:jc w:val="righ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5,217</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6B0726EC" w14:textId="77777777" w:rsidR="005F0A67" w:rsidRPr="005F0A67" w:rsidRDefault="005F0A67" w:rsidP="005F0A67">
            <w:pPr>
              <w:tabs>
                <w:tab w:val="clear" w:pos="567"/>
                <w:tab w:val="clear" w:pos="1134"/>
                <w:tab w:val="clear" w:pos="1701"/>
                <w:tab w:val="clear" w:pos="2268"/>
              </w:tabs>
              <w:jc w:val="righ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191</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0C6D2ABE" w14:textId="77777777" w:rsidR="005F0A67" w:rsidRPr="005F0A67" w:rsidRDefault="005F0A67" w:rsidP="005F0A67">
            <w:pPr>
              <w:tabs>
                <w:tab w:val="clear" w:pos="567"/>
                <w:tab w:val="clear" w:pos="1134"/>
                <w:tab w:val="clear" w:pos="1701"/>
                <w:tab w:val="clear" w:pos="2268"/>
              </w:tabs>
              <w:jc w:val="righ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103</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530D6A01" w14:textId="77777777" w:rsidR="005F0A67" w:rsidRPr="005F0A67" w:rsidRDefault="005F0A67" w:rsidP="005F0A67">
            <w:pPr>
              <w:tabs>
                <w:tab w:val="clear" w:pos="567"/>
                <w:tab w:val="clear" w:pos="1134"/>
                <w:tab w:val="clear" w:pos="1701"/>
                <w:tab w:val="clear" w:pos="2268"/>
              </w:tabs>
              <w:jc w:val="righ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0.054</w:t>
            </w:r>
          </w:p>
        </w:tc>
      </w:tr>
      <w:tr w:rsidR="005F0A67" w:rsidRPr="005F0A67" w14:paraId="77773684" w14:textId="77777777" w:rsidTr="005F0A67">
        <w:tc>
          <w:tcPr>
            <w:tcW w:w="0" w:type="auto"/>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0EF3FDF0"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Animal and plant breeding</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416197EF" w14:textId="77777777" w:rsidR="005F0A67" w:rsidRPr="005F0A67" w:rsidRDefault="005F0A67" w:rsidP="005F0A67">
            <w:pPr>
              <w:tabs>
                <w:tab w:val="clear" w:pos="567"/>
                <w:tab w:val="clear" w:pos="1134"/>
                <w:tab w:val="clear" w:pos="1701"/>
                <w:tab w:val="clear" w:pos="2268"/>
              </w:tabs>
              <w:jc w:val="righ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4,256</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580E8B0F" w14:textId="77777777" w:rsidR="005F0A67" w:rsidRPr="005F0A67" w:rsidRDefault="005F0A67" w:rsidP="005F0A67">
            <w:pPr>
              <w:tabs>
                <w:tab w:val="clear" w:pos="567"/>
                <w:tab w:val="clear" w:pos="1134"/>
                <w:tab w:val="clear" w:pos="1701"/>
                <w:tab w:val="clear" w:pos="2268"/>
              </w:tabs>
              <w:jc w:val="righ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164</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40F9931E" w14:textId="77777777" w:rsidR="005F0A67" w:rsidRPr="005F0A67" w:rsidRDefault="005F0A67" w:rsidP="005F0A67">
            <w:pPr>
              <w:tabs>
                <w:tab w:val="clear" w:pos="567"/>
                <w:tab w:val="clear" w:pos="1134"/>
                <w:tab w:val="clear" w:pos="1701"/>
                <w:tab w:val="clear" w:pos="2268"/>
              </w:tabs>
              <w:jc w:val="righ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63</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418DC97A" w14:textId="77777777" w:rsidR="005F0A67" w:rsidRPr="005F0A67" w:rsidRDefault="005F0A67" w:rsidP="005F0A67">
            <w:pPr>
              <w:tabs>
                <w:tab w:val="clear" w:pos="567"/>
                <w:tab w:val="clear" w:pos="1134"/>
                <w:tab w:val="clear" w:pos="1701"/>
                <w:tab w:val="clear" w:pos="2268"/>
              </w:tabs>
              <w:jc w:val="righ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0.038</w:t>
            </w:r>
          </w:p>
        </w:tc>
      </w:tr>
      <w:tr w:rsidR="005F0A67" w:rsidRPr="005F0A67" w14:paraId="1D5FB611" w14:textId="77777777" w:rsidTr="005F0A67">
        <w:tc>
          <w:tcPr>
            <w:tcW w:w="0" w:type="auto"/>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3373670E"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Nutraceuticals</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6D455CB9" w14:textId="77777777" w:rsidR="005F0A67" w:rsidRPr="005F0A67" w:rsidRDefault="005F0A67" w:rsidP="005F0A67">
            <w:pPr>
              <w:tabs>
                <w:tab w:val="clear" w:pos="567"/>
                <w:tab w:val="clear" w:pos="1134"/>
                <w:tab w:val="clear" w:pos="1701"/>
                <w:tab w:val="clear" w:pos="2268"/>
              </w:tabs>
              <w:jc w:val="righ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1,513</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190320D7" w14:textId="77777777" w:rsidR="005F0A67" w:rsidRPr="005F0A67" w:rsidRDefault="005F0A67" w:rsidP="005F0A67">
            <w:pPr>
              <w:tabs>
                <w:tab w:val="clear" w:pos="567"/>
                <w:tab w:val="clear" w:pos="1134"/>
                <w:tab w:val="clear" w:pos="1701"/>
                <w:tab w:val="clear" w:pos="2268"/>
              </w:tabs>
              <w:jc w:val="righ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110</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280FA6DB" w14:textId="77777777" w:rsidR="005F0A67" w:rsidRPr="005F0A67" w:rsidRDefault="005F0A67" w:rsidP="005F0A67">
            <w:pPr>
              <w:tabs>
                <w:tab w:val="clear" w:pos="567"/>
                <w:tab w:val="clear" w:pos="1134"/>
                <w:tab w:val="clear" w:pos="1701"/>
                <w:tab w:val="clear" w:pos="2268"/>
              </w:tabs>
              <w:jc w:val="righ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44</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7B80F5B9" w14:textId="77777777" w:rsidR="005F0A67" w:rsidRPr="005F0A67" w:rsidRDefault="005F0A67" w:rsidP="005F0A67">
            <w:pPr>
              <w:tabs>
                <w:tab w:val="clear" w:pos="567"/>
                <w:tab w:val="clear" w:pos="1134"/>
                <w:tab w:val="clear" w:pos="1701"/>
                <w:tab w:val="clear" w:pos="2268"/>
              </w:tabs>
              <w:jc w:val="righ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0.040</w:t>
            </w:r>
          </w:p>
        </w:tc>
      </w:tr>
      <w:tr w:rsidR="005F0A67" w:rsidRPr="005F0A67" w14:paraId="3BE70644" w14:textId="77777777" w:rsidTr="005F0A67">
        <w:tc>
          <w:tcPr>
            <w:tcW w:w="0" w:type="auto"/>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7BD86764"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Laboratory equipment</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38035087" w14:textId="77777777" w:rsidR="005F0A67" w:rsidRPr="005F0A67" w:rsidRDefault="005F0A67" w:rsidP="005F0A67">
            <w:pPr>
              <w:tabs>
                <w:tab w:val="clear" w:pos="567"/>
                <w:tab w:val="clear" w:pos="1134"/>
                <w:tab w:val="clear" w:pos="1701"/>
                <w:tab w:val="clear" w:pos="2268"/>
              </w:tabs>
              <w:jc w:val="righ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2,846</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723525C7" w14:textId="77777777" w:rsidR="005F0A67" w:rsidRPr="005F0A67" w:rsidRDefault="005F0A67" w:rsidP="005F0A67">
            <w:pPr>
              <w:tabs>
                <w:tab w:val="clear" w:pos="567"/>
                <w:tab w:val="clear" w:pos="1134"/>
                <w:tab w:val="clear" w:pos="1701"/>
                <w:tab w:val="clear" w:pos="2268"/>
              </w:tabs>
              <w:jc w:val="righ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77</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7BF74238" w14:textId="77777777" w:rsidR="005F0A67" w:rsidRPr="005F0A67" w:rsidRDefault="005F0A67" w:rsidP="005F0A67">
            <w:pPr>
              <w:tabs>
                <w:tab w:val="clear" w:pos="567"/>
                <w:tab w:val="clear" w:pos="1134"/>
                <w:tab w:val="clear" w:pos="1701"/>
                <w:tab w:val="clear" w:pos="2268"/>
              </w:tabs>
              <w:jc w:val="righ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46</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57B45328" w14:textId="77777777" w:rsidR="005F0A67" w:rsidRPr="005F0A67" w:rsidRDefault="005F0A67" w:rsidP="005F0A67">
            <w:pPr>
              <w:tabs>
                <w:tab w:val="clear" w:pos="567"/>
                <w:tab w:val="clear" w:pos="1134"/>
                <w:tab w:val="clear" w:pos="1701"/>
                <w:tab w:val="clear" w:pos="2268"/>
              </w:tabs>
              <w:jc w:val="righ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0.060</w:t>
            </w:r>
          </w:p>
        </w:tc>
      </w:tr>
      <w:tr w:rsidR="005F0A67" w:rsidRPr="005F0A67" w14:paraId="50AF36BB" w14:textId="77777777" w:rsidTr="005F0A67">
        <w:tc>
          <w:tcPr>
            <w:tcW w:w="0" w:type="auto"/>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28E8254A"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Cosmetics</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6CEB3F67" w14:textId="77777777" w:rsidR="005F0A67" w:rsidRPr="005F0A67" w:rsidRDefault="005F0A67" w:rsidP="005F0A67">
            <w:pPr>
              <w:tabs>
                <w:tab w:val="clear" w:pos="567"/>
                <w:tab w:val="clear" w:pos="1134"/>
                <w:tab w:val="clear" w:pos="1701"/>
                <w:tab w:val="clear" w:pos="2268"/>
              </w:tabs>
              <w:jc w:val="righ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748</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17EC431D" w14:textId="77777777" w:rsidR="005F0A67" w:rsidRPr="005F0A67" w:rsidRDefault="005F0A67" w:rsidP="005F0A67">
            <w:pPr>
              <w:tabs>
                <w:tab w:val="clear" w:pos="567"/>
                <w:tab w:val="clear" w:pos="1134"/>
                <w:tab w:val="clear" w:pos="1701"/>
                <w:tab w:val="clear" w:pos="2268"/>
              </w:tabs>
              <w:jc w:val="righ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48</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5DD76A34" w14:textId="77777777" w:rsidR="005F0A67" w:rsidRPr="005F0A67" w:rsidRDefault="005F0A67" w:rsidP="005F0A67">
            <w:pPr>
              <w:tabs>
                <w:tab w:val="clear" w:pos="567"/>
                <w:tab w:val="clear" w:pos="1134"/>
                <w:tab w:val="clear" w:pos="1701"/>
                <w:tab w:val="clear" w:pos="2268"/>
              </w:tabs>
              <w:jc w:val="righ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34</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2C122F59" w14:textId="77777777" w:rsidR="005F0A67" w:rsidRPr="005F0A67" w:rsidRDefault="005F0A67" w:rsidP="005F0A67">
            <w:pPr>
              <w:tabs>
                <w:tab w:val="clear" w:pos="567"/>
                <w:tab w:val="clear" w:pos="1134"/>
                <w:tab w:val="clear" w:pos="1701"/>
                <w:tab w:val="clear" w:pos="2268"/>
              </w:tabs>
              <w:jc w:val="righ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0.071</w:t>
            </w:r>
          </w:p>
        </w:tc>
      </w:tr>
      <w:tr w:rsidR="005F0A67" w:rsidRPr="005F0A67" w14:paraId="1D380E1C" w14:textId="77777777" w:rsidTr="005F0A67">
        <w:tc>
          <w:tcPr>
            <w:tcW w:w="0" w:type="auto"/>
            <w:tcBorders>
              <w:top w:val="single" w:sz="1" w:space="0" w:color="AAAAAA"/>
              <w:left w:val="single" w:sz="1" w:space="0" w:color="AAAAAA"/>
              <w:bottom w:val="single" w:sz="1" w:space="0" w:color="AAAAAA"/>
              <w:right w:val="single" w:sz="1" w:space="0" w:color="AAAAAA"/>
            </w:tcBorders>
            <w:shd w:val="clear" w:color="auto" w:fill="F2F2F2"/>
            <w:tcMar>
              <w:top w:w="60" w:type="dxa"/>
              <w:left w:w="100" w:type="dxa"/>
              <w:bottom w:w="60" w:type="dxa"/>
              <w:right w:w="100" w:type="dxa"/>
            </w:tcMar>
            <w:vAlign w:val="center"/>
          </w:tcPr>
          <w:p w14:paraId="6CD3961F"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000000"/>
                <w:sz w:val="18"/>
                <w:szCs w:val="18"/>
                <w:lang w:val="en-CA" w:eastAsia="en-GB"/>
              </w:rPr>
            </w:pPr>
            <w:r w:rsidRPr="005F0A67">
              <w:rPr>
                <w:rFonts w:asciiTheme="majorBidi" w:eastAsia="Tahoma" w:hAnsiTheme="majorBidi" w:cstheme="majorBidi"/>
                <w:b/>
                <w:bCs/>
                <w:color w:val="000000"/>
                <w:sz w:val="18"/>
                <w:szCs w:val="18"/>
                <w:lang w:val="en-CA" w:eastAsia="en-GB"/>
              </w:rPr>
              <w:t>Total</w:t>
            </w:r>
          </w:p>
        </w:tc>
        <w:tc>
          <w:tcPr>
            <w:tcW w:w="0" w:type="auto"/>
            <w:tcBorders>
              <w:top w:val="single" w:sz="1" w:space="0" w:color="AAAAAA"/>
              <w:left w:val="single" w:sz="1" w:space="0" w:color="AAAAAA"/>
              <w:bottom w:val="single" w:sz="1" w:space="0" w:color="AAAAAA"/>
              <w:right w:val="single" w:sz="1" w:space="0" w:color="AAAAAA"/>
            </w:tcBorders>
            <w:shd w:val="clear" w:color="auto" w:fill="F2F2F2"/>
            <w:tcMar>
              <w:top w:w="60" w:type="dxa"/>
              <w:left w:w="100" w:type="dxa"/>
              <w:bottom w:w="60" w:type="dxa"/>
              <w:right w:w="100" w:type="dxa"/>
            </w:tcMar>
            <w:vAlign w:val="center"/>
          </w:tcPr>
          <w:p w14:paraId="0C331C93" w14:textId="77777777" w:rsidR="005F0A67" w:rsidRPr="005F0A67" w:rsidRDefault="005F0A67" w:rsidP="005F0A67">
            <w:pPr>
              <w:tabs>
                <w:tab w:val="clear" w:pos="567"/>
                <w:tab w:val="clear" w:pos="1134"/>
                <w:tab w:val="clear" w:pos="1701"/>
                <w:tab w:val="clear" w:pos="2268"/>
              </w:tabs>
              <w:jc w:val="right"/>
              <w:rPr>
                <w:rFonts w:asciiTheme="majorBidi" w:eastAsia="Tahoma" w:hAnsiTheme="majorBidi" w:cstheme="majorBidi"/>
                <w:b/>
                <w:bCs/>
                <w:color w:val="000000"/>
                <w:sz w:val="18"/>
                <w:szCs w:val="18"/>
                <w:lang w:val="en-CA" w:eastAsia="en-GB"/>
              </w:rPr>
            </w:pPr>
            <w:r w:rsidRPr="005F0A67">
              <w:rPr>
                <w:rFonts w:asciiTheme="majorBidi" w:eastAsia="Tahoma" w:hAnsiTheme="majorBidi" w:cstheme="majorBidi"/>
                <w:b/>
                <w:bCs/>
                <w:color w:val="000000"/>
                <w:sz w:val="18"/>
                <w:szCs w:val="18"/>
                <w:lang w:val="en-CA" w:eastAsia="en-GB"/>
              </w:rPr>
              <w:t>21,690</w:t>
            </w:r>
          </w:p>
        </w:tc>
        <w:tc>
          <w:tcPr>
            <w:tcW w:w="0" w:type="auto"/>
            <w:tcBorders>
              <w:top w:val="single" w:sz="1" w:space="0" w:color="AAAAAA"/>
              <w:left w:val="single" w:sz="1" w:space="0" w:color="AAAAAA"/>
              <w:bottom w:val="single" w:sz="1" w:space="0" w:color="AAAAAA"/>
              <w:right w:val="single" w:sz="1" w:space="0" w:color="AAAAAA"/>
            </w:tcBorders>
            <w:shd w:val="clear" w:color="auto" w:fill="F2F2F2"/>
            <w:tcMar>
              <w:top w:w="60" w:type="dxa"/>
              <w:left w:w="100" w:type="dxa"/>
              <w:bottom w:w="60" w:type="dxa"/>
              <w:right w:w="100" w:type="dxa"/>
            </w:tcMar>
            <w:vAlign w:val="center"/>
          </w:tcPr>
          <w:p w14:paraId="1FDBE9E1" w14:textId="77777777" w:rsidR="005F0A67" w:rsidRPr="005F0A67" w:rsidRDefault="005F0A67" w:rsidP="005F0A67">
            <w:pPr>
              <w:tabs>
                <w:tab w:val="clear" w:pos="567"/>
                <w:tab w:val="clear" w:pos="1134"/>
                <w:tab w:val="clear" w:pos="1701"/>
                <w:tab w:val="clear" w:pos="2268"/>
              </w:tabs>
              <w:jc w:val="right"/>
              <w:rPr>
                <w:rFonts w:asciiTheme="majorBidi" w:eastAsia="Tahoma" w:hAnsiTheme="majorBidi" w:cstheme="majorBidi"/>
                <w:b/>
                <w:bCs/>
                <w:color w:val="000000"/>
                <w:sz w:val="18"/>
                <w:szCs w:val="18"/>
                <w:lang w:val="en-CA" w:eastAsia="en-GB"/>
              </w:rPr>
            </w:pPr>
            <w:r w:rsidRPr="005F0A67">
              <w:rPr>
                <w:rFonts w:asciiTheme="majorBidi" w:eastAsia="Tahoma" w:hAnsiTheme="majorBidi" w:cstheme="majorBidi"/>
                <w:b/>
                <w:bCs/>
                <w:color w:val="000000"/>
                <w:sz w:val="18"/>
                <w:szCs w:val="18"/>
                <w:lang w:val="en-CA" w:eastAsia="en-GB"/>
              </w:rPr>
              <w:t>1,668</w:t>
            </w:r>
          </w:p>
        </w:tc>
        <w:tc>
          <w:tcPr>
            <w:tcW w:w="0" w:type="auto"/>
            <w:tcBorders>
              <w:top w:val="single" w:sz="1" w:space="0" w:color="AAAAAA"/>
              <w:left w:val="single" w:sz="1" w:space="0" w:color="AAAAAA"/>
              <w:bottom w:val="single" w:sz="1" w:space="0" w:color="AAAAAA"/>
              <w:right w:val="single" w:sz="1" w:space="0" w:color="AAAAAA"/>
            </w:tcBorders>
            <w:shd w:val="clear" w:color="auto" w:fill="F2F2F2"/>
            <w:tcMar>
              <w:top w:w="60" w:type="dxa"/>
              <w:left w:w="100" w:type="dxa"/>
              <w:bottom w:w="60" w:type="dxa"/>
              <w:right w:w="100" w:type="dxa"/>
            </w:tcMar>
            <w:vAlign w:val="center"/>
          </w:tcPr>
          <w:p w14:paraId="52A8123C" w14:textId="77777777" w:rsidR="005F0A67" w:rsidRPr="005F0A67" w:rsidRDefault="005F0A67" w:rsidP="005F0A67">
            <w:pPr>
              <w:tabs>
                <w:tab w:val="clear" w:pos="567"/>
                <w:tab w:val="clear" w:pos="1134"/>
                <w:tab w:val="clear" w:pos="1701"/>
                <w:tab w:val="clear" w:pos="2268"/>
              </w:tabs>
              <w:jc w:val="right"/>
              <w:rPr>
                <w:rFonts w:asciiTheme="majorBidi" w:eastAsia="Tahoma" w:hAnsiTheme="majorBidi" w:cstheme="majorBidi"/>
                <w:b/>
                <w:bCs/>
                <w:color w:val="000000"/>
                <w:sz w:val="18"/>
                <w:szCs w:val="18"/>
                <w:lang w:val="en-CA" w:eastAsia="en-GB"/>
              </w:rPr>
            </w:pPr>
            <w:r w:rsidRPr="005F0A67">
              <w:rPr>
                <w:rFonts w:asciiTheme="majorBidi" w:eastAsia="Tahoma" w:hAnsiTheme="majorBidi" w:cstheme="majorBidi"/>
                <w:b/>
                <w:bCs/>
                <w:color w:val="000000"/>
                <w:sz w:val="18"/>
                <w:szCs w:val="18"/>
                <w:lang w:val="en-CA" w:eastAsia="en-GB"/>
              </w:rPr>
              <w:t>929</w:t>
            </w:r>
          </w:p>
        </w:tc>
        <w:tc>
          <w:tcPr>
            <w:tcW w:w="0" w:type="auto"/>
            <w:tcBorders>
              <w:top w:val="single" w:sz="1" w:space="0" w:color="AAAAAA"/>
              <w:left w:val="single" w:sz="1" w:space="0" w:color="AAAAAA"/>
              <w:bottom w:val="single" w:sz="1" w:space="0" w:color="AAAAAA"/>
              <w:right w:val="single" w:sz="1" w:space="0" w:color="AAAAAA"/>
            </w:tcBorders>
            <w:shd w:val="clear" w:color="auto" w:fill="F2F2F2"/>
            <w:tcMar>
              <w:top w:w="60" w:type="dxa"/>
              <w:left w:w="100" w:type="dxa"/>
              <w:bottom w:w="60" w:type="dxa"/>
              <w:right w:w="100" w:type="dxa"/>
            </w:tcMar>
            <w:vAlign w:val="center"/>
          </w:tcPr>
          <w:p w14:paraId="14D07C2A" w14:textId="77777777" w:rsidR="005F0A67" w:rsidRPr="005F0A67" w:rsidRDefault="005F0A67" w:rsidP="005F0A67">
            <w:pPr>
              <w:tabs>
                <w:tab w:val="clear" w:pos="567"/>
                <w:tab w:val="clear" w:pos="1134"/>
                <w:tab w:val="clear" w:pos="1701"/>
                <w:tab w:val="clear" w:pos="2268"/>
              </w:tabs>
              <w:jc w:val="right"/>
              <w:rPr>
                <w:rFonts w:asciiTheme="majorBidi" w:eastAsia="Tahoma" w:hAnsiTheme="majorBidi" w:cstheme="majorBidi"/>
                <w:b/>
                <w:bCs/>
                <w:color w:val="000000"/>
                <w:sz w:val="18"/>
                <w:szCs w:val="18"/>
                <w:lang w:val="en-CA" w:eastAsia="en-GB"/>
              </w:rPr>
            </w:pPr>
            <w:r w:rsidRPr="005F0A67">
              <w:rPr>
                <w:rFonts w:asciiTheme="majorBidi" w:eastAsia="Tahoma" w:hAnsiTheme="majorBidi" w:cstheme="majorBidi"/>
                <w:b/>
                <w:bCs/>
                <w:color w:val="000000"/>
                <w:sz w:val="18"/>
                <w:szCs w:val="18"/>
                <w:lang w:val="en-CA" w:eastAsia="en-GB"/>
              </w:rPr>
              <w:t>0.056</w:t>
            </w:r>
          </w:p>
        </w:tc>
      </w:tr>
    </w:tbl>
    <w:p w14:paraId="0A81FA27"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i/>
          <w:iCs/>
          <w:sz w:val="18"/>
          <w:szCs w:val="18"/>
          <w:lang w:val="en-CA" w:eastAsia="en-GB"/>
        </w:rPr>
        <w:t xml:space="preserve">Note: </w:t>
      </w:r>
      <w:r w:rsidRPr="005F0A67">
        <w:rPr>
          <w:rFonts w:asciiTheme="majorBidi" w:eastAsia="Times New Roman" w:hAnsiTheme="majorBidi" w:cstheme="majorBidi"/>
          <w:sz w:val="18"/>
          <w:szCs w:val="18"/>
          <w:lang w:val="en-CA" w:eastAsia="en-GB"/>
        </w:rPr>
        <w:t xml:space="preserve">All figures reflect the central scenario (S3), which applies calibrated sector participation, ownership, and DSI intensity adjustments to the eligible firm population. Participating revenue and contribution estimates are means of 10,000 Monte Carlo draws. </w:t>
      </w:r>
    </w:p>
    <w:p w14:paraId="37666390"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b/>
          <w:bCs/>
          <w:sz w:val="18"/>
          <w:szCs w:val="18"/>
          <w:lang w:val="en-CA" w:eastAsia="en-GB"/>
        </w:rPr>
      </w:pPr>
      <w:r w:rsidRPr="005F0A67">
        <w:rPr>
          <w:rFonts w:asciiTheme="majorBidi" w:eastAsia="Times New Roman" w:hAnsiTheme="majorBidi" w:cstheme="majorBidi"/>
          <w:i/>
          <w:iCs/>
          <w:sz w:val="18"/>
          <w:szCs w:val="18"/>
          <w:lang w:val="en-CA" w:eastAsia="en-GB"/>
        </w:rPr>
        <w:t>Source:</w:t>
      </w:r>
      <w:r w:rsidRPr="005F0A67">
        <w:rPr>
          <w:rFonts w:asciiTheme="majorBidi" w:eastAsia="Times New Roman" w:hAnsiTheme="majorBidi" w:cstheme="majorBidi"/>
          <w:sz w:val="18"/>
          <w:szCs w:val="18"/>
          <w:lang w:val="en-CA" w:eastAsia="en-GB"/>
        </w:rPr>
        <w:t xml:space="preserve"> Makowska-Curran </w:t>
      </w:r>
      <w:r w:rsidRPr="005F0A67">
        <w:rPr>
          <w:rFonts w:asciiTheme="majorBidi" w:eastAsia="Times New Roman" w:hAnsiTheme="majorBidi" w:cstheme="majorBidi"/>
          <w:sz w:val="18"/>
          <w:szCs w:val="18"/>
          <w:lang w:val="en-CA" w:eastAsia="en-GB"/>
        </w:rPr>
        <w:fldChar w:fldCharType="begin"/>
      </w:r>
      <w:r w:rsidRPr="005F0A67">
        <w:rPr>
          <w:rFonts w:asciiTheme="majorBidi" w:eastAsia="Times New Roman" w:hAnsiTheme="majorBidi" w:cstheme="majorBidi"/>
          <w:sz w:val="18"/>
          <w:szCs w:val="18"/>
          <w:lang w:val="en-CA" w:eastAsia="en-GB"/>
        </w:rPr>
        <w:instrText xml:space="preserve"> ADDIN ZOTERO_ITEM CSL_CITATION {"citationID":"Jwtc1uyX","properties":{"unsorted":false,"formattedCitation":"(2026)","plainCitation":"(2026)","noteIndex":0},"citationItems":[{"id":77,"uris":["http://zotero.org/users/14977742/items/2PI55QKT"],"itemData":{"id":77,"type":"article-journal","abstract":"This paper provides the first global, firm-level analysis of what the Cali Fund, designed to support global conservation, is likely to raise and how resources would be distributed.","citation-key":"GlobalBiodiversityCommitments","container-title":"Grantham Research Institute on climate change and the environment","language":"en-GB","publisher":"London School of Economics and Political Science (LSE)","title":"From global biodiversity commitments to local action: revenue potential and allocation dynamics of the Cali Fund","title-short":"From global biodiversity commitments to local action","URL":"https://www.lse.ac.uk/granthaminstitute/publication/from-global-biodiversity-commitments-to-local-action-revenue-potential-and-allocation-dynamics-of-the-cali-fund/","author":[{"family":"Makowska-Curran","given":"Agata"}],"accessed":{"date-parts":[["2026",6,3]]},"issued":{"date-parts":[["2026",6]]}},"suppress-author":true}],"schema":"https://github.com/citation-style-language/schema/raw/master/csl-citation.json"} </w:instrText>
      </w:r>
      <w:r w:rsidRPr="005F0A67">
        <w:rPr>
          <w:rFonts w:asciiTheme="majorBidi" w:eastAsia="Times New Roman" w:hAnsiTheme="majorBidi" w:cstheme="majorBidi"/>
          <w:sz w:val="18"/>
          <w:szCs w:val="18"/>
          <w:lang w:val="en-CA" w:eastAsia="en-GB"/>
        </w:rPr>
        <w:fldChar w:fldCharType="separate"/>
      </w:r>
      <w:r w:rsidRPr="005F0A67">
        <w:rPr>
          <w:rFonts w:asciiTheme="majorBidi" w:eastAsia="Times New Roman" w:hAnsiTheme="majorBidi" w:cstheme="majorBidi"/>
          <w:sz w:val="18"/>
          <w:szCs w:val="18"/>
          <w:lang w:val="en-CA" w:eastAsia="en-GB"/>
        </w:rPr>
        <w:t>(2026)</w:t>
      </w:r>
      <w:r w:rsidRPr="005F0A67">
        <w:rPr>
          <w:rFonts w:asciiTheme="majorBidi" w:eastAsia="Times New Roman" w:hAnsiTheme="majorBidi" w:cstheme="majorBidi"/>
          <w:sz w:val="18"/>
          <w:szCs w:val="18"/>
          <w:lang w:val="en-CA" w:eastAsia="en-GB"/>
        </w:rPr>
        <w:fldChar w:fldCharType="end"/>
      </w:r>
      <w:r w:rsidRPr="005F0A67">
        <w:rPr>
          <w:rFonts w:asciiTheme="majorBidi" w:eastAsia="Times New Roman" w:hAnsiTheme="majorBidi" w:cstheme="majorBidi"/>
          <w:sz w:val="18"/>
          <w:szCs w:val="18"/>
          <w:lang w:val="en-CA" w:eastAsia="en-GB"/>
        </w:rPr>
        <w:t>, Table 22.</w:t>
      </w:r>
    </w:p>
    <w:p w14:paraId="6E066A65" w14:textId="77777777" w:rsidR="005F0A67" w:rsidRPr="005F0A67" w:rsidRDefault="005F0A67" w:rsidP="005F0A67">
      <w:pPr>
        <w:tabs>
          <w:tab w:val="clear" w:pos="567"/>
          <w:tab w:val="clear" w:pos="1134"/>
          <w:tab w:val="clear" w:pos="1701"/>
          <w:tab w:val="clear" w:pos="2268"/>
        </w:tabs>
        <w:spacing w:before="240" w:after="180" w:line="293"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The effective contribution rate across the participating eligible population averages 0.056% of participating revenue, ranging from 0.038% in animal and plant breeding to 0.071% in cosmetics. This variation reflects differences in margin distributions across sectors rather than differences in the underlying rates themselves. Sectors with lower median margins have more profit-based payers, whose revenue-equivalent burden scales with margin under the minimum-of-two rule in Part II. For these firms, the effective rate as a share of revenue is always below the 0.1% headline rate, because the rule caps payment at the lower of the two indicative rates. The headline rates are therefore upper bounds, not typical burdens: a firm with a 5% margin faces a 0.05% revenue-equivalent rate, and firms with even lower margins face proportionally lower burdens. The minimum-</w:t>
      </w:r>
      <w:r w:rsidRPr="005F0A67">
        <w:rPr>
          <w:rFonts w:asciiTheme="majorBidi" w:eastAsia="Times New Roman" w:hAnsiTheme="majorBidi" w:cstheme="majorBidi"/>
          <w:lang w:val="en-CA" w:eastAsia="en-GB"/>
        </w:rPr>
        <w:lastRenderedPageBreak/>
        <w:t xml:space="preserve">of-two rule protects profit-base payers from the revenue rate but does not reduce their profit-equivalent burden below the indicative 1% rate. </w:t>
      </w:r>
    </w:p>
    <w:p w14:paraId="072C91CA" w14:textId="77777777" w:rsidR="005F0A67" w:rsidRPr="005F0A67" w:rsidRDefault="005F0A67" w:rsidP="005F0A67">
      <w:pPr>
        <w:tabs>
          <w:tab w:val="clear" w:pos="567"/>
          <w:tab w:val="clear" w:pos="1134"/>
          <w:tab w:val="clear" w:pos="1701"/>
          <w:tab w:val="clear" w:pos="2268"/>
        </w:tabs>
        <w:spacing w:before="240" w:after="180" w:line="293"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To put these figures in context, the environmental regulation literature finds no statistically significant firm-level effects at compliance cost burdens five to ten times the revenue-equivalent burden here, though that evidence base draws primarily on energy-intensive sectors with different structural characteristics from DSI-using industries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{"citationID":"SndKUZcZ","properties":{"unsorted":false,"formattedCitation":"(Dechezlepr\\uc0\\u234{}tre and Sato, 2017)","plainCitation":"(Dechezleprêtre and Sato, 2017)","noteIndex":0},"citationItems":[{"id":195,"uris":["http://zotero.org/users/14977742/items/KGZ2HX99"],"itemData":{"id":195,"type":"article-journal","abstract":"This article reviews the empirical literature on the impacts of environmental regulations\n          on firms’ competitiveness as measured by trade, industry location, employment,\n          productivity, and innovation. The evidence shows that environmental regulations can lead\n          to statistically significant adverse effects on trade, employment, plant location, and\n          productivity in the short run, in particular in a well-identified subset of pollution- and\n          energy-intensive sectors, but that these impacts are small relative to general trends in\n          production. At the same time, there is evidence that environmental regulations induce\n          innovation in clean technologies, but the resulting benefits do not appear to be large\n          enough to outweigh the costs of regulations for the regulated entities. As measures to\n          address competitiveness impacts are increasingly incorporated into the design of\n          environmental regulations, future research will be needed to assess the validity and\n          effectiveness of such measures and to ensure they are compatible with the environmental\n          objectives of the policies.","citation-key":"dechezleprImpactsEnvironmentalRegulations2017","container-title":"Review of Environmental Economics and Policy","DOI":"10.1093/reep/rex013","issue":"2","page":"183-206","publisher":"The University of Chicago Press","source":"journals.uchicago.edu (Atypon)","title":"The Impacts of Environmental Regulations on Competitiveness","volume":"11","author":[{"family":"Dechezleprêtre","given":"Antoine"},{"family":"Sato","given":"Misato"}],"issued":{"date-parts":[["2017",7]]}}}],"schema":"https://github.com/citation-style-language/schema/raw/master/csl-citation.json"}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Georgia" w:hAnsiTheme="majorBidi" w:cstheme="majorBidi"/>
          <w:lang w:val="en-CA" w:eastAsia="en-GB"/>
        </w:rPr>
        <w:t>(Dechezleprêtre and Sato, 2017)</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see Section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_Ref231121284 \r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7.4</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for a full discussion. The contribution also sits well below the ITPGRFA MLS’ benefit-sharing rate of approximately 0.77% of sales, the closest operational precedent, under which private sector payments remained negligible across fifteen years of implementation (Section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_Ref229573832 \r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3</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w:t>
      </w:r>
    </w:p>
    <w:p w14:paraId="53E1B7D7"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These comparisons suggest the contribution is unlikely to generate large average competitive effects on average across eligible firms at indicative rates. The extent to which competitive effects materialise depends on the three asymmetries identified in Step 2 and the resolution of the design uncertainties in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_Ref229844376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Table 1</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both of which vary across sectors and are examined in the subsections below.</w:t>
      </w:r>
    </w:p>
    <w:p w14:paraId="15569B8F" w14:textId="77777777" w:rsidR="005F0A67" w:rsidRPr="005F0A67" w:rsidRDefault="005F0A67" w:rsidP="005F0A67">
      <w:pPr>
        <w:numPr>
          <w:ilvl w:val="1"/>
          <w:numId w:val="12"/>
        </w:numPr>
        <w:tabs>
          <w:tab w:val="clear" w:pos="567"/>
          <w:tab w:val="clear" w:pos="1134"/>
          <w:tab w:val="clear" w:pos="1701"/>
          <w:tab w:val="clear" w:pos="2268"/>
        </w:tabs>
        <w:spacing w:before="320" w:after="160"/>
        <w:ind w:left="576" w:hanging="576"/>
        <w:jc w:val="left"/>
        <w:outlineLvl w:val="1"/>
        <w:rPr>
          <w:rFonts w:asciiTheme="majorBidi" w:eastAsia="Arial" w:hAnsiTheme="majorBidi" w:cstheme="majorBidi"/>
          <w:b/>
          <w:bCs/>
          <w:color w:val="1A1A1A"/>
          <w:sz w:val="23"/>
          <w:szCs w:val="23"/>
          <w:lang w:val="en-CA" w:eastAsia="en-GB"/>
        </w:rPr>
      </w:pPr>
      <w:bookmarkStart w:id="181" w:name="_Ref231420184"/>
      <w:bookmarkStart w:id="182" w:name="_Toc234579600"/>
      <w:r w:rsidRPr="005F0A67">
        <w:rPr>
          <w:rFonts w:asciiTheme="majorBidi" w:eastAsia="Arial" w:hAnsiTheme="majorBidi" w:cstheme="majorBidi"/>
          <w:b/>
          <w:bCs/>
          <w:color w:val="1A1A1A"/>
          <w:sz w:val="23"/>
          <w:szCs w:val="23"/>
          <w:lang w:val="en-CA" w:eastAsia="en-GB"/>
        </w:rPr>
        <w:t>Pharmaceuticals</w:t>
      </w:r>
      <w:bookmarkEnd w:id="181"/>
      <w:bookmarkEnd w:id="182"/>
    </w:p>
    <w:p w14:paraId="369A785E" w14:textId="77777777" w:rsidR="005F0A67" w:rsidRPr="005F0A67" w:rsidRDefault="005F0A67" w:rsidP="00B009ED">
      <w:pPr>
        <w:tabs>
          <w:tab w:val="clear" w:pos="567"/>
          <w:tab w:val="clear" w:pos="1134"/>
          <w:tab w:val="clear" w:pos="1701"/>
          <w:tab w:val="clear" w:pos="2268"/>
        </w:tabs>
        <w:spacing w:before="320" w:after="160"/>
        <w:ind w:left="720"/>
        <w:jc w:val="left"/>
        <w:outlineLvl w:val="2"/>
        <w:rPr>
          <w:rFonts w:asciiTheme="majorBidi" w:eastAsia="Arial" w:hAnsiTheme="majorBidi" w:cstheme="majorBidi"/>
          <w:b/>
          <w:bCs/>
          <w:color w:val="7F7F7F"/>
          <w:sz w:val="23"/>
          <w:szCs w:val="23"/>
          <w:lang w:val="en-CA" w:eastAsia="en-GB"/>
        </w:rPr>
      </w:pPr>
      <w:bookmarkStart w:id="183" w:name="_Ref231759069"/>
      <w:bookmarkStart w:id="184" w:name="_Toc234579601"/>
      <w:r w:rsidRPr="005F0A67">
        <w:rPr>
          <w:rFonts w:asciiTheme="majorBidi" w:eastAsia="Arial" w:hAnsiTheme="majorBidi" w:cstheme="majorBidi"/>
          <w:b/>
          <w:bCs/>
          <w:color w:val="7F7F7F"/>
          <w:sz w:val="23"/>
          <w:szCs w:val="23"/>
          <w:lang w:val="en-CA" w:eastAsia="en-GB"/>
        </w:rPr>
        <w:t>Characterisation of affected firms (steps 1 &amp; 2)</w:t>
      </w:r>
      <w:bookmarkEnd w:id="183"/>
      <w:bookmarkEnd w:id="184"/>
    </w:p>
    <w:p w14:paraId="5F08898F"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The pharmaceutical sector contains 3,401 eligible firms and accounts for 49.6% of estimated contributions, far above its 26.3% share under full compliance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_Ref230090932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Table 12</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and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_Ref230109751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Figure 5</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This shift reflects the sector's high participation calibration, high DSI intensity, and predominantly revenue-base paying population. </w:t>
      </w:r>
    </w:p>
    <w:p w14:paraId="659223DD" w14:textId="77777777" w:rsidR="005F0A67" w:rsidRPr="005F0A67" w:rsidRDefault="005F0A67" w:rsidP="00B009ED">
      <w:pPr>
        <w:tabs>
          <w:tab w:val="clear" w:pos="567"/>
          <w:tab w:val="clear" w:pos="1134"/>
          <w:tab w:val="clear" w:pos="1701"/>
          <w:tab w:val="clear" w:pos="2268"/>
        </w:tabs>
        <w:spacing w:after="120"/>
        <w:jc w:val="left"/>
        <w:outlineLvl w:val="3"/>
        <w:rPr>
          <w:rFonts w:asciiTheme="majorBidi" w:eastAsia="Georgia" w:hAnsiTheme="majorBidi" w:cstheme="majorBidi"/>
          <w:b/>
          <w:bCs/>
          <w:color w:val="0F4761"/>
          <w:lang w:eastAsia="en-GB"/>
        </w:rPr>
      </w:pPr>
      <w:r w:rsidRPr="005F0A67">
        <w:rPr>
          <w:rFonts w:asciiTheme="majorBidi" w:eastAsia="Georgia" w:hAnsiTheme="majorBidi" w:cstheme="majorBidi"/>
          <w:b/>
          <w:bCs/>
          <w:color w:val="0F4761"/>
          <w:lang w:eastAsia="en-GB"/>
        </w:rPr>
        <w:t>Sector and structural features</w:t>
      </w:r>
    </w:p>
    <w:p w14:paraId="3276CB39"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bookmarkStart w:id="185" w:name="OLE_LINK9"/>
      <w:r w:rsidRPr="005F0A67">
        <w:rPr>
          <w:rFonts w:asciiTheme="majorBidi" w:eastAsia="Times New Roman" w:hAnsiTheme="majorBidi" w:cstheme="majorBidi"/>
          <w:lang w:val="en-CA" w:eastAsia="en-GB"/>
        </w:rPr>
        <w:t>The pharmaceuticals sector outperforms all other Indicative Enclosure I sectors across all financial metrics in Part II, including the highest median revenue, assets, and profit margin. It is the only sector where the 25th percentile of profit meets or exceeds the Decision 16/2 profit threshold, indicating a broader distribution of financial capacity to contribute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_Ref230019902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Figure 3</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With a median margin of 10.2% and 51% of eligible firms in the revenue-base group, its contribution profile is more stable and predictable than any other sector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_Ref230048058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Table 11</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w:t>
      </w:r>
    </w:p>
    <w:p w14:paraId="125F1FCE"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The pharmaceuticals sector, as defined here, includes firms primarily engaged in developing and manufacturing conventional small-molecule drugs through chemical synthesis, as well as biosimilar producers</w:t>
      </w:r>
      <w:r w:rsidRPr="005F0A67">
        <w:rPr>
          <w:rFonts w:asciiTheme="majorBidi" w:eastAsia="Times New Roman" w:hAnsiTheme="majorBidi" w:cstheme="majorBidi"/>
          <w:vertAlign w:val="superscript"/>
          <w:lang w:val="en-CA" w:eastAsia="en-GB"/>
        </w:rPr>
        <w:footnoteReference w:id="80"/>
      </w:r>
      <w:r w:rsidRPr="005F0A67">
        <w:rPr>
          <w:rFonts w:asciiTheme="majorBidi" w:eastAsia="Times New Roman" w:hAnsiTheme="majorBidi" w:cstheme="majorBidi"/>
          <w:lang w:val="en-CA" w:eastAsia="en-GB"/>
        </w:rPr>
        <w:t>. For the purpose of this analysis, biologics drugs are captured under the biotechnological sector</w:t>
      </w:r>
      <w:r w:rsidRPr="005F0A67">
        <w:rPr>
          <w:rFonts w:asciiTheme="majorBidi" w:eastAsia="Times New Roman" w:hAnsiTheme="majorBidi" w:cstheme="majorBidi"/>
          <w:vertAlign w:val="superscript"/>
          <w:lang w:val="en-CA" w:eastAsia="en-GB"/>
        </w:rPr>
        <w:footnoteReference w:id="81"/>
      </w:r>
      <w:r w:rsidRPr="005F0A67">
        <w:rPr>
          <w:rFonts w:asciiTheme="majorBidi" w:eastAsia="Times New Roman" w:hAnsiTheme="majorBidi" w:cstheme="majorBidi"/>
          <w:lang w:val="en-CA" w:eastAsia="en-GB"/>
        </w:rPr>
        <w:t>. The sector can be divided further into three groups based on DSI exposure and competitive dynamics: innovative pharmaceuticals, generics, and biosimilars.</w:t>
      </w:r>
    </w:p>
    <w:p w14:paraId="6653C9FF"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US" w:eastAsia="en-GB"/>
        </w:rPr>
      </w:pPr>
      <w:r w:rsidRPr="005F0A67">
        <w:rPr>
          <w:rFonts w:asciiTheme="majorBidi" w:eastAsia="Times New Roman" w:hAnsiTheme="majorBidi" w:cstheme="majorBidi"/>
          <w:b/>
          <w:bCs/>
          <w:lang w:val="en-CA" w:eastAsia="en-GB"/>
        </w:rPr>
        <w:t>Pharmaceuticals innovators</w:t>
      </w:r>
      <w:r w:rsidRPr="005F0A67">
        <w:rPr>
          <w:rFonts w:asciiTheme="majorBidi" w:eastAsia="Times New Roman" w:hAnsiTheme="majorBidi" w:cstheme="majorBidi"/>
          <w:lang w:val="en-CA" w:eastAsia="en-GB"/>
        </w:rPr>
        <w:t xml:space="preserve">, including innovative branded firms and vaccine manufacturers, operate in markets characterised by high R&amp;D intensity and strong regulatory and reimbursement system influence; for innovative branded firms, competition also depends on patent-protected products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{"citationID":"bVaKh4Tz","properties":{"unsorted":false,"formattedCitation":"(Danzon, Pereira and Tejwani, 2005; Golec and Vernon, 2006; Shaikh, Del Giudice and Kourouklis, 2021)","plainCitation":"(Danzon, Pereira and Tejwani, 2005; Golec and Vernon, 2006; Shaikh, Del Giudice and Kourouklis, 2021)","noteIndex":0},"citationItems":[{"id":165,"uris":["http://zotero.org/users/14977742/items/2Z4CRJ73"],"itemData":{"id":165,"type":"article-journal","abstract":"In U.S. vaccine markets, competing producers with high fixed, sunk costs face relatively concentrated demand. This tends to lead to exit of all but one or very few producers per vaccine. Detailed evidence of exits and shortages in the flu vaccine market demonstrates the importance of high fixed costs, demand uncertainty, and dynamic quality competition. A comparison of vaccine suppliers in four industrialized countries compared with the United States shows that smaller foreign markets often have more and different vaccine suppliers. High, country-specific, fixed costs, combined with price and volume uncertainty, plausibly deters these potential suppliers from attempting to enter the U.S. market.","citation-key":"danzonVaccineSupplyCrossNational2005","container-title":"Health Affairs","DOI":"10.1377/hlthaff.24.3.706","ISSN":"0278-2715","issue":"3","page":"706-717","publisher":"Health Affairs Publishing","source":"healthaffairs.org (Atypon)","title":"Vaccine Supply: A Cross-National Perspective","title-short":"Vaccine Supply","volume":"24","author":[{"family":"Danzon","given":"Patricia M."},{"family":"Pereira","given":"Nuno Sousa"},{"family":"Tejwani","given":"Sapna S."}],"issued":{"date-parts":[["2005",5]]}}},{"id":172,"uris":["http://zotero.org/users/14977742/items/BH5W5G3Y"],"itemData":{"id":172,"type":"article","abstract":"EU countries closely regulate pharmaceutical prices whereas the U.S. does not. This paper shows how price constraints affect the profitability, stock returns, and R&amp;D spending of EU and U.S. firms. Compared to EU firms, U.S. firms are more profitable, earn higher stock returns, and spend more on research and development (R&amp;D). Some differences have increased over time. In 1986, EU pharmaceutical R&amp;D exceeded U.S. R&amp;D by about 24 percent, but by 2004, EU R&amp;D trailed U.S. R&amp;D by about 15 percent. During these 19 years, U.S. R&amp;D spending grew at a real annual compound rate of 8.8 percent, while EU R&amp;D spending grew at a real 5.4 percent rate. Results show that EU consumers enjoyed much lower pharmaceutical price inflation, however, at a cost of 46 fewer new medicines introduced by EU firms and 1680 fewer EU research jobs.","citation-key":"golecEuropeanPharmaceuticalPrice2006","DOI":"10.2139/ssrn.932989","genre":"SSRN Scholarly Paper","language":"en","number":"932989","publisher":"Social Science Research Network","publisher-place":"Rochester, NY","source":"papers.ssrn.com","title":"European Pharmaceutical Price Regulation, Firm Profitability, and R&amp;D Spending","URL":"https://papers.ssrn.com/abstract=932989","author":[{"family":"Golec","given":"Joseph H."},{"family":"Vernon","given":"John A."}],"accessed":{"date-parts":[["2026",6,1]]},"issued":{"date-parts":[["2006",8,1]]}}},{"id":169,"uris":["http://zotero.org/users/14977742/items/Y86NR836"],"itemData":{"id":169,"type":"article-journal","abstract":"A trade-off exists between affordability of pharmaceutical products today and incentives for firms to provide new and better drugs in the future; an activity that prior studies suggest correlates with profitability, which in turn depends on price regulation.","citation-key":"shaikhRevisitingRelationshipPrice2021","container-title":"Applied Health Economics and Health Policy","DOI":"10.1007/s40258-020-00601-9","ISSN":"1179-1896","issue":"2","journalAbbreviation":"Appl Health Econ Health Policy","language":"en","page":"217-229","source":"Springer Link","title":"Revisiting the Relationship Between Price Regulation and Pharmaceutical R&amp;D Investment","volume":"19","author":[{"family":"Shaikh","given":"Mujaheed"},{"family":"Del Giudice","given":"Pietro"},{"family":"Kourouklis","given":"Dimitrios"}],"issued":{"date-parts":[["2021",3,1]]}}}],"schema":"https://github.com/citation-style-language/schema/raw/master/csl-citation.json"}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 xml:space="preserve">(Danzon, Pereira and Tejwani, </w:t>
      </w:r>
      <w:r w:rsidRPr="005F0A67">
        <w:rPr>
          <w:rFonts w:asciiTheme="majorBidi" w:eastAsia="Times New Roman" w:hAnsiTheme="majorBidi" w:cstheme="majorBidi"/>
          <w:lang w:val="en-CA" w:eastAsia="en-GB"/>
        </w:rPr>
        <w:lastRenderedPageBreak/>
        <w:t>2005; Golec and Vernon, 2006; Shaikh, Del Giudice and Kourouklis, 2021)</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These firms retain some pricing power, particularly in the US where price regulation is more limited than in Europe. There are indications that this advantage has weakened in recent years, as manufacturers have moderated list price increases and European regulators have increasingly constrained reimbursement prices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{"citationID":"Yo7vthbk","properties":{"unsorted":false,"formattedCitation":"(IQVIA, 2020)","plainCitation":"(IQVIA, 2020)","noteIndex":0},"citationItems":[{"id":142,"uris":["http://zotero.org/users/14977742/items/PSVBNH68"],"itemData":{"id":142,"type":"webpage","abstract":"&lt;p&gt;Life sciences companies are a vital player in the healthcare delivery system through their discovery, development, manufacturing and marketing of innovative treatment options for patients. This role, and the innovation brought by the sector, are increasingly visible during the COVID-19 pandemic as life science companies lead the charge to develop novel treatments and vaccines, often in collaboration with startups, academic groups and public health organizations. In addition to ensuring patients have access to therapeutics when they are likely to improve their health outcomes, the activities of Life Science companies aim to achieve commercial success and economic returns on the investments they make in research and development. These returns are then continually reinvested, thus sustaining the cycle of investment and innovation, not just for large pharma companies, but for all those in the innovation ecosystem.&amp;nbsp;&lt;/p&gt;\n&lt;p&gt;Even before the emergence of COVID-19, pharmaceutical companies faced challenges in maintaining their financial health &amp;mdash; typically measured in terms of operating margins &amp;mdash; as Research and Development (R&amp;amp;D) investment levels have climbed and commercialization returns have been constrained.&lt;/p&gt;\n&lt;h3&gt;Increasing R&amp;amp;D investment levels&lt;/h3&gt;\n&lt;p&gt;Over the past 5 years, R&amp;amp;D expenditure has escalated, increasing by 26% or $22.6 billion, and rising 2.1% as a percentage of total sales (from 17.2% to 19.3%). The increase in R&amp;amp;D spending reflects both increased trial activity and the growing complexity of trials &amp;ndash; reflecting the number of subjects, research sites, endpoints and inclusion/exclusion criteria included in those trials&lt;sup&gt;1&lt;/sup&gt; (see Exhibit 1),&amp;nbsp;&lt;/p&gt;\n&lt;h5&gt;Exhibit 1: Drivers of R&amp;amp;D Cost Increases, 2014&amp;ndash;2019&lt;/h5&gt;\n&lt;h3&gt;Constrained commercialization returns&lt;/h3&gt;\n&lt;p&gt;These trends in R&amp;amp;D costs have occurred at the same time multiple changes in the marketplace for medicines have constrained the level of commercialization returns achieved by life sciences companies.&lt;/p&gt;\n&lt;p&gt;Among the key elements of change are:&lt;/p&gt;\n&lt;ul&gt;\n    &lt;li&gt;&lt;strong&gt;Portfolio evolution: &lt;/strong&gt;Over the past decade, the profile of new drugs being brought to market has shifted to specialty medicines &amp;mdash; defined as those which are often injectable, high-cost, biologic or requiring specialized distribution &amp;mdash; and they now account for 36% of spending globally and 44% in developed markets.&lt;sup&gt;2&lt;/sup&gt; Among these are precision medicines and orphan drugs for patients with rare disorders. These medicines typically have smaller target patient populations than traditional drugs, and this is reflected in their average sales per product. In the case of orphan drugs, the average first year sales of new launches has averaged about $20 million over the past decade; lower than the average for non-orphans. At the same time, the number of orphan drug launches has increased at a faster rate than non-orphans &amp;mdash; and exceeded the number of non-orphans for the first time in the U.S. in 2019. As a consequence of this portfolio evolution, commercialization returns, on average, for each new drug launched are smaller than in the past and this trend is expected to continue as more precision medicines emerge from the R&amp;amp;D pipeline.&lt;/li&gt;\n    &lt;li&gt;&lt;strong&gt;Demand for evidence of value: &lt;/strong&gt;As total spending on medicines globally reaches the $1 trillion level annually,2 and medicines are sold at higher annual costs as their target populations have narrowed, payers are not surprisingly placing greater emphasis on ensuring they are receiving value for their money. In much of the world, payers have been demanding more compelling evidence of the value of products &amp;mdash; through measures of outcomes, quality of life, disease severity, utilization of health resources, patient adherence, and a range of other measures. Over the past several years, a growing share of formal Health Technology Assessments have been negative recommendations or positive recommendations with restrictions. This typically results in reimbursement prices below the expectations of life sciences companies and thereby constrains the commercialization returns for these products.&lt;/li&gt;\n    &lt;li&gt;&lt;strong&gt;Limited price increases:&lt;/strong&gt; The U.S. market has typically been the only one where manufacturers have been able to increase prices after launch based on competitive market dynamics. In other markets, payers generally require prices to remain stable or decline, based on reductions in reimbursement rates or market-based competition. In decades past, these U.S. price increases contributed significantly to a company&amp;rsquo;s operating profit growth. More recently, however, manufacturers have moderated their list price increases, and seen reductions in net price increases. This is in part due to heightened public scrutiny as well as intensified competition among manufacturers to win volume share with payers and intermediaries. As a consequence, operating profit lift due to price increases have become minimal for most companies in recent years.&lt;/li&gt;\n    &lt;li&gt;&lt;strong&gt;Impact of Exclusivity Losses:&lt;/strong&gt; The lifecycle of innovative medicines typically provides about 10 years of market exclusivity before competition from generic manufacturers results in large declines in sales of the original product across the developed markets. In the past 5 years, originator companies saw about $107 billion of sales lost as their products were displaced by generics, and more lately, biosimilars. Over the next five years, that amount is estimated to total $139 billion, and provides companies with a significant revenue gap to fill through expanded use of existing brands or the launch of new drugs.&lt;/li&gt;\n&lt;/ul&gt;\n&lt;p&gt;Collectively, these changes contribute to a constrained level of sales growth for typical life sciences companies (see Exhibit 2).&lt;br /&gt;\n&lt;br /&gt;\n&lt;/p&gt;\n&lt;h5&gt;EXHIBIT 2: COMMERCIALIZATION ENVIRONMENT FACTORS&lt;/h5&gt;\n&lt;h3&gt;Operating margin outlook for life science companies&lt;/h3&gt;\n&lt;p&gt;The combination of the rising investment in research and development with a more constrained environment for commercialization returns provides significant pressure on life sciences companies as they seek to maintain or increase their operating margins.&lt;/p&gt;\n&lt;p&gt;For the 15 largest life sciences companies, based on their corporate entities, operating margins averaged 25.7% in 2019, up about 1.0% over the prior five years. Over the next five years, if these companies are to maintain that level of operating margin, they will need to reduce SG&amp;amp;A operating costs by about $23 billion in order to maintain their current level of Research and Development activity. This is based on modeling the level of future growth from new and existing products, price changes and losses of exclusivity. Cost of goods sold are assumed to remain at current levels of 28.1% of sales. R&amp;amp;D activity &amp;mdash; related to drug discovery, clinical development and registration &amp;mdash; is assumed to incur 5% higher costs each year, reflecting increased specialization and complexity of efforts. With a $23 billion reduction in operating costs &amp;mdash; about 15% of total SG&amp;amp;A in 2019 &amp;mdash; these companies would, in aggregate, be able to deliver a 25.7% level of operating profit in 2024 (see Exhibit 3).&lt;br /&gt;\n&lt;br /&gt;\n&lt;/p&gt;\n&lt;h5&gt;EXHIBIT 3: LARGE PHARMA OPERATING MARGIN DYNAMICS 2019&amp;ndash;2024&lt;/h5&gt;\n&lt;p&gt;&amp;nbsp;&lt;/p&gt;\n&lt;div&gt;Individual companies will differ in their financial profile and outlook, including the impact that COVID-19 might have on their commercial performance. However, these 15 companies, totaling over $550 billion in total sales in 2019, provide some guidance to the magnitude of incremental operating efficiency that company management will be pursuing over the next five years.&lt;/div&gt;\n&lt;p&gt;&amp;nbsp;&lt;/p&gt;\n&lt;hr /&gt;\n&lt;p&gt;&lt;sup&gt;1&lt;/sup&gt;IQVIA Institute for Human Data Science. The changing landscape of research and development: innovation, drivers of change, and evolution of clinical trial productivity. Apr 2019&lt;br /&gt;\n&lt;sup&gt;2&lt;/sup&gt;IQVIA Institute for Human Data Science. Global medicine spending and usage trends: outlook to 2024. Mar 2020.&lt;/p&gt;\n&lt;div&gt;&amp;nbsp;&lt;/div&gt;\n&lt;p&gt;&amp;nbsp;&lt;/p&gt;\n&lt;div&gt;&amp;nbsp;&lt;/div&gt;","citation-key":"OperatingMarginDynamics","language":"en","title":"Operating Margin Dynamics for Life Sciences Companies","URL":"https://www.iqvia.com/insights/the-iqvia-institute/reports-and-publications/reports/operating-margin-dynamics-for-life-sciences-companies","author":[{"literal":"IQVIA"}],"accessed":{"date-parts":[["2026",6,2]]},"issued":{"date-parts":[["2020",8]]}}}],"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(IQVIA, 2020)</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though the extent of this trend post-2020 across markets remains uncertain. This absorptive capacity is not, however, uniform across research-intensive producers, with vaccine producers presenting a structurally distinct case. Their supply is highly concentrated, and demand is primarily from national immunisation programmes and centralised procurement, rather than private buyers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{"citationID":"7996CNdK","properties":{"unsorted":false,"formattedCitation":"(Danzon, Pereira and Tejwani, 2005; Wilsdon {\\i{}et al.}, 2020)","plainCitation":"(Danzon, Pereira and Tejwani, 2005; Wilsdon et al., 2020)","noteIndex":0},"citationItems":[{"id":165,"uris":["http://zotero.org/users/14977742/items/2Z4CRJ73"],"itemData":{"id":165,"type":"article-journal","abstract":"In U.S. vaccine markets, competing producers with high fixed, sunk costs face relatively concentrated demand. This tends to lead to exit of all but one or very few producers per vaccine. Detailed evidence of exits and shortages in the flu vaccine market demonstrates the importance of high fixed costs, demand uncertainty, and dynamic quality competition. A comparison of vaccine suppliers in four industrialized countries compared with the United States shows that smaller foreign markets often have more and different vaccine suppliers. High, country-specific, fixed costs, combined with price and volume uncertainty, plausibly deters these potential suppliers from attempting to enter the U.S. market.","citation-key":"danzonVaccineSupplyCrossNational2005","container-title":"Health Affairs","DOI":"10.1377/hlthaff.24.3.706","ISSN":"0278-2715","issue":"3","page":"706-717","publisher":"Health Affairs Publishing","source":"healthaffairs.org (Atypon)","title":"Vaccine Supply: A Cross-National Perspective","title-short":"Vaccine Supply","volume":"24","author":[{"family":"Danzon","given":"Patricia M."},{"family":"Pereira","given":"Nuno Sousa"},{"family":"Tejwani","given":"Sapna S."}],"issued":{"date-parts":[["2005",5]]}}},{"id":163,"uris":["http://zotero.org/users/14977742/items/2K8HFPIY"],"itemData":{"id":163,"type":"article-journal","citation-key":"wilsdonImpactVaccineProcurement2020","container-title":"Expert Review of Vaccines","DOI":"10.1080/14760584.2020.1717952","ISSN":"1476-0584, 1744-8395","issue":"2","journalAbbreviation":"Expert Review of Vaccines","language":"en","page":"123-132","source":"DOI.org (Crossref)","title":"The impact of vaccine procurement methods on public health in selected European countries","volume":"19","author":[{"family":"Wilsdon","given":"Tim"},{"family":"Lawlor","given":"Ryan"},{"family":"Li","given":"Lilian"},{"family":"Rafila","given":"Alexandru"},{"family":"García Rojas","given":"Amós"}],"issued":{"date-parts":[["2020",2,1]]}}}],"schema":"https://github.com/citation-style-language/schema/raw/master/csl-citation.json"}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Georgia" w:hAnsiTheme="majorBidi" w:cstheme="majorBidi"/>
          <w:lang w:val="en-CA" w:eastAsia="en-GB"/>
        </w:rPr>
        <w:t xml:space="preserve">(Danzon, Pereira and Tejwani, 2005; Wilsdon </w:t>
      </w:r>
      <w:r w:rsidRPr="005F0A67">
        <w:rPr>
          <w:rFonts w:asciiTheme="majorBidi" w:eastAsia="Georgia" w:hAnsiTheme="majorBidi" w:cstheme="majorBidi"/>
          <w:i/>
          <w:iCs/>
          <w:lang w:val="en-CA" w:eastAsia="en-GB"/>
        </w:rPr>
        <w:t>et al.</w:t>
      </w:r>
      <w:r w:rsidRPr="005F0A67">
        <w:rPr>
          <w:rFonts w:asciiTheme="majorBidi" w:eastAsia="Georgia" w:hAnsiTheme="majorBidi" w:cstheme="majorBidi"/>
          <w:lang w:val="en-CA" w:eastAsia="en-GB"/>
        </w:rPr>
        <w:t>, 2020)</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Tender-driven vaccine markets can compress margins and weaken long-run investment and supplier incentives, which may make vaccine producers especially vulnerable to asymmetric competitive pressures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{"citationID":"GdQ4DQPB","properties":{"unsorted":false,"formattedCitation":"(Wilsdon {\\i{}et al.}, 2020)","plainCitation":"(Wilsdon et al., 2020)","noteIndex":0},"citationItems":[{"id":163,"uris":["http://zotero.org/users/14977742/items/2K8HFPIY"],"itemData":{"id":163,"type":"article-journal","citation-key":"wilsdonImpactVaccineProcurement2020","container-title":"Expert Review of Vaccines","DOI":"10.1080/14760584.2020.1717952","ISSN":"1476-0584, 1744-8395","issue":"2","journalAbbreviation":"Expert Review of Vaccines","language":"en","page":"123-132","source":"DOI.org (Crossref)","title":"The impact of vaccine procurement methods on public health in selected European countries","volume":"19","author":[{"family":"Wilsdon","given":"Tim"},{"family":"Lawlor","given":"Ryan"},{"family":"Li","given":"Lilian"},{"family":"Rafila","given":"Alexandru"},{"family":"García Rojas","given":"Amós"}],"issued":{"date-parts":[["2020",2,1]]}}}],"schema":"https://github.com/citation-style-language/schema/raw/master/csl-citation.json"}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Georgia" w:hAnsiTheme="majorBidi" w:cstheme="majorBidi"/>
          <w:lang w:val="en-CA" w:eastAsia="en-GB"/>
        </w:rPr>
        <w:t xml:space="preserve">(Wilsdon </w:t>
      </w:r>
      <w:r w:rsidRPr="005F0A67">
        <w:rPr>
          <w:rFonts w:asciiTheme="majorBidi" w:eastAsia="Georgia" w:hAnsiTheme="majorBidi" w:cstheme="majorBidi"/>
          <w:i/>
          <w:iCs/>
          <w:lang w:val="en-CA" w:eastAsia="en-GB"/>
        </w:rPr>
        <w:t>et al.</w:t>
      </w:r>
      <w:r w:rsidRPr="005F0A67">
        <w:rPr>
          <w:rFonts w:asciiTheme="majorBidi" w:eastAsia="Georgia" w:hAnsiTheme="majorBidi" w:cstheme="majorBidi"/>
          <w:lang w:val="en-CA" w:eastAsia="en-GB"/>
        </w:rPr>
        <w:t>, 2020)</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Among the top 50 global pharmaceutical companies by prescription sales in 2024, CBD Party-headquartered innovator firms spent approximately 21% of sales on R&amp;D, comparable to the 26% recorded by US-headquartered firms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{"citationID":"ulKUtPjd","properties":{"unsorted":false,"formattedCitation":"(Pharmaceutical Executive, 2025)","plainCitation":"(Pharmaceutical Executive, 2025)","noteIndex":0},"citationItems":[{"id":147,"uris":["http://zotero.org/users/14977742/items/739YYP5V"],"itemData":{"id":147,"type":"report","citation-key":"zotero-item-2708","title":"R&amp;D spending as revenue share of leading 10 pharmaceutical companies in 2024 [Graph]. In Statista.","URL":"https://www.statista.com/statistics/309471/randd-spending-share-of-top-pharmaceutical-companies/?srsltid=AfmBOoro2wnOevqTkd8GlvW2exDOWnNgR0rMHlLmLve83fOyF5et3BYy","author":[{"literal":"Pharmaceutical Executive"}],"issued":{"date-parts":[["2025",6]]}}}],"schema":"https://github.com/citation-style-language/schema/raw/master/csl-citation.json"}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(Pharmaceutical Executive, 2025)</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Note, however, that for research-intensive pharmaceutical firms contributing on the basis of revenue, the payment does not directly diminish post-tax R&amp;D returns in the same way a profits tax would. The empirical evidence suggests that the link between revenue and R&amp;D expenditure is weaker and more uncertain than is commonly presumed. For example, Dixit and David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a1q67nd9pg4","properties":{"unsorted":false,"formattedCitation":"(2017)","plainCitation":"(2017)","noteIndex":0},"citationItems":[{"id":3018,"uris":["http://zotero.org/users/14977742/items/JHP2RJMT"],"itemData":{"id":3018,"type":"article-journal","citation-key":"dixitTrendsPharmaceuticalCompany2017","container-title":"Nature Reviews Drug Discovery","DOI":"10.1038/nrd.2017.81","ISSN":"1474-1784","issue":"6","language":"en","license":"2017 Springer Nature Limited","page":"376-376","publisher":"Nature Publishing Group","source":"www.nature.com","title":"Trends in pharmaceutical company R&amp;D spending: 2005–2015","title-short":"Trends in pharmaceutical company R&amp;D spending","volume":"16","author":[{"family":"Dixit","given":"Richa"},{"family":"David","given":"Frank S."}],"issued":{"date-parts":[["2017",6,1]]}},"suppress-author":true}],"schema":"https://github.com/citation-style-language/schema/raw/master/csl-citation.json"}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Georgia" w:hAnsiTheme="majorBidi" w:cstheme="majorBidi"/>
          <w:lang w:eastAsia="en-GB"/>
        </w:rPr>
        <w:t>(2017)</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found across the ten biggest pharmaceutical companies by R&amp;D spending, research and development outpaced revenue growth between 2005 and 2015. Moreover, when these firms experienced substantial revenue drops, they generally chose either to raise R&amp;D spending or to cut it less aggressively than other types of expenditures. Looking at it from the opposite direction, the recent report of the Joint Committee on Taxation of the US Congress, found that the 2017 corporate tax cuts, which led to an approximately 8 percentage points increase in the industry’s net margin, produced no material change in R&amp;D spending. Vogel et al.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US" w:eastAsia="en-GB"/>
        </w:rPr>
        <w:instrText xml:space="preserve"> ADDIN ZOTERO_ITEM CSL_CITATION {"citationID":"a6sa3s6oa4","properties":{"unsorted":false,"formattedCitation":"(2024)","plainCitation":"(2024)","noteIndex":0},"citationItems":[{"id":3017,"uris":["http://zotero.org/users/14977742/items/UNGVH4QN"],"itemData":{"id":3017,"type":"article-journal","abstract":"The Inflation Reduction Act (IRA) requires Medicare to negotiate lower prices for some medicines with high Medicare spending. Using historical data from public and proprietary sources to apply the IRA’s negotiation criteria retrospectively, we identify all drugs that met the eligibility criteria from 2012 to 2021 to classify drugs that would have had a negotiated price in effect in 2022 and to calculate associated decreases in industry revenues. Our results suggest that the IRA’s reduction in overall industry revenue will be modest, will not affect most top-selling drugs and will not likely result in large-scale defunding of research and development. Changes in the net present value of drug-development projects will be concentrated in medicines where Medicare is a notable purchaser and where the ratio between expected revenue and development costs was only marginally positive before the IRA. Policymakers considering narrowing or expanding the scope of Medicare negotiation should carefully consider the tradeoffs across medicines with diverse characteristics.","citation-key":"vogelMedicarePriceNegotiation2024","container-title":"Nature Biotechnology","DOI":"10.1038/s41587-023-02096-w","ISSN":"1546-1696","issue":"3","journalAbbreviation":"Nat Biotechnol","language":"en","license":"2024 Springer Nature America, Inc.","page":"406-412","publisher":"Nature Publishing Group","source":"www.nature.com","title":"Medicare price negotiation and pharmaceutical innovation following the Inflation Reduction Act","volume":"42","author":[{"family":"Vogel","given":"Matthew"},{"family":"Kakani","given":"Pragya"},{"family":"Chandra","given":"Amitabh"},{"family":"Conti","given":"Rena M."}],"issued":{"date-parts":[["2024",3]]}},"suppress-author":true}],"schema":"https://github.com/citation-style-language/schema/raw/master/csl-citation.json"}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Georgia" w:hAnsiTheme="majorBidi" w:cstheme="majorBidi"/>
          <w:lang w:eastAsia="en-GB"/>
        </w:rPr>
        <w:t>(2024)</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also illustrate that a revenue loss of up to 4% of global pharmaceutical industry revenues (the harshest scenario under Medicare price negotiation) was not likely to trigger extensive R&amp;D cutbacks. </w:t>
      </w:r>
    </w:p>
    <w:p w14:paraId="37792343"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b/>
          <w:bCs/>
          <w:lang w:val="en-CA" w:eastAsia="en-GB"/>
        </w:rPr>
        <w:t>Generics producers</w:t>
      </w:r>
      <w:r w:rsidRPr="005F0A67">
        <w:rPr>
          <w:rFonts w:asciiTheme="majorBidi" w:eastAsia="Times New Roman" w:hAnsiTheme="majorBidi" w:cstheme="majorBidi"/>
          <w:lang w:val="en-CA" w:eastAsia="en-GB"/>
        </w:rPr>
        <w:t xml:space="preserve"> compete after patent expiry and are influenced by procurement conditions, substitution rules, and payer behaviour rather than advanced research. They operate in price-driven markets shaped by high substitution and procurement design which can limit margins and make cost recovery difficult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{"citationID":"m5WDzHPj","properties":{"unsorted":false,"formattedCitation":"(Magazzini, Pammolli and Riccaboni, 2004; Danzon and Furukawa, 2011)","plainCitation":"(Magazzini, Pammolli and Riccaboni, 2004; Danzon and Furukawa, 2011)","noteIndex":0},"citationItems":[{"id":159,"uris":["http://zotero.org/users/14977742/items/7I8QA3RU"],"itemData":{"id":159,"type":"article-journal","abstract":"This paper investigates patterns of industrial dynamics and competition in the pharmaceutical industry, with particular reference to the consequences of patent expiry in different countries. We focus on the competition at the level of single chemical entities, distinguishing between original brands and generic products. Quarterly data, spanning from July 1987 to December 1998, on sales of pharmaceutical products in four countries (USA, UK, Germany, and France) constitute the basis of our analysis. All the products containing major molecules whose patent expiration date lies between 1986 and 1996 are included in our sample. We show how diffusion of generics is linked to the characteristics of the market and investigate how price dynamics of original products are affected by generic competition. Our empirical investigation shows that the dynamics of drug prices and the competition by generic drugs vary significantly across countries. This heterogeneity notwithstanding, a clear distinction seems to emerge. On the one hand, systems that rely on market-based competition in pharmaceuticals promote a clear distinction between firms that act as innovators and firms that act as imitators after patent expiry. Here, original products enjoy premium prices and exclusivity profits under patent protection, and face fierce price competition after patent expiry. On the other hand, in systems that rely on administered prices, penetration by generic drugs tends to be rather limited. Its descriptive and preliminary nature notwithstanding, our analysis seems to have relevant implications at different levels of generality, especially for Europe.","citation-key":"magazziniDynamicCompetitionPharmaceuticals2004","container-title":"The European journal of health economics: HEPAC: health economics in prevention and care","DOI":"10.1007/s10198-003-0218-x","ISSN":"1618-7598","issue":"2","journalAbbreviation":"Eur J Health Econ","language":"eng","page":"175-182","PMID":"15452754","source":"PubMed","title":"Dynamic competition in pharmaceuticals. Patent expiry, generic penetration, and industry structure","volume":"5","author":[{"family":"Magazzini","given":"Laura"},{"family":"Pammolli","given":"Fabio"},{"family":"Riccaboni","given":"Massimo"}],"issued":{"date-parts":[["2004",6]]}}},{"id":160,"uris":["http://zotero.org/users/14977742/items/WRHCSRXX"],"itemData":{"id":160,"type":"article","abstract":"This paper examines the role of regulation and competition in generic markets. Generics offer large potential savings to payers and consumers of pharmaceuticals. Whether the potential savings are realized depends on the extent of generic entry and uptake and the level of generic prices. In the U.S., the regulatory, legal and incentive structures encourage prompt entry, aggressive price competition and patient switching to generics. Key features are that pharmacists are authorized and incentivized to switch patients to cheap generics. By contrast, in many other high and middle income countries, generics traditionally competed on brand rather than price because physicians rather than pharmacies are the decision-makers. Physician-driven generic markets tend to have higher generic prices and may have lower generic uptake, depending on regulations and incentives. Using IMS data to analyze generic markets in the U.S., Canada, France, Germany, U.K., Italy, Spain, Japan, Australia, Mexico, Chile, Brazil over the period 1998-2009, we estimate a three-equation model for number of generic entrants, generic prices and generic volume shares. We find little effect of originator defense strategies, significant differences between unbranded and unbranded generics, variation across countries in volume response to prices. Policy changes adopted to stimulate generic uptake and reduce generic prices have been successful in some E.U. countries.","citation-key":"danzonCrossNationalEvidenceGeneric2011","collection-title":"Working Paper Series","DOI":"10.3386/w17226","genre":"Working Paper","note":"DOI: 10.3386/w17226","number":"17226","publisher":"National Bureau of Economic Research","source":"National Bureau of Economic Research","title":"Cross-National Evidence on Generic Pharmaceuticals: Pharmacy vs. Physician-Driven Markets","title-short":"Cross-National Evidence on Generic Pharmaceuticals","URL":"https://www.nber.org/papers/w17226","author":[{"family":"Danzon","given":"Patricia M."},{"family":"Furukawa","given":"Michael F."}],"accessed":{"date-parts":[["2026",6,1]]},"issued":{"date-parts":[["2011",7]]}}}],"schema":"https://github.com/citation-style-language/schema/raw/master/csl-citation.json"}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(Magazzini, Pammolli and Riccaboni, 2004; Danzon and Furukawa, 2011)</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Unbranded generics manufacturers structurally earn slimmer margins than the sector median, with operating margins declining from about 20% to 13% between 2016 and 2019 due to persistent price pressure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{"citationID":"tB3GVLLX","properties":{"unsorted":false,"formattedCitation":"(KPMG, 2020)","plainCitation":"(KPMG, 2020)","noteIndex":0},"citationItems":[{"id":149,"uris":["http://zotero.org/users/14977742/items/YSWXXC63"],"itemData":{"id":149,"type":"report","citation-key":"zotero-item-2705a","title":"Generics 2030. Three strategies to curb the downward spiral.","URL":"https://kpmg.com/kpmg-us/content/dam/kpmg/pdf/2023/generics-2030.pdf","author":[{"literal":"KPMG"}],"issued":{"date-parts":[["2020"]]}}}],"schema":"https://github.com/citation-style-language/schema/raw/master/csl-citation.json"}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(KPMG, 2020)</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Within the broader sector, operating margins vary substantially by firm type: unbranded generics typically operate within a 4-12% range, branded generics within an 18-32% range, and still-on-patent innovator drugs within a 35-55% range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{"citationID":"nqZD8rsc","properties":{"unsorted":false,"formattedCitation":"(DrugPatentWatch, 2026)","plainCitation":"(DrugPatentWatch, 2026)","noteIndex":0},"citationItems":[{"id":148,"uris":["http://zotero.org/users/14977742/items/UA3F3U93"],"itemData":{"id":148,"type":"post-weblog","abstract":"An investigative analysis of the business architecture behind pharma’s most durable profit model When Pfizer’s patent on atorvastatin expired in 2011, every analyst on Wall Street braced for the same…","citation-key":"drugpatentwatchMarginMachineHow2026","container-title":"DrugPatentWatch – Transform Data into Market Domination","language":"en-US","title":"The Margin Machine: How Branded Generics Print 20%+ Returns on Drugs Anyone Can Make","title-short":"The Margin Machine","URL":"https://www.drugpatentwatch.com/blog/the-margin-machine-how-branded-generics-print-20-returns-on-drugs-anyone-can-make/","author":[{"literal":"DrugPatentWatch"}],"accessed":{"date-parts":[["2026",6,1]]},"issued":{"date-parts":[["2026",2,21]]}}}],"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(DrugPatentWatch, 2026)</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This within-sector asymmetry is relevant for the contribution assessment: the profit base is most likely to bind for unbranded generics producers, precisely those for whom the minimum-of-two rule's protective logic applies. For generics, the main competitiveness issue is whether they can absorb additional costs in markets with highly elastic demand and in some cases, procurement constraints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{"citationID":"SWfA9jdf","properties":{"unsorted":false,"formattedCitation":"(Danzon and Furukawa, 2011; Mestre-Ferrandiz, Towse and Berdud, 2016)","plainCitation":"(Danzon and Furukawa, 2011; Mestre-Ferrandiz, Towse and Berdud, 2016)","noteIndex":0},"citationItems":[{"id":160,"uris":["http://zotero.org/users/14977742/items/WRHCSRXX"],"itemData":{"id":160,"type":"article","abstract":"This paper examines the role of regulation and competition in generic markets. Generics offer large potential savings to payers and consumers of pharmaceuticals. Whether the potential savings are realized depends on the extent of generic entry and uptake and the level of generic prices. In the U.S., the regulatory, legal and incentive structures encourage prompt entry, aggressive price competition and patient switching to generics. Key features are that pharmacists are authorized and incentivized to switch patients to cheap generics. By contrast, in many other high and middle income countries, generics traditionally competed on brand rather than price because physicians rather than pharmacies are the decision-makers. Physician-driven generic markets tend to have higher generic prices and may have lower generic uptake, depending on regulations and incentives. Using IMS data to analyze generic markets in the U.S., Canada, France, Germany, U.K., Italy, Spain, Japan, Australia, Mexico, Chile, Brazil over the period 1998-2009, we estimate a three-equation model for number of generic entrants, generic prices and generic volume shares. We find little effect of originator defense strategies, significant differences between unbranded and unbranded generics, variation across countries in volume response to prices. Policy changes adopted to stimulate generic uptake and reduce generic prices have been successful in some E.U. countries.","citation-key":"danzonCrossNationalEvidenceGeneric2011","collection-title":"Working Paper Series","DOI":"10.3386/w17226","genre":"Working Paper","note":"DOI: 10.3386/w17226","number":"17226","publisher":"National Bureau of Economic Research","source":"National Bureau of Economic Research","title":"Cross-National Evidence on Generic Pharmaceuticals: Pharmacy vs. Physician-Driven Markets","title-short":"Cross-National Evidence on Generic Pharmaceuticals","URL":"https://www.nber.org/papers/w17226","author":[{"family":"Danzon","given":"Patricia M."},{"family":"Furukawa","given":"Michael F."}],"accessed":{"date-parts":[["2026",6,1]]},"issued":{"date-parts":[["2011",7]]}}},{"id":161,"uris":["http://zotero.org/users/14977742/items/VENP89WD"],"itemData":{"id":161,"type":"article-journal","abstract":"The term ‘biosimilar’ refers to an alternative similar version of an off-patent innovative originator biotechnology product (the ‘reference product’). Several biosimilars have been approved in Europe, and a number of top-selling biological medicines have lost, or will lose, patent protection over the next 5 years. We look at the experience in Europe so far. The USA has finally implemented a regulatory route for biosimilar approval. We recommend that European and US governments and payers take a strategic approach to get value for money from the use of biosimilars by (1) supporting and incentivising generation of high-quality comprehensive outcomes data on the effectiveness and safety of biosimilars and originator products; and (2) ensuring that incentives are in place for budget holders to benefit from price competition. This may create greater willingness on the part of budget holders and clinicians to use biosimilar and originator products with comparable outcomes interchangeably, and may drive down prices. Other options, such as direct price cuts for originator products or substitution rules without outcomes data, are likely to discourage biosimilar entry. With such approaches, governments may achieve a one-off cut in originator prices but may put at risk the creation of a more competitive market that would, in time, produce much greater savings. It was the creation of competitive markets for chemical generic drugs—notably, in the USA, the UK and Germany—rather than price control, that enabled payers to achieve the high discounts now taken for granted.","citation-key":"mestre-ferrandizBiosimilarsHowCan2016","container-title":"PharmacoEconomics","DOI":"10.1007/s40273-015-0380-x","ISSN":"1179-2027","issue":"6","journalAbbreviation":"PharmacoEconomics","language":"en","page":"609-616","source":"Springer Link","title":"Biosimilars: How Can Payers Get Long-Term Savings?","title-short":"Biosimilars","volume":"34","author":[{"family":"Mestre-Ferrandiz","given":"Jorge"},{"family":"Towse","given":"Adrian"},{"family":"Berdud","given":"Mikel"}],"issued":{"date-parts":[["2016",6,1]]}}}],"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(Danzon and Furukawa, 2011; Mestre-Ferrandiz, Towse and Berdud, 2016)</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w:t>
      </w:r>
    </w:p>
    <w:p w14:paraId="3D4AA332"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b/>
          <w:bCs/>
          <w:lang w:val="en-CA" w:eastAsia="en-GB"/>
        </w:rPr>
        <w:t xml:space="preserve">Biosimilars producers </w:t>
      </w:r>
      <w:r w:rsidRPr="005F0A67">
        <w:rPr>
          <w:rFonts w:asciiTheme="majorBidi" w:eastAsia="Times New Roman" w:hAnsiTheme="majorBidi" w:cstheme="majorBidi"/>
          <w:lang w:val="en-CA" w:eastAsia="en-GB"/>
        </w:rPr>
        <w:t xml:space="preserve">occupy a structurally distinct position within the pharmaceutical sector. Unlike generics, biosimilar entry requires evidence of a high degree of similarity to the reference biologic based on comparability studies, which reflects the molecular complexity of biological products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{"citationID":"TxPTqaEG","properties":{"unsorted":false,"formattedCitation":"(McCamish, Yoon and McKay, 2016; Leber, 2018)","plainCitation":"(McCamish, Yoon and McKay, 2016; Leber, 2018)","noteIndex":0},"citationItems":[{"id":111,"uris":["http://zotero.org/users/14977742/items/CYIDEP99"],"itemData":{"id":111,"type":"article-journal","abstract":"Biologics have revolutionized medical care, yet uniform access to these effective medicines remains difficult due to the increasing costs of healthcare. As patent exclusivity on the early biologics wanes, regulatory and legal systems are adapting to bring competition to the field in the form of biosimilars. Biosimilars are biologics that offer the same clinical benefit in one or more of the same indications as the reference biologic drug and bring competition to the biologics space. Legislation creating a pathway resulting in the first US approvals of biosimilars has been in place since 2010, but the regulatory methodology and science of evaluating the sameness of two biologics has been in use for decades. The demonstration of biosimilarity is based on the \"totality of the evidence\" concept, in which all structural, functional, nonclinical, and clinical data for a biosimilar product are evaluated to show high similarity to the reference product. Clinical trials for biosimilars, therefore, are designed to confirm similarity, or discover clinically relevant differences between the reference product and the biosimilar, should differences exist. It is hoped that competition from biosimilars will drive biologic innovation and increase patient access to biologics.","citation-key":"mccamishBiosimilarsBiologicsThat2016","container-title":"The American Journal of Managed Care","ISSN":"1936-2692","issue":"13 Suppl","journalAbbreviation":"Am J Manag Care","language":"eng","page":"S439-S442","PMID":"28719221","source":"PubMed","title":"Biosimilars: biologics that meet patients' needs and healthcare economics","title-short":"Biosimilars","volume":"22","author":[{"family":"McCamish","given":"Mark"},{"family":"Yoon","given":"William"},{"family":"McKay","given":"James"}],"issued":{"date-parts":[["2016",9]]}}},{"id":110,"uris":["http://zotero.org/users/14977742/items/WBSFX6KW"],"itemData":{"id":110,"type":"article-journal","abstract":"With the passing and implementation of the Biologics Price Competition and Innovation Act in 2010, biosimilars became a new classification of FDA-approved drugs. The biosimilar classification, created with a streamlined drug approval process, was intended to spur competition and reduce the cost of biological product therapies. Since the first FDA-approved biosimilar in 2015, the impact of biosimilars on the US biological product market remains to be seen. As more biosimilar products are approved and marketed, cost-savings are expected with predictions ranging from $54 billion to $250 billion by the mid-2020s. However, a multitude of factors may diminish the cost-saving potential of biosimilars. For biosimilars to gain market share, patients, physicians, and other healthcare professionals will need to accept biosimilars as safe and effective alternatives to reference-biologic products. A key factor in gaining this acceptance is educating the public, physicians, and healthcare professionals on the rigorous approval standards required of biosimilars by the FDA. Other factors that will affect market share of biosimilars include litigation actions by biopharmaceutical manufacturers; positions stated by physician organizations; and the influences of insurers and managed care. The clinical and basic science required for biosimilar approvals will be major underlying elements driving biosimilar acceptance and increased market presence.","citation-key":"leberOptimizingUseAddressing2018","container-title":"The American Journal of Managed Care","ISSN":"1936-2692","issue":"21 Suppl","journalAbbreviation":"Am J Manag Care","language":"eng","page":"S457-S461","PMID":"30452214","source":"PubMed","title":"Optimizing use and addressing challenges to uptake of biosimilars","volume":"24","author":[{"family":"Leber","given":"Molly Billstein"}],"issued":{"date-parts":[["2018",11]]}}}],"schema":"https://github.com/citation-style-language/schema/raw/master/csl-citation.json"}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(McCamish, Yoon and McKay, 2016; Leber, 2018)</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The resulting regulatory track is more demanding and costly than for small-molecule generics, and commercialisation targeting hospitals and specialist prescribers rather than retail </w:t>
      </w:r>
      <w:r w:rsidRPr="005F0A67">
        <w:rPr>
          <w:rFonts w:asciiTheme="majorBidi" w:eastAsia="Times New Roman" w:hAnsiTheme="majorBidi" w:cstheme="majorBidi"/>
          <w:lang w:val="en-CA" w:eastAsia="en-GB"/>
        </w:rPr>
        <w:lastRenderedPageBreak/>
        <w:t>pharmacies</w:t>
      </w:r>
      <w:r w:rsidRPr="005F0A67">
        <w:rPr>
          <w:rFonts w:asciiTheme="majorBidi" w:eastAsia="Times New Roman" w:hAnsiTheme="majorBidi" w:cstheme="majorBidi"/>
          <w:vertAlign w:val="superscript"/>
          <w:lang w:val="en-CA" w:eastAsia="en-GB"/>
        </w:rPr>
        <w:footnoteReference w:id="82"/>
      </w:r>
      <w:r w:rsidRPr="005F0A67">
        <w:rPr>
          <w:rFonts w:asciiTheme="majorBidi" w:eastAsia="Times New Roman" w:hAnsiTheme="majorBidi" w:cstheme="majorBidi"/>
          <w:lang w:val="en-CA" w:eastAsia="en-GB"/>
        </w:rPr>
        <w:t xml:space="preserve">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{"citationID":"Zm5x2S9T","properties":{"unsorted":false,"formattedCitation":"(Grabowski, Guha and Salgado, 2014; Mestre-Ferrandiz, Towse and Berdud, 2016; Moorkens {\\i{}et al.}, 2016)","plainCitation":"(Grabowski, Guha and Salgado, 2014; Mestre-Ferrandiz, Towse and Berdud, 2016; Moorkens et al., 2016)","noteIndex":0},"citationItems":[{"id":158,"uris":["http://zotero.org/users/14977742/items/YFBDIIRU"],"itemData":{"id":158,"type":"article-journal","abstract":"In March 2010 Congress established an abbreviated Food and Drug Administration approval pathway for biosimilars—drugs that are very similar but not identical to a reference biological product and cost less. Because bringing biosimilars to the market currently requires large investments of money, fewer biosimilars are expected to enter the biologics market than has been the case with generic drugs entering the small-molecule drug market. Additionally, given the high regulatory hurdles to obtaining interchangeability—which would allow pharmacists to substitute a biosimilar for its reference product, subject to evolving state substitution laws—most biosimilars will likely compete as therapeutic alternatives instead of as therapeutic equivalents. In other words, biosimilars will need to compete with their reference product on the basis of quality; price; and manufacturer’s reputation with physicians, insurers, and patient groups. Biosimilars also will face dynamic competition from new biologics in the same therapeutic class—including “biobetters,” which offer incremental improvements on reference products, such as extended duration of action. The prospects for significant cost savings from the use of biosimilars appear to be limited for the next several years, but their use should increase over time because of both demand- and supply-side factors.","citation-key":"grabowskiRegulatoryCostBarriers2014","container-title":"Health Affairs","DOI":"10.1377/hlthaff.2013.0862","ISSN":"0278-2715","issue":"6","page":"1048-1057","publisher":"Health Affairs Publishing","source":"healthaffairs.org (Atypon)","title":"Regulatory And Cost Barriers Are Likely To Limit Biosimilar Development And Expected Savings In The Near Future","volume":"33","author":[{"family":"Grabowski","given":"Henry G."},{"family":"Guha","given":"Rahul"},{"family":"Salgado","given":"Maria"}],"issued":{"date-parts":[["2014",6]]}}},{"id":161,"uris":["http://zotero.org/users/14977742/items/VENP89WD"],"itemData":{"id":161,"type":"article-journal","abstract":"The term ‘biosimilar’ refers to an alternative similar version of an off-patent innovative originator biotechnology product (the ‘reference product’). Several biosimilars have been approved in Europe, and a number of top-selling biological medicines have lost, or will lose, patent protection over the next 5 years. We look at the experience in Europe so far. The USA has finally implemented a regulatory route for biosimilar approval. We recommend that European and US governments and payers take a strategic approach to get value for money from the use of biosimilars by (1) supporting and incentivising generation of high-quality comprehensive outcomes data on the effectiveness and safety of biosimilars and originator products; and (2) ensuring that incentives are in place for budget holders to benefit from price competition. This may create greater willingness on the part of budget holders and clinicians to use biosimilar and originator products with comparable outcomes interchangeably, and may drive down prices. Other options, such as direct price cuts for originator products or substitution rules without outcomes data, are likely to discourage biosimilar entry. With such approaches, governments may achieve a one-off cut in originator prices but may put at risk the creation of a more competitive market that would, in time, produce much greater savings. It was the creation of competitive markets for chemical generic drugs—notably, in the USA, the UK and Germany—rather than price control, that enabled payers to achieve the high discounts now taken for granted.","citation-key":"mestre-ferrandizBiosimilarsHowCan2016","container-title":"PharmacoEconomics","DOI":"10.1007/s40273-015-0380-x","ISSN":"1179-2027","issue":"6","journalAbbreviation":"PharmacoEconomics","language":"en","page":"609-616","source":"Springer Link","title":"Biosimilars: How Can Payers Get Long-Term Savings?","title-short":"Biosimilars","volume":"34","author":[{"family":"Mestre-Ferrandiz","given":"Jorge"},{"family":"Towse","given":"Adrian"},{"family":"Berdud","given":"Mikel"}],"issued":{"date-parts":[["2016",6,1]]}}},{"id":162,"uris":["http://zotero.org/users/14977742/items/SD2LC47L"],"itemData":{"id":162,"type":"article-journal","abstract":"Background: In 2014, six of the top ten blockbuster medicines were monoclonal antibodies. This multibillion-dollar market with expiring patents is the main driver for the development of biosimilar mAbs. With the ever-increasing cost of healthcare and the economic pressure to reduce or sustain healthcare expenses, biosimilars could be instrumental in reducing costs for medication and increasing patient access to treatment.Objectives: The aim of this study is to identify and describe the barriers to market access of biosimilar mAbs in the European Union and to analyze how these barriers could be overcome.Methods: A narrative literature review was carried out using the databases PubMed, Embase and EconLit. Studies were published in English or Dutch. Additionally, the reference list of the articles was checked for relevant studies. Articles and conference papers known to the authors were included as well. Articles were also identified by searching on the website of the Generics and Biosimilars Initiative (GaBI) journal.Results: Six barriers were identified based on available literature: The manufacturing process, the regulatory process, intellectual property rights, lack of incentive, the impossibility of substitution, and the innovator’s reach. These six barriers are presented as a possible framework to study the market access of biosimilar mAbs. Based on the literature search, recommendations can be made to overcome these barriers: i) invest initially in advanced production processes with the help of single-use technology, experience or outsourcing ii) gain experience with the regulatory process and establish alignment between stakeholders iii) limit patent litigation, eliminate evergreening benefits, build out further the unitary patent and unified patent litigation system within the EU iv) create demand-side policies, disseminate objective information v) change attitude towards biosimilar switching/substitution, starting with physician and patient education vi) differentiate the biosimilar by service offerings, use an appropriate comparator in cost-effectiveness analyses.Conclusions: Barriers to the market access of biosimilar mAbs could be reduced when more transparency and communication/education is used in all steps towards market access in order to increase the trust in biosimilar mAbs by all stakeholders. Only then biosimilar mAbs will be able to fully capture their cost saving potential.","citation-key":"moorkensOvercomingBarriersMarket2016","container-title":"Frontiers in Pharmacology","DOI":"10.3389/fphar.2016.00193","ISSN":"1663-9812","journalAbbreviation":"Front. Pharmacol.","language":"English","publisher":"Frontiers","source":"Frontiers","title":"Overcoming Barriers to the Market Access of Biosimilars in the European Union: The Case of Biosimilar Monoclonal Antibodies","title-short":"Overcoming Barriers to the Market Access of Biosimilars in the European Union","URL":"https://www.frontiersin.org/journals/pharmacology/articles/10.3389/fphar.2016.00193/full","volume":"7","author":[{"family":"Moorkens","given":"Evelien"},{"family":"Jonker-Exler","given":"Clara"},{"family":"Huys","given":"Isabelle"},{"family":"Declerck","given":"Paul"},{"family":"Simoens","given":"Steven"},{"family":"Vulto","given":"Arnold G."}],"accessed":{"date-parts":[["2026",6,1]]},"issued":{"date-parts":[["2016",6,29]]}}}],"schema":"https://github.com/citation-style-language/schema/raw/master/csl-citation.json"}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Georgia" w:hAnsiTheme="majorBidi" w:cstheme="majorBidi"/>
          <w:lang w:val="en-CA" w:eastAsia="en-GB"/>
        </w:rPr>
        <w:t xml:space="preserve">(Grabowski, Guha and Salgado, 2014; Mestre-Ferrandiz, Towse and Berdud, 2016; Moorkens </w:t>
      </w:r>
      <w:r w:rsidRPr="005F0A67">
        <w:rPr>
          <w:rFonts w:asciiTheme="majorBidi" w:eastAsia="Georgia" w:hAnsiTheme="majorBidi" w:cstheme="majorBidi"/>
          <w:i/>
          <w:iCs/>
          <w:lang w:val="en-CA" w:eastAsia="en-GB"/>
        </w:rPr>
        <w:t>et al.</w:t>
      </w:r>
      <w:r w:rsidRPr="005F0A67">
        <w:rPr>
          <w:rFonts w:asciiTheme="majorBidi" w:eastAsia="Georgia" w:hAnsiTheme="majorBidi" w:cstheme="majorBidi"/>
          <w:lang w:val="en-CA" w:eastAsia="en-GB"/>
        </w:rPr>
        <w:t>, 2016)</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All of these characteristics make competition more similar to branded products than unbranded generics. Biosimilars entry leads to price reductions for reference biologics, but the extent and pace of competition differ widely across markets. These differences are driven by reimbursement frameworks, prescriber behaviour, and supply-side policy design, rather than automatic substitution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{"citationID":"e7ED9boY","properties":{"unsorted":false,"formattedCitation":"(Leber, 2018; Song {\\i{}et al.}, 2025)","plainCitation":"(Leber, 2018; Song et al., 2025)","noteIndex":0},"citationItems":[{"id":110,"uris":["http://zotero.org/users/14977742/items/WBSFX6KW"],"itemData":{"id":110,"type":"article-journal","abstract":"With the passing and implementation of the Biologics Price Competition and Innovation Act in 2010, biosimilars became a new classification of FDA-approved drugs. The biosimilar classification, created with a streamlined drug approval process, was intended to spur competition and reduce the cost of biological product therapies. Since the first FDA-approved biosimilar in 2015, the impact of biosimilars on the US biological product market remains to be seen. As more biosimilar products are approved and marketed, cost-savings are expected with predictions ranging from $54 billion to $250 billion by the mid-2020s. However, a multitude of factors may diminish the cost-saving potential of biosimilars. For biosimilars to gain market share, patients, physicians, and other healthcare professionals will need to accept biosimilars as safe and effective alternatives to reference-biologic products. A key factor in gaining this acceptance is educating the public, physicians, and healthcare professionals on the rigorous approval standards required of biosimilars by the FDA. Other factors that will affect market share of biosimilars include litigation actions by biopharmaceutical manufacturers; positions stated by physician organizations; and the influences of insurers and managed care. The clinical and basic science required for biosimilar approvals will be major underlying elements driving biosimilar acceptance and increased market presence.","citation-key":"leberOptimizingUseAddressing2018","container-title":"The American Journal of Managed Care","ISSN":"1936-2692","issue":"21 Suppl","journalAbbreviation":"Am J Manag Care","language":"eng","page":"S457-S461","PMID":"30452214","source":"PubMed","title":"Optimizing use and addressing challenges to uptake of biosimilars","volume":"24","author":[{"family":"Leber","given":"Molly Billstein"}],"issued":{"date-parts":[["2018",11]]}}},{"id":112,"uris":["http://zotero.org/users/14977742/items/QJBKIZSH"],"itemData":{"id":112,"type":"article-journal","abstract":"Objective\nWe sought to evaluate the relationship between biosimilar introduction and the prices and expenditures of biologics in high-income countries.\n\nMethods\nThis study examined IQVIA-MIDAS sales data for biologics and biosimilars from January 2018 to June 2020 across 12 high-income countries (Australia, Austria, Canada, France, Germany, Italy, Japan, Korea, Spain, Sweden, Switzerland, and the United Kingdom). We selected seven biologics that fall under the World Health Organization Anatomical Therapeutic Chemical code L (Antineoplastic and immunomodulating agents), and categorized them into two groups based on the availability of biosimilar data. Group A consisted of biologics with biosimilars-etanercept, infliximab, rituximab, and trastuzumab, while Group B comprised biologics without biosimilars, including cetuximab, nivolumab, and pembrolizumab. A descriptive analysis was conducted to investigate the association between biosimilar introduction and trends in Fisher price index and relative expenditure. In addition, two-sample t-test and Wilcoxon rank-sum test were used to assess the statistical significance of differences in growth rates between the two groups.\n\nResults\nGroup A exhibited a declining trend in the Fisher price index, whereas Group B remained stable across most countries, with average compound quarterly growth rates being −2.19% and −0.54%, respectively (p &lt; 0.001). Relative expenditure trends also revealed contrasting patterns between the groups across most countries, further highlighting the differences. The average compound quarterly growth rates for relative expenditures was −1.78% for Group A and 7.66% for Group B (p &lt; 0.001).\n\nConclusion\nThe introduction of biosimilars was significantly associated with reductions in the prices and expenditures of biologics in high-income countries. This underscores the potential role of biosimilars in supporting the long-term sustainability of the healthcare system.","citation-key":"songComparativeAnalysisBiologics","container-title":"Frontiers in Pharmacology","DOI":"10.3389/fphar.2025.1659395","ISSN":"1663-9812","journalAbbreviation":"Front Pharmacol","page":"1659395","PMID":"41306781","PMCID":"PMC12643863","source":"PubMed Central","title":"A comparative analysis of biologics market dynamics in 12 countries: (Bio)similar and sustainability","title-short":"A comparative analysis of biologics market dynamics in 12 countries","volume":"16","author":[{"family":"Song","given":"Younghyun"},{"family":"Shin","given":"Gyeongseon"},{"family":"Choi","given":"Gyeyoung"},{"family":"Han","given":"Euna"},{"family":"Ou","given":"Huang-tz"},{"family":"Bae","given":"SeungJin"}],"issued":{"date-parts":[["2025"]]}}}],"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Georgia" w:hAnsiTheme="majorBidi" w:cstheme="majorBidi"/>
          <w:lang w:val="en-CA" w:eastAsia="en-GB"/>
        </w:rPr>
        <w:t xml:space="preserve">(Leber, 2018; Song </w:t>
      </w:r>
      <w:r w:rsidRPr="005F0A67">
        <w:rPr>
          <w:rFonts w:asciiTheme="majorBidi" w:eastAsia="Georgia" w:hAnsiTheme="majorBidi" w:cstheme="majorBidi"/>
          <w:i/>
          <w:iCs/>
          <w:lang w:val="en-CA" w:eastAsia="en-GB"/>
        </w:rPr>
        <w:t>et al.</w:t>
      </w:r>
      <w:r w:rsidRPr="005F0A67">
        <w:rPr>
          <w:rFonts w:asciiTheme="majorBidi" w:eastAsia="Georgia" w:hAnsiTheme="majorBidi" w:cstheme="majorBidi"/>
          <w:lang w:val="en-CA" w:eastAsia="en-GB"/>
        </w:rPr>
        <w:t>, 2025)</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For biosimilar producers, the main competitive challenge is sustaining investment for regulatory approval and market access, whilst reimbursement-driven price pressure on both originator and biosimilar products.</w:t>
      </w:r>
    </w:p>
    <w:p w14:paraId="7363978B"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All firm groups face significant exposure to non-CBD-Party competitors due to the United States dominance in global pharmaceutical markets. US accounted for 53.2% of the global prescription drug market in 2024, with China a distant second at 7.0%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{"citationID":"ERZhD6iY","properties":{"unsorted":false,"formattedCitation":"(IQVIA, 2025)","plainCitation":"(IQVIA, 2025)","noteIndex":0},"citationItems":[{"id":157,"uris":["http://zotero.org/users/14977742/items/4Q445HD5"],"itemData":{"id":157,"type":"document","citation-key":"zotero-item-2691","title":"Market share of leading 10 national pharmaceutical markets worldwide in 2024 [Graph]. In Statista.","URL":"https://www.statista.com/statistics/245473/market-share-of-the-leading-10-global-pharmaceutical-markets/","author":[{"literal":"IQVIA"}],"issued":{"date-parts":[["2025",5]]}}}],"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(IQVIA, 2025)</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The sector is fairly concentrated at the top globally, with the ten largest firms accounting for 34.4% of global revenue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{"citationID":"q0Raplua","properties":{"unsorted":false,"formattedCitation":"(Evaluate, 2024)","plainCitation":"(Evaluate, 2024)","noteIndex":0},"citationItems":[{"id":156,"uris":["http://zotero.org/users/14977742/items/BYVNF4AW"],"itemData":{"id":156,"type":"document","citation-key":"zotero-item-2692","title":"10 largest pharmaceutical companies based on global market shares in 2019 and 2024 [Graph]. In Statista.","URL":"https://www.statista.com/statistics/1638962/major-pharmaceutical-companies-and-global-market-shares-of-vaccines-in-2020/","author":[{"literal":"Evaluate"}],"issued":{"date-parts":[["2024"]]}}}],"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(Evaluate, 2024)</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Notably, six of the ten largest firms are headquartered in CBD Party jurisdictions, with the rest based in the US. This suggests that the non-CBD-Party may be of significance for the entire sector, regardless of the firm type. There is a possibility that pharmaceuticals companies also could be subject to potential overlapping obligations through the WHO PIP Framework and the emerging Pandemic Agreement PABS system, especially for vaccine producers (Section 4.2). However, this would depend on the final design of the PABS system once negotiations on the Annex conclude.</w:t>
      </w:r>
    </w:p>
    <w:p w14:paraId="4EB99C4B" w14:textId="77777777" w:rsidR="005F0A67" w:rsidRPr="005F0A67" w:rsidRDefault="005F0A67" w:rsidP="00B009ED">
      <w:pPr>
        <w:tabs>
          <w:tab w:val="clear" w:pos="567"/>
          <w:tab w:val="clear" w:pos="1134"/>
          <w:tab w:val="clear" w:pos="1701"/>
          <w:tab w:val="clear" w:pos="2268"/>
        </w:tabs>
        <w:spacing w:after="120"/>
        <w:jc w:val="left"/>
        <w:outlineLvl w:val="3"/>
        <w:rPr>
          <w:rFonts w:asciiTheme="majorBidi" w:eastAsia="Georgia" w:hAnsiTheme="majorBidi" w:cstheme="majorBidi"/>
          <w:b/>
          <w:bCs/>
          <w:color w:val="0F4761"/>
          <w:lang w:eastAsia="en-GB"/>
        </w:rPr>
      </w:pPr>
      <w:r w:rsidRPr="005F0A67">
        <w:rPr>
          <w:rFonts w:asciiTheme="majorBidi" w:eastAsia="Georgia" w:hAnsiTheme="majorBidi" w:cstheme="majorBidi"/>
          <w:b/>
          <w:bCs/>
          <w:color w:val="0F4761"/>
          <w:lang w:eastAsia="en-GB"/>
        </w:rPr>
        <w:t>Value chain position and DSI use intensity</w:t>
      </w:r>
    </w:p>
    <w:p w14:paraId="41ADB932"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Pharmaceutical innovators use DSI directly in pharmaceutical research and vaccine development, especially where pathogen sequence data inform health-related innovation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{"citationID":"3d78aE02","properties":{"unsorted":false,"formattedCitation":"(Hiemstra, Brink and Hintum, 2019; Kl\\uc0\\u252{}nker and Richter, 2022)","plainCitation":"(Hiemstra, Brink and Hintum, 2019; Klünker and Richter, 2022)","noteIndex":0},"citationItems":[{"id":155,"uris":["http://zotero.org/users/14977742/items/BMLGDDJC"],"itemData":{"id":155,"type":"article-journal","citation-key":"hiemstraDigitalSequenceInformation2019","DOI":"10.18174/470286","language":"English","publisher":"CGN","source":"research.wur.nl","title":"Digital Sequence Information (DSI): Options and impact of regulating access and benefit sharing - stakeholder perspectives","title-short":"Digital Sequence Information (DSI)","URL":"https://research.wur.nl/en/publications/digital-sequence-information-dsi-options-and-impact-of-regulating/","author":[{"family":"Hiemstra","given":"Sipke Joost"},{"family":"Brink","given":"Martin"},{"family":"Hintum","given":"Theo","dropping-particle":"van"}],"accessed":{"date-parts":[["2026",6,1]]},"issued":{"date-parts":[["2019"]]}}},{"id":154,"uris":["http://zotero.org/users/14977742/items/H7QM55AB"],"itemData":{"id":154,"type":"article-journal","abstract":"Currently, parties to the Convention on Biological Diversity (CBD) are negotiating a strategic plan to save biodiversity. One crucial element of an agreement is the question of whether and how digital sequence information (DSI) is subject to access and benefit-sharing from the utilization of genetic resources, one main instrument of the CBD. In the EU, the Open Data Directive (ODD) of 2019 and the recently adopted Data Governance Act (DGA) already cover research data and to some extent DSI. An analysis of the ODD and the DGA throws a spotlight on the legal uncertainty of utilizing DSI and reveals systemic tensions between open data principles and benefit-sharing restrictions on non-commercial use. It also suggests that a future benefit-sharing mechanism for DSI should avoid distinguishing between commercial and non-commercial use upstream, but should instead favor a solution, which imposes benefit-sharing obligations further downstream or outside of the DSI life cycle.","citation-key":"klunkerDigitalSequenceInformation2022","container-title":"Journal of Law and the Biosciences","DOI":"10.1093/jlb/lsac035","ISSN":"2053-9711","issue":"2","journalAbbreviation":"J Law Biosci","page":"lsac035","source":"Silverchair","title":"Digital Sequence Information between Benefit-Sharing and Open Data","volume":"9","author":[{"family":"Klünker","given":"Irma"},{"family":"Richter","given":"Heiko"}],"issued":{"date-parts":[["2022",7,1]]}}}],"schema":"https://github.com/citation-style-language/schema/raw/master/csl-citation.json"}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Georgia" w:hAnsiTheme="majorBidi" w:cstheme="majorBidi"/>
          <w:lang w:val="en-CA" w:eastAsia="en-GB"/>
        </w:rPr>
        <w:t>(Hiemstra, Brink and Hintum, 2019; Klünker and Richter, 2022)</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This group is the clearest example of direct DSI use in the sector. Similarly, biosimilars require sequence-based structural characterisation to establish similarity to the reference biologic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{"citationID":"tgcv1Fc9","properties":{"unsorted":false,"formattedCitation":"(Ranjan, 2025)","plainCitation":"(Ranjan, 2025)","noteIndex":0},"citationItems":[{"id":417,"uris":["http://zotero.org/users/14977742/items/4G2NQ2C4"],"itemData":{"id":417,"type":"article-journal","abstract":"Generic drugs are developed to be bioequivalent to innovator formulation, matching them in dosage form, safety, strength, quality and efficacy. Known as \"interchangeable multi-source pharmaceutical products,\" generics play a crucial role in reducing therapeutic costs and enhancing patient compliance. Over the past decade, generics have accounted for more than 90% of prescriptions in the U.S., which has driven down the average price of these drugs to nearly match production costs once market competition grows. Simple generics of small-molecule drugs are often produced through trial and error based on existing data, but complex generics require advanced techniques like reverse engineering to replicate the brand drug's release profile. These complex generics include sophisticated drug delivery forms that ensure the therapeutic agent is released gradually, maximizing effectiveness. Conversely, similar biological products highly similar to approved biologics-undergo rigorous analytical and clinical evaluations due to their complexity and the nature of biologic production. The increased demand for similar biological products is driven by expiring biologic patents, economic incentives, and regulatory advancements, with the market expected to grow significantly by 2026. The Biologic Price Competition and Innovation Act (BPCIA) enable abbreviated approvals for similar biological products, promoting affordability. Despite minor differences from original biologics, similar biological products undergo extensive testing to ensure safety and efficacy, following global regulatory guidelines that emphasize strict quality standards. This framework is essential for expanding patient access to effective therapies for conditions like cancer and autoimmune diseases while supporting healthcare sustainability.","citation-key":"ranjanDevelopmentComplexGenerics2025","container-title":"AAPS PharmSciTech","DOI":"10.1208/s12249-025-03087-7","ISSN":"1530-9932","issue":"4","journalAbbreviation":"AAPS PharmSciTech","language":"en","page":"95","source":"Springer Link","title":"Development of Complex Generics and Similar Biological Products: An Industrial Perspective of Reverse Engineering","title-short":"Development of Complex Generics and Similar Biological Products","volume":"26","author":[{"family":"Ranjan","given":"Rajeev"}],"issued":{"date-parts":[["2025",3,26]]}}}],"schema":"https://github.com/citation-style-language/schema/raw/master/csl-citation.json"}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(Ranjan, 2025)</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For pharmaceutical innovators, the main competitiveness risk may lie less in the contribution payment itself than whether contributing provides genuine legal certainty over DSI use relative to US competitors who access the same publicly available data with no equivalent obligations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{"citationID":"v8YzhzJ3","properties":{"unsorted":false,"formattedCitation":"(Kl\\uc0\\u252{}nker and Richter, 2022; Michiels {\\i{}et al.}, 2022)","plainCitation":"(Klünker and Richter, 2022; Michiels et al., 2022)","noteIndex":0},"citationItems":[{"id":154,"uris":["http://zotero.org/users/14977742/items/H7QM55AB"],"itemData":{"id":154,"type":"article-journal","abstract":"Currently, parties to the Convention on Biological Diversity (CBD) are negotiating a strategic plan to save biodiversity. One crucial element of an agreement is the question of whether and how digital sequence information (DSI) is subject to access and benefit-sharing from the utilization of genetic resources, one main instrument of the CBD. In the EU, the Open Data Directive (ODD) of 2019 and the recently adopted Data Governance Act (DGA) already cover research data and to some extent DSI. An analysis of the ODD and the DGA throws a spotlight on the legal uncertainty of utilizing DSI and reveals systemic tensions between open data principles and benefit-sharing restrictions on non-commercial use. It also suggests that a future benefit-sharing mechanism for DSI should avoid distinguishing between commercial and non-commercial use upstream, but should instead favor a solution, which imposes benefit-sharing obligations further downstream or outside of the DSI life cycle.","citation-key":"klunkerDigitalSequenceInformation2022","container-title":"Journal of Law and the Biosciences","DOI":"10.1093/jlb/lsac035","ISSN":"2053-9711","issue":"2","journalAbbreviation":"J Law Biosci","page":"lsac035","source":"Silverchair","title":"Digital Sequence Information between Benefit-Sharing and Open Data","volume":"9","author":[{"family":"Klünker","given":"Irma"},{"family":"Richter","given":"Heiko"}],"issued":{"date-parts":[["2022",7,1]]}}},{"id":248,"uris":["http://zotero.org/users/14977742/items/PVADKR33"],"itemData":{"id":248,"type":"article-journal","abstract":"Access and benefit sharing (ABS) is a framework which refers to a relatively recent type of legal requirements for access to and use of “genetic resources”. They are based on diverse national and regional laws and regulations, which mostly result from the implementation of the United Nations’ Convention on Biological Diversity (CBD) and its supplementary agreement, the Nagoya Protocol. Their ambition is to achieve fair and equitable sharing of benefits arising out of the use of genetic resources as an incentive to conserve and sustainably use them. This paper describes the experiences, practical constraints and complexities encountered by users of genetic resources when dealing with ABS legislation, with a focus on users from the private sector. We provide insights on how ABS laws have fundamentally changed the way of working with genetic resources, in the hope that it inspires re-thinking of the ABS framework, to better support the overall objectives of the CBD.","citation-key":"michielsFacingHarshReality2022a","container-title":"Sustainability","DOI":"10.3390/su14010277","ISSN":"2071-1050","issue":"1","language":"en","license":"http://creativecommons.org/licenses/by/3.0/","page":"277","publisher":"Multidisciplinary Digital Publishing Institute","source":"www.mdpi.com","title":"Facing the Harsh Reality of Access and Benefit Sharing (ABS) Legislation: An Industry Perspective","title-short":"Facing the Harsh Reality of Access and Benefit Sharing (ABS) Legislation","volume":"14","author":[{"family":"Michiels","given":"Frank"},{"family":"Feiter","given":"Ulrich"},{"family":"Paquin-Jaloux","given":"Stéphanie"},{"family":"Jungmann","given":"Diana"},{"family":"Braun","given":"Axel"},{"family":"Sayoc","given":"Mary Ann P."},{"family":"Armengol","given":"Ricard"},{"family":"Wyss","given":"Markus"},{"family":"David","given":"Bruno"}],"issued":{"date-parts":[["2022",1]]}}}],"schema":"https://github.com/citation-style-language/schema/raw/master/csl-citation.json"}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Georgia" w:hAnsiTheme="majorBidi" w:cstheme="majorBidi"/>
          <w:lang w:val="en-CA" w:eastAsia="en-GB"/>
        </w:rPr>
        <w:t xml:space="preserve">(Klünker and Richter, 2022; Michiels </w:t>
      </w:r>
      <w:r w:rsidRPr="005F0A67">
        <w:rPr>
          <w:rFonts w:asciiTheme="majorBidi" w:eastAsia="Georgia" w:hAnsiTheme="majorBidi" w:cstheme="majorBidi"/>
          <w:i/>
          <w:iCs/>
          <w:lang w:val="en-CA" w:eastAsia="en-GB"/>
        </w:rPr>
        <w:t>et al.</w:t>
      </w:r>
      <w:r w:rsidRPr="005F0A67">
        <w:rPr>
          <w:rFonts w:asciiTheme="majorBidi" w:eastAsia="Georgia" w:hAnsiTheme="majorBidi" w:cstheme="majorBidi"/>
          <w:lang w:val="en-CA" w:eastAsia="en-GB"/>
        </w:rPr>
        <w:t>, 2022)</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For biosimilar producers, DSI use is more targeted, and the competitiveness concern may materialise primarily through the cost and regulatory burden of the characterisation process. </w:t>
      </w:r>
    </w:p>
    <w:p w14:paraId="40A685BC"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DSI dependence is weaker among generics. Generics firms are best understood as relatively downstream actors in a pharmaceutical innovation system where DSI is more important at earlier research and discovery stages of innovations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{"citationID":"yhdd7bqb","properties":{"unsorted":false,"formattedCitation":"(Hiemstra, Brink and Hintum, 2019; Kl\\uc0\\u252{}nker and Richter, 2022)","plainCitation":"(Hiemstra, Brink and Hintum, 2019; Klünker and Richter, 2022)","noteIndex":0},"citationItems":[{"id":155,"uris":["http://zotero.org/users/14977742/items/BMLGDDJC"],"itemData":{"id":155,"type":"article-journal","citation-key":"hiemstraDigitalSequenceInformation2019","DOI":"10.18174/470286","language":"English","publisher":"CGN","source":"research.wur.nl","title":"Digital Sequence Information (DSI): Options and impact of regulating access and benefit sharing - stakeholder perspectives","title-short":"Digital Sequence Information (DSI)","URL":"https://research.wur.nl/en/publications/digital-sequence-information-dsi-options-and-impact-of-regulating/","author":[{"family":"Hiemstra","given":"Sipke Joost"},{"family":"Brink","given":"Martin"},{"family":"Hintum","given":"Theo","dropping-particle":"van"}],"accessed":{"date-parts":[["2026",6,1]]},"issued":{"date-parts":[["2019"]]}}},{"id":154,"uris":["http://zotero.org/users/14977742/items/H7QM55AB"],"itemData":{"id":154,"type":"article-journal","abstract":"Currently, parties to the Convention on Biological Diversity (CBD) are negotiating a strategic plan to save biodiversity. One crucial element of an agreement is the question of whether and how digital sequence information (DSI) is subject to access and benefit-sharing from the utilization of genetic resources, one main instrument of the CBD. In the EU, the Open Data Directive (ODD) of 2019 and the recently adopted Data Governance Act (DGA) already cover research data and to some extent DSI. An analysis of the ODD and the DGA throws a spotlight on the legal uncertainty of utilizing DSI and reveals systemic tensions between open data principles and benefit-sharing restrictions on non-commercial use. It also suggests that a future benefit-sharing mechanism for DSI should avoid distinguishing between commercial and non-commercial use upstream, but should instead favor a solution, which imposes benefit-sharing obligations further downstream or outside of the DSI life cycle.","citation-key":"klunkerDigitalSequenceInformation2022","container-title":"Journal of Law and the Biosciences","DOI":"10.1093/jlb/lsac035","ISSN":"2053-9711","issue":"2","journalAbbreviation":"J Law Biosci","page":"lsac035","source":"Silverchair","title":"Digital Sequence Information between Benefit-Sharing and Open Data","volume":"9","author":[{"family":"Klünker","given":"Irma"},{"family":"Richter","given":"Heiko"}],"issued":{"date-parts":[["2022",7,1]]}}}],"schema":"https://github.com/citation-style-language/schema/raw/master/csl-citation.json"}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Georgia" w:hAnsiTheme="majorBidi" w:cstheme="majorBidi"/>
          <w:lang w:val="en-CA" w:eastAsia="en-GB"/>
        </w:rPr>
        <w:t>(Hiemstra, Brink and Hintum, 2019; Klünker and Richter, 2022)</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There is some evidence that sequence-based analysis is not required in their manufacturing process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{"citationID":"856BmyBn","properties":{"unsorted":false,"formattedCitation":"(Kathpalia H {\\i{}et al.}, 2025; Ranjan, 2025)","plainCitation":"(Kathpalia H et al., 2025; Ranjan, 2025)","noteIndex":0},"citationItems":[{"id":416,"uris":["http://zotero.org/users/14977742/items/WUWFSBPZ"],"itemData":{"id":416,"type":"article-journal","abstract":"Generic drugs play a vital role in ensuring equitable and affordable access to healthcare across the world. It refers to the\ndevelopment of a product that is equivalent in terms of both pharmaceutical and therapeutic properties to a Reference\nListed Drug product, and that is then reverse-engineered to create a generic version. Systematic desk research,\ncharacterization and finally de-formulation of Reference Listed Drug are preliminary steps towards pharmaceutical\ndevelopment of generic product. De-formulation is the process of separating, identifying, and quantifying each individual\ncomponent in a drug product. With the same ingredients (Q1), amounts (Q2), and physicochemical properties (Q3) as the\nReference Listed Drug product for which the generic version is to be developed, de-formulation generates vital data for\ngeneric pharmaceutical products. To guarantee Q1 and Q2 sameness, sophisticated methods like Raman imaging can\ndetect and measure the components of the innovator drug products. Various methodologies created using a variety of\nanalytical techniques that accurately reveal information about the excipients, active pharmaceutical elements, and\nmanufacturing process are discussed in this review.","citation-key":"departmentofpharmaceuticsvivekanandeducationsocietyscollegeofpharmacyautonomousaffiliatedtouniversityofmumbaihashuadvanimemorialcomplexchemburmumbai400074maharashtraindia.GenericProductDevelopment2025","container-title":"International Journal of Drug Delivery Technology","DOI":"10.25258/ijddt.15.1.48","ISSN":"09754415","issue":"01","journalAbbreviation":"IJDDT","source":"DOI.org (Crossref)","title":"Generic Product Development and Reverse Engineering of Reference Listed Drug Product","URL":"https://impactfactor.org/PDF/IJDDT/15/IJDDT,Vol15,Issue1,Article48.pdf","volume":"15","author":[{"literal":"Kathpalia H"},{"literal":"Aiyer M"},{"literal":"Mondkar T"},{"literal":"Dali P"}],"accessed":{"date-parts":[["2026",4,27]]},"issued":{"date-parts":[["2025",3,25]]}}},{"id":417,"uris":["http://zotero.org/users/14977742/items/4G2NQ2C4"],"itemData":{"id":417,"type":"article-journal","abstract":"Generic drugs are developed to be bioequivalent to innovator formulation, matching them in dosage form, safety, strength, quality and efficacy. Known as \"interchangeable multi-source pharmaceutical products,\" generics play a crucial role in reducing therapeutic costs and enhancing patient compliance. Over the past decade, generics have accounted for more than 90% of prescriptions in the U.S., which has driven down the average price of these drugs to nearly match production costs once market competition grows. Simple generics of small-molecule drugs are often produced through trial and error based on existing data, but complex generics require advanced techniques like reverse engineering to replicate the brand drug's release profile. These complex generics include sophisticated drug delivery forms that ensure the therapeutic agent is released gradually, maximizing effectiveness. Conversely, similar biological products highly similar to approved biologics-undergo rigorous analytical and clinical evaluations due to their complexity and the nature of biologic production. The increased demand for similar biological products is driven by expiring biologic patents, economic incentives, and regulatory advancements, with the market expected to grow significantly by 2026. The Biologic Price Competition and Innovation Act (BPCIA) enable abbreviated approvals for similar biological products, promoting affordability. Despite minor differences from original biologics, similar biological products undergo extensive testing to ensure safety and efficacy, following global regulatory guidelines that emphasize strict quality standards. This framework is essential for expanding patient access to effective therapies for conditions like cancer and autoimmune diseases while supporting healthcare sustainability.","citation-key":"ranjanDevelopmentComplexGenerics2025","container-title":"AAPS PharmSciTech","DOI":"10.1208/s12249-025-03087-7","ISSN":"1530-9932","issue":"4","journalAbbreviation":"AAPS PharmSciTech","language":"en","page":"95","source":"Springer Link","title":"Development of Complex Generics and Similar Biological Products: An Industrial Perspective of Reverse Engineering","title-short":"Development of Complex Generics and Similar Biological Products","volume":"26","author":[{"family":"Ranjan","given":"Rajeev"}],"issued":{"date-parts":[["2025",3,26]]}}}],"schema":"https://github.com/citation-style-language/schema/raw/master/csl-citation.json"}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Georgia" w:hAnsiTheme="majorBidi" w:cstheme="majorBidi"/>
          <w:lang w:val="en-CA" w:eastAsia="en-GB"/>
        </w:rPr>
        <w:t xml:space="preserve">(Kathpalia H </w:t>
      </w:r>
      <w:r w:rsidRPr="005F0A67">
        <w:rPr>
          <w:rFonts w:asciiTheme="majorBidi" w:eastAsia="Georgia" w:hAnsiTheme="majorBidi" w:cstheme="majorBidi"/>
          <w:i/>
          <w:iCs/>
          <w:lang w:val="en-CA" w:eastAsia="en-GB"/>
        </w:rPr>
        <w:t>et al.</w:t>
      </w:r>
      <w:r w:rsidRPr="005F0A67">
        <w:rPr>
          <w:rFonts w:asciiTheme="majorBidi" w:eastAsia="Georgia" w:hAnsiTheme="majorBidi" w:cstheme="majorBidi"/>
          <w:lang w:val="en-CA" w:eastAsia="en-GB"/>
        </w:rPr>
        <w:t>, 2025; Ranjan, 2025)</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Hence, for generics producers, the competitiveness concern operates primarily via the direct cost burden of the contribution. </w:t>
      </w:r>
    </w:p>
    <w:p w14:paraId="4F655D94" w14:textId="77777777" w:rsidR="005F0A67" w:rsidRPr="005F0A67" w:rsidRDefault="005F0A67" w:rsidP="00B009ED">
      <w:pPr>
        <w:tabs>
          <w:tab w:val="clear" w:pos="567"/>
          <w:tab w:val="clear" w:pos="1134"/>
          <w:tab w:val="clear" w:pos="1701"/>
          <w:tab w:val="clear" w:pos="2268"/>
        </w:tabs>
        <w:spacing w:after="120"/>
        <w:jc w:val="left"/>
        <w:outlineLvl w:val="3"/>
        <w:rPr>
          <w:rFonts w:asciiTheme="majorBidi" w:eastAsia="Georgia" w:hAnsiTheme="majorBidi" w:cstheme="majorBidi"/>
          <w:b/>
          <w:bCs/>
          <w:color w:val="0F4761"/>
          <w:lang w:eastAsia="en-GB"/>
        </w:rPr>
      </w:pPr>
      <w:r w:rsidRPr="005F0A67">
        <w:rPr>
          <w:rFonts w:asciiTheme="majorBidi" w:eastAsia="Georgia" w:hAnsiTheme="majorBidi" w:cstheme="majorBidi"/>
          <w:b/>
          <w:bCs/>
          <w:color w:val="0F4761"/>
          <w:lang w:eastAsia="en-GB"/>
        </w:rPr>
        <w:t>Expected contribution base</w:t>
      </w:r>
    </w:p>
    <w:p w14:paraId="7EC3E043"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Pharmaceutical innovators pay predominantly on revenue. The contribution functions as an ad valorem levy, stable across earnings cycles. Within the generics, conventional, un-branded generic producers operate in highly competitive markets with margins consistently below 10%, which make them predominantly profit payers. For </w:t>
      </w:r>
      <w:r w:rsidRPr="005F0A67">
        <w:rPr>
          <w:rFonts w:asciiTheme="majorBidi" w:eastAsia="Times New Roman" w:hAnsiTheme="majorBidi" w:cstheme="majorBidi"/>
          <w:lang w:val="en-CA" w:eastAsia="en-GB"/>
        </w:rPr>
        <w:lastRenderedPageBreak/>
        <w:t>them the contribution scales directly with earnings and is more sensitive to margin compression. Branded generics face higher margins given stronger pricing power and brand-adjacent competitive dynamics; this places them in the revenue-base group. Biosimilar producers face higher entry costs and stricter regulation than unbranded generics and keep some pricing power versus reference biologics, implying margins above generic levels; however, reimbursement-driven price pressure and heterogeneous markets make margins hard to define, and contribution likely varies widely by firm size and portfolio.</w:t>
      </w:r>
    </w:p>
    <w:p w14:paraId="3B7F60F4"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The three asymmetries identified in Step 2 are reflected in the pillar assessments below: eligibility asymmetry is most significant given US market dominance across all firm types; participation asymmetry operates through first-mover dynamics given the non-binding design; and contribution base asymmetry is most relevant for unbranded generics, which pay on profit in markets with limited pass-through capacity.</w:t>
      </w:r>
    </w:p>
    <w:p w14:paraId="20B738CC" w14:textId="77777777" w:rsidR="005F0A67" w:rsidRPr="005F0A67" w:rsidRDefault="005F0A67" w:rsidP="00B009ED">
      <w:pPr>
        <w:tabs>
          <w:tab w:val="clear" w:pos="567"/>
          <w:tab w:val="clear" w:pos="1134"/>
          <w:tab w:val="clear" w:pos="1701"/>
          <w:tab w:val="clear" w:pos="2268"/>
        </w:tabs>
        <w:spacing w:before="320" w:after="160"/>
        <w:ind w:left="720"/>
        <w:jc w:val="left"/>
        <w:outlineLvl w:val="2"/>
        <w:rPr>
          <w:rFonts w:asciiTheme="majorBidi" w:eastAsia="Arial" w:hAnsiTheme="majorBidi" w:cstheme="majorBidi"/>
          <w:b/>
          <w:bCs/>
          <w:color w:val="7F7F7F"/>
          <w:sz w:val="23"/>
          <w:szCs w:val="23"/>
          <w:lang w:val="en-CA" w:eastAsia="en-GB"/>
        </w:rPr>
      </w:pPr>
      <w:bookmarkStart w:id="186" w:name="_Toc234579602"/>
      <w:r w:rsidRPr="005F0A67">
        <w:rPr>
          <w:rFonts w:asciiTheme="majorBidi" w:eastAsia="Arial" w:hAnsiTheme="majorBidi" w:cstheme="majorBidi"/>
          <w:b/>
          <w:bCs/>
          <w:color w:val="7F7F7F"/>
          <w:sz w:val="23"/>
          <w:szCs w:val="23"/>
          <w:lang w:val="en-CA" w:eastAsia="en-GB"/>
        </w:rPr>
        <w:t>Pillar assessment (step 3)</w:t>
      </w:r>
      <w:bookmarkEnd w:id="186"/>
    </w:p>
    <w:p w14:paraId="300AC0E1"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_Ref231759322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Table 23</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_Ref231759492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Table 24</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and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_Ref231759495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Table 25</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present the materiality assessment for Pillars I, II and III respectively, drawing on the sector characterisation in Section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_Ref231759069 \r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7.7.1</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the broader empirical literature findings in Section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_Ref231121284 \r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7.4</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and the analytical framework in Section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_Ref230281726 \r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7.5</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w:t>
      </w:r>
    </w:p>
    <w:p w14:paraId="27963841"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The pharmaceutical sector presents a varied materiality profile, with most direct cost channels assessed as Low at indicative contribution rates. The principal risks are concentrated in three areas: structural competitive asymmetry with US-headquartered rivals, which generates High materiality for innovators on competitive position versus non-Party competitors; unresolved WHO PABS dual-framework obligations, which generate a second High materiality finding for innovators on international standards; and regulatory certainty for research-intensive producers given long pipeline horizons, which generates Moderate materiality on certainty and predictability. Within the sector, unbranded generics are the most directly cost-exposed firm type, given thin margins, limited pass-through capacity in procurement-driven markets, and a proportionality concern from the all-in contribution base despite weaker DSI dependence relative to innovators. Pharmaceuticals innovators benefit from high margins and some pricing power in patent-protected markets that limit direct cost burden exposure across Pillar I but face Moderate materiality in Pillar II driven by pipeline horizon sensitivity and vaccine producer exposure, and High materiality in Pillar III from structural competitive asymmetry with US rivals. Innovators retain moderate pass-through capacity in patent-protected markets, constrained by HTA and reference pricing across most European CBD Party markets. Biosimilar producers face moderate competitive position risk given the growing US biosimilar market, though brand-adjacent competition partially insulates. Vaccine producers occupy a distinct position within the innovator group, facing compressed margins in tender-driven procurement and unresolved dual-framework obligations under WHO PABS</w:t>
      </w:r>
      <w:r w:rsidRPr="005F0A67">
        <w:rPr>
          <w:rFonts w:asciiTheme="majorBidi" w:eastAsia="Times New Roman" w:hAnsiTheme="majorBidi" w:cstheme="majorBidi"/>
          <w:vertAlign w:val="superscript"/>
          <w:lang w:val="en-CA" w:eastAsia="en-GB"/>
        </w:rPr>
        <w:footnoteReference w:id="83"/>
      </w:r>
      <w:r w:rsidRPr="005F0A67">
        <w:rPr>
          <w:rFonts w:asciiTheme="majorBidi" w:eastAsia="Times New Roman" w:hAnsiTheme="majorBidi" w:cstheme="majorBidi"/>
          <w:lang w:val="en-CA" w:eastAsia="en-GB"/>
        </w:rPr>
        <w:t>.</w:t>
      </w:r>
    </w:p>
    <w:p w14:paraId="48F8D826"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sectPr w:rsidR="005F0A67" w:rsidRPr="005F0A67" w:rsidSect="005F0A67">
          <w:pgSz w:w="12240" w:h="15840"/>
          <w:pgMar w:top="1080" w:right="1260" w:bottom="1080" w:left="1260" w:header="706" w:footer="706" w:gutter="0"/>
          <w:cols w:space="720"/>
          <w:docGrid w:linePitch="360"/>
        </w:sectPr>
      </w:pPr>
      <w:r w:rsidRPr="005F0A67">
        <w:rPr>
          <w:rFonts w:asciiTheme="majorBidi" w:eastAsia="Times New Roman" w:hAnsiTheme="majorBidi" w:cstheme="majorBidi"/>
          <w:lang w:val="en-CA" w:eastAsia="en-GB"/>
        </w:rPr>
        <w:t xml:space="preserve">Where competitive impacts do materialise, their downstream effects are likely to differ by firm type. For research‑intensive innovators, the main theoretical concern is that tighter margins could, at the margin, dampen pipeline investment, with potential consequences for the speed of drug development over long time periods; however, the evidence reviewed here indicates that large, well-capitalised companies do not scale back R&amp;D in direct proportion to revenue shifts at burden levels of this size. For unbranded generics in procurement‑driven markets with little scope to pass through costs, absorbing the additional cost is the more probable reaction, which may squeeze supplier margins. However, the non-binding nature of the scheme offers an important safeguard for this and other detrimental impacts. It also remains possible that some share of the contribution </w:t>
      </w:r>
      <w:r w:rsidRPr="005F0A67">
        <w:rPr>
          <w:rFonts w:asciiTheme="majorBidi" w:eastAsia="Times New Roman" w:hAnsiTheme="majorBidi" w:cstheme="majorBidi"/>
          <w:lang w:val="en-CA" w:eastAsia="en-GB"/>
        </w:rPr>
        <w:lastRenderedPageBreak/>
        <w:t>could be reflected in drug pricing for innovators with sufficient pricing power, particularly in less regulated markets such as the United States (where many of the firms in-scope also sell their products), although at the indicative rates considered this effect would be negligible relative to existing price-setting dynamics.</w:t>
      </w:r>
    </w:p>
    <w:p w14:paraId="0D890F09" w14:textId="77777777" w:rsidR="005F0A67" w:rsidRPr="005F0A67" w:rsidRDefault="005F0A67" w:rsidP="005F0A67">
      <w:pPr>
        <w:tabs>
          <w:tab w:val="clear" w:pos="567"/>
          <w:tab w:val="clear" w:pos="1134"/>
          <w:tab w:val="clear" w:pos="1701"/>
          <w:tab w:val="clear" w:pos="2268"/>
        </w:tabs>
        <w:spacing w:after="200" w:line="312" w:lineRule="auto"/>
        <w:contextualSpacing/>
        <w:rPr>
          <w:rFonts w:asciiTheme="majorBidi" w:eastAsia="Georgia" w:hAnsiTheme="majorBidi" w:cstheme="majorBidi"/>
          <w:b/>
          <w:bCs/>
          <w:color w:val="419844"/>
          <w:lang w:eastAsia="en-GB"/>
        </w:rPr>
      </w:pPr>
      <w:bookmarkStart w:id="187" w:name="_Ref231759322"/>
      <w:r w:rsidRPr="005F0A67">
        <w:rPr>
          <w:rFonts w:asciiTheme="majorBidi" w:eastAsia="Georgia" w:hAnsiTheme="majorBidi" w:cstheme="majorBidi"/>
          <w:b/>
          <w:bCs/>
          <w:color w:val="419844"/>
          <w:lang w:val="en-US" w:eastAsia="ja-JP"/>
        </w:rPr>
        <w:lastRenderedPageBreak/>
        <w:t xml:space="preserve">Table </w:t>
      </w:r>
      <w:r w:rsidRPr="005F0A67">
        <w:rPr>
          <w:rFonts w:asciiTheme="majorBidi" w:eastAsia="Georgia" w:hAnsiTheme="majorBidi" w:cstheme="majorBidi"/>
          <w:b/>
          <w:bCs/>
          <w:color w:val="419844"/>
          <w:lang w:eastAsia="en-GB"/>
        </w:rPr>
        <w:fldChar w:fldCharType="begin"/>
      </w:r>
      <w:r w:rsidRPr="005F0A67">
        <w:rPr>
          <w:rFonts w:asciiTheme="majorBidi" w:eastAsia="Georgia" w:hAnsiTheme="majorBidi" w:cstheme="majorBidi"/>
          <w:b/>
          <w:bCs/>
          <w:color w:val="419844"/>
          <w:lang w:eastAsia="en-GB"/>
        </w:rPr>
        <w:instrText xml:space="preserve"> SEQ Table \* ARABIC </w:instrText>
      </w:r>
      <w:r w:rsidRPr="005F0A67">
        <w:rPr>
          <w:rFonts w:asciiTheme="majorBidi" w:eastAsia="Georgia" w:hAnsiTheme="majorBidi" w:cstheme="majorBidi"/>
          <w:b/>
          <w:bCs/>
          <w:color w:val="419844"/>
          <w:lang w:eastAsia="en-GB"/>
        </w:rPr>
        <w:fldChar w:fldCharType="separate"/>
      </w:r>
      <w:r w:rsidRPr="005F0A67">
        <w:rPr>
          <w:rFonts w:asciiTheme="majorBidi" w:eastAsia="Georgia" w:hAnsiTheme="majorBidi" w:cstheme="majorBidi"/>
          <w:b/>
          <w:bCs/>
          <w:noProof/>
          <w:color w:val="419844"/>
          <w:lang w:eastAsia="en-GB"/>
        </w:rPr>
        <w:t>23</w:t>
      </w:r>
      <w:r w:rsidRPr="005F0A67">
        <w:rPr>
          <w:rFonts w:asciiTheme="majorBidi" w:eastAsia="Georgia" w:hAnsiTheme="majorBidi" w:cstheme="majorBidi"/>
          <w:b/>
          <w:bCs/>
          <w:color w:val="419844"/>
          <w:lang w:eastAsia="en-GB"/>
        </w:rPr>
        <w:fldChar w:fldCharType="end"/>
      </w:r>
      <w:bookmarkEnd w:id="187"/>
      <w:r w:rsidRPr="005F0A67">
        <w:rPr>
          <w:rFonts w:asciiTheme="majorBidi" w:eastAsia="Georgia" w:hAnsiTheme="majorBidi" w:cstheme="majorBidi"/>
          <w:b/>
          <w:bCs/>
          <w:color w:val="419844"/>
          <w:lang w:val="en-US" w:eastAsia="ja-JP"/>
        </w:rPr>
        <w:t xml:space="preserve"> Pillar I: costs and price competitiveness impacts materiality assessment - Pharmaceuticals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3264"/>
        <w:gridCol w:w="1437"/>
        <w:gridCol w:w="1390"/>
        <w:gridCol w:w="1139"/>
        <w:gridCol w:w="5314"/>
        <w:gridCol w:w="1134"/>
      </w:tblGrid>
      <w:tr w:rsidR="005F0A67" w:rsidRPr="005F0A67" w14:paraId="0F21D0FF" w14:textId="77777777" w:rsidTr="00FB671B">
        <w:trPr>
          <w:tblHeader/>
        </w:trPr>
        <w:tc>
          <w:tcPr>
            <w:tcW w:w="1210" w:type="pct"/>
            <w:tcBorders>
              <w:top w:val="single" w:sz="1" w:space="0" w:color="AAAAAA"/>
              <w:left w:val="single" w:sz="1" w:space="0" w:color="AAAAAA"/>
              <w:bottom w:val="single" w:sz="1" w:space="0" w:color="AAAAAA"/>
              <w:right w:val="single" w:sz="1" w:space="0" w:color="AAAAAA"/>
            </w:tcBorders>
            <w:shd w:val="clear" w:color="auto" w:fill="1F4E6B"/>
            <w:tcMar>
              <w:top w:w="60" w:type="dxa"/>
              <w:left w:w="100" w:type="dxa"/>
              <w:bottom w:w="60" w:type="dxa"/>
              <w:right w:w="100" w:type="dxa"/>
            </w:tcMar>
            <w:vAlign w:val="center"/>
          </w:tcPr>
          <w:p w14:paraId="5E128EF4"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ahoma" w:hAnsiTheme="majorBidi" w:cstheme="majorBidi"/>
                <w:b/>
                <w:bCs/>
                <w:color w:val="FFFFFF"/>
                <w:sz w:val="18"/>
                <w:szCs w:val="18"/>
                <w:lang w:val="en-CA" w:eastAsia="en-GB"/>
              </w:rPr>
              <w:t>Impact</w:t>
            </w:r>
          </w:p>
        </w:tc>
        <w:tc>
          <w:tcPr>
            <w:tcW w:w="542" w:type="pct"/>
            <w:tcBorders>
              <w:top w:val="single" w:sz="1" w:space="0" w:color="AAAAAA"/>
              <w:left w:val="single" w:sz="1" w:space="0" w:color="AAAAAA"/>
              <w:bottom w:val="single" w:sz="1" w:space="0" w:color="AAAAAA"/>
              <w:right w:val="single" w:sz="1" w:space="0" w:color="AAAAAA"/>
            </w:tcBorders>
            <w:shd w:val="clear" w:color="auto" w:fill="1F4E6B"/>
            <w:tcMar>
              <w:top w:w="60" w:type="dxa"/>
              <w:left w:w="100" w:type="dxa"/>
              <w:bottom w:w="60" w:type="dxa"/>
              <w:right w:w="100" w:type="dxa"/>
            </w:tcMar>
            <w:vAlign w:val="center"/>
          </w:tcPr>
          <w:p w14:paraId="090319CF"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ahoma" w:hAnsiTheme="majorBidi" w:cstheme="majorBidi"/>
                <w:b/>
                <w:bCs/>
                <w:color w:val="FFFFFF"/>
                <w:sz w:val="18"/>
                <w:szCs w:val="18"/>
                <w:lang w:val="en-CA" w:eastAsia="en-GB"/>
              </w:rPr>
              <w:t>Firm type</w:t>
            </w:r>
          </w:p>
        </w:tc>
        <w:tc>
          <w:tcPr>
            <w:tcW w:w="425" w:type="pct"/>
            <w:tcBorders>
              <w:top w:val="single" w:sz="1" w:space="0" w:color="AAAAAA"/>
              <w:left w:val="single" w:sz="1" w:space="0" w:color="AAAAAA"/>
              <w:bottom w:val="single" w:sz="1" w:space="0" w:color="AAAAAA"/>
              <w:right w:val="single" w:sz="1" w:space="0" w:color="AAAAAA"/>
            </w:tcBorders>
            <w:shd w:val="clear" w:color="auto" w:fill="1F4E6B"/>
            <w:tcMar>
              <w:top w:w="60" w:type="dxa"/>
              <w:left w:w="100" w:type="dxa"/>
              <w:bottom w:w="60" w:type="dxa"/>
              <w:right w:w="100" w:type="dxa"/>
            </w:tcMar>
            <w:vAlign w:val="center"/>
          </w:tcPr>
          <w:p w14:paraId="5701D4A4"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ahoma" w:hAnsiTheme="majorBidi" w:cstheme="majorBidi"/>
                <w:b/>
                <w:bCs/>
                <w:color w:val="FFFFFF"/>
                <w:sz w:val="18"/>
                <w:szCs w:val="18"/>
                <w:lang w:val="en-CA" w:eastAsia="en-GB"/>
              </w:rPr>
              <w:t>Magnitude</w:t>
            </w:r>
          </w:p>
        </w:tc>
        <w:tc>
          <w:tcPr>
            <w:tcW w:w="433" w:type="pct"/>
            <w:tcBorders>
              <w:top w:val="single" w:sz="1" w:space="0" w:color="AAAAAA"/>
              <w:left w:val="single" w:sz="1" w:space="0" w:color="AAAAAA"/>
              <w:bottom w:val="single" w:sz="1" w:space="0" w:color="AAAAAA"/>
              <w:right w:val="single" w:sz="1" w:space="0" w:color="AAAAAA"/>
            </w:tcBorders>
            <w:shd w:val="clear" w:color="auto" w:fill="1F4E6B"/>
            <w:tcMar>
              <w:top w:w="60" w:type="dxa"/>
              <w:left w:w="100" w:type="dxa"/>
              <w:bottom w:w="60" w:type="dxa"/>
              <w:right w:w="100" w:type="dxa"/>
            </w:tcMar>
            <w:vAlign w:val="center"/>
          </w:tcPr>
          <w:p w14:paraId="7C478B7D"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ahoma" w:hAnsiTheme="majorBidi" w:cstheme="majorBidi"/>
                <w:b/>
                <w:bCs/>
                <w:color w:val="FFFFFF"/>
                <w:sz w:val="18"/>
                <w:szCs w:val="18"/>
                <w:lang w:val="en-CA" w:eastAsia="en-GB"/>
              </w:rPr>
              <w:t>Probability</w:t>
            </w:r>
          </w:p>
        </w:tc>
        <w:tc>
          <w:tcPr>
            <w:tcW w:w="1959" w:type="pct"/>
            <w:tcBorders>
              <w:top w:val="single" w:sz="1" w:space="0" w:color="AAAAAA"/>
              <w:left w:val="single" w:sz="1" w:space="0" w:color="AAAAAA"/>
              <w:bottom w:val="single" w:sz="1" w:space="0" w:color="AAAAAA"/>
              <w:right w:val="single" w:sz="1" w:space="0" w:color="AAAAAA"/>
            </w:tcBorders>
            <w:shd w:val="clear" w:color="auto" w:fill="1F4E6B"/>
            <w:tcMar>
              <w:top w:w="60" w:type="dxa"/>
              <w:left w:w="100" w:type="dxa"/>
              <w:bottom w:w="60" w:type="dxa"/>
              <w:right w:w="100" w:type="dxa"/>
            </w:tcMar>
            <w:vAlign w:val="center"/>
          </w:tcPr>
          <w:p w14:paraId="5FBF3A89"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ahoma" w:hAnsiTheme="majorBidi" w:cstheme="majorBidi"/>
                <w:b/>
                <w:bCs/>
                <w:color w:val="FFFFFF"/>
                <w:sz w:val="18"/>
                <w:szCs w:val="18"/>
                <w:lang w:val="en-CA" w:eastAsia="en-GB"/>
              </w:rPr>
              <w:t>Key conditions</w:t>
            </w:r>
          </w:p>
        </w:tc>
        <w:tc>
          <w:tcPr>
            <w:tcW w:w="431" w:type="pct"/>
            <w:tcBorders>
              <w:top w:val="single" w:sz="1" w:space="0" w:color="AAAAAA"/>
              <w:left w:val="single" w:sz="1" w:space="0" w:color="AAAAAA"/>
              <w:bottom w:val="single" w:sz="1" w:space="0" w:color="AAAAAA"/>
              <w:right w:val="single" w:sz="1" w:space="0" w:color="AAAAAA"/>
            </w:tcBorders>
            <w:shd w:val="clear" w:color="auto" w:fill="1F4E6B"/>
            <w:tcMar>
              <w:top w:w="60" w:type="dxa"/>
              <w:left w:w="100" w:type="dxa"/>
              <w:bottom w:w="60" w:type="dxa"/>
              <w:right w:w="100" w:type="dxa"/>
            </w:tcMar>
            <w:vAlign w:val="center"/>
          </w:tcPr>
          <w:p w14:paraId="46358AFC"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ahoma" w:hAnsiTheme="majorBidi" w:cstheme="majorBidi"/>
                <w:b/>
                <w:bCs/>
                <w:color w:val="FFFFFF"/>
                <w:sz w:val="18"/>
                <w:szCs w:val="18"/>
                <w:lang w:val="en-CA" w:eastAsia="en-GB"/>
              </w:rPr>
              <w:t>Materiality</w:t>
            </w:r>
          </w:p>
        </w:tc>
      </w:tr>
      <w:tr w:rsidR="005F0A67" w:rsidRPr="005F0A67" w14:paraId="548143E3" w14:textId="77777777" w:rsidTr="005F0A67">
        <w:tc>
          <w:tcPr>
            <w:tcW w:w="1210" w:type="pct"/>
            <w:vMerge w:val="restar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1F5B8C3F"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b/>
                <w:bCs/>
                <w:color w:val="1F4E6B"/>
                <w:sz w:val="18"/>
                <w:szCs w:val="18"/>
                <w:lang w:val="en-CA" w:eastAsia="en-GB"/>
              </w:rPr>
              <w:t>Administrative burden</w:t>
            </w:r>
          </w:p>
          <w:p w14:paraId="16201CEA"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1A1A1A"/>
                <w:sz w:val="18"/>
                <w:szCs w:val="18"/>
                <w:lang w:val="en-CA" w:eastAsia="en-GB"/>
              </w:rPr>
            </w:pPr>
            <w:r w:rsidRPr="005F0A67">
              <w:rPr>
                <w:rFonts w:asciiTheme="majorBidi" w:eastAsia="Tahoma" w:hAnsiTheme="majorBidi" w:cstheme="majorBidi"/>
                <w:color w:val="1A1A1A"/>
                <w:sz w:val="18"/>
                <w:szCs w:val="18"/>
                <w:lang w:val="en-CA" w:eastAsia="en-GB"/>
              </w:rPr>
              <w:t xml:space="preserve">Costs of calculating, reporting, and documenting the contribution. Low under current revenue/profit design as both bases use indicators already reported for tax and accounting. Significance rises substantially if scope shifts to product- or use-based attribution, requiring DSI tracking at product level. </w:t>
            </w:r>
          </w:p>
          <w:p w14:paraId="6901F02F"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p>
        </w:tc>
        <w:tc>
          <w:tcPr>
            <w:tcW w:w="542"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0A68173D"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Pharmaceuticals innovators</w:t>
            </w:r>
          </w:p>
        </w:tc>
        <w:tc>
          <w:tcPr>
            <w:tcW w:w="425"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565042AB"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Minor</w:t>
            </w:r>
          </w:p>
        </w:tc>
        <w:tc>
          <w:tcPr>
            <w:tcW w:w="433"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601A8D36"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Low</w:t>
            </w:r>
          </w:p>
        </w:tc>
        <w:tc>
          <w:tcPr>
            <w:tcW w:w="1959"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75A82A74"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1A1A1A"/>
                <w:sz w:val="18"/>
                <w:szCs w:val="18"/>
                <w:lang w:val="en-CA" w:eastAsia="en-GB"/>
              </w:rPr>
            </w:pPr>
            <w:r w:rsidRPr="005F0A67">
              <w:rPr>
                <w:rFonts w:asciiTheme="majorBidi" w:eastAsia="Tahoma" w:hAnsiTheme="majorBidi" w:cstheme="majorBidi"/>
                <w:color w:val="000000"/>
                <w:sz w:val="18"/>
                <w:szCs w:val="18"/>
                <w:lang w:val="en-CA" w:eastAsia="en-GB"/>
              </w:rPr>
              <w:t xml:space="preserve">Potential obligation stacking with WHO PABS (U7) may add administrative complexity for vaccine producers; contribution base definition (U12). </w:t>
            </w:r>
            <w:r w:rsidRPr="005F0A67">
              <w:rPr>
                <w:rFonts w:asciiTheme="majorBidi" w:eastAsia="Tahoma" w:hAnsiTheme="majorBidi" w:cstheme="majorBidi"/>
                <w:color w:val="1A1A1A"/>
                <w:sz w:val="18"/>
                <w:szCs w:val="18"/>
                <w:lang w:val="en-CA" w:eastAsia="en-GB"/>
              </w:rPr>
              <w:t xml:space="preserve">For innovators, compliance burden uncertainty also operates through access to open sequence data and related compliance obligations, may raise competitiveness concerns beyond the contribution payment itself </w:t>
            </w:r>
            <w:r w:rsidRPr="005F0A67">
              <w:rPr>
                <w:rFonts w:asciiTheme="majorBidi" w:eastAsia="Tahoma" w:hAnsiTheme="majorBidi" w:cstheme="majorBidi"/>
                <w:color w:val="1A1A1A"/>
                <w:sz w:val="18"/>
                <w:szCs w:val="18"/>
                <w:lang w:val="en-CA" w:eastAsia="en-GB"/>
              </w:rPr>
              <w:fldChar w:fldCharType="begin"/>
            </w:r>
            <w:r w:rsidRPr="005F0A67">
              <w:rPr>
                <w:rFonts w:asciiTheme="majorBidi" w:eastAsia="Tahoma" w:hAnsiTheme="majorBidi" w:cstheme="majorBidi"/>
                <w:color w:val="1A1A1A"/>
                <w:sz w:val="18"/>
                <w:szCs w:val="18"/>
                <w:lang w:val="en-CA" w:eastAsia="en-GB"/>
              </w:rPr>
              <w:instrText xml:space="preserve"> ADDIN ZOTERO_ITEM CSL_CITATION {"citationID":"a2l8t8u1eem","properties":{"unsorted":false,"formattedCitation":"(Kl\\uc0\\u252{}nker and Richter, 2022; Michiels {\\i{}et al.}, 2022)","plainCitation":"(Klünker and Richter, 2022; Michiels et al., 2022)","noteIndex":0},"citationItems":[{"id":154,"uris":["http://zotero.org/users/14977742/items/H7QM55AB"],"itemData":{"id":154,"type":"article-journal","abstract":"Currently, parties to the Convention on Biological Diversity (CBD) are negotiating a strategic plan to save biodiversity. One crucial element of an agreement is the question of whether and how digital sequence information (DSI) is subject to access and benefit-sharing from the utilization of genetic resources, one main instrument of the CBD. In the EU, the Open Data Directive (ODD) of 2019 and the recently adopted Data Governance Act (DGA) already cover research data and to some extent DSI. An analysis of the ODD and the DGA throws a spotlight on the legal uncertainty of utilizing DSI and reveals systemic tensions between open data principles and benefit-sharing restrictions on non-commercial use. It also suggests that a future benefit-sharing mechanism for DSI should avoid distinguishing between commercial and non-commercial use upstream, but should instead favor a solution, which imposes benefit-sharing obligations further downstream or outside of the DSI life cycle.","citation-key":"klunkerDigitalSequenceInformation2022","container-title":"Journal of Law and the Biosciences","DOI":"10.1093/jlb/lsac035","ISSN":"2053-9711","issue":"2","journalAbbreviation":"J Law Biosci","page":"lsac035","source":"Silverchair","title":"Digital Sequence Information between Benefit-Sharing and Open Data","volume":"9","author":[{"family":"Klünker","given":"Irma"},{"family":"Richter","given":"Heiko"}],"issued":{"date-parts":[["2022",7,1]]}}},{"id":248,"uris":["http://zotero.org/users/14977742/items/PVADKR33"],"itemData":{"id":248,"type":"article-journal","abstract":"Access and benefit sharing (ABS) is a framework which refers to a relatively recent type of legal requirements for access to and use of “genetic resources”. They are based on diverse national and regional laws and regulations, which mostly result from the implementation of the United Nations’ Convention on Biological Diversity (CBD) and its supplementary agreement, the Nagoya Protocol. Their ambition is to achieve fair and equitable sharing of benefits arising out of the use of genetic resources as an incentive to conserve and sustainably use them. This paper describes the experiences, practical constraints and complexities encountered by users of genetic resources when dealing with ABS legislation, with a focus on users from the private sector. We provide insights on how ABS laws have fundamentally changed the way of working with genetic resources, in the hope that it inspires re-thinking of the ABS framework, to better support the overall objectives of the CBD.","citation-key":"michielsFacingHarshReality2022a","container-title":"Sustainability","DOI":"10.3390/su14010277","ISSN":"2071-1050","issue":"1","language":"en","license":"http://creativecommons.org/licenses/by/3.0/","page":"277","publisher":"Multidisciplinary Digital Publishing Institute","source":"www.mdpi.com","title":"Facing the Harsh Reality of Access and Benefit Sharing (ABS) Legislation: An Industry Perspective","title-short":"Facing the Harsh Reality of Access and Benefit Sharing (ABS) Legislation","volume":"14","author":[{"family":"Michiels","given":"Frank"},{"family":"Feiter","given":"Ulrich"},{"family":"Paquin-Jaloux","given":"Stéphanie"},{"family":"Jungmann","given":"Diana"},{"family":"Braun","given":"Axel"},{"family":"Sayoc","given":"Mary Ann P."},{"family":"Armengol","given":"Ricard"},{"family":"Wyss","given":"Markus"},{"family":"David","given":"Bruno"}],"issued":{"date-parts":[["2022",1]]}}}],"schema":"https://github.com/citation-style-language/schema/raw/master/csl-citation.json"} </w:instrText>
            </w:r>
            <w:r w:rsidRPr="005F0A67">
              <w:rPr>
                <w:rFonts w:asciiTheme="majorBidi" w:eastAsia="Tahoma" w:hAnsiTheme="majorBidi" w:cstheme="majorBidi"/>
                <w:color w:val="1A1A1A"/>
                <w:sz w:val="18"/>
                <w:szCs w:val="18"/>
                <w:lang w:val="en-CA" w:eastAsia="en-GB"/>
              </w:rPr>
              <w:fldChar w:fldCharType="separate"/>
            </w:r>
            <w:r w:rsidRPr="005F0A67">
              <w:rPr>
                <w:rFonts w:asciiTheme="majorBidi" w:eastAsia="Georgia" w:hAnsiTheme="majorBidi" w:cstheme="majorBidi"/>
                <w:color w:val="000000"/>
                <w:sz w:val="18"/>
                <w:szCs w:val="24"/>
                <w:lang w:eastAsia="en-GB"/>
              </w:rPr>
              <w:t xml:space="preserve">(Klünker and Richter, 2022; Michiels </w:t>
            </w:r>
            <w:r w:rsidRPr="005F0A67">
              <w:rPr>
                <w:rFonts w:asciiTheme="majorBidi" w:eastAsia="Georgia" w:hAnsiTheme="majorBidi" w:cstheme="majorBidi"/>
                <w:i/>
                <w:iCs/>
                <w:color w:val="000000"/>
                <w:sz w:val="18"/>
                <w:szCs w:val="24"/>
                <w:lang w:eastAsia="en-GB"/>
              </w:rPr>
              <w:t>et al.</w:t>
            </w:r>
            <w:r w:rsidRPr="005F0A67">
              <w:rPr>
                <w:rFonts w:asciiTheme="majorBidi" w:eastAsia="Georgia" w:hAnsiTheme="majorBidi" w:cstheme="majorBidi"/>
                <w:color w:val="000000"/>
                <w:sz w:val="18"/>
                <w:szCs w:val="24"/>
                <w:lang w:eastAsia="en-GB"/>
              </w:rPr>
              <w:t>, 2022)</w:t>
            </w:r>
            <w:r w:rsidRPr="005F0A67">
              <w:rPr>
                <w:rFonts w:asciiTheme="majorBidi" w:eastAsia="Tahoma" w:hAnsiTheme="majorBidi" w:cstheme="majorBidi"/>
                <w:color w:val="1A1A1A"/>
                <w:sz w:val="18"/>
                <w:szCs w:val="18"/>
                <w:lang w:val="en-CA" w:eastAsia="en-GB"/>
              </w:rPr>
              <w:fldChar w:fldCharType="end"/>
            </w:r>
            <w:r w:rsidRPr="005F0A67">
              <w:rPr>
                <w:rFonts w:asciiTheme="majorBidi" w:eastAsia="Tahoma" w:hAnsiTheme="majorBidi" w:cstheme="majorBidi"/>
                <w:color w:val="1A1A1A"/>
                <w:sz w:val="18"/>
                <w:szCs w:val="18"/>
                <w:lang w:val="en-CA" w:eastAsia="en-GB"/>
              </w:rPr>
              <w:t>.</w:t>
            </w:r>
          </w:p>
        </w:tc>
        <w:tc>
          <w:tcPr>
            <w:tcW w:w="431" w:type="pct"/>
            <w:tcBorders>
              <w:top w:val="single" w:sz="1" w:space="0" w:color="AAAAAA"/>
              <w:left w:val="single" w:sz="1" w:space="0" w:color="AAAAAA"/>
              <w:bottom w:val="single" w:sz="1" w:space="0" w:color="AAAAAA"/>
              <w:right w:val="single" w:sz="1" w:space="0" w:color="AAAAAA"/>
            </w:tcBorders>
            <w:shd w:val="clear" w:color="auto" w:fill="D9F2D0"/>
            <w:tcMar>
              <w:top w:w="60" w:type="dxa"/>
              <w:left w:w="100" w:type="dxa"/>
              <w:bottom w:w="60" w:type="dxa"/>
              <w:right w:w="100" w:type="dxa"/>
            </w:tcMar>
            <w:vAlign w:val="center"/>
          </w:tcPr>
          <w:p w14:paraId="4F719C2D"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000000"/>
                <w:sz w:val="18"/>
                <w:szCs w:val="18"/>
                <w:lang w:val="en-CA" w:eastAsia="en-GB"/>
              </w:rPr>
            </w:pPr>
            <w:r w:rsidRPr="005F0A67">
              <w:rPr>
                <w:rFonts w:asciiTheme="majorBidi" w:eastAsia="Tahoma" w:hAnsiTheme="majorBidi" w:cstheme="majorBidi"/>
                <w:b/>
                <w:bCs/>
                <w:color w:val="000000"/>
                <w:sz w:val="18"/>
                <w:szCs w:val="18"/>
                <w:lang w:val="en-CA" w:eastAsia="en-GB"/>
              </w:rPr>
              <w:t>Low</w:t>
            </w:r>
          </w:p>
        </w:tc>
      </w:tr>
      <w:tr w:rsidR="005F0A67" w:rsidRPr="005F0A67" w14:paraId="4EF7B905" w14:textId="77777777" w:rsidTr="005F0A67">
        <w:tc>
          <w:tcPr>
            <w:tcW w:w="1210" w:type="pct"/>
            <w:vMerge/>
            <w:tcMar>
              <w:top w:w="60" w:type="dxa"/>
              <w:left w:w="100" w:type="dxa"/>
              <w:bottom w:w="60" w:type="dxa"/>
              <w:right w:w="100" w:type="dxa"/>
            </w:tcMar>
            <w:vAlign w:val="center"/>
          </w:tcPr>
          <w:p w14:paraId="7E1637A0"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p>
        </w:tc>
        <w:tc>
          <w:tcPr>
            <w:tcW w:w="542"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3560DF00"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Generics producers</w:t>
            </w:r>
          </w:p>
        </w:tc>
        <w:tc>
          <w:tcPr>
            <w:tcW w:w="425"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6057CFCD" w14:textId="77777777" w:rsidR="005F0A67" w:rsidRPr="005F0A67" w:rsidRDefault="005F0A67" w:rsidP="005F0A67">
            <w:pPr>
              <w:tabs>
                <w:tab w:val="clear" w:pos="567"/>
                <w:tab w:val="clear" w:pos="1134"/>
                <w:tab w:val="clear" w:pos="1701"/>
                <w:tab w:val="clear" w:pos="2268"/>
              </w:tabs>
              <w:jc w:val="left"/>
              <w:rPr>
                <w:rFonts w:asciiTheme="majorBidi" w:eastAsia="Arial" w:hAnsiTheme="majorBidi" w:cstheme="majorBidi"/>
                <w:color w:val="000000"/>
                <w:sz w:val="18"/>
                <w:szCs w:val="18"/>
                <w:lang w:val="en-CA" w:eastAsia="en-GB"/>
              </w:rPr>
            </w:pPr>
            <w:r w:rsidRPr="005F0A67">
              <w:rPr>
                <w:rFonts w:asciiTheme="majorBidi" w:eastAsia="Arial" w:hAnsiTheme="majorBidi" w:cstheme="majorBidi"/>
                <w:color w:val="000000"/>
                <w:sz w:val="18"/>
                <w:szCs w:val="18"/>
                <w:lang w:val="en-CA" w:eastAsia="en-GB"/>
              </w:rPr>
              <w:t>Minor</w:t>
            </w:r>
          </w:p>
        </w:tc>
        <w:tc>
          <w:tcPr>
            <w:tcW w:w="433"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23CBCC48" w14:textId="77777777" w:rsidR="005F0A67" w:rsidRPr="005F0A67" w:rsidRDefault="005F0A67" w:rsidP="005F0A67">
            <w:pPr>
              <w:tabs>
                <w:tab w:val="clear" w:pos="567"/>
                <w:tab w:val="clear" w:pos="1134"/>
                <w:tab w:val="clear" w:pos="1701"/>
                <w:tab w:val="clear" w:pos="2268"/>
              </w:tabs>
              <w:jc w:val="left"/>
              <w:rPr>
                <w:rFonts w:asciiTheme="majorBidi" w:eastAsia="Arial" w:hAnsiTheme="majorBidi" w:cstheme="majorBidi"/>
                <w:color w:val="000000"/>
                <w:sz w:val="18"/>
                <w:szCs w:val="18"/>
                <w:lang w:val="en-CA" w:eastAsia="en-GB"/>
              </w:rPr>
            </w:pPr>
            <w:r w:rsidRPr="005F0A67">
              <w:rPr>
                <w:rFonts w:asciiTheme="majorBidi" w:eastAsia="Arial" w:hAnsiTheme="majorBidi" w:cstheme="majorBidi"/>
                <w:color w:val="000000"/>
                <w:sz w:val="18"/>
                <w:szCs w:val="18"/>
                <w:lang w:val="en-CA" w:eastAsia="en-GB"/>
              </w:rPr>
              <w:t>Low</w:t>
            </w:r>
          </w:p>
        </w:tc>
        <w:tc>
          <w:tcPr>
            <w:tcW w:w="1959"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5C68B3B5" w14:textId="77777777" w:rsidR="005F0A67" w:rsidRPr="005F0A67" w:rsidRDefault="005F0A67" w:rsidP="005F0A67">
            <w:pPr>
              <w:tabs>
                <w:tab w:val="clear" w:pos="567"/>
                <w:tab w:val="clear" w:pos="1134"/>
                <w:tab w:val="clear" w:pos="1701"/>
                <w:tab w:val="clear" w:pos="2268"/>
              </w:tabs>
              <w:jc w:val="left"/>
              <w:rPr>
                <w:rFonts w:asciiTheme="majorBidi" w:eastAsia="Arial" w:hAnsiTheme="majorBidi" w:cstheme="majorBidi"/>
                <w:color w:val="000000"/>
                <w:sz w:val="18"/>
                <w:szCs w:val="18"/>
                <w:lang w:val="en-CA" w:eastAsia="en-GB"/>
              </w:rPr>
            </w:pPr>
            <w:r w:rsidRPr="005F0A67">
              <w:rPr>
                <w:rFonts w:asciiTheme="majorBidi" w:eastAsia="Arial" w:hAnsiTheme="majorBidi" w:cstheme="majorBidi"/>
                <w:color w:val="000000"/>
                <w:sz w:val="18"/>
                <w:szCs w:val="18"/>
                <w:lang w:val="en-CA" w:eastAsia="en-GB"/>
              </w:rPr>
              <w:t>C</w:t>
            </w:r>
            <w:r w:rsidRPr="005F0A67">
              <w:rPr>
                <w:rFonts w:asciiTheme="majorBidi" w:eastAsia="Tahoma" w:hAnsiTheme="majorBidi" w:cstheme="majorBidi"/>
                <w:color w:val="000000"/>
                <w:sz w:val="18"/>
                <w:szCs w:val="18"/>
                <w:lang w:val="en-CA" w:eastAsia="en-GB"/>
              </w:rPr>
              <w:t xml:space="preserve">ontribution base definition </w:t>
            </w:r>
            <w:r w:rsidRPr="005F0A67">
              <w:rPr>
                <w:rFonts w:asciiTheme="majorBidi" w:eastAsia="Arial" w:hAnsiTheme="majorBidi" w:cstheme="majorBidi"/>
                <w:color w:val="000000"/>
                <w:sz w:val="18"/>
                <w:szCs w:val="18"/>
                <w:lang w:val="en-CA" w:eastAsia="en-GB"/>
              </w:rPr>
              <w:t>(U12); lower multi-framework exposure than innovators</w:t>
            </w:r>
          </w:p>
        </w:tc>
        <w:tc>
          <w:tcPr>
            <w:tcW w:w="431" w:type="pct"/>
            <w:tcBorders>
              <w:top w:val="single" w:sz="1" w:space="0" w:color="AAAAAA"/>
              <w:left w:val="single" w:sz="1" w:space="0" w:color="AAAAAA"/>
              <w:bottom w:val="single" w:sz="1" w:space="0" w:color="AAAAAA"/>
              <w:right w:val="single" w:sz="1" w:space="0" w:color="AAAAAA"/>
            </w:tcBorders>
            <w:shd w:val="clear" w:color="auto" w:fill="D9F2D0"/>
            <w:tcMar>
              <w:top w:w="60" w:type="dxa"/>
              <w:left w:w="100" w:type="dxa"/>
              <w:bottom w:w="60" w:type="dxa"/>
              <w:right w:w="100" w:type="dxa"/>
            </w:tcMar>
            <w:vAlign w:val="center"/>
          </w:tcPr>
          <w:p w14:paraId="37C30085" w14:textId="77777777" w:rsidR="005F0A67" w:rsidRPr="005F0A67" w:rsidRDefault="005F0A67" w:rsidP="005F0A67">
            <w:pPr>
              <w:tabs>
                <w:tab w:val="clear" w:pos="567"/>
                <w:tab w:val="clear" w:pos="1134"/>
                <w:tab w:val="clear" w:pos="1701"/>
                <w:tab w:val="clear" w:pos="2268"/>
              </w:tabs>
              <w:jc w:val="left"/>
              <w:rPr>
                <w:rFonts w:asciiTheme="majorBidi" w:eastAsia="Arial" w:hAnsiTheme="majorBidi" w:cstheme="majorBidi"/>
                <w:b/>
                <w:bCs/>
                <w:color w:val="000000"/>
                <w:sz w:val="18"/>
                <w:szCs w:val="18"/>
                <w:lang w:val="en-CA" w:eastAsia="en-GB"/>
              </w:rPr>
            </w:pPr>
            <w:r w:rsidRPr="005F0A67">
              <w:rPr>
                <w:rFonts w:asciiTheme="majorBidi" w:eastAsia="Arial" w:hAnsiTheme="majorBidi" w:cstheme="majorBidi"/>
                <w:b/>
                <w:bCs/>
                <w:color w:val="000000"/>
                <w:sz w:val="18"/>
                <w:szCs w:val="18"/>
                <w:lang w:val="en-CA" w:eastAsia="en-GB"/>
              </w:rPr>
              <w:t>Low</w:t>
            </w:r>
          </w:p>
        </w:tc>
      </w:tr>
      <w:tr w:rsidR="005F0A67" w:rsidRPr="005F0A67" w14:paraId="0CA97E3A" w14:textId="77777777" w:rsidTr="005F0A67">
        <w:tc>
          <w:tcPr>
            <w:tcW w:w="1210" w:type="pct"/>
            <w:vMerge/>
            <w:tcMar>
              <w:top w:w="60" w:type="dxa"/>
              <w:left w:w="100" w:type="dxa"/>
              <w:bottom w:w="60" w:type="dxa"/>
              <w:right w:w="100" w:type="dxa"/>
            </w:tcMar>
            <w:vAlign w:val="center"/>
          </w:tcPr>
          <w:p w14:paraId="1081D255"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p>
        </w:tc>
        <w:tc>
          <w:tcPr>
            <w:tcW w:w="542"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5F6EAE5D"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Biosimilars producers</w:t>
            </w:r>
          </w:p>
        </w:tc>
        <w:tc>
          <w:tcPr>
            <w:tcW w:w="425"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34241B6C" w14:textId="77777777" w:rsidR="005F0A67" w:rsidRPr="005F0A67" w:rsidRDefault="005F0A67" w:rsidP="005F0A67">
            <w:pPr>
              <w:tabs>
                <w:tab w:val="clear" w:pos="567"/>
                <w:tab w:val="clear" w:pos="1134"/>
                <w:tab w:val="clear" w:pos="1701"/>
                <w:tab w:val="clear" w:pos="2268"/>
              </w:tabs>
              <w:jc w:val="left"/>
              <w:rPr>
                <w:rFonts w:asciiTheme="majorBidi" w:eastAsia="Arial" w:hAnsiTheme="majorBidi" w:cstheme="majorBidi"/>
                <w:color w:val="000000"/>
                <w:sz w:val="18"/>
                <w:szCs w:val="18"/>
                <w:lang w:val="en-CA" w:eastAsia="en-GB"/>
              </w:rPr>
            </w:pPr>
            <w:r w:rsidRPr="005F0A67">
              <w:rPr>
                <w:rFonts w:asciiTheme="majorBidi" w:eastAsia="Arial" w:hAnsiTheme="majorBidi" w:cstheme="majorBidi"/>
                <w:color w:val="000000"/>
                <w:sz w:val="18"/>
                <w:szCs w:val="18"/>
                <w:lang w:val="en-CA" w:eastAsia="en-GB"/>
              </w:rPr>
              <w:t>Minor</w:t>
            </w:r>
          </w:p>
        </w:tc>
        <w:tc>
          <w:tcPr>
            <w:tcW w:w="433"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683CDED1" w14:textId="77777777" w:rsidR="005F0A67" w:rsidRPr="005F0A67" w:rsidRDefault="005F0A67" w:rsidP="005F0A67">
            <w:pPr>
              <w:tabs>
                <w:tab w:val="clear" w:pos="567"/>
                <w:tab w:val="clear" w:pos="1134"/>
                <w:tab w:val="clear" w:pos="1701"/>
                <w:tab w:val="clear" w:pos="2268"/>
              </w:tabs>
              <w:jc w:val="left"/>
              <w:rPr>
                <w:rFonts w:asciiTheme="majorBidi" w:eastAsia="Arial" w:hAnsiTheme="majorBidi" w:cstheme="majorBidi"/>
                <w:color w:val="000000"/>
                <w:sz w:val="18"/>
                <w:szCs w:val="18"/>
                <w:lang w:val="en-CA" w:eastAsia="en-GB"/>
              </w:rPr>
            </w:pPr>
            <w:r w:rsidRPr="005F0A67">
              <w:rPr>
                <w:rFonts w:asciiTheme="majorBidi" w:eastAsia="Arial" w:hAnsiTheme="majorBidi" w:cstheme="majorBidi"/>
                <w:color w:val="000000"/>
                <w:sz w:val="18"/>
                <w:szCs w:val="18"/>
                <w:lang w:val="en-CA" w:eastAsia="en-GB"/>
              </w:rPr>
              <w:t>Low</w:t>
            </w:r>
          </w:p>
        </w:tc>
        <w:tc>
          <w:tcPr>
            <w:tcW w:w="1959"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023CD6F0" w14:textId="77777777" w:rsidR="005F0A67" w:rsidRPr="005F0A67" w:rsidRDefault="005F0A67" w:rsidP="005F0A67">
            <w:pPr>
              <w:tabs>
                <w:tab w:val="clear" w:pos="567"/>
                <w:tab w:val="clear" w:pos="1134"/>
                <w:tab w:val="clear" w:pos="1701"/>
                <w:tab w:val="clear" w:pos="2268"/>
              </w:tabs>
              <w:jc w:val="left"/>
              <w:rPr>
                <w:rFonts w:asciiTheme="majorBidi" w:eastAsia="Arial" w:hAnsiTheme="majorBidi" w:cstheme="majorBidi"/>
                <w:color w:val="000000"/>
                <w:sz w:val="18"/>
                <w:szCs w:val="18"/>
                <w:lang w:val="en-CA" w:eastAsia="en-GB"/>
              </w:rPr>
            </w:pPr>
            <w:r w:rsidRPr="005F0A67">
              <w:rPr>
                <w:rFonts w:asciiTheme="majorBidi" w:eastAsia="Tahoma" w:hAnsiTheme="majorBidi" w:cstheme="majorBidi"/>
                <w:color w:val="1A1A1A"/>
                <w:sz w:val="18"/>
                <w:szCs w:val="18"/>
                <w:lang w:val="en-CA" w:eastAsia="en-GB"/>
              </w:rPr>
              <w:t>Sequence data is used in the biosimilar regulatory approval process; if this counts as DSI use under the Cali Fund, biosimilar producers face additional documentation obligations on top of an already demanding approval pathway. Contribution base definition (U12)</w:t>
            </w:r>
          </w:p>
        </w:tc>
        <w:tc>
          <w:tcPr>
            <w:tcW w:w="431" w:type="pct"/>
            <w:tcBorders>
              <w:top w:val="single" w:sz="1" w:space="0" w:color="AAAAAA"/>
              <w:left w:val="single" w:sz="1" w:space="0" w:color="AAAAAA"/>
              <w:bottom w:val="single" w:sz="1" w:space="0" w:color="AAAAAA"/>
              <w:right w:val="single" w:sz="1" w:space="0" w:color="AAAAAA"/>
            </w:tcBorders>
            <w:shd w:val="clear" w:color="auto" w:fill="D9F2D0"/>
            <w:tcMar>
              <w:top w:w="60" w:type="dxa"/>
              <w:left w:w="100" w:type="dxa"/>
              <w:bottom w:w="60" w:type="dxa"/>
              <w:right w:w="100" w:type="dxa"/>
            </w:tcMar>
            <w:vAlign w:val="center"/>
          </w:tcPr>
          <w:p w14:paraId="730E74F3" w14:textId="77777777" w:rsidR="005F0A67" w:rsidRPr="005F0A67" w:rsidRDefault="005F0A67" w:rsidP="005F0A67">
            <w:pPr>
              <w:tabs>
                <w:tab w:val="clear" w:pos="567"/>
                <w:tab w:val="clear" w:pos="1134"/>
                <w:tab w:val="clear" w:pos="1701"/>
                <w:tab w:val="clear" w:pos="2268"/>
              </w:tabs>
              <w:jc w:val="left"/>
              <w:rPr>
                <w:rFonts w:asciiTheme="majorBidi" w:eastAsia="Arial" w:hAnsiTheme="majorBidi" w:cstheme="majorBidi"/>
                <w:b/>
                <w:bCs/>
                <w:color w:val="000000"/>
                <w:sz w:val="18"/>
                <w:szCs w:val="18"/>
                <w:lang w:val="en-CA" w:eastAsia="en-GB"/>
              </w:rPr>
            </w:pPr>
            <w:r w:rsidRPr="005F0A67">
              <w:rPr>
                <w:rFonts w:asciiTheme="majorBidi" w:eastAsia="Arial" w:hAnsiTheme="majorBidi" w:cstheme="majorBidi"/>
                <w:b/>
                <w:bCs/>
                <w:color w:val="000000"/>
                <w:sz w:val="18"/>
                <w:szCs w:val="18"/>
                <w:lang w:val="en-CA" w:eastAsia="en-GB"/>
              </w:rPr>
              <w:t>Low</w:t>
            </w:r>
          </w:p>
        </w:tc>
      </w:tr>
      <w:tr w:rsidR="005F0A67" w:rsidRPr="005F0A67" w14:paraId="59711460" w14:textId="77777777" w:rsidTr="005F0A67">
        <w:tc>
          <w:tcPr>
            <w:tcW w:w="1210" w:type="pct"/>
            <w:vMerge w:val="restar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5D5C297F"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1F4E6B"/>
                <w:sz w:val="18"/>
                <w:szCs w:val="18"/>
                <w:lang w:val="en-CA" w:eastAsia="en-GB"/>
              </w:rPr>
            </w:pPr>
            <w:r w:rsidRPr="005F0A67">
              <w:rPr>
                <w:rFonts w:asciiTheme="majorBidi" w:eastAsia="Tahoma" w:hAnsiTheme="majorBidi" w:cstheme="majorBidi"/>
                <w:b/>
                <w:bCs/>
                <w:color w:val="1F4E6B"/>
                <w:sz w:val="18"/>
                <w:szCs w:val="18"/>
                <w:lang w:val="en-CA" w:eastAsia="en-GB"/>
              </w:rPr>
              <w:t>Substantive compliance costs</w:t>
            </w:r>
          </w:p>
          <w:p w14:paraId="33B0D058"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1A1A1A"/>
                <w:sz w:val="18"/>
                <w:szCs w:val="18"/>
                <w:lang w:val="en-CA" w:eastAsia="en-GB"/>
              </w:rPr>
            </w:pPr>
            <w:r w:rsidRPr="005F0A67">
              <w:rPr>
                <w:rFonts w:asciiTheme="majorBidi" w:eastAsia="Tahoma" w:hAnsiTheme="majorBidi" w:cstheme="majorBidi"/>
                <w:color w:val="1A1A1A"/>
                <w:sz w:val="18"/>
                <w:szCs w:val="18"/>
                <w:lang w:val="en-CA" w:eastAsia="en-GB"/>
              </w:rPr>
              <w:t>The contribution payment itself as a direct cost burden. Wide within-sector margin dispersion: innovator margins 35-55%, branded generics 18-32%, unbranded generics 4-12%</w:t>
            </w:r>
          </w:p>
          <w:p w14:paraId="21358654"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1A1A1A"/>
                <w:sz w:val="18"/>
                <w:szCs w:val="18"/>
                <w:lang w:val="en-CA" w:eastAsia="en-GB"/>
              </w:rPr>
            </w:pPr>
            <w:r w:rsidRPr="005F0A67">
              <w:rPr>
                <w:rFonts w:asciiTheme="majorBidi" w:eastAsia="Tahoma" w:hAnsiTheme="majorBidi" w:cstheme="majorBidi"/>
                <w:color w:val="1A1A1A"/>
                <w:sz w:val="18"/>
                <w:szCs w:val="18"/>
                <w:lang w:val="en-CA" w:eastAsia="en-GB"/>
              </w:rPr>
              <w:fldChar w:fldCharType="begin"/>
            </w:r>
            <w:r w:rsidRPr="005F0A67">
              <w:rPr>
                <w:rFonts w:asciiTheme="majorBidi" w:eastAsia="Tahoma" w:hAnsiTheme="majorBidi" w:cstheme="majorBidi"/>
                <w:color w:val="1A1A1A"/>
                <w:sz w:val="18"/>
                <w:szCs w:val="18"/>
                <w:lang w:val="en-CA" w:eastAsia="en-GB"/>
              </w:rPr>
              <w:instrText xml:space="preserve"> ADDIN ZOTERO_ITEM CSL_CITATION {"citationID":"a19u9mtl3p0","properties":{"unsorted":false,"formattedCitation":"(DrugPatentWatch, 2026)","plainCitation":"(DrugPatentWatch, 2026)","noteIndex":0},"citationItems":[{"id":148,"uris":["http://zotero.org/users/14977742/items/UA3F3U93"],"itemData":{"id":148,"type":"post-weblog","abstract":"An investigative analysis of the business architecture behind pharma’s most durable profit model When Pfizer’s patent on atorvastatin expired in 2011, every analyst on Wall Street braced for the same…","citation-key":"drugpatentwatchMarginMachineHow2026","container-title":"DrugPatentWatch – Transform Data into Market Domination","language":"en-US","title":"The Margin Machine: How Branded Generics Print 20%+ Returns on Drugs Anyone Can Make","title-short":"The Margin Machine","URL":"https://www.drugpatentwatch.com/blog/the-margin-machine-how-branded-generics-print-20-returns-on-drugs-anyone-can-make/","author":[{"literal":"DrugPatentWatch"}],"accessed":{"date-parts":[["2026",6,1]]},"issued":{"date-parts":[["2026",2,21]]}}}],"schema":"https://github.com/citation-style-language/schema/raw/master/csl-citation.json"} </w:instrText>
            </w:r>
            <w:r w:rsidRPr="005F0A67">
              <w:rPr>
                <w:rFonts w:asciiTheme="majorBidi" w:eastAsia="Tahoma" w:hAnsiTheme="majorBidi" w:cstheme="majorBidi"/>
                <w:color w:val="1A1A1A"/>
                <w:sz w:val="18"/>
                <w:szCs w:val="18"/>
                <w:lang w:val="en-CA" w:eastAsia="en-GB"/>
              </w:rPr>
              <w:fldChar w:fldCharType="separate"/>
            </w:r>
            <w:r w:rsidRPr="005F0A67">
              <w:rPr>
                <w:rFonts w:asciiTheme="majorBidi" w:eastAsia="Georgia" w:hAnsiTheme="majorBidi" w:cstheme="majorBidi"/>
                <w:color w:val="000000"/>
                <w:sz w:val="18"/>
                <w:szCs w:val="24"/>
                <w:lang w:eastAsia="en-GB"/>
              </w:rPr>
              <w:t>(DrugPatentWatch, 2026)</w:t>
            </w:r>
            <w:r w:rsidRPr="005F0A67">
              <w:rPr>
                <w:rFonts w:asciiTheme="majorBidi" w:eastAsia="Tahoma" w:hAnsiTheme="majorBidi" w:cstheme="majorBidi"/>
                <w:color w:val="1A1A1A"/>
                <w:sz w:val="18"/>
                <w:szCs w:val="18"/>
                <w:lang w:val="en-CA" w:eastAsia="en-GB"/>
              </w:rPr>
              <w:fldChar w:fldCharType="end"/>
            </w:r>
          </w:p>
          <w:p w14:paraId="1D6F0D80"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1A1A1A"/>
                <w:sz w:val="18"/>
                <w:szCs w:val="18"/>
                <w:lang w:val="en-CA" w:eastAsia="en-GB"/>
              </w:rPr>
            </w:pPr>
            <w:r w:rsidRPr="005F0A67">
              <w:rPr>
                <w:rFonts w:asciiTheme="majorBidi" w:eastAsia="Tahoma" w:hAnsiTheme="majorBidi" w:cstheme="majorBidi"/>
                <w:color w:val="1A1A1A"/>
                <w:sz w:val="18"/>
                <w:szCs w:val="18"/>
                <w:lang w:val="en-CA" w:eastAsia="en-GB"/>
              </w:rPr>
              <w:t xml:space="preserve">means the effective burden varies substantially. </w:t>
            </w:r>
          </w:p>
          <w:p w14:paraId="486597D4"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000000"/>
                <w:sz w:val="18"/>
                <w:szCs w:val="18"/>
                <w:lang w:val="en-CA" w:eastAsia="en-GB"/>
              </w:rPr>
            </w:pPr>
            <w:r w:rsidRPr="005F0A67">
              <w:rPr>
                <w:rFonts w:asciiTheme="majorBidi" w:eastAsia="Tahoma" w:hAnsiTheme="majorBidi" w:cstheme="majorBidi"/>
                <w:color w:val="1A1A1A"/>
                <w:sz w:val="18"/>
                <w:szCs w:val="18"/>
                <w:lang w:val="en-CA" w:eastAsia="en-GB"/>
              </w:rPr>
              <w:t xml:space="preserve">At indicative rates the absolute burden is small relative to sector revenues (0.065% of participating revenue, Table 20), but its competitive significance depends less on magnitude than on the asymmetry with non-contributing rivals and on pass-through capacity, both of which vary by firm type and are assessed below. </w:t>
            </w:r>
          </w:p>
        </w:tc>
        <w:tc>
          <w:tcPr>
            <w:tcW w:w="542"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7C7E7FEC"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Pharmaceuticals innovators</w:t>
            </w:r>
          </w:p>
        </w:tc>
        <w:tc>
          <w:tcPr>
            <w:tcW w:w="425"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1BFE6DC2"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Minor</w:t>
            </w:r>
          </w:p>
        </w:tc>
        <w:tc>
          <w:tcPr>
            <w:tcW w:w="433"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0AC56A0C"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Medium</w:t>
            </w:r>
          </w:p>
        </w:tc>
        <w:tc>
          <w:tcPr>
            <w:tcW w:w="1959"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5281F52C"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1A1A1A"/>
                <w:sz w:val="18"/>
                <w:szCs w:val="18"/>
                <w:lang w:val="en-CA" w:eastAsia="en-GB"/>
              </w:rPr>
              <w:t xml:space="preserve">For research-intensive producers paying on revenue, the contribution functions as a small ad valorem levy; at margins of 35-55%, the 0.1% revenue rate translates to well under 0.3% of profit, well below the cost burden thresholds at which firm-level competitiveness effects are typically detected (see Section </w:t>
            </w:r>
            <w:r w:rsidRPr="005F0A67">
              <w:rPr>
                <w:rFonts w:asciiTheme="majorBidi" w:eastAsia="Tahoma" w:hAnsiTheme="majorBidi" w:cstheme="majorBidi"/>
                <w:color w:val="1A1A1A"/>
                <w:sz w:val="18"/>
                <w:szCs w:val="18"/>
                <w:lang w:val="en-CA" w:eastAsia="en-GB"/>
              </w:rPr>
              <w:fldChar w:fldCharType="begin"/>
            </w:r>
            <w:r w:rsidRPr="005F0A67">
              <w:rPr>
                <w:rFonts w:asciiTheme="majorBidi" w:eastAsia="Tahoma" w:hAnsiTheme="majorBidi" w:cstheme="majorBidi"/>
                <w:color w:val="1A1A1A"/>
                <w:sz w:val="18"/>
                <w:szCs w:val="18"/>
                <w:lang w:val="en-CA" w:eastAsia="en-GB"/>
              </w:rPr>
              <w:instrText xml:space="preserve"> REF _Ref231121284 \r \h  \* MERGEFORMAT </w:instrText>
            </w:r>
            <w:r w:rsidRPr="005F0A67">
              <w:rPr>
                <w:rFonts w:asciiTheme="majorBidi" w:eastAsia="Tahoma" w:hAnsiTheme="majorBidi" w:cstheme="majorBidi"/>
                <w:color w:val="1A1A1A"/>
                <w:sz w:val="18"/>
                <w:szCs w:val="18"/>
                <w:lang w:val="en-CA" w:eastAsia="en-GB"/>
              </w:rPr>
            </w:r>
            <w:r w:rsidRPr="005F0A67">
              <w:rPr>
                <w:rFonts w:asciiTheme="majorBidi" w:eastAsia="Tahoma" w:hAnsiTheme="majorBidi" w:cstheme="majorBidi"/>
                <w:color w:val="1A1A1A"/>
                <w:sz w:val="18"/>
                <w:szCs w:val="18"/>
                <w:lang w:val="en-CA" w:eastAsia="en-GB"/>
              </w:rPr>
              <w:fldChar w:fldCharType="separate"/>
            </w:r>
            <w:r w:rsidRPr="005F0A67">
              <w:rPr>
                <w:rFonts w:asciiTheme="majorBidi" w:eastAsia="Tahoma" w:hAnsiTheme="majorBidi" w:cstheme="majorBidi"/>
                <w:color w:val="1A1A1A"/>
                <w:sz w:val="18"/>
                <w:szCs w:val="18"/>
                <w:lang w:val="en-CA" w:eastAsia="en-GB"/>
              </w:rPr>
              <w:t>7.4</w:t>
            </w:r>
            <w:r w:rsidRPr="005F0A67">
              <w:rPr>
                <w:rFonts w:asciiTheme="majorBidi" w:eastAsia="Tahoma" w:hAnsiTheme="majorBidi" w:cstheme="majorBidi"/>
                <w:color w:val="1A1A1A"/>
                <w:sz w:val="18"/>
                <w:szCs w:val="18"/>
                <w:lang w:val="en-CA" w:eastAsia="en-GB"/>
              </w:rPr>
              <w:fldChar w:fldCharType="end"/>
            </w:r>
            <w:r w:rsidRPr="005F0A67">
              <w:rPr>
                <w:rFonts w:asciiTheme="majorBidi" w:eastAsia="Tahoma" w:hAnsiTheme="majorBidi" w:cstheme="majorBidi"/>
                <w:color w:val="1A1A1A"/>
                <w:sz w:val="18"/>
                <w:szCs w:val="18"/>
                <w:lang w:val="en-CA" w:eastAsia="en-GB"/>
              </w:rPr>
              <w:t>). Rate revision; potential obligation stacking with WHO PABS (U7) elevates effective burden particularly for vaccine producers in tender-driven markets with compressed margins (Wilsdon et al., 2020); US non-Party competitor presence (U10); entity definition for group structures (U3): subsidiary-level assessment enables contribution base minimisation through group restructuring for large multinationals.</w:t>
            </w:r>
          </w:p>
        </w:tc>
        <w:tc>
          <w:tcPr>
            <w:tcW w:w="431" w:type="pct"/>
            <w:tcBorders>
              <w:top w:val="single" w:sz="1" w:space="0" w:color="AAAAAA"/>
              <w:left w:val="single" w:sz="1" w:space="0" w:color="AAAAAA"/>
              <w:bottom w:val="single" w:sz="1" w:space="0" w:color="AAAAAA"/>
              <w:right w:val="single" w:sz="1" w:space="0" w:color="AAAAAA"/>
            </w:tcBorders>
            <w:shd w:val="clear" w:color="auto" w:fill="D9F2D0"/>
            <w:tcMar>
              <w:top w:w="60" w:type="dxa"/>
              <w:left w:w="100" w:type="dxa"/>
              <w:bottom w:w="60" w:type="dxa"/>
              <w:right w:w="100" w:type="dxa"/>
            </w:tcMar>
            <w:vAlign w:val="center"/>
          </w:tcPr>
          <w:p w14:paraId="5EA77645"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000000"/>
                <w:sz w:val="18"/>
                <w:szCs w:val="18"/>
                <w:lang w:val="en-CA" w:eastAsia="en-GB"/>
              </w:rPr>
            </w:pPr>
            <w:r w:rsidRPr="005F0A67">
              <w:rPr>
                <w:rFonts w:asciiTheme="majorBidi" w:eastAsia="Tahoma" w:hAnsiTheme="majorBidi" w:cstheme="majorBidi"/>
                <w:b/>
                <w:bCs/>
                <w:color w:val="000000"/>
                <w:sz w:val="18"/>
                <w:szCs w:val="18"/>
                <w:lang w:val="en-CA" w:eastAsia="en-GB"/>
              </w:rPr>
              <w:t>Low</w:t>
            </w:r>
          </w:p>
        </w:tc>
      </w:tr>
      <w:tr w:rsidR="005F0A67" w:rsidRPr="005F0A67" w14:paraId="1ABAC620" w14:textId="77777777" w:rsidTr="005F0A67">
        <w:tc>
          <w:tcPr>
            <w:tcW w:w="1210" w:type="pct"/>
            <w:vMerge/>
            <w:tcMar>
              <w:top w:w="60" w:type="dxa"/>
              <w:left w:w="100" w:type="dxa"/>
              <w:bottom w:w="60" w:type="dxa"/>
              <w:right w:w="100" w:type="dxa"/>
            </w:tcMar>
            <w:vAlign w:val="center"/>
          </w:tcPr>
          <w:p w14:paraId="62278283"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000000"/>
                <w:sz w:val="18"/>
                <w:szCs w:val="18"/>
                <w:lang w:val="en-CA" w:eastAsia="en-GB"/>
              </w:rPr>
            </w:pPr>
          </w:p>
        </w:tc>
        <w:tc>
          <w:tcPr>
            <w:tcW w:w="542"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20C6BB0D"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Generics producers</w:t>
            </w:r>
          </w:p>
        </w:tc>
        <w:tc>
          <w:tcPr>
            <w:tcW w:w="425"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0302A4F0"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Moderate</w:t>
            </w:r>
          </w:p>
        </w:tc>
        <w:tc>
          <w:tcPr>
            <w:tcW w:w="433"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177E3C0B"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Medium</w:t>
            </w:r>
          </w:p>
        </w:tc>
        <w:tc>
          <w:tcPr>
            <w:tcW w:w="1959"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60D235F5"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1A1A1A"/>
                <w:sz w:val="18"/>
                <w:szCs w:val="18"/>
                <w:lang w:val="en-CA" w:eastAsia="en-GB"/>
              </w:rPr>
              <w:t xml:space="preserve">Unbranded generics: profit-base payers with margins 4-12%, making burden proportionally higher and more sensitive to margin compression </w:t>
            </w:r>
            <w:r w:rsidRPr="005F0A67">
              <w:rPr>
                <w:rFonts w:asciiTheme="majorBidi" w:eastAsia="Tahoma" w:hAnsiTheme="majorBidi" w:cstheme="majorBidi"/>
                <w:color w:val="1A1A1A"/>
                <w:sz w:val="18"/>
                <w:szCs w:val="18"/>
                <w:lang w:val="en-CA" w:eastAsia="en-GB"/>
              </w:rPr>
              <w:fldChar w:fldCharType="begin"/>
            </w:r>
            <w:r w:rsidRPr="005F0A67">
              <w:rPr>
                <w:rFonts w:asciiTheme="majorBidi" w:eastAsia="Tahoma" w:hAnsiTheme="majorBidi" w:cstheme="majorBidi"/>
                <w:color w:val="1A1A1A"/>
                <w:sz w:val="18"/>
                <w:szCs w:val="18"/>
                <w:lang w:val="en-CA" w:eastAsia="en-GB"/>
              </w:rPr>
              <w:instrText xml:space="preserve"> ADDIN ZOTERO_ITEM CSL_CITATION {"citationID":"a173u0uuqmk","properties":{"unsorted":false,"formattedCitation":"(KPMG, 2020)","plainCitation":"(KPMG, 2020)","noteIndex":0},"citationItems":[{"id":149,"uris":["http://zotero.org/users/14977742/items/YSWXXC63"],"itemData":{"id":149,"type":"report","citation-key":"zotero-item-2705a","title":"Generics 2030. Three strategies to curb the downward spiral.","URL":"https://kpmg.com/kpmg-us/content/dam/kpmg/pdf/2023/generics-2030.pdf","author":[{"literal":"KPMG"}],"issued":{"date-parts":[["2020"]]}}}],"schema":"https://github.com/citation-style-language/schema/raw/master/csl-citation.json"} </w:instrText>
            </w:r>
            <w:r w:rsidRPr="005F0A67">
              <w:rPr>
                <w:rFonts w:asciiTheme="majorBidi" w:eastAsia="Tahoma" w:hAnsiTheme="majorBidi" w:cstheme="majorBidi"/>
                <w:color w:val="1A1A1A"/>
                <w:sz w:val="18"/>
                <w:szCs w:val="18"/>
                <w:lang w:val="en-CA" w:eastAsia="en-GB"/>
              </w:rPr>
              <w:fldChar w:fldCharType="separate"/>
            </w:r>
            <w:r w:rsidRPr="005F0A67">
              <w:rPr>
                <w:rFonts w:asciiTheme="majorBidi" w:eastAsia="Georgia" w:hAnsiTheme="majorBidi" w:cstheme="majorBidi"/>
                <w:color w:val="000000"/>
                <w:sz w:val="18"/>
                <w:szCs w:val="24"/>
                <w:lang w:eastAsia="en-GB"/>
              </w:rPr>
              <w:t>(KPMG, 2020)</w:t>
            </w:r>
            <w:r w:rsidRPr="005F0A67">
              <w:rPr>
                <w:rFonts w:asciiTheme="majorBidi" w:eastAsia="Tahoma" w:hAnsiTheme="majorBidi" w:cstheme="majorBidi"/>
                <w:color w:val="1A1A1A"/>
                <w:sz w:val="18"/>
                <w:szCs w:val="18"/>
                <w:lang w:val="en-CA" w:eastAsia="en-GB"/>
              </w:rPr>
              <w:fldChar w:fldCharType="end"/>
            </w:r>
            <w:r w:rsidRPr="005F0A67">
              <w:rPr>
                <w:rFonts w:asciiTheme="majorBidi" w:eastAsia="Tahoma" w:hAnsiTheme="majorBidi" w:cstheme="majorBidi"/>
                <w:color w:val="1A1A1A"/>
                <w:sz w:val="18"/>
                <w:szCs w:val="18"/>
                <w:lang w:val="en-CA" w:eastAsia="en-GB"/>
              </w:rPr>
              <w:t xml:space="preserve">; limited pass-through capacity in procurement-driven markets </w:t>
            </w:r>
            <w:r w:rsidRPr="005F0A67">
              <w:rPr>
                <w:rFonts w:asciiTheme="majorBidi" w:eastAsia="Tahoma" w:hAnsiTheme="majorBidi" w:cstheme="majorBidi"/>
                <w:color w:val="1A1A1A"/>
                <w:sz w:val="18"/>
                <w:szCs w:val="18"/>
                <w:lang w:val="en-CA" w:eastAsia="en-GB"/>
              </w:rPr>
              <w:fldChar w:fldCharType="begin"/>
            </w:r>
            <w:r w:rsidRPr="005F0A67">
              <w:rPr>
                <w:rFonts w:asciiTheme="majorBidi" w:eastAsia="Tahoma" w:hAnsiTheme="majorBidi" w:cstheme="majorBidi"/>
                <w:color w:val="1A1A1A"/>
                <w:sz w:val="18"/>
                <w:szCs w:val="18"/>
                <w:lang w:val="en-CA" w:eastAsia="en-GB"/>
              </w:rPr>
              <w:instrText xml:space="preserve"> ADDIN ZOTERO_ITEM CSL_CITATION {"citationID":"a10gav3c3k4","properties":{"unsorted":false,"formattedCitation":"(Danzon and Furukawa, 2011)","plainCitation":"(Danzon and Furukawa, 2011)","noteIndex":0},"citationItems":[{"id":160,"uris":["http://zotero.org/users/14977742/items/WRHCSRXX"],"itemData":{"id":160,"type":"article","abstract":"This paper examines the role of regulation and competition in generic markets. Generics offer large potential savings to payers and consumers of pharmaceuticals. Whether the potential savings are realized depends on the extent of generic entry and uptake and the level of generic prices. In the U.S., the regulatory, legal and incentive structures encourage prompt entry, aggressive price competition and patient switching to generics. Key features are that pharmacists are authorized and incentivized to switch patients to cheap generics. By contrast, in many other high and middle income countries, generics traditionally competed on brand rather than price because physicians rather than pharmacies are the decision-makers. Physician-driven generic markets tend to have higher generic prices and may have lower generic uptake, depending on regulations and incentives. Using IMS data to analyze generic markets in the U.S., Canada, France, Germany, U.K., Italy, Spain, Japan, Australia, Mexico, Chile, Brazil over the period 1998-2009, we estimate a three-equation model for number of generic entrants, generic prices and generic volume shares. We find little effect of originator defense strategies, significant differences between unbranded and unbranded generics, variation across countries in volume response to prices. Policy changes adopted to stimulate generic uptake and reduce generic prices have been successful in some E.U. countries.","citation-key":"danzonCrossNationalEvidenceGeneric2011","collection-title":"Working Paper Series","DOI":"10.3386/w17226","genre":"Working Paper","note":"DOI: 10.3386/w17226","number":"17226","publisher":"National Bureau of Economic Research","source":"National Bureau of Economic Research","title":"Cross-National Evidence on Generic Pharmaceuticals: Pharmacy vs. Physician-Driven Markets","title-short":"Cross-National Evidence on Generic Pharmaceuticals","URL":"https://www.nber.org/papers/w17226","author":[{"family":"Danzon","given":"Patricia M."},{"family":"Furukawa","given":"Michael F."}],"accessed":{"date-parts":[["2026",6,1]]},"issued":{"date-parts":[["2011",7]]}}}],"schema":"https://github.com/citation-style-language/schema/raw/master/csl-citation.json"} </w:instrText>
            </w:r>
            <w:r w:rsidRPr="005F0A67">
              <w:rPr>
                <w:rFonts w:asciiTheme="majorBidi" w:eastAsia="Tahoma" w:hAnsiTheme="majorBidi" w:cstheme="majorBidi"/>
                <w:color w:val="1A1A1A"/>
                <w:sz w:val="18"/>
                <w:szCs w:val="18"/>
                <w:lang w:val="en-CA" w:eastAsia="en-GB"/>
              </w:rPr>
              <w:fldChar w:fldCharType="separate"/>
            </w:r>
            <w:r w:rsidRPr="005F0A67">
              <w:rPr>
                <w:rFonts w:asciiTheme="majorBidi" w:eastAsia="Georgia" w:hAnsiTheme="majorBidi" w:cstheme="majorBidi"/>
                <w:color w:val="000000"/>
                <w:sz w:val="18"/>
                <w:szCs w:val="24"/>
                <w:lang w:eastAsia="en-GB"/>
              </w:rPr>
              <w:t>(Danzon and Furukawa, 2011)</w:t>
            </w:r>
            <w:r w:rsidRPr="005F0A67">
              <w:rPr>
                <w:rFonts w:asciiTheme="majorBidi" w:eastAsia="Tahoma" w:hAnsiTheme="majorBidi" w:cstheme="majorBidi"/>
                <w:color w:val="1A1A1A"/>
                <w:sz w:val="18"/>
                <w:szCs w:val="18"/>
                <w:lang w:val="en-CA" w:eastAsia="en-GB"/>
              </w:rPr>
              <w:fldChar w:fldCharType="end"/>
            </w:r>
            <w:r w:rsidRPr="005F0A67">
              <w:rPr>
                <w:rFonts w:asciiTheme="majorBidi" w:eastAsia="Tahoma" w:hAnsiTheme="majorBidi" w:cstheme="majorBidi"/>
                <w:color w:val="1A1A1A"/>
                <w:sz w:val="18"/>
                <w:szCs w:val="18"/>
                <w:lang w:val="en-CA" w:eastAsia="en-GB"/>
              </w:rPr>
              <w:t>. Proportionality concern amplified by all-in contribution base: generics contribute on the same financial base as innovators despite weaker DSI dependence (U12). Branded generics: revenue-base payers with stronger pricing power; lower exposure. Other conditions: rate revision; US non-Party competitor presence (U10); entity definition (U3).</w:t>
            </w:r>
          </w:p>
        </w:tc>
        <w:tc>
          <w:tcPr>
            <w:tcW w:w="431" w:type="pct"/>
            <w:tcBorders>
              <w:top w:val="single" w:sz="1" w:space="0" w:color="AAAAAA"/>
              <w:left w:val="single" w:sz="1" w:space="0" w:color="AAAAAA"/>
              <w:bottom w:val="single" w:sz="1" w:space="0" w:color="AAAAAA"/>
              <w:right w:val="single" w:sz="1" w:space="0" w:color="AAAAAA"/>
            </w:tcBorders>
            <w:shd w:val="clear" w:color="auto" w:fill="FEF9CC"/>
            <w:tcMar>
              <w:top w:w="60" w:type="dxa"/>
              <w:left w:w="100" w:type="dxa"/>
              <w:bottom w:w="60" w:type="dxa"/>
              <w:right w:w="100" w:type="dxa"/>
            </w:tcMar>
            <w:vAlign w:val="center"/>
          </w:tcPr>
          <w:p w14:paraId="7B6CDF2D"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000000"/>
                <w:sz w:val="18"/>
                <w:szCs w:val="18"/>
                <w:lang w:val="en-CA" w:eastAsia="en-GB"/>
              </w:rPr>
            </w:pPr>
            <w:r w:rsidRPr="005F0A67">
              <w:rPr>
                <w:rFonts w:asciiTheme="majorBidi" w:eastAsia="Tahoma" w:hAnsiTheme="majorBidi" w:cstheme="majorBidi"/>
                <w:b/>
                <w:bCs/>
                <w:color w:val="000000"/>
                <w:sz w:val="18"/>
                <w:szCs w:val="18"/>
                <w:lang w:val="en-CA" w:eastAsia="en-GB"/>
              </w:rPr>
              <w:t>Moderate</w:t>
            </w:r>
          </w:p>
        </w:tc>
      </w:tr>
      <w:tr w:rsidR="005F0A67" w:rsidRPr="005F0A67" w14:paraId="6B38C547" w14:textId="77777777" w:rsidTr="005F0A67">
        <w:tc>
          <w:tcPr>
            <w:tcW w:w="1210" w:type="pct"/>
            <w:vMerge/>
            <w:tcMar>
              <w:top w:w="60" w:type="dxa"/>
              <w:left w:w="100" w:type="dxa"/>
              <w:bottom w:w="60" w:type="dxa"/>
              <w:right w:w="100" w:type="dxa"/>
            </w:tcMar>
            <w:vAlign w:val="center"/>
          </w:tcPr>
          <w:p w14:paraId="0A4F6802"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p>
        </w:tc>
        <w:tc>
          <w:tcPr>
            <w:tcW w:w="542"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2355D8EA"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Biosimilars producers</w:t>
            </w:r>
          </w:p>
        </w:tc>
        <w:tc>
          <w:tcPr>
            <w:tcW w:w="425"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2F6F47B9"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Minor/Moderate</w:t>
            </w:r>
          </w:p>
        </w:tc>
        <w:tc>
          <w:tcPr>
            <w:tcW w:w="433"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5B1F5F52"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Medium</w:t>
            </w:r>
          </w:p>
        </w:tc>
        <w:tc>
          <w:tcPr>
            <w:tcW w:w="1959"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5D98A1D5"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1A1A1A"/>
                <w:sz w:val="18"/>
                <w:szCs w:val="18"/>
                <w:lang w:val="en-CA" w:eastAsia="en-GB"/>
              </w:rPr>
              <w:t xml:space="preserve">Biosimilar producers span a wide margin range: larger producers with stronger pricing power relative to reference biologics pay on revenue and face a minor burden comparable to innovators; smaller developers with thinner margins pay on profit and face proportionally higher exposure, though voluntary opt-out constrains severe outcomes for this group. Reimbursement-driven price pressure and heterogeneous </w:t>
            </w:r>
            <w:r w:rsidRPr="005F0A67">
              <w:rPr>
                <w:rFonts w:asciiTheme="majorBidi" w:eastAsia="Tahoma" w:hAnsiTheme="majorBidi" w:cstheme="majorBidi"/>
                <w:color w:val="1A1A1A"/>
                <w:sz w:val="18"/>
                <w:szCs w:val="18"/>
                <w:lang w:val="en-CA" w:eastAsia="en-GB"/>
              </w:rPr>
              <w:lastRenderedPageBreak/>
              <w:t>market conditions across jurisdictions make the contribution base difficult to characterise at the sector level. Rate revision; potential obligation stacking (U7). Low for larger producers, moderate for thin-margin producers.</w:t>
            </w:r>
          </w:p>
        </w:tc>
        <w:tc>
          <w:tcPr>
            <w:tcW w:w="431" w:type="pct"/>
            <w:tcBorders>
              <w:top w:val="single" w:sz="1" w:space="0" w:color="AAAAAA"/>
              <w:left w:val="single" w:sz="1" w:space="0" w:color="AAAAAA"/>
              <w:bottom w:val="single" w:sz="1" w:space="0" w:color="AAAAAA"/>
              <w:right w:val="single" w:sz="1" w:space="0" w:color="AAAAAA"/>
            </w:tcBorders>
            <w:shd w:val="clear" w:color="auto" w:fill="FEF9CC"/>
            <w:tcMar>
              <w:top w:w="60" w:type="dxa"/>
              <w:left w:w="100" w:type="dxa"/>
              <w:bottom w:w="60" w:type="dxa"/>
              <w:right w:w="100" w:type="dxa"/>
            </w:tcMar>
            <w:vAlign w:val="center"/>
          </w:tcPr>
          <w:p w14:paraId="43854870"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000000"/>
                <w:sz w:val="18"/>
                <w:szCs w:val="18"/>
                <w:lang w:val="en-CA" w:eastAsia="en-GB"/>
              </w:rPr>
            </w:pPr>
            <w:r w:rsidRPr="005F0A67">
              <w:rPr>
                <w:rFonts w:asciiTheme="majorBidi" w:eastAsia="Tahoma" w:hAnsiTheme="majorBidi" w:cstheme="majorBidi"/>
                <w:b/>
                <w:bCs/>
                <w:color w:val="000000"/>
                <w:sz w:val="18"/>
                <w:szCs w:val="18"/>
                <w:lang w:val="en-CA" w:eastAsia="en-GB"/>
              </w:rPr>
              <w:lastRenderedPageBreak/>
              <w:t>Low /Moderate</w:t>
            </w:r>
          </w:p>
        </w:tc>
      </w:tr>
      <w:tr w:rsidR="005F0A67" w:rsidRPr="005F0A67" w14:paraId="16D8E247" w14:textId="77777777" w:rsidTr="005F0A67">
        <w:tc>
          <w:tcPr>
            <w:tcW w:w="1210" w:type="pct"/>
            <w:vMerge w:val="restar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7BF537C4"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1F4E6B"/>
                <w:sz w:val="18"/>
                <w:szCs w:val="18"/>
                <w:lang w:val="en-CA" w:eastAsia="en-GB"/>
              </w:rPr>
            </w:pPr>
            <w:r w:rsidRPr="005F0A67">
              <w:rPr>
                <w:rFonts w:asciiTheme="majorBidi" w:eastAsia="Tahoma" w:hAnsiTheme="majorBidi" w:cstheme="majorBidi"/>
                <w:b/>
                <w:bCs/>
                <w:color w:val="1F4E6B"/>
                <w:sz w:val="18"/>
                <w:szCs w:val="18"/>
                <w:lang w:val="en-CA" w:eastAsia="en-GB"/>
              </w:rPr>
              <w:t>Cost of capital</w:t>
            </w:r>
          </w:p>
          <w:p w14:paraId="09694787"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000000"/>
                <w:sz w:val="18"/>
                <w:szCs w:val="18"/>
                <w:lang w:val="en-CA" w:eastAsia="en-GB"/>
              </w:rPr>
            </w:pPr>
            <w:r w:rsidRPr="005F0A67">
              <w:rPr>
                <w:rFonts w:asciiTheme="majorBidi" w:eastAsia="Tahoma" w:hAnsiTheme="majorBidi" w:cstheme="majorBidi"/>
                <w:color w:val="1A1A1A"/>
                <w:sz w:val="18"/>
                <w:szCs w:val="18"/>
                <w:lang w:val="en-CA" w:eastAsia="en-GB"/>
              </w:rPr>
              <w:t xml:space="preserve">Changes in cost or availability of financing from margin compression or reduced free cash flow. Large well-capitalised firms are least responsive to profit-burden changes of higher magnitude (see Section </w:t>
            </w:r>
            <w:r w:rsidRPr="005F0A67">
              <w:rPr>
                <w:rFonts w:asciiTheme="majorBidi" w:eastAsia="Tahoma" w:hAnsiTheme="majorBidi" w:cstheme="majorBidi"/>
                <w:color w:val="1A1A1A"/>
                <w:sz w:val="18"/>
                <w:szCs w:val="18"/>
                <w:lang w:val="en-CA" w:eastAsia="en-GB"/>
              </w:rPr>
              <w:fldChar w:fldCharType="begin"/>
            </w:r>
            <w:r w:rsidRPr="005F0A67">
              <w:rPr>
                <w:rFonts w:asciiTheme="majorBidi" w:eastAsia="Tahoma" w:hAnsiTheme="majorBidi" w:cstheme="majorBidi"/>
                <w:color w:val="1A1A1A"/>
                <w:sz w:val="18"/>
                <w:szCs w:val="18"/>
                <w:lang w:val="en-CA" w:eastAsia="en-GB"/>
              </w:rPr>
              <w:instrText xml:space="preserve"> REF _Ref231121284 \r \h  \* MERGEFORMAT </w:instrText>
            </w:r>
            <w:r w:rsidRPr="005F0A67">
              <w:rPr>
                <w:rFonts w:asciiTheme="majorBidi" w:eastAsia="Tahoma" w:hAnsiTheme="majorBidi" w:cstheme="majorBidi"/>
                <w:color w:val="1A1A1A"/>
                <w:sz w:val="18"/>
                <w:szCs w:val="18"/>
                <w:lang w:val="en-CA" w:eastAsia="en-GB"/>
              </w:rPr>
            </w:r>
            <w:r w:rsidRPr="005F0A67">
              <w:rPr>
                <w:rFonts w:asciiTheme="majorBidi" w:eastAsia="Tahoma" w:hAnsiTheme="majorBidi" w:cstheme="majorBidi"/>
                <w:color w:val="1A1A1A"/>
                <w:sz w:val="18"/>
                <w:szCs w:val="18"/>
                <w:lang w:val="en-CA" w:eastAsia="en-GB"/>
              </w:rPr>
              <w:fldChar w:fldCharType="separate"/>
            </w:r>
            <w:r w:rsidRPr="005F0A67">
              <w:rPr>
                <w:rFonts w:asciiTheme="majorBidi" w:eastAsia="Tahoma" w:hAnsiTheme="majorBidi" w:cstheme="majorBidi"/>
                <w:color w:val="1A1A1A"/>
                <w:sz w:val="18"/>
                <w:szCs w:val="18"/>
                <w:lang w:val="en-CA" w:eastAsia="en-GB"/>
              </w:rPr>
              <w:t>7.4</w:t>
            </w:r>
            <w:r w:rsidRPr="005F0A67">
              <w:rPr>
                <w:rFonts w:asciiTheme="majorBidi" w:eastAsia="Tahoma" w:hAnsiTheme="majorBidi" w:cstheme="majorBidi"/>
                <w:color w:val="1A1A1A"/>
                <w:sz w:val="18"/>
                <w:szCs w:val="18"/>
                <w:lang w:val="en-CA" w:eastAsia="en-GB"/>
              </w:rPr>
              <w:fldChar w:fldCharType="end"/>
            </w:r>
            <w:r w:rsidRPr="005F0A67">
              <w:rPr>
                <w:rFonts w:asciiTheme="majorBidi" w:eastAsia="Tahoma" w:hAnsiTheme="majorBidi" w:cstheme="majorBidi"/>
                <w:color w:val="1A1A1A"/>
                <w:sz w:val="18"/>
                <w:szCs w:val="18"/>
                <w:lang w:val="en-CA" w:eastAsia="en-GB"/>
              </w:rPr>
              <w:t xml:space="preserve">). </w:t>
            </w:r>
            <w:bookmarkStart w:id="188" w:name="_Int_flDsWiHr"/>
            <w:r w:rsidRPr="005F0A67">
              <w:rPr>
                <w:rFonts w:asciiTheme="majorBidi" w:eastAsia="Tahoma" w:hAnsiTheme="majorBidi" w:cstheme="majorBidi"/>
                <w:color w:val="1A1A1A"/>
                <w:sz w:val="18"/>
                <w:szCs w:val="18"/>
                <w:lang w:val="en-CA" w:eastAsia="en-GB"/>
              </w:rPr>
              <w:t>Voluntary</w:t>
            </w:r>
            <w:bookmarkEnd w:id="188"/>
            <w:r w:rsidRPr="005F0A67">
              <w:rPr>
                <w:rFonts w:asciiTheme="majorBidi" w:eastAsia="Tahoma" w:hAnsiTheme="majorBidi" w:cstheme="majorBidi"/>
                <w:color w:val="1A1A1A"/>
                <w:sz w:val="18"/>
                <w:szCs w:val="18"/>
                <w:lang w:val="en-CA" w:eastAsia="en-GB"/>
              </w:rPr>
              <w:t xml:space="preserve"> opt-out constrains severe outcomes.</w:t>
            </w:r>
          </w:p>
        </w:tc>
        <w:tc>
          <w:tcPr>
            <w:tcW w:w="542"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26E9BA1F"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Pharmaceuticals innovators</w:t>
            </w:r>
          </w:p>
        </w:tc>
        <w:tc>
          <w:tcPr>
            <w:tcW w:w="425"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6F95F3F3"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Minor</w:t>
            </w:r>
          </w:p>
        </w:tc>
        <w:tc>
          <w:tcPr>
            <w:tcW w:w="433"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66BCB66C"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Low</w:t>
            </w:r>
          </w:p>
        </w:tc>
        <w:tc>
          <w:tcPr>
            <w:tcW w:w="1959"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70AF44E4"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 xml:space="preserve">Large well-capitalised firms least sensitive </w:t>
            </w:r>
            <w:r w:rsidRPr="005F0A67">
              <w:rPr>
                <w:rFonts w:asciiTheme="majorBidi" w:eastAsia="Tahoma" w:hAnsiTheme="majorBidi" w:cstheme="majorBidi"/>
                <w:color w:val="000000"/>
                <w:sz w:val="18"/>
                <w:szCs w:val="18"/>
                <w:lang w:val="en-CA" w:eastAsia="en-GB"/>
              </w:rPr>
              <w:fldChar w:fldCharType="begin"/>
            </w:r>
            <w:r w:rsidRPr="005F0A67">
              <w:rPr>
                <w:rFonts w:asciiTheme="majorBidi" w:eastAsia="Tahoma" w:hAnsiTheme="majorBidi" w:cstheme="majorBidi"/>
                <w:color w:val="000000"/>
                <w:sz w:val="18"/>
                <w:szCs w:val="18"/>
                <w:lang w:val="en-CA" w:eastAsia="en-GB"/>
              </w:rPr>
              <w:instrText xml:space="preserve"> ADDIN ZOTERO_ITEM CSL_CITATION {"citationID":"ao2t8jdvam","properties":{"unsorted":false,"formattedCitation":"(Coles {\\i{}et al.}, 2022)","plainCitation":"(Coles et al., 2022)","noteIndex":0},"citationItems":[{"id":191,"uris":["http://zotero.org/users/14977742/items/VRWB7KZS"],"itemData":{"id":191,"type":"article-journal","abstract":"Using a novel empirical approach and newly available administrative data on U.S. tax filings, we estimate the corporate elasticity of taxable income, decompose the elasticity into economic responses versus other tax-motivated “accounting” transactions, and determine how responsiveness varies depending on accounting method, firm size, and interest rate. In response to a 10% increase in the expected marginal tax rate, private U.S. firms decrease taxable income by 9.1%, which indicates a discernibly more elastic response than prevailing estimates. This response reflects a decrease in taxable income of 3.0% arising from real economic responses to a firm's scale of operations and 6.1% arising from accounting transactions via (for example) revenue and expense timing. Responsiveness to the corporate tax rate is more elastic if a firm uses cash (9.9%) rather than accrual accounting (7.4%), if the firm is small (9.9%) rather than large (8.6%), and if the firm discounts future cash flows at a lower rate.","citation-key":"colesHowFirmsRespond2022","container-title":"Journal of Accounting Research","DOI":"10.1111/1475-679X.12405","ISSN":"1475-679X","issue":"3","language":"en","note":"_eprint: https://onlinelibrary.wiley.com/doi/pdf/10.1111/1475-679X.12405","page":"965-1006","source":"Wiley Online Library","title":"How Do Firms Respond to Corporate Taxes?","volume":"60","author":[{"family":"Coles","given":"Jeffrey L."},{"family":"Pa℡","given":"Elena"},{"family":"Seegert","given":"Nathan"},{"family":"Smith","given":"Matthew"}],"issued":{"date-parts":[["2022"]]}}}],"schema":"https://github.com/citation-style-language/schema/raw/master/csl-citation.json"} </w:instrText>
            </w:r>
            <w:r w:rsidRPr="005F0A67">
              <w:rPr>
                <w:rFonts w:asciiTheme="majorBidi" w:eastAsia="Tahoma" w:hAnsiTheme="majorBidi" w:cstheme="majorBidi"/>
                <w:color w:val="000000"/>
                <w:sz w:val="18"/>
                <w:szCs w:val="18"/>
                <w:lang w:val="en-CA" w:eastAsia="en-GB"/>
              </w:rPr>
              <w:fldChar w:fldCharType="separate"/>
            </w:r>
            <w:r w:rsidRPr="005F0A67">
              <w:rPr>
                <w:rFonts w:asciiTheme="majorBidi" w:eastAsia="Georgia" w:hAnsiTheme="majorBidi" w:cstheme="majorBidi"/>
                <w:color w:val="000000"/>
                <w:sz w:val="18"/>
                <w:szCs w:val="24"/>
                <w:lang w:eastAsia="en-GB"/>
              </w:rPr>
              <w:t xml:space="preserve">(Coles </w:t>
            </w:r>
            <w:r w:rsidRPr="005F0A67">
              <w:rPr>
                <w:rFonts w:asciiTheme="majorBidi" w:eastAsia="Georgia" w:hAnsiTheme="majorBidi" w:cstheme="majorBidi"/>
                <w:i/>
                <w:iCs/>
                <w:color w:val="000000"/>
                <w:sz w:val="18"/>
                <w:szCs w:val="24"/>
                <w:lang w:eastAsia="en-GB"/>
              </w:rPr>
              <w:t>et al.</w:t>
            </w:r>
            <w:r w:rsidRPr="005F0A67">
              <w:rPr>
                <w:rFonts w:asciiTheme="majorBidi" w:eastAsia="Georgia" w:hAnsiTheme="majorBidi" w:cstheme="majorBidi"/>
                <w:color w:val="000000"/>
                <w:sz w:val="18"/>
                <w:szCs w:val="24"/>
                <w:lang w:eastAsia="en-GB"/>
              </w:rPr>
              <w:t>, 2022)</w:t>
            </w:r>
            <w:r w:rsidRPr="005F0A67">
              <w:rPr>
                <w:rFonts w:asciiTheme="majorBidi" w:eastAsia="Tahoma" w:hAnsiTheme="majorBidi" w:cstheme="majorBidi"/>
                <w:color w:val="000000"/>
                <w:sz w:val="18"/>
                <w:szCs w:val="18"/>
                <w:lang w:val="en-CA" w:eastAsia="en-GB"/>
              </w:rPr>
              <w:fldChar w:fldCharType="end"/>
            </w:r>
            <w:r w:rsidRPr="005F0A67">
              <w:rPr>
                <w:rFonts w:asciiTheme="majorBidi" w:eastAsia="Tahoma" w:hAnsiTheme="majorBidi" w:cstheme="majorBidi"/>
                <w:color w:val="000000"/>
                <w:sz w:val="18"/>
                <w:szCs w:val="18"/>
                <w:lang w:val="en-CA" w:eastAsia="en-GB"/>
              </w:rPr>
              <w:t xml:space="preserve">; </w:t>
            </w:r>
            <w:r w:rsidRPr="005F0A67">
              <w:rPr>
                <w:rFonts w:asciiTheme="majorBidi" w:eastAsia="Tahoma" w:hAnsiTheme="majorBidi" w:cstheme="majorBidi"/>
                <w:color w:val="1A1A1A"/>
                <w:sz w:val="18"/>
                <w:szCs w:val="18"/>
                <w:lang w:val="en-CA" w:eastAsia="en-GB"/>
              </w:rPr>
              <w:t>high margins (35-55%) provide buffer</w:t>
            </w:r>
            <w:r w:rsidRPr="005F0A67">
              <w:rPr>
                <w:rFonts w:asciiTheme="majorBidi" w:eastAsia="Tahoma" w:hAnsiTheme="majorBidi" w:cstheme="majorBidi"/>
                <w:color w:val="000000"/>
                <w:sz w:val="18"/>
                <w:szCs w:val="18"/>
                <w:lang w:val="en-CA" w:eastAsia="en-GB"/>
              </w:rPr>
              <w:t xml:space="preserve"> </w:t>
            </w:r>
          </w:p>
        </w:tc>
        <w:tc>
          <w:tcPr>
            <w:tcW w:w="431" w:type="pct"/>
            <w:tcBorders>
              <w:top w:val="single" w:sz="1" w:space="0" w:color="AAAAAA"/>
              <w:left w:val="single" w:sz="1" w:space="0" w:color="AAAAAA"/>
              <w:bottom w:val="single" w:sz="1" w:space="0" w:color="AAAAAA"/>
              <w:right w:val="single" w:sz="1" w:space="0" w:color="AAAAAA"/>
            </w:tcBorders>
            <w:shd w:val="clear" w:color="auto" w:fill="D9F2D0"/>
            <w:tcMar>
              <w:top w:w="60" w:type="dxa"/>
              <w:left w:w="100" w:type="dxa"/>
              <w:bottom w:w="60" w:type="dxa"/>
              <w:right w:w="100" w:type="dxa"/>
            </w:tcMar>
            <w:vAlign w:val="center"/>
          </w:tcPr>
          <w:p w14:paraId="0EF2E21B"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000000"/>
                <w:sz w:val="18"/>
                <w:szCs w:val="18"/>
                <w:lang w:val="en-CA" w:eastAsia="en-GB"/>
              </w:rPr>
            </w:pPr>
            <w:r w:rsidRPr="005F0A67">
              <w:rPr>
                <w:rFonts w:asciiTheme="majorBidi" w:eastAsia="Tahoma" w:hAnsiTheme="majorBidi" w:cstheme="majorBidi"/>
                <w:b/>
                <w:bCs/>
                <w:color w:val="000000"/>
                <w:sz w:val="18"/>
                <w:szCs w:val="18"/>
                <w:lang w:val="en-CA" w:eastAsia="en-GB"/>
              </w:rPr>
              <w:t>Low</w:t>
            </w:r>
          </w:p>
        </w:tc>
      </w:tr>
      <w:tr w:rsidR="005F0A67" w:rsidRPr="005F0A67" w14:paraId="29A0963E" w14:textId="77777777" w:rsidTr="005F0A67">
        <w:tc>
          <w:tcPr>
            <w:tcW w:w="1210" w:type="pct"/>
            <w:vMerge/>
            <w:tcMar>
              <w:top w:w="60" w:type="dxa"/>
              <w:left w:w="100" w:type="dxa"/>
              <w:bottom w:w="60" w:type="dxa"/>
              <w:right w:w="100" w:type="dxa"/>
            </w:tcMar>
            <w:vAlign w:val="center"/>
          </w:tcPr>
          <w:p w14:paraId="196D87AD"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000000"/>
                <w:sz w:val="18"/>
                <w:szCs w:val="18"/>
                <w:lang w:val="en-CA" w:eastAsia="en-GB"/>
              </w:rPr>
            </w:pPr>
          </w:p>
        </w:tc>
        <w:tc>
          <w:tcPr>
            <w:tcW w:w="542"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19FAAF13"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Generics producers</w:t>
            </w:r>
          </w:p>
        </w:tc>
        <w:tc>
          <w:tcPr>
            <w:tcW w:w="425"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411B1A5C"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Minor</w:t>
            </w:r>
          </w:p>
        </w:tc>
        <w:tc>
          <w:tcPr>
            <w:tcW w:w="433"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47CF0693"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Low</w:t>
            </w:r>
          </w:p>
        </w:tc>
        <w:tc>
          <w:tcPr>
            <w:tcW w:w="1959"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6C3C165B"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1A1A1A"/>
                <w:sz w:val="18"/>
                <w:szCs w:val="18"/>
                <w:lang w:val="en-CA" w:eastAsia="en-GB"/>
              </w:rPr>
              <w:t xml:space="preserve">Unbranded generics more constrained given thin margins; branded generics less exposed. </w:t>
            </w:r>
          </w:p>
        </w:tc>
        <w:tc>
          <w:tcPr>
            <w:tcW w:w="431" w:type="pct"/>
            <w:tcBorders>
              <w:top w:val="single" w:sz="1" w:space="0" w:color="AAAAAA"/>
              <w:left w:val="single" w:sz="1" w:space="0" w:color="AAAAAA"/>
              <w:bottom w:val="single" w:sz="1" w:space="0" w:color="AAAAAA"/>
              <w:right w:val="single" w:sz="1" w:space="0" w:color="AAAAAA"/>
            </w:tcBorders>
            <w:shd w:val="clear" w:color="auto" w:fill="D9F2D0"/>
            <w:tcMar>
              <w:top w:w="60" w:type="dxa"/>
              <w:left w:w="100" w:type="dxa"/>
              <w:bottom w:w="60" w:type="dxa"/>
              <w:right w:w="100" w:type="dxa"/>
            </w:tcMar>
            <w:vAlign w:val="center"/>
          </w:tcPr>
          <w:p w14:paraId="5832A2E8"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000000"/>
                <w:sz w:val="18"/>
                <w:szCs w:val="18"/>
                <w:lang w:val="en-CA" w:eastAsia="en-GB"/>
              </w:rPr>
            </w:pPr>
            <w:r w:rsidRPr="005F0A67">
              <w:rPr>
                <w:rFonts w:asciiTheme="majorBidi" w:eastAsia="Tahoma" w:hAnsiTheme="majorBidi" w:cstheme="majorBidi"/>
                <w:b/>
                <w:bCs/>
                <w:color w:val="000000"/>
                <w:sz w:val="18"/>
                <w:szCs w:val="18"/>
                <w:lang w:val="en-CA" w:eastAsia="en-GB"/>
              </w:rPr>
              <w:t>Low</w:t>
            </w:r>
          </w:p>
        </w:tc>
      </w:tr>
      <w:tr w:rsidR="005F0A67" w:rsidRPr="005F0A67" w14:paraId="2E49241D" w14:textId="77777777" w:rsidTr="005F0A67">
        <w:tc>
          <w:tcPr>
            <w:tcW w:w="1210" w:type="pct"/>
            <w:vMerge/>
            <w:tcMar>
              <w:top w:w="60" w:type="dxa"/>
              <w:left w:w="100" w:type="dxa"/>
              <w:bottom w:w="60" w:type="dxa"/>
              <w:right w:w="100" w:type="dxa"/>
            </w:tcMar>
            <w:vAlign w:val="center"/>
          </w:tcPr>
          <w:p w14:paraId="10B09AF3"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p>
        </w:tc>
        <w:tc>
          <w:tcPr>
            <w:tcW w:w="542"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62350842"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Biosimilars producers</w:t>
            </w:r>
          </w:p>
        </w:tc>
        <w:tc>
          <w:tcPr>
            <w:tcW w:w="425"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278ABDB8"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1A1A1A"/>
                <w:sz w:val="18"/>
                <w:szCs w:val="18"/>
                <w:lang w:val="en-CA" w:eastAsia="en-GB"/>
              </w:rPr>
              <w:t>Minor</w:t>
            </w:r>
          </w:p>
        </w:tc>
        <w:tc>
          <w:tcPr>
            <w:tcW w:w="433"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109D0B59"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1A1A1A"/>
                <w:sz w:val="18"/>
                <w:szCs w:val="18"/>
                <w:lang w:val="en-CA" w:eastAsia="en-GB"/>
              </w:rPr>
              <w:t>Low</w:t>
            </w:r>
          </w:p>
        </w:tc>
        <w:tc>
          <w:tcPr>
            <w:tcW w:w="1959"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73C8FE17"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1A1A1A"/>
                <w:sz w:val="18"/>
                <w:szCs w:val="18"/>
                <w:lang w:val="en-CA" w:eastAsia="en-GB"/>
              </w:rPr>
              <w:t>Smaller biosimilar developers with high fixed development costs and limited retained earnings face somewhat higher exposure within this Low assessment.</w:t>
            </w:r>
          </w:p>
        </w:tc>
        <w:tc>
          <w:tcPr>
            <w:tcW w:w="431" w:type="pct"/>
            <w:tcBorders>
              <w:top w:val="single" w:sz="1" w:space="0" w:color="AAAAAA"/>
              <w:left w:val="single" w:sz="1" w:space="0" w:color="AAAAAA"/>
              <w:bottom w:val="single" w:sz="1" w:space="0" w:color="AAAAAA"/>
              <w:right w:val="single" w:sz="1" w:space="0" w:color="AAAAAA"/>
            </w:tcBorders>
            <w:shd w:val="clear" w:color="auto" w:fill="D9F2D0"/>
            <w:tcMar>
              <w:top w:w="60" w:type="dxa"/>
              <w:left w:w="100" w:type="dxa"/>
              <w:bottom w:w="60" w:type="dxa"/>
              <w:right w:w="100" w:type="dxa"/>
            </w:tcMar>
            <w:vAlign w:val="center"/>
          </w:tcPr>
          <w:p w14:paraId="00C8B15E"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000000"/>
                <w:sz w:val="18"/>
                <w:szCs w:val="18"/>
                <w:lang w:val="en-CA" w:eastAsia="en-GB"/>
              </w:rPr>
            </w:pPr>
            <w:r w:rsidRPr="005F0A67">
              <w:rPr>
                <w:rFonts w:asciiTheme="majorBidi" w:eastAsia="Tahoma" w:hAnsiTheme="majorBidi" w:cstheme="majorBidi"/>
                <w:b/>
                <w:bCs/>
                <w:color w:val="000000"/>
                <w:sz w:val="18"/>
                <w:szCs w:val="18"/>
                <w:lang w:val="en-CA" w:eastAsia="en-GB"/>
              </w:rPr>
              <w:t>Low</w:t>
            </w:r>
          </w:p>
        </w:tc>
      </w:tr>
      <w:tr w:rsidR="005F0A67" w:rsidRPr="005F0A67" w14:paraId="052EEBD3" w14:textId="77777777" w:rsidTr="005F0A67">
        <w:tc>
          <w:tcPr>
            <w:tcW w:w="1210" w:type="pct"/>
            <w:vMerge w:val="restar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46FB3285"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1F4E6B"/>
                <w:sz w:val="18"/>
                <w:szCs w:val="18"/>
                <w:lang w:val="en-CA" w:eastAsia="en-GB"/>
              </w:rPr>
            </w:pPr>
            <w:r w:rsidRPr="005F0A67">
              <w:rPr>
                <w:rFonts w:asciiTheme="majorBidi" w:eastAsia="Tahoma" w:hAnsiTheme="majorBidi" w:cstheme="majorBidi"/>
                <w:b/>
                <w:bCs/>
                <w:color w:val="1F4E6B"/>
                <w:sz w:val="18"/>
                <w:szCs w:val="18"/>
                <w:lang w:val="en-CA" w:eastAsia="en-GB"/>
              </w:rPr>
              <w:t>Cost of intermediate consumption</w:t>
            </w:r>
          </w:p>
          <w:p w14:paraId="2DCDF052"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000000"/>
                <w:sz w:val="18"/>
                <w:szCs w:val="18"/>
                <w:lang w:val="en-CA" w:eastAsia="en-GB"/>
              </w:rPr>
            </w:pPr>
            <w:r w:rsidRPr="005F0A67">
              <w:rPr>
                <w:rFonts w:asciiTheme="majorBidi" w:eastAsia="Tahoma" w:hAnsiTheme="majorBidi" w:cstheme="majorBidi"/>
                <w:color w:val="1A1A1A"/>
                <w:sz w:val="18"/>
                <w:szCs w:val="18"/>
                <w:lang w:val="en-CA" w:eastAsia="en-GB"/>
              </w:rPr>
              <w:t>Indirect cost increase if laboratory equipment firms pass Cali Fund contributions forward via input pricing. Materialises only where upstream firms participate and do not absorb the contribution.</w:t>
            </w:r>
          </w:p>
        </w:tc>
        <w:tc>
          <w:tcPr>
            <w:tcW w:w="542"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50894D69"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Pharmaceuticals innovators</w:t>
            </w:r>
          </w:p>
        </w:tc>
        <w:tc>
          <w:tcPr>
            <w:tcW w:w="425"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3E6B83E5"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Minor</w:t>
            </w:r>
          </w:p>
        </w:tc>
        <w:tc>
          <w:tcPr>
            <w:tcW w:w="433"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3DAFBE5C"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Low</w:t>
            </w:r>
          </w:p>
        </w:tc>
        <w:tc>
          <w:tcPr>
            <w:tcW w:w="1959"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1A26A4EB"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1A1A1A"/>
                <w:sz w:val="18"/>
                <w:szCs w:val="18"/>
                <w:lang w:val="en-CA" w:eastAsia="en-GB"/>
              </w:rPr>
              <w:t>Dependent on laboratory equipment sector participation and pass-on behaviour; direct vs indirect use boundary (U4) affecting laboratory equipment eligibility.</w:t>
            </w:r>
          </w:p>
        </w:tc>
        <w:tc>
          <w:tcPr>
            <w:tcW w:w="431" w:type="pct"/>
            <w:tcBorders>
              <w:top w:val="single" w:sz="1" w:space="0" w:color="AAAAAA"/>
              <w:left w:val="single" w:sz="1" w:space="0" w:color="AAAAAA"/>
              <w:bottom w:val="single" w:sz="1" w:space="0" w:color="AAAAAA"/>
              <w:right w:val="single" w:sz="1" w:space="0" w:color="AAAAAA"/>
            </w:tcBorders>
            <w:shd w:val="clear" w:color="auto" w:fill="D9F2D0"/>
            <w:tcMar>
              <w:top w:w="60" w:type="dxa"/>
              <w:left w:w="100" w:type="dxa"/>
              <w:bottom w:w="60" w:type="dxa"/>
              <w:right w:w="100" w:type="dxa"/>
            </w:tcMar>
            <w:vAlign w:val="center"/>
          </w:tcPr>
          <w:p w14:paraId="57918883"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000000"/>
                <w:sz w:val="18"/>
                <w:szCs w:val="18"/>
                <w:lang w:val="en-CA" w:eastAsia="en-GB"/>
              </w:rPr>
            </w:pPr>
            <w:r w:rsidRPr="005F0A67">
              <w:rPr>
                <w:rFonts w:asciiTheme="majorBidi" w:eastAsia="Tahoma" w:hAnsiTheme="majorBidi" w:cstheme="majorBidi"/>
                <w:b/>
                <w:bCs/>
                <w:color w:val="000000"/>
                <w:sz w:val="18"/>
                <w:szCs w:val="18"/>
                <w:lang w:val="en-CA" w:eastAsia="en-GB"/>
              </w:rPr>
              <w:t>Low</w:t>
            </w:r>
          </w:p>
        </w:tc>
      </w:tr>
      <w:tr w:rsidR="005F0A67" w:rsidRPr="005F0A67" w14:paraId="7174462F" w14:textId="77777777" w:rsidTr="005F0A67">
        <w:tc>
          <w:tcPr>
            <w:tcW w:w="1210" w:type="pct"/>
            <w:vMerge/>
            <w:tcMar>
              <w:top w:w="60" w:type="dxa"/>
              <w:left w:w="100" w:type="dxa"/>
              <w:bottom w:w="60" w:type="dxa"/>
              <w:right w:w="100" w:type="dxa"/>
            </w:tcMar>
            <w:vAlign w:val="center"/>
          </w:tcPr>
          <w:p w14:paraId="7419B625"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000000"/>
                <w:sz w:val="18"/>
                <w:szCs w:val="18"/>
                <w:lang w:val="en-CA" w:eastAsia="en-GB"/>
              </w:rPr>
            </w:pPr>
          </w:p>
        </w:tc>
        <w:tc>
          <w:tcPr>
            <w:tcW w:w="542"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196DA7FF"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Generics producers</w:t>
            </w:r>
          </w:p>
        </w:tc>
        <w:tc>
          <w:tcPr>
            <w:tcW w:w="425"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1ED2B389"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Minor</w:t>
            </w:r>
          </w:p>
        </w:tc>
        <w:tc>
          <w:tcPr>
            <w:tcW w:w="433"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143E56B4"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Low</w:t>
            </w:r>
          </w:p>
        </w:tc>
        <w:tc>
          <w:tcPr>
            <w:tcW w:w="1959"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3690F941"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1A1A1A"/>
                <w:sz w:val="18"/>
                <w:szCs w:val="18"/>
                <w:lang w:val="en-CA" w:eastAsia="en-GB"/>
              </w:rPr>
              <w:t xml:space="preserve">Weaker supply chain link to sequencing and laboratory equipment given downstream position in innovation system </w:t>
            </w:r>
            <w:r w:rsidRPr="005F0A67">
              <w:rPr>
                <w:rFonts w:asciiTheme="majorBidi" w:eastAsia="Tahoma" w:hAnsiTheme="majorBidi" w:cstheme="majorBidi"/>
                <w:color w:val="1A1A1A"/>
                <w:sz w:val="18"/>
                <w:szCs w:val="18"/>
                <w:lang w:val="en-CA" w:eastAsia="en-GB"/>
              </w:rPr>
              <w:fldChar w:fldCharType="begin"/>
            </w:r>
            <w:r w:rsidRPr="005F0A67">
              <w:rPr>
                <w:rFonts w:asciiTheme="majorBidi" w:eastAsia="Tahoma" w:hAnsiTheme="majorBidi" w:cstheme="majorBidi"/>
                <w:color w:val="1A1A1A"/>
                <w:sz w:val="18"/>
                <w:szCs w:val="18"/>
                <w:lang w:val="en-CA" w:eastAsia="en-GB"/>
              </w:rPr>
              <w:instrText xml:space="preserve"> ADDIN ZOTERO_ITEM CSL_CITATION {"citationID":"anki3c27qn","properties":{"unsorted":false,"formattedCitation":"(Hiemstra, Brink and Hintum, 2019)","plainCitation":"(Hiemstra, Brink and Hintum, 2019)","noteIndex":0},"citationItems":[{"id":155,"uris":["http://zotero.org/users/14977742/items/BMLGDDJC"],"itemData":{"id":155,"type":"article-journal","citation-key":"hiemstraDigitalSequenceInformation2019","DOI":"10.18174/470286","language":"English","publisher":"CGN","source":"research.wur.nl","title":"Digital Sequence Information (DSI): Options and impact of regulating access and benefit sharing - stakeholder perspectives","title-short":"Digital Sequence Information (DSI)","URL":"https://research.wur.nl/en/publications/digital-sequence-information-dsi-options-and-impact-of-regulating/","author":[{"family":"Hiemstra","given":"Sipke Joost"},{"family":"Brink","given":"Martin"},{"family":"Hintum","given":"Theo","dropping-particle":"van"}],"accessed":{"date-parts":[["2026",6,1]]},"issued":{"date-parts":[["2019"]]}}}],"schema":"https://github.com/citation-style-language/schema/raw/master/csl-citation.json"} </w:instrText>
            </w:r>
            <w:r w:rsidRPr="005F0A67">
              <w:rPr>
                <w:rFonts w:asciiTheme="majorBidi" w:eastAsia="Tahoma" w:hAnsiTheme="majorBidi" w:cstheme="majorBidi"/>
                <w:color w:val="1A1A1A"/>
                <w:sz w:val="18"/>
                <w:szCs w:val="18"/>
                <w:lang w:val="en-CA" w:eastAsia="en-GB"/>
              </w:rPr>
              <w:fldChar w:fldCharType="separate"/>
            </w:r>
            <w:r w:rsidRPr="005F0A67">
              <w:rPr>
                <w:rFonts w:asciiTheme="majorBidi" w:eastAsia="Georgia" w:hAnsiTheme="majorBidi" w:cstheme="majorBidi"/>
                <w:color w:val="000000"/>
                <w:sz w:val="18"/>
                <w:szCs w:val="24"/>
                <w:lang w:eastAsia="en-GB"/>
              </w:rPr>
              <w:t>(Hiemstra, Brink and Hintum, 2019)</w:t>
            </w:r>
            <w:r w:rsidRPr="005F0A67">
              <w:rPr>
                <w:rFonts w:asciiTheme="majorBidi" w:eastAsia="Tahoma" w:hAnsiTheme="majorBidi" w:cstheme="majorBidi"/>
                <w:color w:val="1A1A1A"/>
                <w:sz w:val="18"/>
                <w:szCs w:val="18"/>
                <w:lang w:val="en-CA" w:eastAsia="en-GB"/>
              </w:rPr>
              <w:fldChar w:fldCharType="end"/>
            </w:r>
            <w:r w:rsidRPr="005F0A67">
              <w:rPr>
                <w:rFonts w:asciiTheme="majorBidi" w:eastAsia="Tahoma" w:hAnsiTheme="majorBidi" w:cstheme="majorBidi"/>
                <w:color w:val="1A1A1A"/>
                <w:sz w:val="18"/>
                <w:szCs w:val="18"/>
                <w:lang w:val="en-CA" w:eastAsia="en-GB"/>
              </w:rPr>
              <w:t>; direct vs indirect use boundary (U4).</w:t>
            </w:r>
          </w:p>
        </w:tc>
        <w:tc>
          <w:tcPr>
            <w:tcW w:w="431" w:type="pct"/>
            <w:tcBorders>
              <w:top w:val="single" w:sz="1" w:space="0" w:color="AAAAAA"/>
              <w:left w:val="single" w:sz="1" w:space="0" w:color="AAAAAA"/>
              <w:bottom w:val="single" w:sz="1" w:space="0" w:color="AAAAAA"/>
              <w:right w:val="single" w:sz="1" w:space="0" w:color="AAAAAA"/>
            </w:tcBorders>
            <w:shd w:val="clear" w:color="auto" w:fill="D9F2D0"/>
            <w:tcMar>
              <w:top w:w="60" w:type="dxa"/>
              <w:left w:w="100" w:type="dxa"/>
              <w:bottom w:w="60" w:type="dxa"/>
              <w:right w:w="100" w:type="dxa"/>
            </w:tcMar>
            <w:vAlign w:val="center"/>
          </w:tcPr>
          <w:p w14:paraId="72B6FF7D"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000000"/>
                <w:sz w:val="18"/>
                <w:szCs w:val="18"/>
                <w:lang w:val="en-CA" w:eastAsia="en-GB"/>
              </w:rPr>
            </w:pPr>
            <w:r w:rsidRPr="005F0A67">
              <w:rPr>
                <w:rFonts w:asciiTheme="majorBidi" w:eastAsia="Tahoma" w:hAnsiTheme="majorBidi" w:cstheme="majorBidi"/>
                <w:b/>
                <w:bCs/>
                <w:color w:val="000000"/>
                <w:sz w:val="18"/>
                <w:szCs w:val="18"/>
                <w:lang w:val="en-CA" w:eastAsia="en-GB"/>
              </w:rPr>
              <w:t>Low</w:t>
            </w:r>
          </w:p>
        </w:tc>
      </w:tr>
      <w:tr w:rsidR="005F0A67" w:rsidRPr="005F0A67" w14:paraId="32B8F128" w14:textId="77777777" w:rsidTr="005F0A67">
        <w:tc>
          <w:tcPr>
            <w:tcW w:w="1210" w:type="pct"/>
            <w:vMerge/>
            <w:tcMar>
              <w:top w:w="60" w:type="dxa"/>
              <w:left w:w="100" w:type="dxa"/>
              <w:bottom w:w="60" w:type="dxa"/>
              <w:right w:w="100" w:type="dxa"/>
            </w:tcMar>
            <w:vAlign w:val="center"/>
          </w:tcPr>
          <w:p w14:paraId="14B568F2"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000000"/>
                <w:sz w:val="18"/>
                <w:szCs w:val="18"/>
                <w:lang w:val="en-CA" w:eastAsia="en-GB"/>
              </w:rPr>
            </w:pPr>
          </w:p>
        </w:tc>
        <w:tc>
          <w:tcPr>
            <w:tcW w:w="542"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0E87C6BC"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Biosimilars producers</w:t>
            </w:r>
          </w:p>
        </w:tc>
        <w:tc>
          <w:tcPr>
            <w:tcW w:w="425"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09DFE454"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1A1A1A"/>
                <w:sz w:val="18"/>
                <w:szCs w:val="18"/>
                <w:lang w:val="en-CA" w:eastAsia="en-GB"/>
              </w:rPr>
              <w:t>Minor</w:t>
            </w:r>
          </w:p>
        </w:tc>
        <w:tc>
          <w:tcPr>
            <w:tcW w:w="433"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6D472FAC"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Low</w:t>
            </w:r>
          </w:p>
        </w:tc>
        <w:tc>
          <w:tcPr>
            <w:tcW w:w="1959"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5EFCCC6C"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1A1A1A"/>
                <w:sz w:val="18"/>
                <w:szCs w:val="18"/>
                <w:lang w:val="en-CA" w:eastAsia="en-GB"/>
              </w:rPr>
              <w:t>Sequence-based structural characterisation creates some laboratory equipment dependency; direct vs indirect use boundary (U4).</w:t>
            </w:r>
          </w:p>
        </w:tc>
        <w:tc>
          <w:tcPr>
            <w:tcW w:w="431" w:type="pct"/>
            <w:tcBorders>
              <w:top w:val="single" w:sz="1" w:space="0" w:color="AAAAAA"/>
              <w:left w:val="single" w:sz="1" w:space="0" w:color="AAAAAA"/>
              <w:bottom w:val="single" w:sz="1" w:space="0" w:color="AAAAAA"/>
              <w:right w:val="single" w:sz="1" w:space="0" w:color="AAAAAA"/>
            </w:tcBorders>
            <w:shd w:val="clear" w:color="auto" w:fill="D9F2D0"/>
            <w:tcMar>
              <w:top w:w="60" w:type="dxa"/>
              <w:left w:w="100" w:type="dxa"/>
              <w:bottom w:w="60" w:type="dxa"/>
              <w:right w:w="100" w:type="dxa"/>
            </w:tcMar>
            <w:vAlign w:val="center"/>
          </w:tcPr>
          <w:p w14:paraId="233B3DA7"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000000"/>
                <w:sz w:val="18"/>
                <w:szCs w:val="18"/>
                <w:lang w:val="en-CA" w:eastAsia="en-GB"/>
              </w:rPr>
            </w:pPr>
            <w:r w:rsidRPr="005F0A67">
              <w:rPr>
                <w:rFonts w:asciiTheme="majorBidi" w:eastAsia="Tahoma" w:hAnsiTheme="majorBidi" w:cstheme="majorBidi"/>
                <w:b/>
                <w:bCs/>
                <w:color w:val="000000"/>
                <w:sz w:val="18"/>
                <w:szCs w:val="18"/>
                <w:lang w:val="en-CA" w:eastAsia="en-GB"/>
              </w:rPr>
              <w:t>Low</w:t>
            </w:r>
          </w:p>
        </w:tc>
      </w:tr>
      <w:tr w:rsidR="005F0A67" w:rsidRPr="005F0A67" w14:paraId="12B1B2E4" w14:textId="77777777" w:rsidTr="005F0A67">
        <w:tc>
          <w:tcPr>
            <w:tcW w:w="1210" w:type="pct"/>
            <w:vMerge w:val="restar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7C085BED"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1F4E6B"/>
                <w:sz w:val="18"/>
                <w:szCs w:val="18"/>
                <w:lang w:val="en-CA" w:eastAsia="en-GB"/>
              </w:rPr>
            </w:pPr>
            <w:r w:rsidRPr="005F0A67">
              <w:rPr>
                <w:rFonts w:asciiTheme="majorBidi" w:eastAsia="Tahoma" w:hAnsiTheme="majorBidi" w:cstheme="majorBidi"/>
                <w:b/>
                <w:bCs/>
                <w:color w:val="1F4E6B"/>
                <w:sz w:val="18"/>
                <w:szCs w:val="18"/>
                <w:lang w:val="en-CA" w:eastAsia="en-GB"/>
              </w:rPr>
              <w:t>Pass-through to consumers</w:t>
            </w:r>
          </w:p>
          <w:p w14:paraId="67BB8F7A"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000000"/>
                <w:sz w:val="18"/>
                <w:szCs w:val="18"/>
                <w:lang w:val="en-CA" w:eastAsia="en-GB"/>
              </w:rPr>
            </w:pPr>
            <w:r w:rsidRPr="005F0A67">
              <w:rPr>
                <w:rFonts w:asciiTheme="majorBidi" w:eastAsia="Tahoma" w:hAnsiTheme="majorBidi" w:cstheme="majorBidi"/>
                <w:color w:val="1A1A1A"/>
                <w:sz w:val="18"/>
                <w:szCs w:val="18"/>
                <w:lang w:val="en-CA" w:eastAsia="en-GB"/>
              </w:rPr>
              <w:t>Extent to which contribution cost is transferred to customers via output pricing. 12/13 consultation respondents described customers as price-sensitive, constraining pass-through capacity. Feasibility depends on market structure, demand elasticity, and procurement design, which differ substantially across firm types.</w:t>
            </w:r>
          </w:p>
        </w:tc>
        <w:tc>
          <w:tcPr>
            <w:tcW w:w="542"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217C293E"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Pharmaceuticals innovators</w:t>
            </w:r>
          </w:p>
        </w:tc>
        <w:tc>
          <w:tcPr>
            <w:tcW w:w="425"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3346F4E8"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1A1A1A"/>
                <w:sz w:val="18"/>
                <w:szCs w:val="18"/>
                <w:lang w:val="en-CA" w:eastAsia="en-GB"/>
              </w:rPr>
              <w:t>Moderate</w:t>
            </w:r>
          </w:p>
        </w:tc>
        <w:tc>
          <w:tcPr>
            <w:tcW w:w="433"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442E49C3"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Medium</w:t>
            </w:r>
          </w:p>
        </w:tc>
        <w:tc>
          <w:tcPr>
            <w:tcW w:w="1959"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tcPr>
          <w:p w14:paraId="3ED0A3BE"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1A1A1A"/>
                <w:sz w:val="18"/>
                <w:szCs w:val="18"/>
                <w:lang w:val="en-CA" w:eastAsia="en-GB"/>
              </w:rPr>
              <w:t xml:space="preserve">Innovators: some pricing power in patent-protected markets and US market (more limited price regulation); constrained by HTA and reference pricing in European CBD Party markets </w:t>
            </w:r>
            <w:r w:rsidRPr="005F0A67">
              <w:rPr>
                <w:rFonts w:asciiTheme="majorBidi" w:eastAsia="Tahoma" w:hAnsiTheme="majorBidi" w:cstheme="majorBidi"/>
                <w:color w:val="1A1A1A"/>
                <w:sz w:val="18"/>
                <w:szCs w:val="18"/>
                <w:lang w:val="en-CA" w:eastAsia="en-GB"/>
              </w:rPr>
              <w:fldChar w:fldCharType="begin"/>
            </w:r>
            <w:r w:rsidRPr="005F0A67">
              <w:rPr>
                <w:rFonts w:asciiTheme="majorBidi" w:eastAsia="Tahoma" w:hAnsiTheme="majorBidi" w:cstheme="majorBidi"/>
                <w:color w:val="1A1A1A"/>
                <w:sz w:val="18"/>
                <w:szCs w:val="18"/>
                <w:lang w:val="en-CA" w:eastAsia="en-GB"/>
              </w:rPr>
              <w:instrText xml:space="preserve"> ADDIN ZOTERO_ITEM CSL_CITATION {"citationID":"a1qrku8hj37","properties":{"unsorted":false,"formattedCitation":"(IQVIA, 2020)","plainCitation":"(IQVIA, 2020)","noteIndex":0},"citationItems":[{"id":142,"uris":["http://zotero.org/users/14977742/items/PSVBNH68"],"itemData":{"id":142,"type":"webpage","abstract":"&lt;p&gt;Life sciences companies are a vital player in the healthcare delivery system through their discovery, development, manufacturing and marketing of innovative treatment options for patients. This role, and the innovation brought by the sector, are increasingly visible during the COVID-19 pandemic as life science companies lead the charge to develop novel treatments and vaccines, often in collaboration with startups, academic groups and public health organizations. In addition to ensuring patients have access to therapeutics when they are likely to improve their health outcomes, the activities of Life Science companies aim to achieve commercial success and economic returns on the investments they make in research and development. These returns are then continually reinvested, thus sustaining the cycle of investment and innovation, not just for large pharma companies, but for all those in the innovation ecosystem.&amp;nbsp;&lt;/p&gt;\n&lt;p&gt;Even before the emergence of COVID-19, pharmaceutical companies faced challenges in maintaining their financial health &amp;mdash; typically measured in terms of operating margins &amp;mdash; as Research and Development (R&amp;amp;D) investment levels have climbed and commercialization returns have been constrained.&lt;/p&gt;\n&lt;h3&gt;Increasing R&amp;amp;D investment levels&lt;/h3&gt;\n&lt;p&gt;Over the past 5 years, R&amp;amp;D expenditure has escalated, increasing by 26% or $22.6 billion, and rising 2.1% as a percentage of total sales (from 17.2% to 19.3%). The increase in R&amp;amp;D spending reflects both increased trial activity and the growing complexity of trials &amp;ndash; reflecting the number of subjects, research sites, endpoints and inclusion/exclusion criteria included in those trials&lt;sup&gt;1&lt;/sup&gt; (see Exhibit 1),&amp;nbsp;&lt;/p&gt;\n&lt;h5&gt;Exhibit 1: Drivers of R&amp;amp;D Cost Increases, 2014&amp;ndash;2019&lt;/h5&gt;\n&lt;h3&gt;Constrained commercialization returns&lt;/h3&gt;\n&lt;p&gt;These trends in R&amp;amp;D costs have occurred at the same time multiple changes in the marketplace for medicines have constrained the level of commercialization returns achieved by life sciences companies.&lt;/p&gt;\n&lt;p&gt;Among the key elements of change are:&lt;/p&gt;\n&lt;ul&gt;\n    &lt;li&gt;&lt;strong&gt;Portfolio evolution: &lt;/strong&gt;Over the past decade, the profile of new drugs being brought to market has shifted to specialty medicines &amp;mdash; defined as those which are often injectable, high-cost, biologic or requiring specialized distribution &amp;mdash; and they now account for 36% of spending globally and 44% in developed markets.&lt;sup&gt;2&lt;/sup&gt; Among these are precision medicines and orphan drugs for patients with rare disorders. These medicines typically have smaller target patient populations than traditional drugs, and this is reflected in their average sales per product. In the case of orphan drugs, the average first year sales of new launches has averaged about $20 million over the past decade; lower than the average for non-orphans. At the same time, the number of orphan drug launches has increased at a faster rate than non-orphans &amp;mdash; and exceeded the number of non-orphans for the first time in the U.S. in 2019. As a consequence of this portfolio evolution, commercialization returns, on average, for each new drug launched are smaller than in the past and this trend is expected to continue as more precision medicines emerge from the R&amp;amp;D pipeline.&lt;/li&gt;\n    &lt;li&gt;&lt;strong&gt;Demand for evidence of value: &lt;/strong&gt;As total spending on medicines globally reaches the $1 trillion level annually,2 and medicines are sold at higher annual costs as their target populations have narrowed, payers are not surprisingly placing greater emphasis on ensuring they are receiving value for their money. In much of the world, payers have been demanding more compelling evidence of the value of products &amp;mdash; through measures of outcomes, quality of life, disease severity, utilization of health resources, patient adherence, and a range of other measures. Over the past several years, a growing share of formal Health Technology Assessments have been negative recommendations or positive recommendations with restrictions. This typically results in reimbursement prices below the expectations of life sciences companies and thereby constrains the commercialization returns for these products.&lt;/li&gt;\n    &lt;li&gt;&lt;strong&gt;Limited price increases:&lt;/strong&gt; The U.S. market has typically been the only one where manufacturers have been able to increase prices after launch based on competitive market dynamics. In other markets, payers generally require prices to remain stable or decline, based on reductions in reimbursement rates or market-based competition. In decades past, these U.S. price increases contributed significantly to a company&amp;rsquo;s operating profit growth. More recently, however, manufacturers have moderated their list price increases, and seen reductions in net price increases. This is in part due to heightened public scrutiny as well as intensified competition among manufacturers to win volume share with payers and intermediaries. As a consequence, operating profit lift due to price increases have become minimal for most companies in recent years.&lt;/li&gt;\n    &lt;li&gt;&lt;strong&gt;Impact of Exclusivity Losses:&lt;/strong&gt; The lifecycle of innovative medicines typically provides about 10 years of market exclusivity before competition from generic manufacturers results in large declines in sales of the original product across the developed markets. In the past 5 years, originator companies saw about $107 billion of sales lost as their products were displaced by generics, and more lately, biosimilars. Over the next five years, that amount is estimated to total $139 billion, and provides companies with a significant revenue gap to fill through expanded use of existing brands or the launch of new drugs.&lt;/li&gt;\n&lt;/ul&gt;\n&lt;p&gt;Collectively, these changes contribute to a constrained level of sales growth for typical life sciences companies (see Exhibit 2).&lt;br /&gt;\n&lt;br /&gt;\n&lt;/p&gt;\n&lt;h5&gt;EXHIBIT 2: COMMERCIALIZATION ENVIRONMENT FACTORS&lt;/h5&gt;\n&lt;h3&gt;Operating margin outlook for life science companies&lt;/h3&gt;\n&lt;p&gt;The combination of the rising investment in research and development with a more constrained environment for commercialization returns provides significant pressure on life sciences companies as they seek to maintain or increase their operating margins.&lt;/p&gt;\n&lt;p&gt;For the 15 largest life sciences companies, based on their corporate entities, operating margins averaged 25.7% in 2019, up about 1.0% over the prior five years. Over the next five years, if these companies are to maintain that level of operating margin, they will need to reduce SG&amp;amp;A operating costs by about $23 billion in order to maintain their current level of Research and Development activity. This is based on modeling the level of future growth from new and existing products, price changes and losses of exclusivity. Cost of goods sold are assumed to remain at current levels of 28.1% of sales. R&amp;amp;D activity &amp;mdash; related to drug discovery, clinical development and registration &amp;mdash; is assumed to incur 5% higher costs each year, reflecting increased specialization and complexity of efforts. With a $23 billion reduction in operating costs &amp;mdash; about 15% of total SG&amp;amp;A in 2019 &amp;mdash; these companies would, in aggregate, be able to deliver a 25.7% level of operating profit in 2024 (see Exhibit 3).&lt;br /&gt;\n&lt;br /&gt;\n&lt;/p&gt;\n&lt;h5&gt;EXHIBIT 3: LARGE PHARMA OPERATING MARGIN DYNAMICS 2019&amp;ndash;2024&lt;/h5&gt;\n&lt;p&gt;&amp;nbsp;&lt;/p&gt;\n&lt;div&gt;Individual companies will differ in their financial profile and outlook, including the impact that COVID-19 might have on their commercial performance. However, these 15 companies, totaling over $550 billion in total sales in 2019, provide some guidance to the magnitude of incremental operating efficiency that company management will be pursuing over the next five years.&lt;/div&gt;\n&lt;p&gt;&amp;nbsp;&lt;/p&gt;\n&lt;hr /&gt;\n&lt;p&gt;&lt;sup&gt;1&lt;/sup&gt;IQVIA Institute for Human Data Science. The changing landscape of research and development: innovation, drivers of change, and evolution of clinical trial productivity. Apr 2019&lt;br /&gt;\n&lt;sup&gt;2&lt;/sup&gt;IQVIA Institute for Human Data Science. Global medicine spending and usage trends: outlook to 2024. Mar 2020.&lt;/p&gt;\n&lt;div&gt;&amp;nbsp;&lt;/div&gt;\n&lt;p&gt;&amp;nbsp;&lt;/p&gt;\n&lt;div&gt;&amp;nbsp;&lt;/div&gt;","citation-key":"OperatingMarginDynamics","language":"en","title":"Operating Margin Dynamics for Life Sciences Companies","URL":"https://www.iqvia.com/insights/the-iqvia-institute/reports-and-publications/reports/operating-margin-dynamics-for-life-sciences-companies","author":[{"literal":"IQVIA"}],"accessed":{"date-parts":[["2026",6,2]]},"issued":{"date-parts":[["2020",8]]}}}],"schema":"https://github.com/citation-style-language/schema/raw/master/csl-citation.json"} </w:instrText>
            </w:r>
            <w:r w:rsidRPr="005F0A67">
              <w:rPr>
                <w:rFonts w:asciiTheme="majorBidi" w:eastAsia="Tahoma" w:hAnsiTheme="majorBidi" w:cstheme="majorBidi"/>
                <w:color w:val="1A1A1A"/>
                <w:sz w:val="18"/>
                <w:szCs w:val="18"/>
                <w:lang w:val="en-CA" w:eastAsia="en-GB"/>
              </w:rPr>
              <w:fldChar w:fldCharType="separate"/>
            </w:r>
            <w:r w:rsidRPr="005F0A67">
              <w:rPr>
                <w:rFonts w:asciiTheme="majorBidi" w:eastAsia="Georgia" w:hAnsiTheme="majorBidi" w:cstheme="majorBidi"/>
                <w:color w:val="000000"/>
                <w:sz w:val="18"/>
                <w:szCs w:val="24"/>
                <w:lang w:eastAsia="en-GB"/>
              </w:rPr>
              <w:t>(IQVIA, 2020)</w:t>
            </w:r>
            <w:r w:rsidRPr="005F0A67">
              <w:rPr>
                <w:rFonts w:asciiTheme="majorBidi" w:eastAsia="Tahoma" w:hAnsiTheme="majorBidi" w:cstheme="majorBidi"/>
                <w:color w:val="1A1A1A"/>
                <w:sz w:val="18"/>
                <w:szCs w:val="18"/>
                <w:lang w:val="en-CA" w:eastAsia="en-GB"/>
              </w:rPr>
              <w:fldChar w:fldCharType="end"/>
            </w:r>
            <w:r w:rsidRPr="005F0A67">
              <w:rPr>
                <w:rFonts w:asciiTheme="majorBidi" w:eastAsia="Tahoma" w:hAnsiTheme="majorBidi" w:cstheme="majorBidi"/>
                <w:color w:val="1A1A1A"/>
                <w:sz w:val="18"/>
                <w:szCs w:val="18"/>
                <w:lang w:val="en-CA" w:eastAsia="en-GB"/>
              </w:rPr>
              <w:t xml:space="preserve">. Vaccine producers: constrained pass-through in tender-driven centralised procurement </w:t>
            </w:r>
            <w:r w:rsidRPr="005F0A67">
              <w:rPr>
                <w:rFonts w:asciiTheme="majorBidi" w:eastAsia="Tahoma" w:hAnsiTheme="majorBidi" w:cstheme="majorBidi"/>
                <w:color w:val="1A1A1A"/>
                <w:sz w:val="18"/>
                <w:szCs w:val="18"/>
                <w:lang w:val="en-CA" w:eastAsia="en-GB"/>
              </w:rPr>
              <w:fldChar w:fldCharType="begin"/>
            </w:r>
            <w:r w:rsidRPr="005F0A67">
              <w:rPr>
                <w:rFonts w:asciiTheme="majorBidi" w:eastAsia="Tahoma" w:hAnsiTheme="majorBidi" w:cstheme="majorBidi"/>
                <w:color w:val="1A1A1A"/>
                <w:sz w:val="18"/>
                <w:szCs w:val="18"/>
                <w:lang w:val="en-CA" w:eastAsia="en-GB"/>
              </w:rPr>
              <w:instrText xml:space="preserve"> ADDIN ZOTERO_ITEM CSL_CITATION {"citationID":"a1vgpvv0vhn","properties":{"unsorted":false,"formattedCitation":"(Wilsdon {\\i{}et al.}, 2020)","plainCitation":"(Wilsdon et al., 2020)","noteIndex":0},"citationItems":[{"id":163,"uris":["http://zotero.org/users/14977742/items/2K8HFPIY"],"itemData":{"id":163,"type":"article-journal","citation-key":"wilsdonImpactVaccineProcurement2020","container-title":"Expert Review of Vaccines","DOI":"10.1080/14760584.2020.1717952","ISSN":"1476-0584, 1744-8395","issue":"2","journalAbbreviation":"Expert Review of Vaccines","language":"en","page":"123-132","source":"DOI.org (Crossref)","title":"The impact of vaccine procurement methods on public health in selected European countries","volume":"19","author":[{"family":"Wilsdon","given":"Tim"},{"family":"Lawlor","given":"Ryan"},{"family":"Li","given":"Lilian"},{"family":"Rafila","given":"Alexandru"},{"family":"García Rojas","given":"Amós"}],"issued":{"date-parts":[["2020",2,1]]}}}],"schema":"https://github.com/citation-style-language/schema/raw/master/csl-citation.json"} </w:instrText>
            </w:r>
            <w:r w:rsidRPr="005F0A67">
              <w:rPr>
                <w:rFonts w:asciiTheme="majorBidi" w:eastAsia="Tahoma" w:hAnsiTheme="majorBidi" w:cstheme="majorBidi"/>
                <w:color w:val="1A1A1A"/>
                <w:sz w:val="18"/>
                <w:szCs w:val="18"/>
                <w:lang w:val="en-CA" w:eastAsia="en-GB"/>
              </w:rPr>
              <w:fldChar w:fldCharType="separate"/>
            </w:r>
            <w:r w:rsidRPr="005F0A67">
              <w:rPr>
                <w:rFonts w:asciiTheme="majorBidi" w:eastAsia="Georgia" w:hAnsiTheme="majorBidi" w:cstheme="majorBidi"/>
                <w:color w:val="000000"/>
                <w:sz w:val="18"/>
                <w:szCs w:val="24"/>
                <w:lang w:eastAsia="en-GB"/>
              </w:rPr>
              <w:t xml:space="preserve">(Wilsdon </w:t>
            </w:r>
            <w:r w:rsidRPr="005F0A67">
              <w:rPr>
                <w:rFonts w:asciiTheme="majorBidi" w:eastAsia="Georgia" w:hAnsiTheme="majorBidi" w:cstheme="majorBidi"/>
                <w:i/>
                <w:iCs/>
                <w:color w:val="000000"/>
                <w:sz w:val="18"/>
                <w:szCs w:val="24"/>
                <w:lang w:eastAsia="en-GB"/>
              </w:rPr>
              <w:t>et al.</w:t>
            </w:r>
            <w:r w:rsidRPr="005F0A67">
              <w:rPr>
                <w:rFonts w:asciiTheme="majorBidi" w:eastAsia="Georgia" w:hAnsiTheme="majorBidi" w:cstheme="majorBidi"/>
                <w:color w:val="000000"/>
                <w:sz w:val="18"/>
                <w:szCs w:val="24"/>
                <w:lang w:eastAsia="en-GB"/>
              </w:rPr>
              <w:t>, 2020)</w:t>
            </w:r>
            <w:r w:rsidRPr="005F0A67">
              <w:rPr>
                <w:rFonts w:asciiTheme="majorBidi" w:eastAsia="Tahoma" w:hAnsiTheme="majorBidi" w:cstheme="majorBidi"/>
                <w:color w:val="1A1A1A"/>
                <w:sz w:val="18"/>
                <w:szCs w:val="18"/>
                <w:lang w:val="en-CA" w:eastAsia="en-GB"/>
              </w:rPr>
              <w:fldChar w:fldCharType="end"/>
            </w:r>
            <w:r w:rsidRPr="005F0A67">
              <w:rPr>
                <w:rFonts w:asciiTheme="majorBidi" w:eastAsia="Tahoma" w:hAnsiTheme="majorBidi" w:cstheme="majorBidi"/>
                <w:color w:val="1A1A1A"/>
                <w:sz w:val="18"/>
                <w:szCs w:val="18"/>
                <w:lang w:val="en-CA" w:eastAsia="en-GB"/>
              </w:rPr>
              <w:t>. Many companies in this category also operate in the US which provides a potential pass-through channel. National implementation divergence (U8).</w:t>
            </w:r>
          </w:p>
        </w:tc>
        <w:tc>
          <w:tcPr>
            <w:tcW w:w="431" w:type="pct"/>
            <w:tcBorders>
              <w:top w:val="single" w:sz="1" w:space="0" w:color="AAAAAA"/>
              <w:left w:val="single" w:sz="1" w:space="0" w:color="AAAAAA"/>
              <w:bottom w:val="single" w:sz="1" w:space="0" w:color="AAAAAA"/>
              <w:right w:val="single" w:sz="1" w:space="0" w:color="AAAAAA"/>
            </w:tcBorders>
            <w:shd w:val="clear" w:color="auto" w:fill="FEF9CC"/>
            <w:tcMar>
              <w:top w:w="60" w:type="dxa"/>
              <w:left w:w="100" w:type="dxa"/>
              <w:bottom w:w="60" w:type="dxa"/>
              <w:right w:w="100" w:type="dxa"/>
            </w:tcMar>
            <w:vAlign w:val="center"/>
          </w:tcPr>
          <w:p w14:paraId="65268B0F"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000000"/>
                <w:sz w:val="18"/>
                <w:szCs w:val="18"/>
                <w:lang w:val="en-CA" w:eastAsia="en-GB"/>
              </w:rPr>
            </w:pPr>
            <w:r w:rsidRPr="005F0A67">
              <w:rPr>
                <w:rFonts w:asciiTheme="majorBidi" w:eastAsia="Tahoma" w:hAnsiTheme="majorBidi" w:cstheme="majorBidi"/>
                <w:b/>
                <w:bCs/>
                <w:color w:val="000000"/>
                <w:sz w:val="18"/>
                <w:szCs w:val="18"/>
                <w:lang w:val="en-CA" w:eastAsia="en-GB"/>
              </w:rPr>
              <w:t>Moderate</w:t>
            </w:r>
          </w:p>
        </w:tc>
      </w:tr>
      <w:tr w:rsidR="005F0A67" w:rsidRPr="005F0A67" w14:paraId="49AFC579" w14:textId="77777777" w:rsidTr="005F0A67">
        <w:tc>
          <w:tcPr>
            <w:tcW w:w="1210" w:type="pct"/>
            <w:vMerge/>
            <w:tcMar>
              <w:top w:w="60" w:type="dxa"/>
              <w:left w:w="100" w:type="dxa"/>
              <w:bottom w:w="60" w:type="dxa"/>
              <w:right w:w="100" w:type="dxa"/>
            </w:tcMar>
            <w:vAlign w:val="center"/>
          </w:tcPr>
          <w:p w14:paraId="462892A5"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000000"/>
                <w:sz w:val="18"/>
                <w:szCs w:val="18"/>
                <w:lang w:val="en-CA" w:eastAsia="en-GB"/>
              </w:rPr>
            </w:pPr>
          </w:p>
        </w:tc>
        <w:tc>
          <w:tcPr>
            <w:tcW w:w="542"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1D8E982A"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Generics producers</w:t>
            </w:r>
          </w:p>
        </w:tc>
        <w:tc>
          <w:tcPr>
            <w:tcW w:w="425"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02703D08"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1A1A1A"/>
                <w:sz w:val="18"/>
                <w:szCs w:val="18"/>
                <w:lang w:val="en-CA" w:eastAsia="en-GB"/>
              </w:rPr>
              <w:t>Minor</w:t>
            </w:r>
          </w:p>
        </w:tc>
        <w:tc>
          <w:tcPr>
            <w:tcW w:w="433"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26E2111B"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1A1A1A"/>
                <w:sz w:val="18"/>
                <w:szCs w:val="18"/>
                <w:lang w:val="en-CA" w:eastAsia="en-GB"/>
              </w:rPr>
              <w:t>Low</w:t>
            </w:r>
          </w:p>
        </w:tc>
        <w:tc>
          <w:tcPr>
            <w:tcW w:w="1959"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tcPr>
          <w:p w14:paraId="49B7114D"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1A1A1A"/>
                <w:sz w:val="18"/>
                <w:szCs w:val="18"/>
                <w:lang w:val="en-CA" w:eastAsia="en-GB"/>
              </w:rPr>
            </w:pPr>
            <w:r w:rsidRPr="005F0A67">
              <w:rPr>
                <w:rFonts w:asciiTheme="majorBidi" w:eastAsia="Tahoma" w:hAnsiTheme="majorBidi" w:cstheme="majorBidi"/>
                <w:color w:val="1A1A1A"/>
                <w:sz w:val="18"/>
                <w:szCs w:val="18"/>
                <w:lang w:val="en-CA" w:eastAsia="en-GB"/>
              </w:rPr>
              <w:t xml:space="preserve">Unbranded generics: structural barriers to cost recovery from procurement frameworks and substitution rules </w:t>
            </w:r>
            <w:r w:rsidRPr="005F0A67">
              <w:rPr>
                <w:rFonts w:asciiTheme="majorBidi" w:eastAsia="Tahoma" w:hAnsiTheme="majorBidi" w:cstheme="majorBidi"/>
                <w:color w:val="1A1A1A"/>
                <w:sz w:val="18"/>
                <w:szCs w:val="18"/>
                <w:lang w:val="en-CA" w:eastAsia="en-GB"/>
              </w:rPr>
              <w:fldChar w:fldCharType="begin"/>
            </w:r>
            <w:r w:rsidRPr="005F0A67">
              <w:rPr>
                <w:rFonts w:asciiTheme="majorBidi" w:eastAsia="Tahoma" w:hAnsiTheme="majorBidi" w:cstheme="majorBidi"/>
                <w:color w:val="1A1A1A"/>
                <w:sz w:val="18"/>
                <w:szCs w:val="18"/>
                <w:lang w:val="en-CA" w:eastAsia="en-GB"/>
              </w:rPr>
              <w:instrText xml:space="preserve"> ADDIN ZOTERO_ITEM CSL_CITATION {"citationID":"adaqrveu2u","properties":{"unsorted":false,"formattedCitation":"(Danzon and Furukawa, 2011; Mestre-Ferrandiz, Towse and Berdud, 2016)","plainCitation":"(Danzon and Furukawa, 2011; Mestre-Ferrandiz, Towse and Berdud, 2016)","noteIndex":0},"citationItems":[{"id":160,"uris":["http://zotero.org/users/14977742/items/WRHCSRXX"],"itemData":{"id":160,"type":"article","abstract":"This paper examines the role of regulation and competition in generic markets. Generics offer large potential savings to payers and consumers of pharmaceuticals. Whether the potential savings are realized depends on the extent of generic entry and uptake and the level of generic prices. In the U.S., the regulatory, legal and incentive structures encourage prompt entry, aggressive price competition and patient switching to generics. Key features are that pharmacists are authorized and incentivized to switch patients to cheap generics. By contrast, in many other high and middle income countries, generics traditionally competed on brand rather than price because physicians rather than pharmacies are the decision-makers. Physician-driven generic markets tend to have higher generic prices and may have lower generic uptake, depending on regulations and incentives. Using IMS data to analyze generic markets in the U.S., Canada, France, Germany, U.K., Italy, Spain, Japan, Australia, Mexico, Chile, Brazil over the period 1998-2009, we estimate a three-equation model for number of generic entrants, generic prices and generic volume shares. We find little effect of originator defense strategies, significant differences between unbranded and unbranded generics, variation across countries in volume response to prices. Policy changes adopted to stimulate generic uptake and reduce generic prices have been successful in some E.U. countries.","citation-key":"danzonCrossNationalEvidenceGeneric2011","collection-title":"Working Paper Series","DOI":"10.3386/w17226","genre":"Working Paper","note":"DOI: 10.3386/w17226","number":"17226","publisher":"National Bureau of Economic Research","source":"National Bureau of Economic Research","title":"Cross-National Evidence on Generic Pharmaceuticals: Pharmacy vs. Physician-Driven Markets","title-short":"Cross-National Evidence on Generic Pharmaceuticals","URL":"https://www.nber.org/papers/w17226","author":[{"family":"Danzon","given":"Patricia M."},{"family":"Furukawa","given":"Michael F."}],"accessed":{"date-parts":[["2026",6,1]]},"issued":{"date-parts":[["2011",7]]}}},{"id":161,"uris":["http://zotero.org/users/14977742/items/VENP89WD"],"itemData":{"id":161,"type":"article-journal","abstract":"The term ‘biosimilar’ refers to an alternative similar version of an off-patent innovative originator biotechnology product (the ‘reference product’). Several biosimilars have been approved in Europe, and a number of top-selling biological medicines have lost, or will lose, patent protection over the next 5 years. We look at the experience in Europe so far. The USA has finally implemented a regulatory route for biosimilar approval. We recommend that European and US governments and payers take a strategic approach to get value for money from the use of biosimilars by (1) supporting and incentivising generation of high-quality comprehensive outcomes data on the effectiveness and safety of biosimilars and originator products; and (2) ensuring that incentives are in place for budget holders to benefit from price competition. This may create greater willingness on the part of budget holders and clinicians to use biosimilar and originator products with comparable outcomes interchangeably, and may drive down prices. Other options, such as direct price cuts for originator products or substitution rules without outcomes data, are likely to discourage biosimilar entry. With such approaches, governments may achieve a one-off cut in originator prices but may put at risk the creation of a more competitive market that would, in time, produce much greater savings. It was the creation of competitive markets for chemical generic drugs—notably, in the USA, the UK and Germany—rather than price control, that enabled payers to achieve the high discounts now taken for granted.","citation-key":"mestre-ferrandizBiosimilarsHowCan2016","container-title":"PharmacoEconomics","DOI":"10.1007/s40273-015-0380-x","ISSN":"1179-2027","issue":"6","journalAbbreviation":"PharmacoEconomics","language":"en","page":"609-616","source":"Springer Link","title":"Biosimilars: How Can Payers Get Long-Term Savings?","title-short":"Biosimilars","volume":"34","author":[{"family":"Mestre-Ferrandiz","given":"Jorge"},{"family":"Towse","given":"Adrian"},{"family":"Berdud","given":"Mikel"}],"issued":{"date-parts":[["2016",6,1]]}}}],"schema":"https://github.com/citation-style-language/schema/raw/master/csl-citation.json"} </w:instrText>
            </w:r>
            <w:r w:rsidRPr="005F0A67">
              <w:rPr>
                <w:rFonts w:asciiTheme="majorBidi" w:eastAsia="Tahoma" w:hAnsiTheme="majorBidi" w:cstheme="majorBidi"/>
                <w:color w:val="1A1A1A"/>
                <w:sz w:val="18"/>
                <w:szCs w:val="18"/>
                <w:lang w:val="en-CA" w:eastAsia="en-GB"/>
              </w:rPr>
              <w:fldChar w:fldCharType="separate"/>
            </w:r>
            <w:r w:rsidRPr="005F0A67">
              <w:rPr>
                <w:rFonts w:asciiTheme="majorBidi" w:eastAsia="Georgia" w:hAnsiTheme="majorBidi" w:cstheme="majorBidi"/>
                <w:color w:val="000000"/>
                <w:sz w:val="18"/>
                <w:szCs w:val="24"/>
                <w:lang w:eastAsia="en-GB"/>
              </w:rPr>
              <w:t>(Danzon and Furukawa, 2011; Mestre-Ferrandiz, Towse and Berdud, 2016)</w:t>
            </w:r>
            <w:r w:rsidRPr="005F0A67">
              <w:rPr>
                <w:rFonts w:asciiTheme="majorBidi" w:eastAsia="Tahoma" w:hAnsiTheme="majorBidi" w:cstheme="majorBidi"/>
                <w:color w:val="1A1A1A"/>
                <w:sz w:val="18"/>
                <w:szCs w:val="18"/>
                <w:lang w:val="en-CA" w:eastAsia="en-GB"/>
              </w:rPr>
              <w:fldChar w:fldCharType="end"/>
            </w:r>
            <w:r w:rsidRPr="005F0A67">
              <w:rPr>
                <w:rFonts w:asciiTheme="majorBidi" w:eastAsia="Tahoma" w:hAnsiTheme="majorBidi" w:cstheme="majorBidi"/>
                <w:color w:val="1A1A1A"/>
                <w:sz w:val="18"/>
                <w:szCs w:val="18"/>
                <w:lang w:val="en-CA" w:eastAsia="en-GB"/>
              </w:rPr>
              <w:t>. Branded generics: higher margins and pricing power provide more capacity. National implementation divergence (U8).</w:t>
            </w:r>
          </w:p>
        </w:tc>
        <w:tc>
          <w:tcPr>
            <w:tcW w:w="431" w:type="pct"/>
            <w:tcBorders>
              <w:top w:val="single" w:sz="1" w:space="0" w:color="AAAAAA"/>
              <w:left w:val="single" w:sz="1" w:space="0" w:color="AAAAAA"/>
              <w:bottom w:val="single" w:sz="1" w:space="0" w:color="AAAAAA"/>
              <w:right w:val="single" w:sz="1" w:space="0" w:color="AAAAAA"/>
            </w:tcBorders>
            <w:shd w:val="clear" w:color="auto" w:fill="D9F2D0"/>
            <w:tcMar>
              <w:top w:w="60" w:type="dxa"/>
              <w:left w:w="100" w:type="dxa"/>
              <w:bottom w:w="60" w:type="dxa"/>
              <w:right w:w="100" w:type="dxa"/>
            </w:tcMar>
            <w:vAlign w:val="center"/>
          </w:tcPr>
          <w:p w14:paraId="0F1F9550"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000000"/>
                <w:sz w:val="18"/>
                <w:szCs w:val="18"/>
                <w:lang w:val="en-CA" w:eastAsia="en-GB"/>
              </w:rPr>
            </w:pPr>
            <w:r w:rsidRPr="005F0A67">
              <w:rPr>
                <w:rFonts w:asciiTheme="majorBidi" w:eastAsia="Tahoma" w:hAnsiTheme="majorBidi" w:cstheme="majorBidi"/>
                <w:b/>
                <w:bCs/>
                <w:color w:val="000000"/>
                <w:sz w:val="18"/>
                <w:szCs w:val="18"/>
                <w:lang w:val="en-CA" w:eastAsia="en-GB"/>
              </w:rPr>
              <w:t>Low</w:t>
            </w:r>
          </w:p>
        </w:tc>
      </w:tr>
      <w:tr w:rsidR="005F0A67" w:rsidRPr="005F0A67" w14:paraId="512A331B" w14:textId="77777777" w:rsidTr="005F0A67">
        <w:tc>
          <w:tcPr>
            <w:tcW w:w="1210" w:type="pct"/>
            <w:vMerge/>
            <w:tcMar>
              <w:top w:w="60" w:type="dxa"/>
              <w:left w:w="100" w:type="dxa"/>
              <w:bottom w:w="60" w:type="dxa"/>
              <w:right w:w="100" w:type="dxa"/>
            </w:tcMar>
            <w:vAlign w:val="center"/>
          </w:tcPr>
          <w:p w14:paraId="7737A1A0"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000000"/>
                <w:sz w:val="18"/>
                <w:szCs w:val="18"/>
                <w:lang w:val="en-CA" w:eastAsia="en-GB"/>
              </w:rPr>
            </w:pPr>
          </w:p>
        </w:tc>
        <w:tc>
          <w:tcPr>
            <w:tcW w:w="542"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2C405BD5"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Biosimilars producers</w:t>
            </w:r>
          </w:p>
        </w:tc>
        <w:tc>
          <w:tcPr>
            <w:tcW w:w="425"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3C0FB2A7"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1A1A1A"/>
                <w:sz w:val="18"/>
                <w:szCs w:val="18"/>
                <w:lang w:val="en-CA" w:eastAsia="en-GB"/>
              </w:rPr>
              <w:t>Minor</w:t>
            </w:r>
          </w:p>
        </w:tc>
        <w:tc>
          <w:tcPr>
            <w:tcW w:w="433"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414573F4"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Low</w:t>
            </w:r>
          </w:p>
        </w:tc>
        <w:tc>
          <w:tcPr>
            <w:tcW w:w="1959"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tcPr>
          <w:p w14:paraId="207E35D4"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1A1A1A"/>
                <w:sz w:val="18"/>
                <w:szCs w:val="18"/>
                <w:lang w:val="en-CA" w:eastAsia="en-GB"/>
              </w:rPr>
            </w:pPr>
            <w:r w:rsidRPr="005F0A67">
              <w:rPr>
                <w:rFonts w:asciiTheme="majorBidi" w:eastAsia="Tahoma" w:hAnsiTheme="majorBidi" w:cstheme="majorBidi"/>
                <w:color w:val="1A1A1A"/>
                <w:sz w:val="18"/>
                <w:szCs w:val="18"/>
                <w:lang w:val="en-CA" w:eastAsia="en-GB"/>
              </w:rPr>
              <w:t xml:space="preserve">Reimbursement-driven price pressure on both originator and biosimilar products constrains pass-through; markets vary widely across jurisdictions </w:t>
            </w:r>
            <w:r w:rsidRPr="005F0A67">
              <w:rPr>
                <w:rFonts w:asciiTheme="majorBidi" w:eastAsia="Tahoma" w:hAnsiTheme="majorBidi" w:cstheme="majorBidi"/>
                <w:color w:val="1A1A1A"/>
                <w:sz w:val="18"/>
                <w:szCs w:val="18"/>
                <w:lang w:val="en-CA" w:eastAsia="en-GB"/>
              </w:rPr>
              <w:fldChar w:fldCharType="begin"/>
            </w:r>
            <w:r w:rsidRPr="005F0A67">
              <w:rPr>
                <w:rFonts w:asciiTheme="majorBidi" w:eastAsia="Tahoma" w:hAnsiTheme="majorBidi" w:cstheme="majorBidi"/>
                <w:color w:val="1A1A1A"/>
                <w:sz w:val="18"/>
                <w:szCs w:val="18"/>
                <w:lang w:val="en-CA" w:eastAsia="en-GB"/>
              </w:rPr>
              <w:instrText xml:space="preserve"> ADDIN ZOTERO_ITEM CSL_CITATION {"citationID":"a24jav4a5f7","properties":{"unsorted":false,"formattedCitation":"(Leber, 2018; Song {\\i{}et al.}, 2025)","plainCitation":"(Leber, 2018; Song et al., 2025)","noteIndex":0},"citationItems":[{"id":110,"uris":["http://zotero.org/users/14977742/items/WBSFX6KW"],"itemData":{"id":110,"type":"article-journal","abstract":"With the passing and implementation of the Biologics Price Competition and Innovation Act in 2010, biosimilars became a new classification of FDA-approved drugs. The biosimilar classification, created with a streamlined drug approval process, was intended to spur competition and reduce the cost of biological product therapies. Since the first FDA-approved biosimilar in 2015, the impact of biosimilars on the US biological product market remains to be seen. As more biosimilar products are approved and marketed, cost-savings are expected with predictions ranging from $54 billion to $250 billion by the mid-2020s. However, a multitude of factors may diminish the cost-saving potential of biosimilars. For biosimilars to gain market share, patients, physicians, and other healthcare professionals will need to accept biosimilars as safe and effective alternatives to reference-biologic products. A key factor in gaining this acceptance is educating the public, physicians, and healthcare professionals on the rigorous approval standards required of biosimilars by the FDA. Other factors that will affect market share of biosimilars include litigation actions by biopharmaceutical manufacturers; positions stated by physician organizations; and the influences of insurers and managed care. The clinical and basic science required for biosimilar approvals will be major underlying elements driving biosimilar acceptance and increased market presence.","citation-key":"leberOptimizingUseAddressing2018","container-title":"The American Journal of Managed Care","ISSN":"1936-2692","issue":"21 Suppl","journalAbbreviation":"Am J Manag Care","language":"eng","page":"S457-S461","PMID":"30452214","source":"PubMed","title":"Optimizing use and addressing challenges to uptake of biosimilars","volume":"24","author":[{"family":"Leber","given":"Molly Billstein"}],"issued":{"date-parts":[["2018",11]]}}},{"id":112,"uris":["http://zotero.org/users/14977742/items/QJBKIZSH"],"itemData":{"id":112,"type":"article-journal","abstract":"Objective\nWe sought to evaluate the relationship between biosimilar introduction and the prices and expenditures of biologics in high-income countries.\n\nMethods\nThis study examined IQVIA-MIDAS sales data for biologics and biosimilars from January 2018 to June 2020 across 12 high-income countries (Australia, Austria, Canada, France, Germany, Italy, Japan, Korea, Spain, Sweden, Switzerland, and the United Kingdom). We selected seven biologics that fall under the World Health Organization Anatomical Therapeutic Chemical code L (Antineoplastic and immunomodulating agents), and categorized them into two groups based on the availability of biosimilar data. Group A consisted of biologics with biosimilars-etanercept, infliximab, rituximab, and trastuzumab, while Group B comprised biologics without biosimilars, including cetuximab, nivolumab, and pembrolizumab. A descriptive analysis was conducted to investigate the association between biosimilar introduction and trends in Fisher price index and relative expenditure. In addition, two-sample t-test and Wilcoxon rank-sum test were used to assess the statistical significance of differences in growth rates between the two groups.\n\nResults\nGroup A exhibited a declining trend in the Fisher price index, whereas Group B remained stable across most countries, with average compound quarterly growth rates being −2.19% and −0.54%, respectively (p &lt; 0.001). Relative expenditure trends also revealed contrasting patterns between the groups across most countries, further highlighting the differences. The average compound quarterly growth rates for relative expenditures was −1.78% for Group A and 7.66% for Group B (p &lt; 0.001).\n\nConclusion\nThe introduction of biosimilars was significantly associated with reductions in the prices and expenditures of biologics in high-income countries. This underscores the potential role of biosimilars in supporting the long-term sustainability of the healthcare system.","citation-key":"songComparativeAnalysisBiologics","container-title":"Frontiers in Pharmacology","DOI":"10.3389/fphar.2025.1659395","ISSN":"1663-9812","journalAbbreviation":"Front Pharmacol","page":"1659395","PMID":"41306781","PMCID":"PMC12643863","source":"PubMed Central","title":"A comparative analysis of biologics market dynamics in 12 countries: (Bio)similar and sustainability","title-short":"A comparative analysis of biologics market dynamics in 12 countries","volume":"16","author":[{"family":"Song","given":"Younghyun"},{"family":"Shin","given":"Gyeongseon"},{"family":"Choi","given":"Gyeyoung"},{"family":"Han","given":"Euna"},{"family":"Ou","given":"Huang-tz"},{"family":"Bae","given":"SeungJin"}],"issued":{"date-parts":[["2025"]]}}}],"schema":"https://github.com/citation-style-language/schema/raw/master/csl-citation.json"} </w:instrText>
            </w:r>
            <w:r w:rsidRPr="005F0A67">
              <w:rPr>
                <w:rFonts w:asciiTheme="majorBidi" w:eastAsia="Tahoma" w:hAnsiTheme="majorBidi" w:cstheme="majorBidi"/>
                <w:color w:val="1A1A1A"/>
                <w:sz w:val="18"/>
                <w:szCs w:val="18"/>
                <w:lang w:val="en-CA" w:eastAsia="en-GB"/>
              </w:rPr>
              <w:fldChar w:fldCharType="separate"/>
            </w:r>
            <w:r w:rsidRPr="005F0A67">
              <w:rPr>
                <w:rFonts w:asciiTheme="majorBidi" w:eastAsia="Georgia" w:hAnsiTheme="majorBidi" w:cstheme="majorBidi"/>
                <w:color w:val="000000"/>
                <w:sz w:val="18"/>
                <w:szCs w:val="24"/>
                <w:lang w:eastAsia="en-GB"/>
              </w:rPr>
              <w:t xml:space="preserve">(Leber, 2018; Song </w:t>
            </w:r>
            <w:r w:rsidRPr="005F0A67">
              <w:rPr>
                <w:rFonts w:asciiTheme="majorBidi" w:eastAsia="Georgia" w:hAnsiTheme="majorBidi" w:cstheme="majorBidi"/>
                <w:i/>
                <w:iCs/>
                <w:color w:val="000000"/>
                <w:sz w:val="18"/>
                <w:szCs w:val="24"/>
                <w:lang w:eastAsia="en-GB"/>
              </w:rPr>
              <w:t>et al.</w:t>
            </w:r>
            <w:r w:rsidRPr="005F0A67">
              <w:rPr>
                <w:rFonts w:asciiTheme="majorBidi" w:eastAsia="Georgia" w:hAnsiTheme="majorBidi" w:cstheme="majorBidi"/>
                <w:color w:val="000000"/>
                <w:sz w:val="18"/>
                <w:szCs w:val="24"/>
                <w:lang w:eastAsia="en-GB"/>
              </w:rPr>
              <w:t>, 2025)</w:t>
            </w:r>
            <w:r w:rsidRPr="005F0A67">
              <w:rPr>
                <w:rFonts w:asciiTheme="majorBidi" w:eastAsia="Tahoma" w:hAnsiTheme="majorBidi" w:cstheme="majorBidi"/>
                <w:color w:val="1A1A1A"/>
                <w:sz w:val="18"/>
                <w:szCs w:val="18"/>
                <w:lang w:val="en-CA" w:eastAsia="en-GB"/>
              </w:rPr>
              <w:fldChar w:fldCharType="end"/>
            </w:r>
            <w:r w:rsidRPr="005F0A67">
              <w:rPr>
                <w:rFonts w:asciiTheme="majorBidi" w:eastAsia="Tahoma" w:hAnsiTheme="majorBidi" w:cstheme="majorBidi"/>
                <w:color w:val="1A1A1A"/>
                <w:sz w:val="18"/>
                <w:szCs w:val="18"/>
                <w:lang w:val="en-CA" w:eastAsia="en-GB"/>
              </w:rPr>
              <w:t>. National implementation divergence (U8).</w:t>
            </w:r>
          </w:p>
        </w:tc>
        <w:tc>
          <w:tcPr>
            <w:tcW w:w="431" w:type="pct"/>
            <w:tcBorders>
              <w:top w:val="single" w:sz="1" w:space="0" w:color="AAAAAA"/>
              <w:left w:val="single" w:sz="1" w:space="0" w:color="AAAAAA"/>
              <w:bottom w:val="single" w:sz="1" w:space="0" w:color="AAAAAA"/>
              <w:right w:val="single" w:sz="1" w:space="0" w:color="AAAAAA"/>
            </w:tcBorders>
            <w:shd w:val="clear" w:color="auto" w:fill="D9F3D0"/>
            <w:tcMar>
              <w:top w:w="60" w:type="dxa"/>
              <w:left w:w="100" w:type="dxa"/>
              <w:bottom w:w="60" w:type="dxa"/>
              <w:right w:w="100" w:type="dxa"/>
            </w:tcMar>
            <w:vAlign w:val="center"/>
          </w:tcPr>
          <w:p w14:paraId="24E3C5DB"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000000"/>
                <w:sz w:val="18"/>
                <w:szCs w:val="18"/>
                <w:lang w:val="en-CA" w:eastAsia="en-GB"/>
              </w:rPr>
            </w:pPr>
            <w:r w:rsidRPr="005F0A67">
              <w:rPr>
                <w:rFonts w:asciiTheme="majorBidi" w:eastAsia="Tahoma" w:hAnsiTheme="majorBidi" w:cstheme="majorBidi"/>
                <w:b/>
                <w:bCs/>
                <w:color w:val="000000"/>
                <w:sz w:val="18"/>
                <w:szCs w:val="18"/>
                <w:lang w:val="en-CA" w:eastAsia="en-GB"/>
              </w:rPr>
              <w:t>Low</w:t>
            </w:r>
          </w:p>
        </w:tc>
      </w:tr>
    </w:tbl>
    <w:p w14:paraId="5AF776C3"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p>
    <w:p w14:paraId="6293FC84" w14:textId="77777777" w:rsidR="005F0A67" w:rsidRPr="005F0A67" w:rsidRDefault="005F0A67" w:rsidP="005F0A67">
      <w:pPr>
        <w:tabs>
          <w:tab w:val="clear" w:pos="567"/>
          <w:tab w:val="clear" w:pos="1134"/>
          <w:tab w:val="clear" w:pos="1701"/>
          <w:tab w:val="clear" w:pos="2268"/>
        </w:tabs>
        <w:spacing w:after="200" w:line="312" w:lineRule="auto"/>
        <w:contextualSpacing/>
        <w:rPr>
          <w:rFonts w:asciiTheme="majorBidi" w:eastAsia="Georgia" w:hAnsiTheme="majorBidi" w:cstheme="majorBidi"/>
          <w:b/>
          <w:bCs/>
          <w:color w:val="419844"/>
          <w:lang w:eastAsia="en-GB"/>
        </w:rPr>
      </w:pPr>
      <w:bookmarkStart w:id="189" w:name="_Ref231759492"/>
      <w:r w:rsidRPr="005F0A67">
        <w:rPr>
          <w:rFonts w:asciiTheme="majorBidi" w:eastAsia="Georgia" w:hAnsiTheme="majorBidi" w:cstheme="majorBidi"/>
          <w:b/>
          <w:bCs/>
          <w:color w:val="419844"/>
          <w:lang w:val="en-US" w:eastAsia="ja-JP"/>
        </w:rPr>
        <w:t xml:space="preserve">Table </w:t>
      </w:r>
      <w:r w:rsidRPr="005F0A67">
        <w:rPr>
          <w:rFonts w:asciiTheme="majorBidi" w:eastAsia="Georgia" w:hAnsiTheme="majorBidi" w:cstheme="majorBidi"/>
          <w:b/>
          <w:bCs/>
          <w:color w:val="419844"/>
          <w:lang w:eastAsia="en-GB"/>
        </w:rPr>
        <w:fldChar w:fldCharType="begin"/>
      </w:r>
      <w:r w:rsidRPr="005F0A67">
        <w:rPr>
          <w:rFonts w:asciiTheme="majorBidi" w:eastAsia="Georgia" w:hAnsiTheme="majorBidi" w:cstheme="majorBidi"/>
          <w:b/>
          <w:bCs/>
          <w:color w:val="419844"/>
          <w:lang w:eastAsia="en-GB"/>
        </w:rPr>
        <w:instrText xml:space="preserve"> SEQ Table \* ARABIC </w:instrText>
      </w:r>
      <w:r w:rsidRPr="005F0A67">
        <w:rPr>
          <w:rFonts w:asciiTheme="majorBidi" w:eastAsia="Georgia" w:hAnsiTheme="majorBidi" w:cstheme="majorBidi"/>
          <w:b/>
          <w:bCs/>
          <w:color w:val="419844"/>
          <w:lang w:eastAsia="en-GB"/>
        </w:rPr>
        <w:fldChar w:fldCharType="separate"/>
      </w:r>
      <w:r w:rsidRPr="005F0A67">
        <w:rPr>
          <w:rFonts w:asciiTheme="majorBidi" w:eastAsia="Georgia" w:hAnsiTheme="majorBidi" w:cstheme="majorBidi"/>
          <w:b/>
          <w:bCs/>
          <w:noProof/>
          <w:color w:val="419844"/>
          <w:lang w:eastAsia="en-GB"/>
        </w:rPr>
        <w:t>24</w:t>
      </w:r>
      <w:r w:rsidRPr="005F0A67">
        <w:rPr>
          <w:rFonts w:asciiTheme="majorBidi" w:eastAsia="Georgia" w:hAnsiTheme="majorBidi" w:cstheme="majorBidi"/>
          <w:b/>
          <w:bCs/>
          <w:color w:val="419844"/>
          <w:lang w:eastAsia="en-GB"/>
        </w:rPr>
        <w:fldChar w:fldCharType="end"/>
      </w:r>
      <w:bookmarkEnd w:id="189"/>
      <w:r w:rsidRPr="005F0A67">
        <w:rPr>
          <w:rFonts w:asciiTheme="majorBidi" w:eastAsia="Georgia" w:hAnsiTheme="majorBidi" w:cstheme="majorBidi"/>
          <w:b/>
          <w:bCs/>
          <w:color w:val="419844"/>
          <w:lang w:val="en-US" w:eastAsia="ja-JP"/>
        </w:rPr>
        <w:t xml:space="preserve"> Pillar II: capacity to innovate impacts materiality assessment - Pharmaceuticals</w:t>
      </w:r>
    </w:p>
    <w:tbl>
      <w:tblPr>
        <w:tblW w:w="50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3" w:type="dxa"/>
          <w:right w:w="113" w:type="dxa"/>
        </w:tblCellMar>
        <w:tblLook w:val="04A0" w:firstRow="1" w:lastRow="0" w:firstColumn="1" w:lastColumn="0" w:noHBand="0" w:noVBand="1"/>
      </w:tblPr>
      <w:tblGrid>
        <w:gridCol w:w="3284"/>
        <w:gridCol w:w="1537"/>
        <w:gridCol w:w="1276"/>
        <w:gridCol w:w="1273"/>
        <w:gridCol w:w="5106"/>
        <w:gridCol w:w="1273"/>
      </w:tblGrid>
      <w:tr w:rsidR="005F0A67" w:rsidRPr="005F0A67" w14:paraId="26A3B7AE" w14:textId="77777777" w:rsidTr="00FB671B">
        <w:trPr>
          <w:tblHeader/>
        </w:trPr>
        <w:tc>
          <w:tcPr>
            <w:tcW w:w="1194" w:type="pct"/>
            <w:tcBorders>
              <w:top w:val="single" w:sz="1" w:space="0" w:color="AAAAAA"/>
              <w:left w:val="single" w:sz="1" w:space="0" w:color="AAAAAA"/>
              <w:bottom w:val="single" w:sz="1" w:space="0" w:color="AAAAAA"/>
              <w:right w:val="single" w:sz="1" w:space="0" w:color="AAAAAA"/>
            </w:tcBorders>
            <w:shd w:val="clear" w:color="auto" w:fill="1F4E6B"/>
            <w:tcMar>
              <w:top w:w="60" w:type="dxa"/>
              <w:left w:w="100" w:type="dxa"/>
              <w:bottom w:w="60" w:type="dxa"/>
              <w:right w:w="100" w:type="dxa"/>
            </w:tcMar>
            <w:vAlign w:val="center"/>
          </w:tcPr>
          <w:p w14:paraId="624B4073"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ahoma" w:hAnsiTheme="majorBidi" w:cstheme="majorBidi"/>
                <w:b/>
                <w:bCs/>
                <w:color w:val="FFFFFF"/>
                <w:sz w:val="18"/>
                <w:szCs w:val="18"/>
                <w:lang w:val="en-CA" w:eastAsia="en-GB"/>
              </w:rPr>
              <w:lastRenderedPageBreak/>
              <w:t>Impact</w:t>
            </w:r>
          </w:p>
        </w:tc>
        <w:tc>
          <w:tcPr>
            <w:tcW w:w="559" w:type="pct"/>
            <w:tcBorders>
              <w:top w:val="single" w:sz="1" w:space="0" w:color="AAAAAA"/>
              <w:left w:val="single" w:sz="1" w:space="0" w:color="AAAAAA"/>
              <w:bottom w:val="single" w:sz="1" w:space="0" w:color="AAAAAA"/>
              <w:right w:val="single" w:sz="1" w:space="0" w:color="AAAAAA"/>
            </w:tcBorders>
            <w:shd w:val="clear" w:color="auto" w:fill="1F4E6B"/>
            <w:tcMar>
              <w:top w:w="60" w:type="dxa"/>
              <w:left w:w="100" w:type="dxa"/>
              <w:bottom w:w="60" w:type="dxa"/>
              <w:right w:w="100" w:type="dxa"/>
            </w:tcMar>
            <w:vAlign w:val="center"/>
          </w:tcPr>
          <w:p w14:paraId="7BF45636"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ahoma" w:hAnsiTheme="majorBidi" w:cstheme="majorBidi"/>
                <w:b/>
                <w:bCs/>
                <w:color w:val="FFFFFF"/>
                <w:sz w:val="18"/>
                <w:szCs w:val="18"/>
                <w:lang w:val="en-CA" w:eastAsia="en-GB"/>
              </w:rPr>
              <w:t>Firm type</w:t>
            </w:r>
          </w:p>
        </w:tc>
        <w:tc>
          <w:tcPr>
            <w:tcW w:w="464" w:type="pct"/>
            <w:tcBorders>
              <w:top w:val="single" w:sz="1" w:space="0" w:color="AAAAAA"/>
              <w:left w:val="single" w:sz="1" w:space="0" w:color="AAAAAA"/>
              <w:bottom w:val="single" w:sz="1" w:space="0" w:color="AAAAAA"/>
              <w:right w:val="single" w:sz="1" w:space="0" w:color="AAAAAA"/>
            </w:tcBorders>
            <w:shd w:val="clear" w:color="auto" w:fill="1F4E6B"/>
            <w:tcMar>
              <w:top w:w="60" w:type="dxa"/>
              <w:left w:w="100" w:type="dxa"/>
              <w:bottom w:w="60" w:type="dxa"/>
              <w:right w:w="100" w:type="dxa"/>
            </w:tcMar>
            <w:vAlign w:val="center"/>
          </w:tcPr>
          <w:p w14:paraId="679C5F09"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ahoma" w:hAnsiTheme="majorBidi" w:cstheme="majorBidi"/>
                <w:b/>
                <w:bCs/>
                <w:color w:val="FFFFFF"/>
                <w:sz w:val="18"/>
                <w:szCs w:val="18"/>
                <w:lang w:val="en-CA" w:eastAsia="en-GB"/>
              </w:rPr>
              <w:t>Magnitude</w:t>
            </w:r>
          </w:p>
        </w:tc>
        <w:tc>
          <w:tcPr>
            <w:tcW w:w="463" w:type="pct"/>
            <w:tcBorders>
              <w:top w:val="single" w:sz="1" w:space="0" w:color="AAAAAA"/>
              <w:left w:val="single" w:sz="1" w:space="0" w:color="AAAAAA"/>
              <w:bottom w:val="single" w:sz="1" w:space="0" w:color="AAAAAA"/>
              <w:right w:val="single" w:sz="1" w:space="0" w:color="AAAAAA"/>
            </w:tcBorders>
            <w:shd w:val="clear" w:color="auto" w:fill="1F4E6B"/>
            <w:tcMar>
              <w:top w:w="60" w:type="dxa"/>
              <w:left w:w="100" w:type="dxa"/>
              <w:bottom w:w="60" w:type="dxa"/>
              <w:right w:w="100" w:type="dxa"/>
            </w:tcMar>
            <w:vAlign w:val="center"/>
          </w:tcPr>
          <w:p w14:paraId="74F6BB33"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ahoma" w:hAnsiTheme="majorBidi" w:cstheme="majorBidi"/>
                <w:b/>
                <w:bCs/>
                <w:color w:val="FFFFFF"/>
                <w:sz w:val="18"/>
                <w:szCs w:val="18"/>
                <w:lang w:val="en-CA" w:eastAsia="en-GB"/>
              </w:rPr>
              <w:t>Probability</w:t>
            </w:r>
          </w:p>
        </w:tc>
        <w:tc>
          <w:tcPr>
            <w:tcW w:w="1857" w:type="pct"/>
            <w:tcBorders>
              <w:top w:val="single" w:sz="1" w:space="0" w:color="AAAAAA"/>
              <w:left w:val="single" w:sz="1" w:space="0" w:color="AAAAAA"/>
              <w:bottom w:val="single" w:sz="1" w:space="0" w:color="AAAAAA"/>
              <w:right w:val="single" w:sz="1" w:space="0" w:color="AAAAAA"/>
            </w:tcBorders>
            <w:shd w:val="clear" w:color="auto" w:fill="1F4E6B"/>
            <w:tcMar>
              <w:top w:w="60" w:type="dxa"/>
              <w:left w:w="100" w:type="dxa"/>
              <w:bottom w:w="60" w:type="dxa"/>
              <w:right w:w="100" w:type="dxa"/>
            </w:tcMar>
            <w:vAlign w:val="center"/>
          </w:tcPr>
          <w:p w14:paraId="3878990D"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ahoma" w:hAnsiTheme="majorBidi" w:cstheme="majorBidi"/>
                <w:b/>
                <w:bCs/>
                <w:color w:val="FFFFFF"/>
                <w:sz w:val="18"/>
                <w:szCs w:val="18"/>
                <w:lang w:val="en-CA" w:eastAsia="en-GB"/>
              </w:rPr>
              <w:t>Key conditions</w:t>
            </w:r>
          </w:p>
        </w:tc>
        <w:tc>
          <w:tcPr>
            <w:tcW w:w="463" w:type="pct"/>
            <w:tcBorders>
              <w:top w:val="single" w:sz="1" w:space="0" w:color="AAAAAA"/>
              <w:left w:val="single" w:sz="1" w:space="0" w:color="AAAAAA"/>
              <w:bottom w:val="single" w:sz="1" w:space="0" w:color="AAAAAA"/>
              <w:right w:val="single" w:sz="1" w:space="0" w:color="AAAAAA"/>
            </w:tcBorders>
            <w:shd w:val="clear" w:color="auto" w:fill="1F4E6B"/>
            <w:tcMar>
              <w:top w:w="60" w:type="dxa"/>
              <w:left w:w="100" w:type="dxa"/>
              <w:bottom w:w="60" w:type="dxa"/>
              <w:right w:w="100" w:type="dxa"/>
            </w:tcMar>
            <w:vAlign w:val="center"/>
          </w:tcPr>
          <w:p w14:paraId="05945594"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ahoma" w:hAnsiTheme="majorBidi" w:cstheme="majorBidi"/>
                <w:b/>
                <w:bCs/>
                <w:color w:val="FFFFFF"/>
                <w:sz w:val="18"/>
                <w:szCs w:val="18"/>
                <w:lang w:val="en-CA" w:eastAsia="en-GB"/>
              </w:rPr>
              <w:t>Materiality</w:t>
            </w:r>
          </w:p>
        </w:tc>
      </w:tr>
      <w:tr w:rsidR="005F0A67" w:rsidRPr="005F0A67" w14:paraId="0BF0834C" w14:textId="77777777" w:rsidTr="005F0A67">
        <w:trPr>
          <w:trHeight w:val="3359"/>
        </w:trPr>
        <w:tc>
          <w:tcPr>
            <w:tcW w:w="1194" w:type="pct"/>
            <w:vMerge w:val="restar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71CA486D"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1F4E6B"/>
                <w:sz w:val="18"/>
                <w:szCs w:val="18"/>
                <w:lang w:val="en-CA" w:eastAsia="en-GB"/>
              </w:rPr>
            </w:pPr>
            <w:r w:rsidRPr="005F0A67">
              <w:rPr>
                <w:rFonts w:asciiTheme="majorBidi" w:eastAsia="Tahoma" w:hAnsiTheme="majorBidi" w:cstheme="majorBidi"/>
                <w:b/>
                <w:bCs/>
                <w:color w:val="1F4E6B"/>
                <w:sz w:val="18"/>
                <w:szCs w:val="18"/>
                <w:lang w:val="en-CA" w:eastAsia="en-GB"/>
              </w:rPr>
              <w:t>R&amp;D investment capacity</w:t>
            </w:r>
          </w:p>
          <w:p w14:paraId="784982F8"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1A1A1A"/>
                <w:sz w:val="18"/>
                <w:szCs w:val="18"/>
                <w:lang w:val="en-CA" w:eastAsia="en-GB"/>
              </w:rPr>
              <w:t xml:space="preserve">Reduction in capital available for R&amp;D through margin compression or reduced free cash flow. A comparable 1pp profit tax burden reduces R&amp;D by ~6–7% over eight years </w:t>
            </w:r>
            <w:r w:rsidRPr="005F0A67">
              <w:rPr>
                <w:rFonts w:asciiTheme="majorBidi" w:eastAsia="Tahoma" w:hAnsiTheme="majorBidi" w:cstheme="majorBidi"/>
                <w:color w:val="1A1A1A"/>
                <w:sz w:val="18"/>
                <w:szCs w:val="18"/>
                <w:lang w:val="en-CA" w:eastAsia="en-GB"/>
              </w:rPr>
              <w:fldChar w:fldCharType="begin"/>
            </w:r>
            <w:r w:rsidRPr="005F0A67">
              <w:rPr>
                <w:rFonts w:asciiTheme="majorBidi" w:eastAsia="Tahoma" w:hAnsiTheme="majorBidi" w:cstheme="majorBidi"/>
                <w:color w:val="1A1A1A"/>
                <w:sz w:val="18"/>
                <w:szCs w:val="18"/>
                <w:lang w:val="en-CA" w:eastAsia="en-GB"/>
              </w:rPr>
              <w:instrText xml:space="preserve"> ADDIN ZOTERO_ITEM CSL_CITATION {"citationID":"a23av5a6fke","properties":{"unsorted":false,"formattedCitation":"(Lichter {\\i{}et al.}, 2025)","plainCitation":"(Lichter et al., 2025)","noteIndex":0},"citationItems":[{"id":181,"uris":["http://zotero.org/users/14977742/items/H43L3BEQ"],"itemData":{"id":181,"type":"article-journal","abstract":"We study how profit taxes affect establishments' R&amp;D activities. Relying on detailed panel data of R&amp;D-active firms in Germany over two decades, we exploit identifying variation induced by more than 10,000 municipal changes in the local business tax rate and federal tax reforms with locally varying effects. Using event-study techniques, we find a sizable, negative effect of profit taxes on establishments' total R&amp;D spending and patents filed. Zooming into the innovation production process, we uncover substantial heterogeneity in the impact of profit taxation for various R&amp;D input factors, among firm characteristics, and for different types of research projects.","citation-key":"lichterProfitTaxationRampD2025","container-title":"American Economic Journal: Economic Policy","DOI":"10.1257/pol.20220580","ISSN":"1945-7731","issue":"1","language":"en","page":"432-463","source":"www.aeaweb.org","title":"Profit Taxation, R&amp;amp;D Spending, and Innovation","volume":"17","author":[{"family":"Lichter","given":"Andreas"},{"family":"Löffler","given":"Max"},{"family":"Isphording","given":"Ingo E."},{"family":"Nguyen","given":"Thu-Van"},{"family":"Poege","given":"Felix"},{"family":"Siegloch","given":"Sebastian"}],"issued":{"date-parts":[["2025",2]]}}}],"schema":"https://github.com/citation-style-language/schema/raw/master/csl-citation.json"} </w:instrText>
            </w:r>
            <w:r w:rsidRPr="005F0A67">
              <w:rPr>
                <w:rFonts w:asciiTheme="majorBidi" w:eastAsia="Tahoma" w:hAnsiTheme="majorBidi" w:cstheme="majorBidi"/>
                <w:color w:val="1A1A1A"/>
                <w:sz w:val="18"/>
                <w:szCs w:val="18"/>
                <w:lang w:val="en-CA" w:eastAsia="en-GB"/>
              </w:rPr>
              <w:fldChar w:fldCharType="separate"/>
            </w:r>
            <w:r w:rsidRPr="005F0A67">
              <w:rPr>
                <w:rFonts w:asciiTheme="majorBidi" w:eastAsia="Georgia" w:hAnsiTheme="majorBidi" w:cstheme="majorBidi"/>
                <w:color w:val="000000"/>
                <w:sz w:val="18"/>
                <w:szCs w:val="24"/>
                <w:lang w:eastAsia="en-GB"/>
              </w:rPr>
              <w:t xml:space="preserve">(Lichter </w:t>
            </w:r>
            <w:r w:rsidRPr="005F0A67">
              <w:rPr>
                <w:rFonts w:asciiTheme="majorBidi" w:eastAsia="Georgia" w:hAnsiTheme="majorBidi" w:cstheme="majorBidi"/>
                <w:i/>
                <w:iCs/>
                <w:color w:val="000000"/>
                <w:sz w:val="18"/>
                <w:szCs w:val="24"/>
                <w:lang w:eastAsia="en-GB"/>
              </w:rPr>
              <w:t>et al.</w:t>
            </w:r>
            <w:r w:rsidRPr="005F0A67">
              <w:rPr>
                <w:rFonts w:asciiTheme="majorBidi" w:eastAsia="Georgia" w:hAnsiTheme="majorBidi" w:cstheme="majorBidi"/>
                <w:color w:val="000000"/>
                <w:sz w:val="18"/>
                <w:szCs w:val="24"/>
                <w:lang w:eastAsia="en-GB"/>
              </w:rPr>
              <w:t>, 2025)</w:t>
            </w:r>
            <w:r w:rsidRPr="005F0A67">
              <w:rPr>
                <w:rFonts w:asciiTheme="majorBidi" w:eastAsia="Tahoma" w:hAnsiTheme="majorBidi" w:cstheme="majorBidi"/>
                <w:color w:val="1A1A1A"/>
                <w:sz w:val="18"/>
                <w:szCs w:val="18"/>
                <w:lang w:val="en-CA" w:eastAsia="en-GB"/>
              </w:rPr>
              <w:fldChar w:fldCharType="end"/>
            </w:r>
            <w:r w:rsidRPr="005F0A67">
              <w:rPr>
                <w:rFonts w:asciiTheme="majorBidi" w:eastAsia="Tahoma" w:hAnsiTheme="majorBidi" w:cstheme="majorBidi"/>
                <w:color w:val="1A1A1A"/>
                <w:sz w:val="18"/>
                <w:szCs w:val="18"/>
                <w:lang w:val="en-CA" w:eastAsia="en-GB"/>
              </w:rPr>
              <w:t xml:space="preserve">; effects concentrated in financially constrained firms. Research-intensive producers pay predominantly on revenue, making the profit channel indirect; high margins provide additional buffer. Among top 50 global pharma firms, CBD Party-headquartered innovators spent ~21% of sales on R&amp;D vs 26% for US firms </w:t>
            </w:r>
            <w:r w:rsidRPr="005F0A67">
              <w:rPr>
                <w:rFonts w:asciiTheme="majorBidi" w:eastAsia="Tahoma" w:hAnsiTheme="majorBidi" w:cstheme="majorBidi"/>
                <w:color w:val="1A1A1A"/>
                <w:sz w:val="18"/>
                <w:szCs w:val="18"/>
                <w:lang w:val="en-CA" w:eastAsia="en-GB"/>
              </w:rPr>
              <w:fldChar w:fldCharType="begin"/>
            </w:r>
            <w:r w:rsidRPr="005F0A67">
              <w:rPr>
                <w:rFonts w:asciiTheme="majorBidi" w:eastAsia="Tahoma" w:hAnsiTheme="majorBidi" w:cstheme="majorBidi"/>
                <w:color w:val="1A1A1A"/>
                <w:sz w:val="18"/>
                <w:szCs w:val="18"/>
                <w:lang w:val="en-CA" w:eastAsia="en-GB"/>
              </w:rPr>
              <w:instrText xml:space="preserve"> ADDIN ZOTERO_ITEM CSL_CITATION {"citationID":"a15s90iq55c","properties":{"unsorted":false,"formattedCitation":"(Pharmaceutical Executive, 2025)","plainCitation":"(Pharmaceutical Executive, 2025)","noteIndex":0},"citationItems":[{"id":147,"uris":["http://zotero.org/users/14977742/items/739YYP5V"],"itemData":{"id":147,"type":"report","citation-key":"zotero-item-2708","title":"R&amp;D spending as revenue share of leading 10 pharmaceutical companies in 2024 [Graph]. In Statista.","URL":"https://www.statista.com/statistics/309471/randd-spending-share-of-top-pharmaceutical-companies/?srsltid=AfmBOoro2wnOevqTkd8GlvW2exDOWnNgR0rMHlLmLve83fOyF5et3BYy","author":[{"literal":"Pharmaceutical Executive"}],"issued":{"date-parts":[["2025",6]]}}}],"schema":"https://github.com/citation-style-language/schema/raw/master/csl-citation.json"} </w:instrText>
            </w:r>
            <w:r w:rsidRPr="005F0A67">
              <w:rPr>
                <w:rFonts w:asciiTheme="majorBidi" w:eastAsia="Tahoma" w:hAnsiTheme="majorBidi" w:cstheme="majorBidi"/>
                <w:color w:val="1A1A1A"/>
                <w:sz w:val="18"/>
                <w:szCs w:val="18"/>
                <w:lang w:val="en-CA" w:eastAsia="en-GB"/>
              </w:rPr>
              <w:fldChar w:fldCharType="separate"/>
            </w:r>
            <w:r w:rsidRPr="005F0A67">
              <w:rPr>
                <w:rFonts w:asciiTheme="majorBidi" w:eastAsia="Georgia" w:hAnsiTheme="majorBidi" w:cstheme="majorBidi"/>
                <w:color w:val="000000"/>
                <w:sz w:val="18"/>
                <w:szCs w:val="24"/>
                <w:lang w:eastAsia="en-GB"/>
              </w:rPr>
              <w:t>(Pharmaceutical Executive, 2025)</w:t>
            </w:r>
            <w:r w:rsidRPr="005F0A67">
              <w:rPr>
                <w:rFonts w:asciiTheme="majorBidi" w:eastAsia="Tahoma" w:hAnsiTheme="majorBidi" w:cstheme="majorBidi"/>
                <w:color w:val="1A1A1A"/>
                <w:sz w:val="18"/>
                <w:szCs w:val="18"/>
                <w:lang w:val="en-CA" w:eastAsia="en-GB"/>
              </w:rPr>
              <w:fldChar w:fldCharType="end"/>
            </w:r>
            <w:r w:rsidRPr="005F0A67">
              <w:rPr>
                <w:rFonts w:asciiTheme="majorBidi" w:eastAsia="Tahoma" w:hAnsiTheme="majorBidi" w:cstheme="majorBidi"/>
                <w:color w:val="1A1A1A"/>
                <w:sz w:val="18"/>
                <w:szCs w:val="18"/>
                <w:lang w:val="en-CA" w:eastAsia="en-GB"/>
              </w:rPr>
              <w:t>.</w:t>
            </w:r>
          </w:p>
        </w:tc>
        <w:tc>
          <w:tcPr>
            <w:tcW w:w="559"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37324A39"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Pharmaceuticals innovators</w:t>
            </w:r>
          </w:p>
        </w:tc>
        <w:tc>
          <w:tcPr>
            <w:tcW w:w="464"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1F56365D"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 xml:space="preserve">Moderate </w:t>
            </w:r>
          </w:p>
        </w:tc>
        <w:tc>
          <w:tcPr>
            <w:tcW w:w="463"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49705677"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Medium</w:t>
            </w:r>
          </w:p>
        </w:tc>
        <w:tc>
          <w:tcPr>
            <w:tcW w:w="1857"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tcPr>
          <w:p w14:paraId="75B1F469" w14:textId="77777777" w:rsidR="005F0A67" w:rsidRPr="005F0A67" w:rsidRDefault="005F0A67" w:rsidP="005F0A67">
            <w:pPr>
              <w:tabs>
                <w:tab w:val="clear" w:pos="567"/>
                <w:tab w:val="clear" w:pos="1134"/>
                <w:tab w:val="clear" w:pos="1701"/>
                <w:tab w:val="clear" w:pos="2268"/>
              </w:tabs>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1A1A1A"/>
                <w:sz w:val="18"/>
                <w:szCs w:val="18"/>
                <w:lang w:val="en-CA" w:eastAsia="en-GB"/>
              </w:rPr>
              <w:t xml:space="preserve">Research-intensive producers direct approximately 21% of sales to R&amp;D, creating meaningful sensitivity to any mechanism that affects free cash flow available for pipeline investment, even where the direct revenue-to-R&amp;D link is weak. Long development horizons of 10-15 years mean marginal cost increases compound over time and may affect pipeline commitment decisions at the margin. Potential obligation stacking with WHO PABS raises effective burden for vaccine producers in tender-driven markets (U7); rate revision. Large well-capitalised firms are nonetheless least financially constrained at indicative rates </w:t>
            </w:r>
            <w:r w:rsidRPr="005F0A67">
              <w:rPr>
                <w:rFonts w:asciiTheme="majorBidi" w:eastAsia="Tahoma" w:hAnsiTheme="majorBidi" w:cstheme="majorBidi"/>
                <w:color w:val="1A1A1A"/>
                <w:sz w:val="18"/>
                <w:szCs w:val="18"/>
                <w:lang w:val="en-CA" w:eastAsia="en-GB"/>
              </w:rPr>
              <w:fldChar w:fldCharType="begin"/>
            </w:r>
            <w:r w:rsidRPr="005F0A67">
              <w:rPr>
                <w:rFonts w:asciiTheme="majorBidi" w:eastAsia="Tahoma" w:hAnsiTheme="majorBidi" w:cstheme="majorBidi"/>
                <w:color w:val="1A1A1A"/>
                <w:sz w:val="18"/>
                <w:szCs w:val="18"/>
                <w:lang w:val="en-CA" w:eastAsia="en-GB"/>
              </w:rPr>
              <w:instrText xml:space="preserve"> ADDIN ZOTERO_ITEM CSL_CITATION {"citationID":"a2ch3ki5196","properties":{"unsorted":false,"formattedCitation":"(Coles {\\i{}et al.}, 2022)","plainCitation":"(Coles et al., 2022)","noteIndex":0},"citationItems":[{"id":191,"uris":["http://zotero.org/users/14977742/items/VRWB7KZS"],"itemData":{"id":191,"type":"article-journal","abstract":"Using a novel empirical approach and newly available administrative data on U.S. tax filings, we estimate the corporate elasticity of taxable income, decompose the elasticity into economic responses versus other tax-motivated “accounting” transactions, and determine how responsiveness varies depending on accounting method, firm size, and interest rate. In response to a 10% increase in the expected marginal tax rate, private U.S. firms decrease taxable income by 9.1%, which indicates a discernibly more elastic response than prevailing estimates. This response reflects a decrease in taxable income of 3.0% arising from real economic responses to a firm's scale of operations and 6.1% arising from accounting transactions via (for example) revenue and expense timing. Responsiveness to the corporate tax rate is more elastic if a firm uses cash (9.9%) rather than accrual accounting (7.4%), if the firm is small (9.9%) rather than large (8.6%), and if the firm discounts future cash flows at a lower rate.","citation-key":"colesHowFirmsRespond2022","container-title":"Journal of Accounting Research","DOI":"10.1111/1475-679X.12405","ISSN":"1475-679X","issue":"3","language":"en","note":"_eprint: https://onlinelibrary.wiley.com/doi/pdf/10.1111/1475-679X.12405","page":"965-1006","source":"Wiley Online Library","title":"How Do Firms Respond to Corporate Taxes?","volume":"60","author":[{"family":"Coles","given":"Jeffrey L."},{"family":"Pa℡","given":"Elena"},{"family":"Seegert","given":"Nathan"},{"family":"Smith","given":"Matthew"}],"issued":{"date-parts":[["2022"]]}}}],"schema":"https://github.com/citation-style-language/schema/raw/master/csl-citation.json"} </w:instrText>
            </w:r>
            <w:r w:rsidRPr="005F0A67">
              <w:rPr>
                <w:rFonts w:asciiTheme="majorBidi" w:eastAsia="Tahoma" w:hAnsiTheme="majorBidi" w:cstheme="majorBidi"/>
                <w:color w:val="1A1A1A"/>
                <w:sz w:val="18"/>
                <w:szCs w:val="18"/>
                <w:lang w:val="en-CA" w:eastAsia="en-GB"/>
              </w:rPr>
              <w:fldChar w:fldCharType="separate"/>
            </w:r>
            <w:r w:rsidRPr="005F0A67">
              <w:rPr>
                <w:rFonts w:asciiTheme="majorBidi" w:eastAsia="Georgia" w:hAnsiTheme="majorBidi" w:cstheme="majorBidi"/>
                <w:color w:val="000000"/>
                <w:sz w:val="18"/>
                <w:szCs w:val="18"/>
                <w:lang w:eastAsia="en-GB"/>
              </w:rPr>
              <w:t xml:space="preserve">(Coles </w:t>
            </w:r>
            <w:r w:rsidRPr="005F0A67">
              <w:rPr>
                <w:rFonts w:asciiTheme="majorBidi" w:eastAsia="Georgia" w:hAnsiTheme="majorBidi" w:cstheme="majorBidi"/>
                <w:i/>
                <w:color w:val="000000"/>
                <w:sz w:val="18"/>
                <w:szCs w:val="18"/>
                <w:lang w:eastAsia="en-GB"/>
              </w:rPr>
              <w:t>et al.</w:t>
            </w:r>
            <w:r w:rsidRPr="005F0A67">
              <w:rPr>
                <w:rFonts w:asciiTheme="majorBidi" w:eastAsia="Georgia" w:hAnsiTheme="majorBidi" w:cstheme="majorBidi"/>
                <w:color w:val="000000"/>
                <w:sz w:val="18"/>
                <w:szCs w:val="18"/>
                <w:lang w:eastAsia="en-GB"/>
              </w:rPr>
              <w:t>, 2022)</w:t>
            </w:r>
            <w:r w:rsidRPr="005F0A67">
              <w:rPr>
                <w:rFonts w:asciiTheme="majorBidi" w:eastAsia="Tahoma" w:hAnsiTheme="majorBidi" w:cstheme="majorBidi"/>
                <w:color w:val="1A1A1A"/>
                <w:sz w:val="18"/>
                <w:szCs w:val="18"/>
                <w:lang w:val="en-CA" w:eastAsia="en-GB"/>
              </w:rPr>
              <w:fldChar w:fldCharType="end"/>
            </w:r>
            <w:r w:rsidRPr="005F0A67">
              <w:rPr>
                <w:rFonts w:asciiTheme="majorBidi" w:eastAsia="Tahoma" w:hAnsiTheme="majorBidi" w:cstheme="majorBidi"/>
                <w:color w:val="1A1A1A"/>
                <w:sz w:val="18"/>
                <w:szCs w:val="18"/>
                <w:lang w:val="en-CA" w:eastAsia="en-GB"/>
              </w:rPr>
              <w:t xml:space="preserve">; and R&amp;D spending among large pharmaceutical firms does not respond proportionally to revenue changes - revenue reductions substantially larger than the Cali Fund's indicative rates are not expected to result in large-scale R&amp;D defunding </w:t>
            </w:r>
            <w:r w:rsidRPr="005F0A67">
              <w:rPr>
                <w:rFonts w:asciiTheme="majorBidi" w:eastAsia="Tahoma" w:hAnsiTheme="majorBidi" w:cstheme="majorBidi"/>
                <w:color w:val="1A1A1A"/>
                <w:sz w:val="18"/>
                <w:szCs w:val="18"/>
                <w:lang w:val="en-CA" w:eastAsia="en-GB"/>
              </w:rPr>
              <w:fldChar w:fldCharType="begin"/>
            </w:r>
            <w:r w:rsidRPr="005F0A67">
              <w:rPr>
                <w:rFonts w:asciiTheme="majorBidi" w:eastAsia="Tahoma" w:hAnsiTheme="majorBidi" w:cstheme="majorBidi"/>
                <w:color w:val="1A1A1A"/>
                <w:sz w:val="18"/>
                <w:szCs w:val="18"/>
                <w:lang w:val="en-CA" w:eastAsia="en-GB"/>
              </w:rPr>
              <w:instrText xml:space="preserve"> ADDIN ZOTERO_ITEM CSL_CITATION {"citationID":"a14v6g49ohv","properties":{"unsorted":false,"formattedCitation":"(Dixit and David, 2017; Vogel {\\i{}et al.}, 2024)","plainCitation":"(Dixit and David, 2017; Vogel et al., 2024)","noteIndex":0},"citationItems":[{"id":3018,"uris":["http://zotero.org/users/14977742/items/JHP2RJMT"],"itemData":{"id":3018,"type":"article-journal","citation-key":"dixitTrendsPharmaceuticalCompany2017","container-title":"Nature Reviews Drug Discovery","DOI":"10.1038/nrd.2017.81","ISSN":"1474-1784","issue":"6","language":"en","license":"2017 Springer Nature Limited","page":"376-376","publisher":"Nature Publishing Group","source":"www.nature.com","title":"Trends in pharmaceutical company R&amp;D spending: 2005–2015","title-short":"Trends in pharmaceutical company R&amp;D spending","volume":"16","author":[{"family":"Dixit","given":"Richa"},{"family":"David","given":"Frank S."}],"issued":{"date-parts":[["2017",6,1]]}}},{"id":3017,"uris":["http://zotero.org/users/14977742/items/UNGVH4QN"],"itemData":{"id":3017,"type":"article-journal","abstract":"The Inflation Reduction Act (IRA) requires Medicare to negotiate lower prices for some medicines with high Medicare spending. Using historical data from public and proprietary sources to apply the IRA’s negotiation criteria retrospectively, we identify all drugs that met the eligibility criteria from 2012 to 2021 to classify drugs that would have had a negotiated price in effect in 2022 and to calculate associated decreases in industry revenues. Our results suggest that the IRA’s reduction in overall industry revenue will be modest, will not affect most top-selling drugs and will not likely result in large-scale defunding of research and development. Changes in the net present value of drug-development projects will be concentrated in medicines where Medicare is a notable purchaser and where the ratio between expected revenue and development costs was only marginally positive before the IRA. Policymakers considering narrowing or expanding the scope of Medicare negotiation should carefully consider the tradeoffs across medicines with diverse characteristics.","citation-key":"vogelMedicarePriceNegotiation2024","container-title":"Nature Biotechnology","DOI":"10.1038/s41587-023-02096-w","ISSN":"1546-1696","issue":"3","journalAbbreviation":"Nat Biotechnol","language":"en","license":"2024 Springer Nature America, Inc.","page":"406-412","publisher":"Nature Publishing Group","source":"www.nature.com","title":"Medicare price negotiation and pharmaceutical innovation following the Inflation Reduction Act","volume":"42","author":[{"family":"Vogel","given":"Matthew"},{"family":"Kakani","given":"Pragya"},{"family":"Chandra","given":"Amitabh"},{"family":"Conti","given":"Rena M."}],"issued":{"date-parts":[["2024",3]]}}}],"schema":"https://github.com/citation-style-language/schema/raw/master/csl-citation.json"} </w:instrText>
            </w:r>
            <w:r w:rsidRPr="005F0A67">
              <w:rPr>
                <w:rFonts w:asciiTheme="majorBidi" w:eastAsia="Tahoma" w:hAnsiTheme="majorBidi" w:cstheme="majorBidi"/>
                <w:color w:val="1A1A1A"/>
                <w:sz w:val="18"/>
                <w:szCs w:val="18"/>
                <w:lang w:val="en-CA" w:eastAsia="en-GB"/>
              </w:rPr>
              <w:fldChar w:fldCharType="separate"/>
            </w:r>
            <w:r w:rsidRPr="005F0A67">
              <w:rPr>
                <w:rFonts w:asciiTheme="majorBidi" w:eastAsia="Georgia" w:hAnsiTheme="majorBidi" w:cstheme="majorBidi"/>
                <w:color w:val="000000"/>
                <w:sz w:val="18"/>
                <w:szCs w:val="18"/>
                <w:lang w:eastAsia="en-GB"/>
              </w:rPr>
              <w:t xml:space="preserve">(Dixit and David, 2017; Vogel </w:t>
            </w:r>
            <w:r w:rsidRPr="005F0A67">
              <w:rPr>
                <w:rFonts w:asciiTheme="majorBidi" w:eastAsia="Georgia" w:hAnsiTheme="majorBidi" w:cstheme="majorBidi"/>
                <w:i/>
                <w:color w:val="000000"/>
                <w:sz w:val="18"/>
                <w:szCs w:val="18"/>
                <w:lang w:eastAsia="en-GB"/>
              </w:rPr>
              <w:t>et al.</w:t>
            </w:r>
            <w:r w:rsidRPr="005F0A67">
              <w:rPr>
                <w:rFonts w:asciiTheme="majorBidi" w:eastAsia="Georgia" w:hAnsiTheme="majorBidi" w:cstheme="majorBidi"/>
                <w:color w:val="000000"/>
                <w:sz w:val="18"/>
                <w:szCs w:val="18"/>
                <w:lang w:eastAsia="en-GB"/>
              </w:rPr>
              <w:t>, 2024)</w:t>
            </w:r>
            <w:r w:rsidRPr="005F0A67">
              <w:rPr>
                <w:rFonts w:asciiTheme="majorBidi" w:eastAsia="Tahoma" w:hAnsiTheme="majorBidi" w:cstheme="majorBidi"/>
                <w:color w:val="1A1A1A"/>
                <w:sz w:val="18"/>
                <w:szCs w:val="18"/>
                <w:lang w:val="en-CA" w:eastAsia="en-GB"/>
              </w:rPr>
              <w:fldChar w:fldCharType="end"/>
            </w:r>
            <w:r w:rsidRPr="005F0A67">
              <w:rPr>
                <w:rFonts w:asciiTheme="majorBidi" w:eastAsia="Tahoma" w:hAnsiTheme="majorBidi" w:cstheme="majorBidi"/>
                <w:color w:val="1A1A1A"/>
                <w:sz w:val="18"/>
                <w:szCs w:val="18"/>
                <w:lang w:val="en-CA" w:eastAsia="en-GB"/>
              </w:rPr>
              <w:t>. Moderate magnitude reflects pipeline horizon sensitivity and vaccine producer exposure rather than a direct revenue-to-R&amp;D transmission.</w:t>
            </w:r>
          </w:p>
        </w:tc>
        <w:tc>
          <w:tcPr>
            <w:tcW w:w="463" w:type="pct"/>
            <w:tcBorders>
              <w:top w:val="single" w:sz="1" w:space="0" w:color="AAAAAA"/>
              <w:left w:val="single" w:sz="1" w:space="0" w:color="AAAAAA"/>
              <w:bottom w:val="single" w:sz="1" w:space="0" w:color="AAAAAA"/>
              <w:right w:val="single" w:sz="1" w:space="0" w:color="AAAAAA"/>
            </w:tcBorders>
            <w:shd w:val="clear" w:color="auto" w:fill="FEF9CC"/>
            <w:tcMar>
              <w:top w:w="60" w:type="dxa"/>
              <w:left w:w="100" w:type="dxa"/>
              <w:bottom w:w="60" w:type="dxa"/>
              <w:right w:w="100" w:type="dxa"/>
            </w:tcMar>
            <w:vAlign w:val="center"/>
          </w:tcPr>
          <w:p w14:paraId="46FA5089"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000000"/>
                <w:sz w:val="18"/>
                <w:szCs w:val="18"/>
                <w:lang w:val="en-CA" w:eastAsia="en-GB"/>
              </w:rPr>
            </w:pPr>
            <w:r w:rsidRPr="005F0A67">
              <w:rPr>
                <w:rFonts w:asciiTheme="majorBidi" w:eastAsia="Tahoma" w:hAnsiTheme="majorBidi" w:cstheme="majorBidi"/>
                <w:b/>
                <w:bCs/>
                <w:color w:val="000000"/>
                <w:sz w:val="18"/>
                <w:szCs w:val="18"/>
                <w:lang w:val="en-CA" w:eastAsia="en-GB"/>
              </w:rPr>
              <w:t>Moderate</w:t>
            </w:r>
          </w:p>
        </w:tc>
      </w:tr>
      <w:tr w:rsidR="005F0A67" w:rsidRPr="005F0A67" w14:paraId="042C0D0F" w14:textId="77777777" w:rsidTr="005F0A67">
        <w:tc>
          <w:tcPr>
            <w:tcW w:w="1194" w:type="pct"/>
            <w:vMerge/>
            <w:tcMar>
              <w:top w:w="60" w:type="dxa"/>
              <w:left w:w="100" w:type="dxa"/>
              <w:bottom w:w="60" w:type="dxa"/>
              <w:right w:w="100" w:type="dxa"/>
            </w:tcMar>
            <w:vAlign w:val="center"/>
          </w:tcPr>
          <w:p w14:paraId="24E9A0D3"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p>
        </w:tc>
        <w:tc>
          <w:tcPr>
            <w:tcW w:w="559"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31CB8A8E"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Generics producers</w:t>
            </w:r>
          </w:p>
        </w:tc>
        <w:tc>
          <w:tcPr>
            <w:tcW w:w="464"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688F437F"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Minor</w:t>
            </w:r>
          </w:p>
        </w:tc>
        <w:tc>
          <w:tcPr>
            <w:tcW w:w="463"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5B1D5E24"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Low</w:t>
            </w:r>
          </w:p>
        </w:tc>
        <w:tc>
          <w:tcPr>
            <w:tcW w:w="1857"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tcPr>
          <w:p w14:paraId="10B1605A"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1A1A1A"/>
                <w:sz w:val="18"/>
                <w:szCs w:val="18"/>
                <w:lang w:val="en-CA" w:eastAsia="en-GB"/>
              </w:rPr>
              <w:t>Minimal R&amp;D intensity for unbranded generics (compete on price after patent expiry); branded generics have some product development activity but shorter pipelines. Rate revision.</w:t>
            </w:r>
          </w:p>
        </w:tc>
        <w:tc>
          <w:tcPr>
            <w:tcW w:w="463" w:type="pct"/>
            <w:tcBorders>
              <w:top w:val="single" w:sz="1" w:space="0" w:color="AAAAAA"/>
              <w:left w:val="single" w:sz="1" w:space="0" w:color="AAAAAA"/>
              <w:bottom w:val="single" w:sz="1" w:space="0" w:color="AAAAAA"/>
              <w:right w:val="single" w:sz="1" w:space="0" w:color="AAAAAA"/>
            </w:tcBorders>
            <w:shd w:val="clear" w:color="auto" w:fill="D9F2D0"/>
            <w:tcMar>
              <w:top w:w="60" w:type="dxa"/>
              <w:left w:w="100" w:type="dxa"/>
              <w:bottom w:w="60" w:type="dxa"/>
              <w:right w:w="100" w:type="dxa"/>
            </w:tcMar>
            <w:vAlign w:val="center"/>
          </w:tcPr>
          <w:p w14:paraId="7FCA04EE"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000000"/>
                <w:sz w:val="18"/>
                <w:szCs w:val="18"/>
                <w:lang w:val="en-CA" w:eastAsia="en-GB"/>
              </w:rPr>
            </w:pPr>
            <w:r w:rsidRPr="005F0A67">
              <w:rPr>
                <w:rFonts w:asciiTheme="majorBidi" w:eastAsia="Tahoma" w:hAnsiTheme="majorBidi" w:cstheme="majorBidi"/>
                <w:b/>
                <w:bCs/>
                <w:color w:val="000000"/>
                <w:sz w:val="18"/>
                <w:szCs w:val="18"/>
                <w:lang w:val="en-CA" w:eastAsia="en-GB"/>
              </w:rPr>
              <w:t>Low</w:t>
            </w:r>
          </w:p>
        </w:tc>
      </w:tr>
      <w:tr w:rsidR="005F0A67" w:rsidRPr="005F0A67" w14:paraId="76A16A6B" w14:textId="77777777" w:rsidTr="005F0A67">
        <w:tc>
          <w:tcPr>
            <w:tcW w:w="1194" w:type="pct"/>
            <w:vMerge/>
            <w:tcMar>
              <w:top w:w="60" w:type="dxa"/>
              <w:left w:w="100" w:type="dxa"/>
              <w:bottom w:w="60" w:type="dxa"/>
              <w:right w:w="100" w:type="dxa"/>
            </w:tcMar>
            <w:vAlign w:val="center"/>
          </w:tcPr>
          <w:p w14:paraId="28FDAFD3"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p>
        </w:tc>
        <w:tc>
          <w:tcPr>
            <w:tcW w:w="559"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274EEE0C"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Biosimilars producers</w:t>
            </w:r>
          </w:p>
        </w:tc>
        <w:tc>
          <w:tcPr>
            <w:tcW w:w="464"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1A0F0546"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Minor</w:t>
            </w:r>
          </w:p>
        </w:tc>
        <w:tc>
          <w:tcPr>
            <w:tcW w:w="463"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4D4A09C6"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Medium</w:t>
            </w:r>
          </w:p>
        </w:tc>
        <w:tc>
          <w:tcPr>
            <w:tcW w:w="1857"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tcPr>
          <w:p w14:paraId="2C65C560"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1A1A1A"/>
                <w:sz w:val="18"/>
                <w:szCs w:val="18"/>
                <w:lang w:val="en-CA" w:eastAsia="en-GB"/>
              </w:rPr>
              <w:t>Complex development requirements raise exposure relative to conventional generics; financially constrained biosimilar developers more at risk. Overall lower R&amp;D intensity than innovators limits magnitude. Rate revision.</w:t>
            </w:r>
          </w:p>
        </w:tc>
        <w:tc>
          <w:tcPr>
            <w:tcW w:w="463" w:type="pct"/>
            <w:tcBorders>
              <w:top w:val="single" w:sz="1" w:space="0" w:color="AAAAAA"/>
              <w:left w:val="single" w:sz="1" w:space="0" w:color="AAAAAA"/>
              <w:bottom w:val="single" w:sz="1" w:space="0" w:color="AAAAAA"/>
              <w:right w:val="single" w:sz="1" w:space="0" w:color="AAAAAA"/>
            </w:tcBorders>
            <w:shd w:val="clear" w:color="auto" w:fill="D9F3D0"/>
            <w:tcMar>
              <w:top w:w="60" w:type="dxa"/>
              <w:left w:w="100" w:type="dxa"/>
              <w:bottom w:w="60" w:type="dxa"/>
              <w:right w:w="100" w:type="dxa"/>
            </w:tcMar>
            <w:vAlign w:val="center"/>
          </w:tcPr>
          <w:p w14:paraId="5751C28C"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000000"/>
                <w:sz w:val="18"/>
                <w:szCs w:val="18"/>
                <w:lang w:val="en-CA" w:eastAsia="en-GB"/>
              </w:rPr>
            </w:pPr>
            <w:r w:rsidRPr="005F0A67">
              <w:rPr>
                <w:rFonts w:asciiTheme="majorBidi" w:eastAsia="Tahoma" w:hAnsiTheme="majorBidi" w:cstheme="majorBidi"/>
                <w:b/>
                <w:bCs/>
                <w:color w:val="000000"/>
                <w:sz w:val="18"/>
                <w:szCs w:val="18"/>
                <w:lang w:val="en-CA" w:eastAsia="en-GB"/>
              </w:rPr>
              <w:t>Low</w:t>
            </w:r>
          </w:p>
        </w:tc>
      </w:tr>
      <w:tr w:rsidR="005F0A67" w:rsidRPr="005F0A67" w14:paraId="783A91FA" w14:textId="77777777" w:rsidTr="005F0A67">
        <w:tc>
          <w:tcPr>
            <w:tcW w:w="1194" w:type="pct"/>
            <w:vMerge w:val="restar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297C8ADA"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1F4E6B"/>
                <w:sz w:val="18"/>
                <w:szCs w:val="18"/>
                <w:lang w:val="en-CA" w:eastAsia="en-GB"/>
              </w:rPr>
            </w:pPr>
            <w:r w:rsidRPr="005F0A67">
              <w:rPr>
                <w:rFonts w:asciiTheme="majorBidi" w:eastAsia="Tahoma" w:hAnsiTheme="majorBidi" w:cstheme="majorBidi"/>
                <w:b/>
                <w:bCs/>
                <w:color w:val="1F4E6B"/>
                <w:sz w:val="18"/>
                <w:szCs w:val="18"/>
                <w:lang w:val="en-CA" w:eastAsia="en-GB"/>
              </w:rPr>
              <w:t>Product innovation capacity</w:t>
            </w:r>
          </w:p>
          <w:p w14:paraId="29E789F7"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1A1A1A"/>
                <w:sz w:val="18"/>
                <w:szCs w:val="18"/>
                <w:lang w:val="en-CA" w:eastAsia="en-GB"/>
              </w:rPr>
              <w:t xml:space="preserve">Reduction in capital for development and commercialisation of new products via the same margin compression channel as R&amp;D investment. Most significant for firms with long pipelines and high commercialisation costs. Innovation effects most pronounced for financially constrained firms </w:t>
            </w:r>
            <w:r w:rsidRPr="005F0A67">
              <w:rPr>
                <w:rFonts w:asciiTheme="majorBidi" w:eastAsia="Tahoma" w:hAnsiTheme="majorBidi" w:cstheme="majorBidi"/>
                <w:color w:val="1A1A1A"/>
                <w:sz w:val="18"/>
                <w:szCs w:val="18"/>
                <w:lang w:val="en-CA" w:eastAsia="en-GB"/>
              </w:rPr>
              <w:fldChar w:fldCharType="begin"/>
            </w:r>
            <w:r w:rsidRPr="005F0A67">
              <w:rPr>
                <w:rFonts w:asciiTheme="majorBidi" w:eastAsia="Tahoma" w:hAnsiTheme="majorBidi" w:cstheme="majorBidi"/>
                <w:color w:val="1A1A1A"/>
                <w:sz w:val="18"/>
                <w:szCs w:val="18"/>
                <w:lang w:val="en-CA" w:eastAsia="en-GB"/>
              </w:rPr>
              <w:instrText xml:space="preserve"> ADDIN ZOTERO_ITEM CSL_CITATION {"citationID":"a19mpi4e1m7","properties":{"unsorted":false,"formattedCitation":"(Atanassov and Liu, 2020; Lichter {\\i{}et al.}, 2025)","plainCitation":"(Atanassov and Liu, 2020; Lichter et al., 2025)","noteIndex":0},"citationItems":[{"id":183,"uris":["http://zotero.org/users/14977742/items/J3VINYQV"],"itemData":{"id":183,"type":"article-journal","abstract":"We hypothesize that corporate income taxes distort firms’ incentives to innovate by reducing their pledgeable income. Using a differences-in-differences methodology, we document that large corporate income tax cuts boost corporate innovation. We find a similar but opposite effect for tax increases. Most of the change in innovation occurs 2 or more years after the tax change, and there’s no effect before the tax change. Exploring the mechanisms, we show that tax cuts have a stronger impact on innovation for firms with weaker governance, greater financial constraints, fewer tangible assets, smaller patent stock, and a greater degree of tax avoidance.","citation-key":"atanassovCanCorporateIncome2020","container-title":"Journal of Financial and Quantitative Analysis","DOI":"10.1017/S0022109019000152","ISSN":"0022-1090, 1756-6916","issue":"5","language":"en","page":"1415-1465","source":"Cambridge University Press","title":"Can Corporate Income Tax Cuts Stimulate Innovation?","volume":"55","author":[{"family":"Atanassov","given":"Julian"},{"family":"Liu","given":"Xiaoding"}],"issued":{"date-parts":[["2020",8]]}}},{"id":181,"uris":["http://zotero.org/users/14977742/items/H43L3BEQ"],"itemData":{"id":181,"type":"article-journal","abstract":"We study how profit taxes affect establishments' R&amp;D activities. Relying on detailed panel data of R&amp;D-active firms in Germany over two decades, we exploit identifying variation induced by more than 10,000 municipal changes in the local business tax rate and federal tax reforms with locally varying effects. Using event-study techniques, we find a sizable, negative effect of profit taxes on establishments' total R&amp;D spending and patents filed. Zooming into the innovation production process, we uncover substantial heterogeneity in the impact of profit taxation for various R&amp;D input factors, among firm characteristics, and for different types of research projects.","citation-key":"lichterProfitTaxationRampD2025","container-title":"American Economic Journal: Economic Policy","DOI":"10.1257/pol.20220580","ISSN":"1945-7731","issue":"1","language":"en","page":"432-463","source":"www.aeaweb.org","title":"Profit Taxation, R&amp;amp;D Spending, and Innovation","volume":"17","author":[{"family":"Lichter","given":"Andreas"},{"family":"Löffler","given":"Max"},{"family":"Isphording","given":"Ingo E."},{"family":"Nguyen","given":"Thu-Van"},{"family":"Poege","given":"Felix"},{"family":"Siegloch","given":"Sebastian"}],"issued":{"date-parts":[["2025",2]]}}}],"schema":"https://github.com/citation-style-language/schema/raw/master/csl-citation.json"} </w:instrText>
            </w:r>
            <w:r w:rsidRPr="005F0A67">
              <w:rPr>
                <w:rFonts w:asciiTheme="majorBidi" w:eastAsia="Tahoma" w:hAnsiTheme="majorBidi" w:cstheme="majorBidi"/>
                <w:color w:val="1A1A1A"/>
                <w:sz w:val="18"/>
                <w:szCs w:val="18"/>
                <w:lang w:val="en-CA" w:eastAsia="en-GB"/>
              </w:rPr>
              <w:fldChar w:fldCharType="separate"/>
            </w:r>
            <w:r w:rsidRPr="005F0A67">
              <w:rPr>
                <w:rFonts w:asciiTheme="majorBidi" w:eastAsia="Georgia" w:hAnsiTheme="majorBidi" w:cstheme="majorBidi"/>
                <w:color w:val="000000"/>
                <w:sz w:val="18"/>
                <w:szCs w:val="24"/>
                <w:lang w:eastAsia="en-GB"/>
              </w:rPr>
              <w:t xml:space="preserve">(Atanassov and Liu, 2020; Lichter </w:t>
            </w:r>
            <w:r w:rsidRPr="005F0A67">
              <w:rPr>
                <w:rFonts w:asciiTheme="majorBidi" w:eastAsia="Georgia" w:hAnsiTheme="majorBidi" w:cstheme="majorBidi"/>
                <w:i/>
                <w:iCs/>
                <w:color w:val="000000"/>
                <w:sz w:val="18"/>
                <w:szCs w:val="24"/>
                <w:lang w:eastAsia="en-GB"/>
              </w:rPr>
              <w:t>et al.</w:t>
            </w:r>
            <w:r w:rsidRPr="005F0A67">
              <w:rPr>
                <w:rFonts w:asciiTheme="majorBidi" w:eastAsia="Georgia" w:hAnsiTheme="majorBidi" w:cstheme="majorBidi"/>
                <w:color w:val="000000"/>
                <w:sz w:val="18"/>
                <w:szCs w:val="24"/>
                <w:lang w:eastAsia="en-GB"/>
              </w:rPr>
              <w:t>, 2025)</w:t>
            </w:r>
            <w:r w:rsidRPr="005F0A67">
              <w:rPr>
                <w:rFonts w:asciiTheme="majorBidi" w:eastAsia="Tahoma" w:hAnsiTheme="majorBidi" w:cstheme="majorBidi"/>
                <w:color w:val="1A1A1A"/>
                <w:sz w:val="18"/>
                <w:szCs w:val="18"/>
                <w:lang w:val="en-CA" w:eastAsia="en-GB"/>
              </w:rPr>
              <w:fldChar w:fldCharType="end"/>
            </w:r>
          </w:p>
          <w:p w14:paraId="32A4881F"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p>
        </w:tc>
        <w:tc>
          <w:tcPr>
            <w:tcW w:w="559"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6D06DA5C"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Pharmaceuticals innovators</w:t>
            </w:r>
          </w:p>
        </w:tc>
        <w:tc>
          <w:tcPr>
            <w:tcW w:w="464"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3AF3F81A"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1A1A1A"/>
                <w:sz w:val="18"/>
                <w:szCs w:val="18"/>
                <w:lang w:val="en-CA" w:eastAsia="en-GB"/>
              </w:rPr>
              <w:t>Moderate</w:t>
            </w:r>
          </w:p>
        </w:tc>
        <w:tc>
          <w:tcPr>
            <w:tcW w:w="463"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3C81E0E0"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1A1A1A"/>
                <w:sz w:val="18"/>
                <w:szCs w:val="18"/>
                <w:lang w:val="en-CA" w:eastAsia="en-GB"/>
              </w:rPr>
              <w:t>Medium</w:t>
            </w:r>
          </w:p>
        </w:tc>
        <w:tc>
          <w:tcPr>
            <w:tcW w:w="1857"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tcPr>
          <w:p w14:paraId="5D9CCCA3"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1A1A1A"/>
                <w:sz w:val="18"/>
                <w:szCs w:val="18"/>
                <w:lang w:val="en-CA" w:eastAsia="en-GB"/>
              </w:rPr>
            </w:pPr>
            <w:r w:rsidRPr="005F0A67">
              <w:rPr>
                <w:rFonts w:asciiTheme="majorBidi" w:eastAsia="Tahoma" w:hAnsiTheme="majorBidi" w:cstheme="majorBidi"/>
                <w:color w:val="1A1A1A"/>
                <w:sz w:val="18"/>
                <w:szCs w:val="18"/>
                <w:lang w:val="en-CA" w:eastAsia="en-GB"/>
              </w:rPr>
              <w:t xml:space="preserve">Same channel as R&amp;D investment capacity; additionally encompasses commercialisation costs across the full development pipeline from clinical trials through regulatory approval and market access, broadening the capital sensitivity beyond R&amp;D spending alone. Long pipeline horizons of 10-15 years mean marginal capital constraints may affect product development commitments at the planning stage. Potential obligation stacking with WHO PABS (U7); rate revision. Innovation responses concentrated among financially constrained firms, with well-capitalised firms showing substantially smaller effects </w:t>
            </w:r>
            <w:r w:rsidRPr="005F0A67">
              <w:rPr>
                <w:rFonts w:asciiTheme="majorBidi" w:eastAsia="Tahoma" w:hAnsiTheme="majorBidi" w:cstheme="majorBidi"/>
                <w:color w:val="1A1A1A"/>
                <w:sz w:val="18"/>
                <w:szCs w:val="18"/>
                <w:lang w:val="en-CA" w:eastAsia="en-GB"/>
              </w:rPr>
              <w:fldChar w:fldCharType="begin"/>
            </w:r>
            <w:r w:rsidRPr="005F0A67">
              <w:rPr>
                <w:rFonts w:asciiTheme="majorBidi" w:eastAsia="Tahoma" w:hAnsiTheme="majorBidi" w:cstheme="majorBidi"/>
                <w:color w:val="1A1A1A"/>
                <w:sz w:val="18"/>
                <w:szCs w:val="18"/>
                <w:lang w:val="en-CA" w:eastAsia="en-GB"/>
              </w:rPr>
              <w:instrText xml:space="preserve"> ADDIN ZOTERO_ITEM CSL_CITATION {"citationID":"a25daaj4ulr","properties":{"unsorted":false,"formattedCitation":"(Coles {\\i{}et al.}, 2022; Lichter {\\i{}et al.}, 2025)","plainCitation":"(Coles et al., 2022; Lichter et al., 2025)","noteIndex":0},"citationItems":[{"id":191,"uris":["http://zotero.org/users/14977742/items/VRWB7KZS"],"itemData":{"id":191,"type":"article-journal","abstract":"Using a novel empirical approach and newly available administrative data on U.S. tax filings, we estimate the corporate elasticity of taxable income, decompose the elasticity into economic responses versus other tax-motivated “accounting” transactions, and determine how responsiveness varies depending on accounting method, firm size, and interest rate. In response to a 10% increase in the expected marginal tax rate, private U.S. firms decrease taxable income by 9.1%, which indicates a discernibly more elastic response than prevailing estimates. This response reflects a decrease in taxable income of 3.0% arising from real economic responses to a firm's scale of operations and 6.1% arising from accounting transactions via (for example) revenue and expense timing. Responsiveness to the corporate tax rate is more elastic if a firm uses cash (9.9%) rather than accrual accounting (7.4%), if the firm is small (9.9%) rather than large (8.6%), and if the firm discounts future cash flows at a lower rate.","citation-key":"colesHowFirmsRespond2022","container-title":"Journal of Accounting Research","DOI":"10.1111/1475-679X.12405","ISSN":"1475-679X","issue":"3","language":"en","note":"_eprint: https://onlinelibrary.wiley.com/doi/pdf/10.1111/1475-679X.12405","page":"965-1006","source":"Wiley Online Library","title":"How Do Firms Respond to Corporate Taxes?","volume":"60","author":[{"family":"Coles","given":"Jeffrey L."},{"family":"Pa℡","given":"Elena"},{"family":"Seegert","given":"Nathan"},{"family":"Smith","given":"Matthew"}],"issued":{"date-parts":[["2022"]]}}},{"id":181,"uris":["http://zotero.org/users/14977742/items/H43L3BEQ"],"itemData":{"id":181,"type":"article-journal","abstract":"We study how profit taxes affect establishments' R&amp;D activities. Relying on detailed panel data of R&amp;D-active firms in Germany over two decades, we exploit identifying variation induced by more than 10,000 municipal changes in the local business tax rate and federal tax reforms with locally varying effects. Using event-study techniques, we find a sizable, negative effect of profit taxes on establishments' total R&amp;D spending and patents filed. Zooming into the innovation production process, we uncover substantial heterogeneity in the impact of profit taxation for various R&amp;D input factors, among firm characteristics, and for different types of research projects.","citation-key":"lichterProfitTaxationRampD2025","container-title":"American Economic Journal: Economic Policy","DOI":"10.1257/pol.20220580","ISSN":"1945-7731","issue":"1","language":"en","page":"432-463","source":"www.aeaweb.org","title":"Profit Taxation, R&amp;amp;D Spending, and Innovation","volume":"17","author":[{"family":"Lichter","given":"Andreas"},{"family":"Löffler","given":"Max"},{"family":"Isphording","given":"Ingo E."},{"family":"Nguyen","given":"Thu-Van"},{"family":"Poege","given":"Felix"},{"family":"Siegloch","given":"Sebastian"}],"issued":{"date-parts":[["2025",2]]}}}],"schema":"https://github.com/citation-style-language/schema/raw/master/csl-citation.json"} </w:instrText>
            </w:r>
            <w:r w:rsidRPr="005F0A67">
              <w:rPr>
                <w:rFonts w:asciiTheme="majorBidi" w:eastAsia="Tahoma" w:hAnsiTheme="majorBidi" w:cstheme="majorBidi"/>
                <w:color w:val="1A1A1A"/>
                <w:sz w:val="18"/>
                <w:szCs w:val="18"/>
                <w:lang w:val="en-CA" w:eastAsia="en-GB"/>
              </w:rPr>
              <w:fldChar w:fldCharType="separate"/>
            </w:r>
            <w:r w:rsidRPr="005F0A67">
              <w:rPr>
                <w:rFonts w:asciiTheme="majorBidi" w:eastAsia="Georgia" w:hAnsiTheme="majorBidi" w:cstheme="majorBidi"/>
                <w:color w:val="000000"/>
                <w:sz w:val="18"/>
                <w:szCs w:val="18"/>
                <w:lang w:eastAsia="en-GB"/>
              </w:rPr>
              <w:t xml:space="preserve">(Coles </w:t>
            </w:r>
            <w:r w:rsidRPr="005F0A67">
              <w:rPr>
                <w:rFonts w:asciiTheme="majorBidi" w:eastAsia="Georgia" w:hAnsiTheme="majorBidi" w:cstheme="majorBidi"/>
                <w:i/>
                <w:color w:val="000000"/>
                <w:sz w:val="18"/>
                <w:szCs w:val="18"/>
                <w:lang w:eastAsia="en-GB"/>
              </w:rPr>
              <w:t>et al.</w:t>
            </w:r>
            <w:r w:rsidRPr="005F0A67">
              <w:rPr>
                <w:rFonts w:asciiTheme="majorBidi" w:eastAsia="Georgia" w:hAnsiTheme="majorBidi" w:cstheme="majorBidi"/>
                <w:color w:val="000000"/>
                <w:sz w:val="18"/>
                <w:szCs w:val="18"/>
                <w:lang w:eastAsia="en-GB"/>
              </w:rPr>
              <w:t xml:space="preserve">, 2022; Lichter </w:t>
            </w:r>
            <w:r w:rsidRPr="005F0A67">
              <w:rPr>
                <w:rFonts w:asciiTheme="majorBidi" w:eastAsia="Georgia" w:hAnsiTheme="majorBidi" w:cstheme="majorBidi"/>
                <w:i/>
                <w:color w:val="000000"/>
                <w:sz w:val="18"/>
                <w:szCs w:val="18"/>
                <w:lang w:eastAsia="en-GB"/>
              </w:rPr>
              <w:t>et al.</w:t>
            </w:r>
            <w:r w:rsidRPr="005F0A67">
              <w:rPr>
                <w:rFonts w:asciiTheme="majorBidi" w:eastAsia="Georgia" w:hAnsiTheme="majorBidi" w:cstheme="majorBidi"/>
                <w:color w:val="000000"/>
                <w:sz w:val="18"/>
                <w:szCs w:val="18"/>
                <w:lang w:eastAsia="en-GB"/>
              </w:rPr>
              <w:t>, 2025)</w:t>
            </w:r>
            <w:r w:rsidRPr="005F0A67">
              <w:rPr>
                <w:rFonts w:asciiTheme="majorBidi" w:eastAsia="Tahoma" w:hAnsiTheme="majorBidi" w:cstheme="majorBidi"/>
                <w:color w:val="1A1A1A"/>
                <w:sz w:val="18"/>
                <w:szCs w:val="18"/>
                <w:lang w:val="en-CA" w:eastAsia="en-GB"/>
              </w:rPr>
              <w:fldChar w:fldCharType="end"/>
            </w:r>
            <w:r w:rsidRPr="005F0A67">
              <w:rPr>
                <w:rFonts w:asciiTheme="majorBidi" w:eastAsia="Tahoma" w:hAnsiTheme="majorBidi" w:cstheme="majorBidi"/>
                <w:color w:val="1A1A1A"/>
                <w:sz w:val="18"/>
                <w:szCs w:val="18"/>
                <w:lang w:val="en-CA" w:eastAsia="en-GB"/>
              </w:rPr>
              <w:t>. Moderate magnitude reflects full pipeline breadth and long horizon sensitivity rather than an expected direct reduction in product development spending.</w:t>
            </w:r>
          </w:p>
        </w:tc>
        <w:tc>
          <w:tcPr>
            <w:tcW w:w="463" w:type="pct"/>
            <w:tcBorders>
              <w:top w:val="single" w:sz="1" w:space="0" w:color="AAAAAA"/>
              <w:left w:val="single" w:sz="1" w:space="0" w:color="AAAAAA"/>
              <w:bottom w:val="single" w:sz="1" w:space="0" w:color="AAAAAA"/>
              <w:right w:val="single" w:sz="1" w:space="0" w:color="AAAAAA"/>
            </w:tcBorders>
            <w:shd w:val="clear" w:color="auto" w:fill="FEF9CC"/>
            <w:tcMar>
              <w:top w:w="60" w:type="dxa"/>
              <w:left w:w="100" w:type="dxa"/>
              <w:bottom w:w="60" w:type="dxa"/>
              <w:right w:w="100" w:type="dxa"/>
            </w:tcMar>
            <w:vAlign w:val="center"/>
          </w:tcPr>
          <w:p w14:paraId="63636C31"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000000"/>
                <w:sz w:val="18"/>
                <w:szCs w:val="18"/>
                <w:lang w:val="en-CA" w:eastAsia="en-GB"/>
              </w:rPr>
            </w:pPr>
            <w:r w:rsidRPr="005F0A67">
              <w:rPr>
                <w:rFonts w:asciiTheme="majorBidi" w:eastAsia="Tahoma" w:hAnsiTheme="majorBidi" w:cstheme="majorBidi"/>
                <w:b/>
                <w:bCs/>
                <w:color w:val="000000"/>
                <w:sz w:val="18"/>
                <w:szCs w:val="18"/>
                <w:lang w:val="en-CA" w:eastAsia="en-GB"/>
              </w:rPr>
              <w:t>Moderate</w:t>
            </w:r>
          </w:p>
        </w:tc>
      </w:tr>
      <w:tr w:rsidR="005F0A67" w:rsidRPr="005F0A67" w14:paraId="584A7DD7" w14:textId="77777777" w:rsidTr="005F0A67">
        <w:tc>
          <w:tcPr>
            <w:tcW w:w="1194" w:type="pct"/>
            <w:vMerge/>
            <w:tcMar>
              <w:top w:w="60" w:type="dxa"/>
              <w:left w:w="100" w:type="dxa"/>
              <w:bottom w:w="60" w:type="dxa"/>
              <w:right w:w="100" w:type="dxa"/>
            </w:tcMar>
            <w:vAlign w:val="center"/>
          </w:tcPr>
          <w:p w14:paraId="79FF1F86"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p>
        </w:tc>
        <w:tc>
          <w:tcPr>
            <w:tcW w:w="559"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4B6953B0"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Generics producers</w:t>
            </w:r>
          </w:p>
        </w:tc>
        <w:tc>
          <w:tcPr>
            <w:tcW w:w="464"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22BC5218"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1A1A1A"/>
                <w:sz w:val="18"/>
                <w:szCs w:val="18"/>
                <w:lang w:val="en-CA" w:eastAsia="en-GB"/>
              </w:rPr>
              <w:t>Minor</w:t>
            </w:r>
          </w:p>
        </w:tc>
        <w:tc>
          <w:tcPr>
            <w:tcW w:w="463"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2DA61D50"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1A1A1A"/>
                <w:sz w:val="18"/>
                <w:szCs w:val="18"/>
                <w:lang w:val="en-CA" w:eastAsia="en-GB"/>
              </w:rPr>
              <w:t>Low</w:t>
            </w:r>
          </w:p>
        </w:tc>
        <w:tc>
          <w:tcPr>
            <w:tcW w:w="1857"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tcPr>
          <w:p w14:paraId="58BF618C"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1A1A1A"/>
                <w:sz w:val="18"/>
                <w:szCs w:val="18"/>
                <w:lang w:val="en-CA" w:eastAsia="en-GB"/>
              </w:rPr>
              <w:t>Conventional generics have no product innovation in the relevant sense. Branded generics have some formulation development activity but limited pipeline depth. Rate revision.</w:t>
            </w:r>
          </w:p>
        </w:tc>
        <w:tc>
          <w:tcPr>
            <w:tcW w:w="463" w:type="pct"/>
            <w:tcBorders>
              <w:top w:val="single" w:sz="1" w:space="0" w:color="AAAAAA"/>
              <w:left w:val="single" w:sz="1" w:space="0" w:color="AAAAAA"/>
              <w:bottom w:val="single" w:sz="1" w:space="0" w:color="AAAAAA"/>
              <w:right w:val="single" w:sz="1" w:space="0" w:color="AAAAAA"/>
            </w:tcBorders>
            <w:shd w:val="clear" w:color="auto" w:fill="D9F2D0"/>
            <w:tcMar>
              <w:top w:w="60" w:type="dxa"/>
              <w:left w:w="100" w:type="dxa"/>
              <w:bottom w:w="60" w:type="dxa"/>
              <w:right w:w="100" w:type="dxa"/>
            </w:tcMar>
            <w:vAlign w:val="center"/>
          </w:tcPr>
          <w:p w14:paraId="410E2FBF"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000000"/>
                <w:sz w:val="18"/>
                <w:szCs w:val="18"/>
                <w:lang w:val="en-CA" w:eastAsia="en-GB"/>
              </w:rPr>
            </w:pPr>
            <w:r w:rsidRPr="005F0A67">
              <w:rPr>
                <w:rFonts w:asciiTheme="majorBidi" w:eastAsia="Tahoma" w:hAnsiTheme="majorBidi" w:cstheme="majorBidi"/>
                <w:b/>
                <w:bCs/>
                <w:color w:val="000000"/>
                <w:sz w:val="18"/>
                <w:szCs w:val="18"/>
                <w:lang w:val="en-CA" w:eastAsia="en-GB"/>
              </w:rPr>
              <w:t>Low</w:t>
            </w:r>
          </w:p>
        </w:tc>
      </w:tr>
      <w:tr w:rsidR="005F0A67" w:rsidRPr="005F0A67" w14:paraId="3491E2EE" w14:textId="77777777" w:rsidTr="005F0A67">
        <w:tc>
          <w:tcPr>
            <w:tcW w:w="1194" w:type="pct"/>
            <w:vMerge/>
            <w:tcMar>
              <w:top w:w="60" w:type="dxa"/>
              <w:left w:w="100" w:type="dxa"/>
              <w:bottom w:w="60" w:type="dxa"/>
              <w:right w:w="100" w:type="dxa"/>
            </w:tcMar>
            <w:vAlign w:val="center"/>
          </w:tcPr>
          <w:p w14:paraId="3CCA7793"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p>
        </w:tc>
        <w:tc>
          <w:tcPr>
            <w:tcW w:w="559"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3E5A0D68"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Biosimilars producers</w:t>
            </w:r>
          </w:p>
        </w:tc>
        <w:tc>
          <w:tcPr>
            <w:tcW w:w="464"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1FC121CE"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1A1A1A"/>
                <w:sz w:val="18"/>
                <w:szCs w:val="18"/>
                <w:lang w:val="en-CA" w:eastAsia="en-GB"/>
              </w:rPr>
              <w:t>Minor</w:t>
            </w:r>
          </w:p>
        </w:tc>
        <w:tc>
          <w:tcPr>
            <w:tcW w:w="463"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4F3A9934"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1A1A1A"/>
                <w:sz w:val="18"/>
                <w:szCs w:val="18"/>
                <w:lang w:val="en-CA" w:eastAsia="en-GB"/>
              </w:rPr>
              <w:t>Low</w:t>
            </w:r>
          </w:p>
        </w:tc>
        <w:tc>
          <w:tcPr>
            <w:tcW w:w="1857"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tcPr>
          <w:p w14:paraId="161430AB"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1A1A1A"/>
                <w:sz w:val="18"/>
                <w:szCs w:val="18"/>
                <w:lang w:val="en-CA" w:eastAsia="en-GB"/>
              </w:rPr>
              <w:t>Biosimilar development affected at the margin; complex regulatory pathway for each new biosimilar creates some pipeline exposure. Rate revision.</w:t>
            </w:r>
          </w:p>
        </w:tc>
        <w:tc>
          <w:tcPr>
            <w:tcW w:w="463" w:type="pct"/>
            <w:tcBorders>
              <w:top w:val="single" w:sz="1" w:space="0" w:color="AAAAAA"/>
              <w:left w:val="single" w:sz="1" w:space="0" w:color="AAAAAA"/>
              <w:bottom w:val="single" w:sz="1" w:space="0" w:color="AAAAAA"/>
              <w:right w:val="single" w:sz="1" w:space="0" w:color="AAAAAA"/>
            </w:tcBorders>
            <w:shd w:val="clear" w:color="auto" w:fill="D9F3D0"/>
            <w:tcMar>
              <w:top w:w="60" w:type="dxa"/>
              <w:left w:w="100" w:type="dxa"/>
              <w:bottom w:w="60" w:type="dxa"/>
              <w:right w:w="100" w:type="dxa"/>
            </w:tcMar>
            <w:vAlign w:val="center"/>
          </w:tcPr>
          <w:p w14:paraId="1F9BBC42"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000000"/>
                <w:sz w:val="18"/>
                <w:szCs w:val="18"/>
                <w:lang w:val="en-CA" w:eastAsia="en-GB"/>
              </w:rPr>
            </w:pPr>
            <w:r w:rsidRPr="005F0A67">
              <w:rPr>
                <w:rFonts w:asciiTheme="majorBidi" w:eastAsia="Tahoma" w:hAnsiTheme="majorBidi" w:cstheme="majorBidi"/>
                <w:b/>
                <w:bCs/>
                <w:color w:val="000000"/>
                <w:sz w:val="18"/>
                <w:szCs w:val="18"/>
                <w:lang w:val="en-CA" w:eastAsia="en-GB"/>
              </w:rPr>
              <w:t>Low</w:t>
            </w:r>
          </w:p>
        </w:tc>
      </w:tr>
      <w:tr w:rsidR="005F0A67" w:rsidRPr="005F0A67" w14:paraId="0A7E67CC" w14:textId="77777777" w:rsidTr="005F0A67">
        <w:tc>
          <w:tcPr>
            <w:tcW w:w="1194" w:type="pct"/>
            <w:vMerge w:val="restar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5BBB8BB7"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1A1A1A"/>
                <w:sz w:val="18"/>
                <w:szCs w:val="18"/>
                <w:lang w:val="en-CA" w:eastAsia="en-GB"/>
              </w:rPr>
            </w:pPr>
            <w:r w:rsidRPr="005F0A67">
              <w:rPr>
                <w:rFonts w:asciiTheme="majorBidi" w:eastAsia="Tahoma" w:hAnsiTheme="majorBidi" w:cstheme="majorBidi"/>
                <w:b/>
                <w:bCs/>
                <w:color w:val="1F4E6B"/>
                <w:sz w:val="18"/>
                <w:szCs w:val="18"/>
                <w:lang w:val="en-CA" w:eastAsia="en-GB"/>
              </w:rPr>
              <w:t>Access to risk capital</w:t>
            </w:r>
            <w:r w:rsidRPr="005F0A67">
              <w:rPr>
                <w:rFonts w:asciiTheme="majorBidi" w:eastAsia="Tahoma" w:hAnsiTheme="majorBidi" w:cstheme="majorBidi"/>
                <w:color w:val="1A1A1A"/>
                <w:sz w:val="18"/>
                <w:szCs w:val="18"/>
                <w:lang w:val="en-CA" w:eastAsia="en-GB"/>
              </w:rPr>
              <w:t xml:space="preserve"> </w:t>
            </w:r>
          </w:p>
          <w:p w14:paraId="44EBE1B8"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1A1A1A"/>
                <w:sz w:val="18"/>
                <w:szCs w:val="18"/>
                <w:lang w:val="en-CA" w:eastAsia="en-GB"/>
              </w:rPr>
              <w:t xml:space="preserve">Effect on ability to attract external financing for innovation where margin compression reduces perceived returns. Large well-capitalised firms are least exposed </w:t>
            </w:r>
            <w:r w:rsidRPr="005F0A67">
              <w:rPr>
                <w:rFonts w:asciiTheme="majorBidi" w:eastAsia="Tahoma" w:hAnsiTheme="majorBidi" w:cstheme="majorBidi"/>
                <w:color w:val="1A1A1A"/>
                <w:sz w:val="18"/>
                <w:szCs w:val="18"/>
                <w:lang w:val="en-CA" w:eastAsia="en-GB"/>
              </w:rPr>
              <w:fldChar w:fldCharType="begin"/>
            </w:r>
            <w:r w:rsidRPr="005F0A67">
              <w:rPr>
                <w:rFonts w:asciiTheme="majorBidi" w:eastAsia="Tahoma" w:hAnsiTheme="majorBidi" w:cstheme="majorBidi"/>
                <w:color w:val="1A1A1A"/>
                <w:sz w:val="18"/>
                <w:szCs w:val="18"/>
                <w:lang w:val="en-CA" w:eastAsia="en-GB"/>
              </w:rPr>
              <w:instrText xml:space="preserve"> ADDIN ZOTERO_ITEM CSL_CITATION {"citationID":"a18f2r4p91j","properties":{"unsorted":false,"formattedCitation":"(Coles {\\i{}et al.}, 2022)","plainCitation":"(Coles et al., 2022)","noteIndex":0},"citationItems":[{"id":191,"uris":["http://zotero.org/users/14977742/items/VRWB7KZS"],"itemData":{"id":191,"type":"article-journal","abstract":"Using a novel empirical approach and newly available administrative data on U.S. tax filings, we estimate the corporate elasticity of taxable income, decompose the elasticity into economic responses versus other tax-motivated “accounting” transactions, and determine how responsiveness varies depending on accounting method, firm size, and interest rate. In response to a 10% increase in the expected marginal tax rate, private U.S. firms decrease taxable income by 9.1%, which indicates a discernibly more elastic response than prevailing estimates. This response reflects a decrease in taxable income of 3.0% arising from real economic responses to a firm's scale of operations and 6.1% arising from accounting transactions via (for example) revenue and expense timing. Responsiveness to the corporate tax rate is more elastic if a firm uses cash (9.9%) rather than accrual accounting (7.4%), if the firm is small (9.9%) rather than large (8.6%), and if the firm discounts future cash flows at a lower rate.","citation-key":"colesHowFirmsRespond2022","container-title":"Journal of Accounting Research","DOI":"10.1111/1475-679X.12405","ISSN":"1475-679X","issue":"3","language":"en","note":"_eprint: https://onlinelibrary.wiley.com/doi/pdf/10.1111/1475-679X.12405","page":"965-1006","source":"Wiley Online Library","title":"How Do Firms Respond to Corporate Taxes?","volume":"60","author":[{"family":"Coles","given":"Jeffrey L."},{"family":"Pa℡","given":"Elena"},{"family":"Seegert","given":"Nathan"},{"family":"Smith","given":"Matthew"}],"issued":{"date-parts":[["2022"]]}}}],"schema":"https://github.com/citation-style-language/schema/raw/master/csl-citation.json"} </w:instrText>
            </w:r>
            <w:r w:rsidRPr="005F0A67">
              <w:rPr>
                <w:rFonts w:asciiTheme="majorBidi" w:eastAsia="Tahoma" w:hAnsiTheme="majorBidi" w:cstheme="majorBidi"/>
                <w:color w:val="1A1A1A"/>
                <w:sz w:val="18"/>
                <w:szCs w:val="18"/>
                <w:lang w:val="en-CA" w:eastAsia="en-GB"/>
              </w:rPr>
              <w:fldChar w:fldCharType="separate"/>
            </w:r>
            <w:r w:rsidRPr="005F0A67">
              <w:rPr>
                <w:rFonts w:asciiTheme="majorBidi" w:eastAsia="Georgia" w:hAnsiTheme="majorBidi" w:cstheme="majorBidi"/>
                <w:color w:val="000000"/>
                <w:sz w:val="18"/>
                <w:szCs w:val="24"/>
                <w:lang w:eastAsia="en-GB"/>
              </w:rPr>
              <w:t xml:space="preserve">(Coles </w:t>
            </w:r>
            <w:r w:rsidRPr="005F0A67">
              <w:rPr>
                <w:rFonts w:asciiTheme="majorBidi" w:eastAsia="Georgia" w:hAnsiTheme="majorBidi" w:cstheme="majorBidi"/>
                <w:i/>
                <w:iCs/>
                <w:color w:val="000000"/>
                <w:sz w:val="18"/>
                <w:szCs w:val="24"/>
                <w:lang w:eastAsia="en-GB"/>
              </w:rPr>
              <w:t>et al.</w:t>
            </w:r>
            <w:r w:rsidRPr="005F0A67">
              <w:rPr>
                <w:rFonts w:asciiTheme="majorBidi" w:eastAsia="Georgia" w:hAnsiTheme="majorBidi" w:cstheme="majorBidi"/>
                <w:color w:val="000000"/>
                <w:sz w:val="18"/>
                <w:szCs w:val="24"/>
                <w:lang w:eastAsia="en-GB"/>
              </w:rPr>
              <w:t>, 2022)</w:t>
            </w:r>
            <w:r w:rsidRPr="005F0A67">
              <w:rPr>
                <w:rFonts w:asciiTheme="majorBidi" w:eastAsia="Tahoma" w:hAnsiTheme="majorBidi" w:cstheme="majorBidi"/>
                <w:color w:val="1A1A1A"/>
                <w:sz w:val="18"/>
                <w:szCs w:val="18"/>
                <w:lang w:val="en-CA" w:eastAsia="en-GB"/>
              </w:rPr>
              <w:fldChar w:fldCharType="end"/>
            </w:r>
            <w:r w:rsidRPr="005F0A67">
              <w:rPr>
                <w:rFonts w:asciiTheme="majorBidi" w:eastAsia="Tahoma" w:hAnsiTheme="majorBidi" w:cstheme="majorBidi"/>
                <w:color w:val="1A1A1A"/>
                <w:sz w:val="18"/>
                <w:szCs w:val="18"/>
                <w:lang w:val="en-CA" w:eastAsia="en-GB"/>
              </w:rPr>
              <w:t xml:space="preserve">. </w:t>
            </w:r>
            <w:bookmarkStart w:id="190" w:name="_Int_eR0rru3e"/>
            <w:r w:rsidRPr="005F0A67">
              <w:rPr>
                <w:rFonts w:asciiTheme="majorBidi" w:eastAsia="Tahoma" w:hAnsiTheme="majorBidi" w:cstheme="majorBidi"/>
                <w:color w:val="1A1A1A"/>
                <w:sz w:val="18"/>
                <w:szCs w:val="18"/>
                <w:lang w:val="en-CA" w:eastAsia="en-GB"/>
              </w:rPr>
              <w:t>Voluntary</w:t>
            </w:r>
            <w:bookmarkEnd w:id="190"/>
            <w:r w:rsidRPr="005F0A67">
              <w:rPr>
                <w:rFonts w:asciiTheme="majorBidi" w:eastAsia="Tahoma" w:hAnsiTheme="majorBidi" w:cstheme="majorBidi"/>
                <w:color w:val="1A1A1A"/>
                <w:sz w:val="18"/>
                <w:szCs w:val="18"/>
                <w:lang w:val="en-CA" w:eastAsia="en-GB"/>
              </w:rPr>
              <w:t xml:space="preserve"> opt-out constrains severe outcomes for firms facing material financing constraints.</w:t>
            </w:r>
          </w:p>
        </w:tc>
        <w:tc>
          <w:tcPr>
            <w:tcW w:w="559"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283F1B73"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Pharmaceuticals innovators</w:t>
            </w:r>
          </w:p>
        </w:tc>
        <w:tc>
          <w:tcPr>
            <w:tcW w:w="464"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180CC8D2"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1A1A1A"/>
                <w:sz w:val="18"/>
                <w:szCs w:val="18"/>
                <w:lang w:val="en-CA" w:eastAsia="en-GB"/>
              </w:rPr>
              <w:t>Minor</w:t>
            </w:r>
          </w:p>
        </w:tc>
        <w:tc>
          <w:tcPr>
            <w:tcW w:w="463"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3D80E30D"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1A1A1A"/>
                <w:sz w:val="18"/>
                <w:szCs w:val="18"/>
                <w:lang w:val="en-CA" w:eastAsia="en-GB"/>
              </w:rPr>
              <w:t>Low</w:t>
            </w:r>
          </w:p>
        </w:tc>
        <w:tc>
          <w:tcPr>
            <w:tcW w:w="1857"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tcPr>
          <w:p w14:paraId="14933D7F"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1A1A1A"/>
                <w:sz w:val="18"/>
                <w:szCs w:val="18"/>
                <w:lang w:val="en-CA" w:eastAsia="en-GB"/>
              </w:rPr>
              <w:t>Large well-capitalised innovators least exposed; high margins provide buffer. Rate revision.</w:t>
            </w:r>
          </w:p>
        </w:tc>
        <w:tc>
          <w:tcPr>
            <w:tcW w:w="463" w:type="pct"/>
            <w:tcBorders>
              <w:top w:val="single" w:sz="1" w:space="0" w:color="AAAAAA"/>
              <w:left w:val="single" w:sz="1" w:space="0" w:color="AAAAAA"/>
              <w:bottom w:val="single" w:sz="1" w:space="0" w:color="AAAAAA"/>
              <w:right w:val="single" w:sz="1" w:space="0" w:color="AAAAAA"/>
            </w:tcBorders>
            <w:shd w:val="clear" w:color="auto" w:fill="D9F3D0"/>
            <w:tcMar>
              <w:top w:w="60" w:type="dxa"/>
              <w:left w:w="100" w:type="dxa"/>
              <w:bottom w:w="60" w:type="dxa"/>
              <w:right w:w="100" w:type="dxa"/>
            </w:tcMar>
            <w:vAlign w:val="center"/>
          </w:tcPr>
          <w:p w14:paraId="6FAAE775"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000000"/>
                <w:sz w:val="18"/>
                <w:szCs w:val="18"/>
                <w:lang w:val="en-CA" w:eastAsia="en-GB"/>
              </w:rPr>
            </w:pPr>
            <w:r w:rsidRPr="005F0A67">
              <w:rPr>
                <w:rFonts w:asciiTheme="majorBidi" w:eastAsia="Tahoma" w:hAnsiTheme="majorBidi" w:cstheme="majorBidi"/>
                <w:b/>
                <w:bCs/>
                <w:color w:val="000000"/>
                <w:sz w:val="18"/>
                <w:szCs w:val="18"/>
                <w:lang w:val="en-CA" w:eastAsia="en-GB"/>
              </w:rPr>
              <w:t>Low</w:t>
            </w:r>
          </w:p>
        </w:tc>
      </w:tr>
      <w:tr w:rsidR="005F0A67" w:rsidRPr="005F0A67" w14:paraId="74C81F7A" w14:textId="77777777" w:rsidTr="005F0A67">
        <w:tc>
          <w:tcPr>
            <w:tcW w:w="1194" w:type="pct"/>
            <w:vMerge/>
            <w:tcMar>
              <w:top w:w="60" w:type="dxa"/>
              <w:left w:w="100" w:type="dxa"/>
              <w:bottom w:w="60" w:type="dxa"/>
              <w:right w:w="100" w:type="dxa"/>
            </w:tcMar>
            <w:vAlign w:val="center"/>
          </w:tcPr>
          <w:p w14:paraId="2E60ACFD"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p>
        </w:tc>
        <w:tc>
          <w:tcPr>
            <w:tcW w:w="559"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4DD9425F"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Generics producers</w:t>
            </w:r>
          </w:p>
        </w:tc>
        <w:tc>
          <w:tcPr>
            <w:tcW w:w="464"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22D415E6"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1A1A1A"/>
                <w:sz w:val="18"/>
                <w:szCs w:val="18"/>
                <w:lang w:val="en-CA" w:eastAsia="en-GB"/>
              </w:rPr>
              <w:t>Minor</w:t>
            </w:r>
          </w:p>
        </w:tc>
        <w:tc>
          <w:tcPr>
            <w:tcW w:w="463"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3D58D4CC"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1A1A1A"/>
                <w:sz w:val="18"/>
                <w:szCs w:val="18"/>
                <w:lang w:val="en-CA" w:eastAsia="en-GB"/>
              </w:rPr>
              <w:t>Low</w:t>
            </w:r>
          </w:p>
        </w:tc>
        <w:tc>
          <w:tcPr>
            <w:tcW w:w="1857"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tcPr>
          <w:p w14:paraId="13E87173"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1A1A1A"/>
                <w:sz w:val="18"/>
                <w:szCs w:val="18"/>
                <w:lang w:val="en-CA" w:eastAsia="en-GB"/>
              </w:rPr>
              <w:t>Limited innovation financing needs for unbranded generics; branded generics have some innovation financing needs; stronger margins than unbranded reduce exposure. Rate revision.</w:t>
            </w:r>
          </w:p>
        </w:tc>
        <w:tc>
          <w:tcPr>
            <w:tcW w:w="463" w:type="pct"/>
            <w:tcBorders>
              <w:top w:val="single" w:sz="1" w:space="0" w:color="AAAAAA"/>
              <w:left w:val="single" w:sz="1" w:space="0" w:color="AAAAAA"/>
              <w:bottom w:val="single" w:sz="1" w:space="0" w:color="AAAAAA"/>
              <w:right w:val="single" w:sz="1" w:space="0" w:color="AAAAAA"/>
            </w:tcBorders>
            <w:shd w:val="clear" w:color="auto" w:fill="D9F3D0"/>
            <w:tcMar>
              <w:top w:w="60" w:type="dxa"/>
              <w:left w:w="100" w:type="dxa"/>
              <w:bottom w:w="60" w:type="dxa"/>
              <w:right w:w="100" w:type="dxa"/>
            </w:tcMar>
            <w:vAlign w:val="center"/>
          </w:tcPr>
          <w:p w14:paraId="57550C5D"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000000"/>
                <w:sz w:val="18"/>
                <w:szCs w:val="18"/>
                <w:lang w:val="en-CA" w:eastAsia="en-GB"/>
              </w:rPr>
            </w:pPr>
            <w:r w:rsidRPr="005F0A67">
              <w:rPr>
                <w:rFonts w:asciiTheme="majorBidi" w:eastAsia="Tahoma" w:hAnsiTheme="majorBidi" w:cstheme="majorBidi"/>
                <w:b/>
                <w:bCs/>
                <w:color w:val="000000"/>
                <w:sz w:val="18"/>
                <w:szCs w:val="18"/>
                <w:lang w:val="en-CA" w:eastAsia="en-GB"/>
              </w:rPr>
              <w:t>Low</w:t>
            </w:r>
          </w:p>
        </w:tc>
      </w:tr>
      <w:tr w:rsidR="005F0A67" w:rsidRPr="005F0A67" w14:paraId="0538A9BB" w14:textId="77777777" w:rsidTr="005F0A67">
        <w:tc>
          <w:tcPr>
            <w:tcW w:w="1194" w:type="pct"/>
            <w:vMerge/>
            <w:tcMar>
              <w:top w:w="60" w:type="dxa"/>
              <w:left w:w="100" w:type="dxa"/>
              <w:bottom w:w="60" w:type="dxa"/>
              <w:right w:w="100" w:type="dxa"/>
            </w:tcMar>
            <w:vAlign w:val="center"/>
          </w:tcPr>
          <w:p w14:paraId="3C6C8767"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p>
        </w:tc>
        <w:tc>
          <w:tcPr>
            <w:tcW w:w="559"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2A934C77"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Biosimilars producers</w:t>
            </w:r>
          </w:p>
        </w:tc>
        <w:tc>
          <w:tcPr>
            <w:tcW w:w="464"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6FE94718"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1A1A1A"/>
                <w:sz w:val="18"/>
                <w:szCs w:val="18"/>
                <w:lang w:val="en-CA" w:eastAsia="en-GB"/>
              </w:rPr>
              <w:t>Minor</w:t>
            </w:r>
          </w:p>
        </w:tc>
        <w:tc>
          <w:tcPr>
            <w:tcW w:w="463"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63596A10"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1A1A1A"/>
                <w:sz w:val="18"/>
                <w:szCs w:val="18"/>
                <w:lang w:val="en-CA" w:eastAsia="en-GB"/>
              </w:rPr>
              <w:t>Low</w:t>
            </w:r>
          </w:p>
        </w:tc>
        <w:tc>
          <w:tcPr>
            <w:tcW w:w="1857"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tcPr>
          <w:p w14:paraId="7846DBE0"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1A1A1A"/>
                <w:sz w:val="18"/>
                <w:szCs w:val="18"/>
                <w:lang w:val="en-CA" w:eastAsia="en-GB"/>
              </w:rPr>
              <w:t>Smaller biosimilar developers reliant on external financing face somewhat higher exposure; voluntary opt-out limits’ severe outcomes. Rate revision.</w:t>
            </w:r>
          </w:p>
        </w:tc>
        <w:tc>
          <w:tcPr>
            <w:tcW w:w="463" w:type="pct"/>
            <w:tcBorders>
              <w:top w:val="single" w:sz="1" w:space="0" w:color="AAAAAA"/>
              <w:left w:val="single" w:sz="1" w:space="0" w:color="AAAAAA"/>
              <w:bottom w:val="single" w:sz="1" w:space="0" w:color="AAAAAA"/>
              <w:right w:val="single" w:sz="1" w:space="0" w:color="AAAAAA"/>
            </w:tcBorders>
            <w:shd w:val="clear" w:color="auto" w:fill="D9F3D0"/>
            <w:tcMar>
              <w:top w:w="60" w:type="dxa"/>
              <w:left w:w="100" w:type="dxa"/>
              <w:bottom w:w="60" w:type="dxa"/>
              <w:right w:w="100" w:type="dxa"/>
            </w:tcMar>
            <w:vAlign w:val="center"/>
          </w:tcPr>
          <w:p w14:paraId="516E0813"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000000"/>
                <w:sz w:val="18"/>
                <w:szCs w:val="18"/>
                <w:lang w:val="en-CA" w:eastAsia="en-GB"/>
              </w:rPr>
            </w:pPr>
            <w:r w:rsidRPr="005F0A67">
              <w:rPr>
                <w:rFonts w:asciiTheme="majorBidi" w:eastAsia="Tahoma" w:hAnsiTheme="majorBidi" w:cstheme="majorBidi"/>
                <w:b/>
                <w:bCs/>
                <w:color w:val="000000"/>
                <w:sz w:val="18"/>
                <w:szCs w:val="18"/>
                <w:lang w:val="en-CA" w:eastAsia="en-GB"/>
              </w:rPr>
              <w:t>Low</w:t>
            </w:r>
          </w:p>
        </w:tc>
      </w:tr>
      <w:tr w:rsidR="005F0A67" w:rsidRPr="005F0A67" w14:paraId="4FD5ED7B" w14:textId="77777777" w:rsidTr="005F0A67">
        <w:tc>
          <w:tcPr>
            <w:tcW w:w="1194" w:type="pct"/>
            <w:vMerge w:val="restar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69D422D4"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1F4E6B"/>
                <w:sz w:val="18"/>
                <w:szCs w:val="18"/>
                <w:lang w:val="en-CA" w:eastAsia="en-GB"/>
              </w:rPr>
            </w:pPr>
            <w:r w:rsidRPr="005F0A67">
              <w:rPr>
                <w:rFonts w:asciiTheme="majorBidi" w:eastAsia="Tahoma" w:hAnsiTheme="majorBidi" w:cstheme="majorBidi"/>
                <w:b/>
                <w:bCs/>
                <w:color w:val="1F4E6B"/>
                <w:sz w:val="18"/>
                <w:szCs w:val="18"/>
                <w:lang w:val="en-CA" w:eastAsia="en-GB"/>
              </w:rPr>
              <w:t>Certainty and predictability</w:t>
            </w:r>
          </w:p>
          <w:p w14:paraId="0A490C31"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1A1A1A"/>
                <w:sz w:val="18"/>
                <w:szCs w:val="18"/>
                <w:lang w:val="en-CA" w:eastAsia="en-GB"/>
              </w:rPr>
              <w:t>Effect of unresolved Decision 16/2 design parameters on willingness to commit to long-term R&amp;D investment pipelines. Non-binding design means uncertainty primarily deters participation rather than investment, but long pipeline horizons increase conditional sensitivity.</w:t>
            </w:r>
          </w:p>
        </w:tc>
        <w:tc>
          <w:tcPr>
            <w:tcW w:w="559"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2F6559DE"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Pharmaceuticals innovators</w:t>
            </w:r>
          </w:p>
        </w:tc>
        <w:tc>
          <w:tcPr>
            <w:tcW w:w="464"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5E35579D"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1A1A1A"/>
                <w:sz w:val="18"/>
                <w:szCs w:val="18"/>
                <w:lang w:val="en-CA" w:eastAsia="en-GB"/>
              </w:rPr>
              <w:t>Moderate</w:t>
            </w:r>
          </w:p>
        </w:tc>
        <w:tc>
          <w:tcPr>
            <w:tcW w:w="463"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3F6F0431"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1A1A1A"/>
                <w:sz w:val="18"/>
                <w:szCs w:val="18"/>
                <w:lang w:val="en-CA" w:eastAsia="en-GB"/>
              </w:rPr>
              <w:t>Medium</w:t>
            </w:r>
          </w:p>
        </w:tc>
        <w:tc>
          <w:tcPr>
            <w:tcW w:w="1857"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tcPr>
          <w:p w14:paraId="2100A3B2"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1A1A1A"/>
                <w:sz w:val="18"/>
                <w:szCs w:val="18"/>
                <w:lang w:val="en-CA" w:eastAsia="en-GB"/>
              </w:rPr>
            </w:pPr>
            <w:r w:rsidRPr="005F0A67">
              <w:rPr>
                <w:rFonts w:asciiTheme="majorBidi" w:eastAsia="Tahoma" w:hAnsiTheme="majorBidi" w:cstheme="majorBidi"/>
                <w:color w:val="1A1A1A"/>
                <w:sz w:val="18"/>
                <w:szCs w:val="18"/>
                <w:lang w:val="en-CA" w:eastAsia="en-GB"/>
              </w:rPr>
              <w:t>Long R&amp;D horizons (10-15+ years) requiring regulatory certainty; certificate of contribution legal value (U6); potential WHO PABS overlap creating unresolved dual-framework uncertainty for vaccine producers (U7); Potential rate revision trajectory ahead of COP17.</w:t>
            </w:r>
          </w:p>
        </w:tc>
        <w:tc>
          <w:tcPr>
            <w:tcW w:w="463" w:type="pct"/>
            <w:tcBorders>
              <w:top w:val="single" w:sz="1" w:space="0" w:color="AAAAAA"/>
              <w:left w:val="single" w:sz="1" w:space="0" w:color="AAAAAA"/>
              <w:bottom w:val="single" w:sz="1" w:space="0" w:color="AAAAAA"/>
              <w:right w:val="single" w:sz="1" w:space="0" w:color="AAAAAA"/>
            </w:tcBorders>
            <w:shd w:val="clear" w:color="auto" w:fill="FFF9CC"/>
            <w:tcMar>
              <w:top w:w="60" w:type="dxa"/>
              <w:left w:w="100" w:type="dxa"/>
              <w:bottom w:w="60" w:type="dxa"/>
              <w:right w:w="100" w:type="dxa"/>
            </w:tcMar>
            <w:vAlign w:val="center"/>
          </w:tcPr>
          <w:p w14:paraId="3094999D"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000000"/>
                <w:sz w:val="18"/>
                <w:szCs w:val="18"/>
                <w:lang w:val="en-CA" w:eastAsia="en-GB"/>
              </w:rPr>
            </w:pPr>
            <w:r w:rsidRPr="005F0A67">
              <w:rPr>
                <w:rFonts w:asciiTheme="majorBidi" w:eastAsia="Tahoma" w:hAnsiTheme="majorBidi" w:cstheme="majorBidi"/>
                <w:b/>
                <w:bCs/>
                <w:color w:val="000000"/>
                <w:sz w:val="18"/>
                <w:szCs w:val="18"/>
                <w:lang w:val="en-CA" w:eastAsia="en-GB"/>
              </w:rPr>
              <w:t>Moderate</w:t>
            </w:r>
          </w:p>
        </w:tc>
      </w:tr>
      <w:tr w:rsidR="005F0A67" w:rsidRPr="005F0A67" w14:paraId="6681D164" w14:textId="77777777" w:rsidTr="005F0A67">
        <w:tc>
          <w:tcPr>
            <w:tcW w:w="1194" w:type="pct"/>
            <w:vMerge/>
            <w:tcMar>
              <w:top w:w="60" w:type="dxa"/>
              <w:left w:w="100" w:type="dxa"/>
              <w:bottom w:w="60" w:type="dxa"/>
              <w:right w:w="100" w:type="dxa"/>
            </w:tcMar>
            <w:vAlign w:val="center"/>
          </w:tcPr>
          <w:p w14:paraId="5D047288"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p>
        </w:tc>
        <w:tc>
          <w:tcPr>
            <w:tcW w:w="559"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0EAAA5FF"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Generics producers</w:t>
            </w:r>
          </w:p>
        </w:tc>
        <w:tc>
          <w:tcPr>
            <w:tcW w:w="464"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43AEF244"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1A1A1A"/>
                <w:sz w:val="18"/>
                <w:szCs w:val="18"/>
                <w:lang w:val="en-CA" w:eastAsia="en-GB"/>
              </w:rPr>
              <w:t>Minor</w:t>
            </w:r>
          </w:p>
        </w:tc>
        <w:tc>
          <w:tcPr>
            <w:tcW w:w="463"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2990F13F"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1A1A1A"/>
                <w:sz w:val="18"/>
                <w:szCs w:val="18"/>
                <w:lang w:val="en-CA" w:eastAsia="en-GB"/>
              </w:rPr>
              <w:t>Low</w:t>
            </w:r>
          </w:p>
        </w:tc>
        <w:tc>
          <w:tcPr>
            <w:tcW w:w="1857"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tcPr>
          <w:p w14:paraId="3883CFDC"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1A1A1A"/>
                <w:sz w:val="18"/>
                <w:szCs w:val="18"/>
                <w:lang w:val="en-CA" w:eastAsia="en-GB"/>
              </w:rPr>
              <w:t>Shorter development horizons reduce sensitivity to long-run regulatory uncertainty; certificate legal value less central (U6). Rate revision.</w:t>
            </w:r>
          </w:p>
        </w:tc>
        <w:tc>
          <w:tcPr>
            <w:tcW w:w="463" w:type="pct"/>
            <w:tcBorders>
              <w:top w:val="single" w:sz="1" w:space="0" w:color="AAAAAA"/>
              <w:left w:val="single" w:sz="1" w:space="0" w:color="AAAAAA"/>
              <w:bottom w:val="single" w:sz="1" w:space="0" w:color="AAAAAA"/>
              <w:right w:val="single" w:sz="1" w:space="0" w:color="AAAAAA"/>
            </w:tcBorders>
            <w:shd w:val="clear" w:color="auto" w:fill="D9F2D0"/>
            <w:tcMar>
              <w:top w:w="60" w:type="dxa"/>
              <w:left w:w="100" w:type="dxa"/>
              <w:bottom w:w="60" w:type="dxa"/>
              <w:right w:w="100" w:type="dxa"/>
            </w:tcMar>
            <w:vAlign w:val="center"/>
          </w:tcPr>
          <w:p w14:paraId="33C9F9D3"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000000"/>
                <w:sz w:val="18"/>
                <w:szCs w:val="18"/>
                <w:lang w:val="en-CA" w:eastAsia="en-GB"/>
              </w:rPr>
            </w:pPr>
            <w:r w:rsidRPr="005F0A67">
              <w:rPr>
                <w:rFonts w:asciiTheme="majorBidi" w:eastAsia="Tahoma" w:hAnsiTheme="majorBidi" w:cstheme="majorBidi"/>
                <w:b/>
                <w:bCs/>
                <w:color w:val="000000"/>
                <w:sz w:val="18"/>
                <w:szCs w:val="18"/>
                <w:lang w:val="en-CA" w:eastAsia="en-GB"/>
              </w:rPr>
              <w:t>Low</w:t>
            </w:r>
          </w:p>
        </w:tc>
      </w:tr>
      <w:tr w:rsidR="005F0A67" w:rsidRPr="005F0A67" w14:paraId="53EC3C94" w14:textId="77777777" w:rsidTr="005F0A67">
        <w:tc>
          <w:tcPr>
            <w:tcW w:w="1194" w:type="pct"/>
            <w:vMerge/>
            <w:tcMar>
              <w:top w:w="60" w:type="dxa"/>
              <w:left w:w="100" w:type="dxa"/>
              <w:bottom w:w="60" w:type="dxa"/>
              <w:right w:w="100" w:type="dxa"/>
            </w:tcMar>
            <w:vAlign w:val="center"/>
          </w:tcPr>
          <w:p w14:paraId="1D4ADCF2"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p>
        </w:tc>
        <w:tc>
          <w:tcPr>
            <w:tcW w:w="559"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5C0AEDCE"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Biosimilars producers</w:t>
            </w:r>
          </w:p>
        </w:tc>
        <w:tc>
          <w:tcPr>
            <w:tcW w:w="464"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2A51D306"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1A1A1A"/>
                <w:sz w:val="18"/>
                <w:szCs w:val="18"/>
                <w:lang w:val="en-CA" w:eastAsia="en-GB"/>
              </w:rPr>
              <w:t>Minor</w:t>
            </w:r>
          </w:p>
        </w:tc>
        <w:tc>
          <w:tcPr>
            <w:tcW w:w="463"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20196932"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1A1A1A"/>
                <w:sz w:val="18"/>
                <w:szCs w:val="18"/>
                <w:lang w:val="en-CA" w:eastAsia="en-GB"/>
              </w:rPr>
              <w:t>Low</w:t>
            </w:r>
          </w:p>
        </w:tc>
        <w:tc>
          <w:tcPr>
            <w:tcW w:w="1857"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tcPr>
          <w:p w14:paraId="09E558BE"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1A1A1A"/>
                <w:sz w:val="18"/>
                <w:szCs w:val="18"/>
                <w:lang w:val="en-CA" w:eastAsia="en-GB"/>
              </w:rPr>
              <w:t>Moderate pipeline horizons; uncertainty about how characterisation process obligations interact with contribution scope creates additional regulatory uncertainty for biosimilar developers beyond innovator exposure. Certificate legal value (U6); rate revision.</w:t>
            </w:r>
          </w:p>
        </w:tc>
        <w:tc>
          <w:tcPr>
            <w:tcW w:w="463" w:type="pct"/>
            <w:tcBorders>
              <w:top w:val="single" w:sz="1" w:space="0" w:color="AAAAAA"/>
              <w:left w:val="single" w:sz="1" w:space="0" w:color="AAAAAA"/>
              <w:bottom w:val="single" w:sz="1" w:space="0" w:color="AAAAAA"/>
              <w:right w:val="single" w:sz="1" w:space="0" w:color="AAAAAA"/>
            </w:tcBorders>
            <w:shd w:val="clear" w:color="auto" w:fill="D9F3D0"/>
            <w:tcMar>
              <w:top w:w="60" w:type="dxa"/>
              <w:left w:w="100" w:type="dxa"/>
              <w:bottom w:w="60" w:type="dxa"/>
              <w:right w:w="100" w:type="dxa"/>
            </w:tcMar>
            <w:vAlign w:val="center"/>
          </w:tcPr>
          <w:p w14:paraId="3E8A1FA1"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000000"/>
                <w:sz w:val="18"/>
                <w:szCs w:val="18"/>
                <w:lang w:val="en-CA" w:eastAsia="en-GB"/>
              </w:rPr>
            </w:pPr>
            <w:r w:rsidRPr="005F0A67">
              <w:rPr>
                <w:rFonts w:asciiTheme="majorBidi" w:eastAsia="Tahoma" w:hAnsiTheme="majorBidi" w:cstheme="majorBidi"/>
                <w:b/>
                <w:bCs/>
                <w:color w:val="000000"/>
                <w:sz w:val="18"/>
                <w:szCs w:val="18"/>
                <w:lang w:val="en-CA" w:eastAsia="en-GB"/>
              </w:rPr>
              <w:t>Low</w:t>
            </w:r>
          </w:p>
        </w:tc>
      </w:tr>
    </w:tbl>
    <w:p w14:paraId="28DCD27C"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p>
    <w:p w14:paraId="3A8394EC"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Georgia" w:hAnsiTheme="majorBidi" w:cstheme="majorBidi"/>
          <w:b/>
          <w:bCs/>
          <w:color w:val="419844"/>
          <w:lang w:val="en-CA" w:eastAsia="en-GB"/>
        </w:rPr>
      </w:pPr>
      <w:bookmarkStart w:id="191" w:name="_Ref231759495"/>
      <w:r w:rsidRPr="005F0A67">
        <w:rPr>
          <w:rFonts w:asciiTheme="majorBidi" w:eastAsia="Georgia" w:hAnsiTheme="majorBidi" w:cstheme="majorBidi"/>
          <w:b/>
          <w:bCs/>
          <w:color w:val="419844"/>
          <w:lang w:val="en-CA" w:eastAsia="en-GB"/>
        </w:rPr>
        <w:t xml:space="preserve">Table </w:t>
      </w:r>
      <w:r w:rsidRPr="005F0A67">
        <w:rPr>
          <w:rFonts w:asciiTheme="majorBidi" w:eastAsia="Georgia" w:hAnsiTheme="majorBidi" w:cstheme="majorBidi"/>
          <w:b/>
          <w:bCs/>
          <w:color w:val="419844"/>
          <w:lang w:val="en-CA" w:eastAsia="en-GB"/>
        </w:rPr>
        <w:fldChar w:fldCharType="begin"/>
      </w:r>
      <w:r w:rsidRPr="005F0A67">
        <w:rPr>
          <w:rFonts w:asciiTheme="majorBidi" w:eastAsia="Georgia" w:hAnsiTheme="majorBidi" w:cstheme="majorBidi"/>
          <w:b/>
          <w:bCs/>
          <w:color w:val="419844"/>
          <w:lang w:val="en-CA" w:eastAsia="en-GB"/>
        </w:rPr>
        <w:instrText xml:space="preserve"> SEQ Table \* ARABIC </w:instrText>
      </w:r>
      <w:r w:rsidRPr="005F0A67">
        <w:rPr>
          <w:rFonts w:asciiTheme="majorBidi" w:eastAsia="Georgia" w:hAnsiTheme="majorBidi" w:cstheme="majorBidi"/>
          <w:b/>
          <w:bCs/>
          <w:color w:val="419844"/>
          <w:lang w:val="en-CA" w:eastAsia="en-GB"/>
        </w:rPr>
        <w:fldChar w:fldCharType="separate"/>
      </w:r>
      <w:r w:rsidRPr="005F0A67">
        <w:rPr>
          <w:rFonts w:asciiTheme="majorBidi" w:eastAsia="Georgia" w:hAnsiTheme="majorBidi" w:cstheme="majorBidi"/>
          <w:b/>
          <w:bCs/>
          <w:noProof/>
          <w:color w:val="419844"/>
          <w:lang w:val="en-CA" w:eastAsia="en-GB"/>
        </w:rPr>
        <w:t>25</w:t>
      </w:r>
      <w:r w:rsidRPr="005F0A67">
        <w:rPr>
          <w:rFonts w:asciiTheme="majorBidi" w:eastAsia="Georgia" w:hAnsiTheme="majorBidi" w:cstheme="majorBidi"/>
          <w:b/>
          <w:bCs/>
          <w:color w:val="419844"/>
          <w:lang w:val="en-CA" w:eastAsia="en-GB"/>
        </w:rPr>
        <w:fldChar w:fldCharType="end"/>
      </w:r>
      <w:bookmarkEnd w:id="191"/>
      <w:r w:rsidRPr="005F0A67">
        <w:rPr>
          <w:rFonts w:asciiTheme="majorBidi" w:eastAsia="Georgia" w:hAnsiTheme="majorBidi" w:cstheme="majorBidi"/>
          <w:b/>
          <w:bCs/>
          <w:color w:val="419844"/>
          <w:lang w:val="en-CA" w:eastAsia="en-GB"/>
        </w:rPr>
        <w:t xml:space="preserve"> Pillar III: international competitiveness impacts materiality assessment -</w:t>
      </w:r>
      <w:r w:rsidRPr="005F0A67">
        <w:rPr>
          <w:rFonts w:asciiTheme="majorBidi" w:eastAsia="Georgia" w:hAnsiTheme="majorBidi" w:cstheme="majorBidi"/>
          <w:b/>
          <w:bCs/>
          <w:i/>
          <w:iCs/>
          <w:color w:val="419844"/>
          <w:lang w:val="en-CA" w:eastAsia="en-GB"/>
        </w:rPr>
        <w:t xml:space="preserve"> </w:t>
      </w:r>
      <w:r w:rsidRPr="005F0A67">
        <w:rPr>
          <w:rFonts w:asciiTheme="majorBidi" w:eastAsia="Georgia" w:hAnsiTheme="majorBidi" w:cstheme="majorBidi"/>
          <w:b/>
          <w:bCs/>
          <w:color w:val="419844"/>
          <w:lang w:val="en-CA" w:eastAsia="en-GB"/>
        </w:rPr>
        <w:t xml:space="preserve">Pharmaceuticals </w:t>
      </w:r>
    </w:p>
    <w:tbl>
      <w:tblPr>
        <w:tblW w:w="50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3" w:type="dxa"/>
          <w:right w:w="113" w:type="dxa"/>
        </w:tblCellMar>
        <w:tblLook w:val="04A0" w:firstRow="1" w:lastRow="0" w:firstColumn="1" w:lastColumn="0" w:noHBand="0" w:noVBand="1"/>
      </w:tblPr>
      <w:tblGrid>
        <w:gridCol w:w="3261"/>
        <w:gridCol w:w="1559"/>
        <w:gridCol w:w="1133"/>
        <w:gridCol w:w="1155"/>
        <w:gridCol w:w="5365"/>
        <w:gridCol w:w="1276"/>
      </w:tblGrid>
      <w:tr w:rsidR="005F0A67" w:rsidRPr="005F0A67" w14:paraId="5BE829F0" w14:textId="77777777" w:rsidTr="00FB671B">
        <w:trPr>
          <w:tblHeader/>
        </w:trPr>
        <w:tc>
          <w:tcPr>
            <w:tcW w:w="1186" w:type="pct"/>
            <w:tcBorders>
              <w:top w:val="single" w:sz="1" w:space="0" w:color="AAAAAA"/>
              <w:left w:val="single" w:sz="1" w:space="0" w:color="AAAAAA"/>
              <w:bottom w:val="single" w:sz="1" w:space="0" w:color="AAAAAA"/>
              <w:right w:val="single" w:sz="1" w:space="0" w:color="AAAAAA"/>
            </w:tcBorders>
            <w:shd w:val="clear" w:color="auto" w:fill="1F4E6B"/>
            <w:tcMar>
              <w:top w:w="60" w:type="dxa"/>
              <w:left w:w="100" w:type="dxa"/>
              <w:bottom w:w="60" w:type="dxa"/>
              <w:right w:w="100" w:type="dxa"/>
            </w:tcMar>
            <w:vAlign w:val="center"/>
          </w:tcPr>
          <w:p w14:paraId="64F4EC36"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ahoma" w:hAnsiTheme="majorBidi" w:cstheme="majorBidi"/>
                <w:b/>
                <w:bCs/>
                <w:color w:val="FFFFFF"/>
                <w:sz w:val="18"/>
                <w:szCs w:val="18"/>
                <w:lang w:val="en-CA" w:eastAsia="en-GB"/>
              </w:rPr>
              <w:t>Impact</w:t>
            </w:r>
          </w:p>
        </w:tc>
        <w:tc>
          <w:tcPr>
            <w:tcW w:w="567" w:type="pct"/>
            <w:tcBorders>
              <w:top w:val="single" w:sz="1" w:space="0" w:color="AAAAAA"/>
              <w:left w:val="single" w:sz="1" w:space="0" w:color="AAAAAA"/>
              <w:bottom w:val="single" w:sz="1" w:space="0" w:color="AAAAAA"/>
              <w:right w:val="single" w:sz="1" w:space="0" w:color="AAAAAA"/>
            </w:tcBorders>
            <w:shd w:val="clear" w:color="auto" w:fill="1F4E6B"/>
            <w:tcMar>
              <w:top w:w="60" w:type="dxa"/>
              <w:left w:w="100" w:type="dxa"/>
              <w:bottom w:w="60" w:type="dxa"/>
              <w:right w:w="100" w:type="dxa"/>
            </w:tcMar>
            <w:vAlign w:val="center"/>
          </w:tcPr>
          <w:p w14:paraId="2316C297"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ahoma" w:hAnsiTheme="majorBidi" w:cstheme="majorBidi"/>
                <w:b/>
                <w:bCs/>
                <w:color w:val="FFFFFF"/>
                <w:sz w:val="18"/>
                <w:szCs w:val="18"/>
                <w:lang w:val="en-CA" w:eastAsia="en-GB"/>
              </w:rPr>
              <w:t>Firm type</w:t>
            </w:r>
          </w:p>
        </w:tc>
        <w:tc>
          <w:tcPr>
            <w:tcW w:w="412" w:type="pct"/>
            <w:tcBorders>
              <w:top w:val="single" w:sz="1" w:space="0" w:color="AAAAAA"/>
              <w:left w:val="single" w:sz="1" w:space="0" w:color="AAAAAA"/>
              <w:bottom w:val="single" w:sz="1" w:space="0" w:color="AAAAAA"/>
              <w:right w:val="single" w:sz="1" w:space="0" w:color="AAAAAA"/>
            </w:tcBorders>
            <w:shd w:val="clear" w:color="auto" w:fill="1F4E6B"/>
            <w:tcMar>
              <w:top w:w="60" w:type="dxa"/>
              <w:left w:w="100" w:type="dxa"/>
              <w:bottom w:w="60" w:type="dxa"/>
              <w:right w:w="100" w:type="dxa"/>
            </w:tcMar>
            <w:vAlign w:val="center"/>
          </w:tcPr>
          <w:p w14:paraId="3B33CEB5"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ahoma" w:hAnsiTheme="majorBidi" w:cstheme="majorBidi"/>
                <w:b/>
                <w:bCs/>
                <w:color w:val="FFFFFF"/>
                <w:sz w:val="18"/>
                <w:szCs w:val="18"/>
                <w:lang w:val="en-CA" w:eastAsia="en-GB"/>
              </w:rPr>
              <w:t>Magnitude</w:t>
            </w:r>
          </w:p>
        </w:tc>
        <w:tc>
          <w:tcPr>
            <w:tcW w:w="420" w:type="pct"/>
            <w:tcBorders>
              <w:top w:val="single" w:sz="1" w:space="0" w:color="AAAAAA"/>
              <w:left w:val="single" w:sz="1" w:space="0" w:color="AAAAAA"/>
              <w:bottom w:val="single" w:sz="1" w:space="0" w:color="AAAAAA"/>
              <w:right w:val="single" w:sz="1" w:space="0" w:color="AAAAAA"/>
            </w:tcBorders>
            <w:shd w:val="clear" w:color="auto" w:fill="1F4E6B"/>
            <w:tcMar>
              <w:top w:w="60" w:type="dxa"/>
              <w:left w:w="100" w:type="dxa"/>
              <w:bottom w:w="60" w:type="dxa"/>
              <w:right w:w="100" w:type="dxa"/>
            </w:tcMar>
            <w:vAlign w:val="center"/>
          </w:tcPr>
          <w:p w14:paraId="4D8DC3E7"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ahoma" w:hAnsiTheme="majorBidi" w:cstheme="majorBidi"/>
                <w:b/>
                <w:bCs/>
                <w:color w:val="FFFFFF"/>
                <w:sz w:val="18"/>
                <w:szCs w:val="18"/>
                <w:lang w:val="en-CA" w:eastAsia="en-GB"/>
              </w:rPr>
              <w:t>Probability</w:t>
            </w:r>
          </w:p>
        </w:tc>
        <w:tc>
          <w:tcPr>
            <w:tcW w:w="1951" w:type="pct"/>
            <w:tcBorders>
              <w:top w:val="single" w:sz="1" w:space="0" w:color="AAAAAA"/>
              <w:left w:val="single" w:sz="1" w:space="0" w:color="AAAAAA"/>
              <w:bottom w:val="single" w:sz="1" w:space="0" w:color="AAAAAA"/>
              <w:right w:val="single" w:sz="1" w:space="0" w:color="AAAAAA"/>
            </w:tcBorders>
            <w:shd w:val="clear" w:color="auto" w:fill="1F4E6B"/>
            <w:tcMar>
              <w:top w:w="60" w:type="dxa"/>
              <w:left w:w="100" w:type="dxa"/>
              <w:bottom w:w="60" w:type="dxa"/>
              <w:right w:w="100" w:type="dxa"/>
            </w:tcMar>
            <w:vAlign w:val="center"/>
          </w:tcPr>
          <w:p w14:paraId="52A16011"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ahoma" w:hAnsiTheme="majorBidi" w:cstheme="majorBidi"/>
                <w:b/>
                <w:bCs/>
                <w:color w:val="FFFFFF"/>
                <w:sz w:val="18"/>
                <w:szCs w:val="18"/>
                <w:lang w:val="en-CA" w:eastAsia="en-GB"/>
              </w:rPr>
              <w:t>Key conditions</w:t>
            </w:r>
          </w:p>
        </w:tc>
        <w:tc>
          <w:tcPr>
            <w:tcW w:w="464" w:type="pct"/>
            <w:tcBorders>
              <w:top w:val="single" w:sz="1" w:space="0" w:color="AAAAAA"/>
              <w:left w:val="single" w:sz="1" w:space="0" w:color="AAAAAA"/>
              <w:bottom w:val="single" w:sz="1" w:space="0" w:color="AAAAAA"/>
              <w:right w:val="single" w:sz="1" w:space="0" w:color="AAAAAA"/>
            </w:tcBorders>
            <w:shd w:val="clear" w:color="auto" w:fill="1F4E6B"/>
            <w:tcMar>
              <w:top w:w="60" w:type="dxa"/>
              <w:left w:w="100" w:type="dxa"/>
              <w:bottom w:w="60" w:type="dxa"/>
              <w:right w:w="100" w:type="dxa"/>
            </w:tcMar>
            <w:vAlign w:val="center"/>
          </w:tcPr>
          <w:p w14:paraId="13EF3C47"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ahoma" w:hAnsiTheme="majorBidi" w:cstheme="majorBidi"/>
                <w:b/>
                <w:bCs/>
                <w:color w:val="FFFFFF"/>
                <w:sz w:val="18"/>
                <w:szCs w:val="18"/>
                <w:lang w:val="en-CA" w:eastAsia="en-GB"/>
              </w:rPr>
              <w:t>Materiality</w:t>
            </w:r>
          </w:p>
        </w:tc>
      </w:tr>
      <w:tr w:rsidR="005F0A67" w:rsidRPr="005F0A67" w14:paraId="467EF4C9" w14:textId="77777777" w:rsidTr="005F0A67">
        <w:tc>
          <w:tcPr>
            <w:tcW w:w="1186" w:type="pct"/>
            <w:vMerge w:val="restar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749DB43A"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1F4E6B"/>
                <w:sz w:val="18"/>
                <w:szCs w:val="18"/>
                <w:lang w:val="en-CA" w:eastAsia="en-GB"/>
              </w:rPr>
            </w:pPr>
            <w:r w:rsidRPr="005F0A67">
              <w:rPr>
                <w:rFonts w:asciiTheme="majorBidi" w:eastAsia="Tahoma" w:hAnsiTheme="majorBidi" w:cstheme="majorBidi"/>
                <w:b/>
                <w:bCs/>
                <w:color w:val="1F4E6B"/>
                <w:sz w:val="18"/>
                <w:szCs w:val="18"/>
                <w:lang w:val="en-CA" w:eastAsia="en-GB"/>
              </w:rPr>
              <w:t>Competitive position vs non-Party competitors</w:t>
            </w:r>
          </w:p>
          <w:p w14:paraId="6117FF51"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1A1A1A"/>
                <w:sz w:val="18"/>
                <w:szCs w:val="18"/>
                <w:lang w:val="en-CA" w:eastAsia="en-GB"/>
              </w:rPr>
              <w:t xml:space="preserve">Direct cost asymmetry with competitors headquartered in non-CBD-Party jurisdictions, principally the US, which accounts for 53.2% of the global prescription drug market </w:t>
            </w:r>
            <w:r w:rsidRPr="005F0A67">
              <w:rPr>
                <w:rFonts w:asciiTheme="majorBidi" w:eastAsia="Tahoma" w:hAnsiTheme="majorBidi" w:cstheme="majorBidi"/>
                <w:color w:val="000000"/>
                <w:sz w:val="18"/>
                <w:szCs w:val="18"/>
                <w:lang w:val="en-CA" w:eastAsia="en-GB"/>
              </w:rPr>
              <w:fldChar w:fldCharType="begin"/>
            </w:r>
            <w:r w:rsidRPr="005F0A67">
              <w:rPr>
                <w:rFonts w:asciiTheme="majorBidi" w:eastAsia="Tahoma" w:hAnsiTheme="majorBidi" w:cstheme="majorBidi"/>
                <w:color w:val="000000"/>
                <w:sz w:val="18"/>
                <w:szCs w:val="18"/>
                <w:lang w:val="en-CA" w:eastAsia="en-GB"/>
              </w:rPr>
              <w:instrText xml:space="preserve"> ADDIN ZOTERO_ITEM CSL_CITATION {"citationID":"a25tu9vk7qo","properties":{"unsorted":false,"formattedCitation":"(IQVIA, 2025)","plainCitation":"(IQVIA, 2025)","noteIndex":0},"citationItems":[{"id":157,"uris":["http://zotero.org/users/14977742/items/4Q445HD5"],"itemData":{"id":157,"type":"document","citation-key":"zotero-item-2691","title":"Market share of leading 10 national pharmaceutical markets worldwide in 2024 [Graph]. In Statista.","URL":"https://www.statista.com/statistics/245473/market-share-of-the-leading-10-global-pharmaceutical-markets/","author":[{"literal":"IQVIA"}],"issued":{"date-parts":[["2025",5]]}}}],"schema":"https://github.com/citation-style-language/schema/raw/master/csl-citation.json"} </w:instrText>
            </w:r>
            <w:r w:rsidRPr="005F0A67">
              <w:rPr>
                <w:rFonts w:asciiTheme="majorBidi" w:eastAsia="Tahoma" w:hAnsiTheme="majorBidi" w:cstheme="majorBidi"/>
                <w:color w:val="000000"/>
                <w:sz w:val="18"/>
                <w:szCs w:val="18"/>
                <w:lang w:val="en-CA" w:eastAsia="en-GB"/>
              </w:rPr>
              <w:fldChar w:fldCharType="separate"/>
            </w:r>
            <w:r w:rsidRPr="005F0A67">
              <w:rPr>
                <w:rFonts w:asciiTheme="majorBidi" w:eastAsia="Georgia" w:hAnsiTheme="majorBidi" w:cstheme="majorBidi"/>
                <w:color w:val="000000"/>
                <w:sz w:val="18"/>
                <w:szCs w:val="24"/>
                <w:lang w:eastAsia="en-GB"/>
              </w:rPr>
              <w:t>(IQVIA, 2025)</w:t>
            </w:r>
            <w:r w:rsidRPr="005F0A67">
              <w:rPr>
                <w:rFonts w:asciiTheme="majorBidi" w:eastAsia="Tahoma" w:hAnsiTheme="majorBidi" w:cstheme="majorBidi"/>
                <w:color w:val="000000"/>
                <w:sz w:val="18"/>
                <w:szCs w:val="18"/>
                <w:lang w:val="en-CA" w:eastAsia="en-GB"/>
              </w:rPr>
              <w:fldChar w:fldCharType="end"/>
            </w:r>
            <w:r w:rsidRPr="005F0A67">
              <w:rPr>
                <w:rFonts w:asciiTheme="majorBidi" w:eastAsia="Tahoma" w:hAnsiTheme="majorBidi" w:cstheme="majorBidi"/>
                <w:color w:val="000000"/>
                <w:sz w:val="18"/>
                <w:szCs w:val="18"/>
                <w:lang w:val="en-CA" w:eastAsia="en-GB"/>
              </w:rPr>
              <w:t xml:space="preserve">. </w:t>
            </w:r>
            <w:r w:rsidRPr="005F0A67">
              <w:rPr>
                <w:rFonts w:asciiTheme="majorBidi" w:eastAsia="Tahoma" w:hAnsiTheme="majorBidi" w:cstheme="majorBidi"/>
                <w:color w:val="1A1A1A"/>
                <w:sz w:val="18"/>
                <w:szCs w:val="18"/>
                <w:lang w:val="en-CA" w:eastAsia="en-GB"/>
              </w:rPr>
              <w:t xml:space="preserve">Six of the ten largest pharma firms are CBD Party-headquartered; four are US-based </w:t>
            </w:r>
            <w:r w:rsidRPr="005F0A67">
              <w:rPr>
                <w:rFonts w:asciiTheme="majorBidi" w:eastAsia="Tahoma" w:hAnsiTheme="majorBidi" w:cstheme="majorBidi"/>
                <w:color w:val="1A1A1A"/>
                <w:sz w:val="18"/>
                <w:szCs w:val="18"/>
                <w:lang w:val="en-CA" w:eastAsia="en-GB"/>
              </w:rPr>
              <w:fldChar w:fldCharType="begin"/>
            </w:r>
            <w:r w:rsidRPr="005F0A67">
              <w:rPr>
                <w:rFonts w:asciiTheme="majorBidi" w:eastAsia="Tahoma" w:hAnsiTheme="majorBidi" w:cstheme="majorBidi"/>
                <w:color w:val="1A1A1A"/>
                <w:sz w:val="18"/>
                <w:szCs w:val="18"/>
                <w:lang w:val="en-CA" w:eastAsia="en-GB"/>
              </w:rPr>
              <w:instrText xml:space="preserve"> ADDIN ZOTERO_ITEM CSL_CITATION {"citationID":"a1imc5462mu","properties":{"unsorted":false,"formattedCitation":"(Evaluate, 2024)","plainCitation":"(Evaluate, 2024)","noteIndex":0},"citationItems":[{"id":156,"uris":["http://zotero.org/users/14977742/items/BYVNF4AW"],"itemData":{"id":156,"type":"document","citation-key":"zotero-item-2692","title":"10 largest pharmaceutical companies based on global market shares in 2019 and 2024 [Graph]. In Statista.","URL":"https://www.statista.com/statistics/1638962/major-pharmaceutical-companies-and-global-market-shares-of-vaccines-in-2020/","author":[{"literal":"Evaluate"}],"issued":{"date-parts":[["2024"]]}}}],"schema":"https://github.com/citation-style-language/schema/raw/master/csl-citation.json"} </w:instrText>
            </w:r>
            <w:r w:rsidRPr="005F0A67">
              <w:rPr>
                <w:rFonts w:asciiTheme="majorBidi" w:eastAsia="Tahoma" w:hAnsiTheme="majorBidi" w:cstheme="majorBidi"/>
                <w:color w:val="1A1A1A"/>
                <w:sz w:val="18"/>
                <w:szCs w:val="18"/>
                <w:lang w:val="en-CA" w:eastAsia="en-GB"/>
              </w:rPr>
              <w:fldChar w:fldCharType="separate"/>
            </w:r>
            <w:r w:rsidRPr="005F0A67">
              <w:rPr>
                <w:rFonts w:asciiTheme="majorBidi" w:eastAsia="Georgia" w:hAnsiTheme="majorBidi" w:cstheme="majorBidi"/>
                <w:color w:val="000000"/>
                <w:sz w:val="18"/>
                <w:szCs w:val="24"/>
                <w:lang w:eastAsia="en-GB"/>
              </w:rPr>
              <w:t>(Evaluate, 2024)</w:t>
            </w:r>
            <w:r w:rsidRPr="005F0A67">
              <w:rPr>
                <w:rFonts w:asciiTheme="majorBidi" w:eastAsia="Tahoma" w:hAnsiTheme="majorBidi" w:cstheme="majorBidi"/>
                <w:color w:val="1A1A1A"/>
                <w:sz w:val="18"/>
                <w:szCs w:val="18"/>
                <w:lang w:val="en-CA" w:eastAsia="en-GB"/>
              </w:rPr>
              <w:fldChar w:fldCharType="end"/>
            </w:r>
            <w:r w:rsidRPr="005F0A67">
              <w:rPr>
                <w:rFonts w:asciiTheme="majorBidi" w:eastAsia="Tahoma" w:hAnsiTheme="majorBidi" w:cstheme="majorBidi"/>
                <w:color w:val="1A1A1A"/>
                <w:sz w:val="18"/>
                <w:szCs w:val="18"/>
                <w:lang w:val="en-CA" w:eastAsia="en-GB"/>
              </w:rPr>
              <w:t xml:space="preserve"> Competitiveness </w:t>
            </w:r>
            <w:r w:rsidRPr="005F0A67">
              <w:rPr>
                <w:rFonts w:asciiTheme="majorBidi" w:eastAsia="Tahoma" w:hAnsiTheme="majorBidi" w:cstheme="majorBidi"/>
                <w:color w:val="1A1A1A"/>
                <w:sz w:val="18"/>
                <w:szCs w:val="18"/>
                <w:lang w:val="en-CA" w:eastAsia="en-GB"/>
              </w:rPr>
              <w:lastRenderedPageBreak/>
              <w:t xml:space="preserve">risks arise primarily where non-Party rivals are close commercial substitutes </w:t>
            </w:r>
            <w:r w:rsidRPr="005F0A67">
              <w:rPr>
                <w:rFonts w:asciiTheme="majorBidi" w:eastAsia="Tahoma" w:hAnsiTheme="majorBidi" w:cstheme="majorBidi"/>
                <w:color w:val="1A1A1A"/>
                <w:sz w:val="18"/>
                <w:szCs w:val="18"/>
                <w:lang w:val="en-CA" w:eastAsia="en-GB"/>
              </w:rPr>
              <w:fldChar w:fldCharType="begin"/>
            </w:r>
            <w:r w:rsidRPr="005F0A67">
              <w:rPr>
                <w:rFonts w:asciiTheme="majorBidi" w:eastAsia="Tahoma" w:hAnsiTheme="majorBidi" w:cstheme="majorBidi"/>
                <w:color w:val="1A1A1A"/>
                <w:sz w:val="18"/>
                <w:szCs w:val="18"/>
                <w:lang w:val="en-CA" w:eastAsia="en-GB"/>
              </w:rPr>
              <w:instrText xml:space="preserve"> ADDIN ZOTERO_ITEM CSL_CITATION {"citationID":"a1lb90hgu2v","properties":{"unsorted":false,"formattedCitation":"(Fowlie, 2009; Dechezlepr\\uc0\\u234{}tre and Sato, 2017)","plainCitation":"(Fowlie, 2009; Dechezleprêtre and Sato, 2017)","noteIndex":0},"citationItems":[{"id":180,"uris":["http://zotero.org/users/14977742/items/QUA96E53"],"itemData":{"id":180,"type":"article-journal","abstract":"Environmental regulation of industrial pollution is often incomplete;\nregulations apply to only a subset of facilities contributing to a\npollution problem. Policymakers are increasingly concerned about\nthe emissions leakage that may occur if unregulated production can\nbe easily substituted for regulated production. This paper analyzes\nemissions leakage in an incompletely regulated and imperfectly\ncompetitive industry. The analytical model is used to simulate outcomes\nunder incomplete, market-based regulation of carbon dioxide\nemissions in California's electricity sector. Regulation that exempts\nout-of-state producers achieves approximately one-third of the total\nemissions reductions achieved under complete regulation at more\nthan twice the cost per ton. (JEL L94, Q53, Q58)","citation-key":"fowlieIncompleteEnvironmentalRegulation2009","container-title":"American Economic Journal: Economic Policy","DOI":"10.1257/pol.1.2.72","ISSN":"1945-7731","issue":"2","language":"en","page":"72-112","source":"www.aeaweb.org","title":"Incomplete Environmental Regulation, Imperfect Competition, and Emissions Leakage","volume":"1","author":[{"family":"Fowlie","given":"Meredith L."}],"issued":{"date-parts":[["2009",8]]}}},{"id":195,"uris":["http://zotero.org/users/14977742/items/KGZ2HX99"],"itemData":{"id":195,"type":"article-journal","abstract":"This article reviews the empirical literature on the impacts of environmental regulations\n          on firms’ competitiveness as measured by trade, industry location, employment,\n          productivity, and innovation. The evidence shows that environmental regulations can lead\n          to statistically significant adverse effects on trade, employment, plant location, and\n          productivity in the short run, in particular in a well-identified subset of pollution- and\n          energy-intensive sectors, but that these impacts are small relative to general trends in\n          production. At the same time, there is evidence that environmental regulations induce\n          innovation in clean technologies, but the resulting benefits do not appear to be large\n          enough to outweigh the costs of regulations for the regulated entities. As measures to\n          address competitiveness impacts are increasingly incorporated into the design of\n          environmental regulations, future research will be needed to assess the validity and\n          effectiveness of such measures and to ensure they are compatible with the environmental\n          objectives of the policies.","citation-key":"dechezleprImpactsEnvironmentalRegulations2017","container-title":"Review of Environmental Economics and Policy","DOI":"10.1093/reep/rex013","issue":"2","page":"183-206","publisher":"The University of Chicago Press","source":"journals.uchicago.edu (Atypon)","title":"The Impacts of Environmental Regulations on Competitiveness","volume":"11","author":[{"family":"Dechezleprêtre","given":"Antoine"},{"family":"Sato","given":"Misato"}],"issued":{"date-parts":[["2017",7]]}}}],"schema":"https://github.com/citation-style-language/schema/raw/master/csl-citation.json"} </w:instrText>
            </w:r>
            <w:r w:rsidRPr="005F0A67">
              <w:rPr>
                <w:rFonts w:asciiTheme="majorBidi" w:eastAsia="Tahoma" w:hAnsiTheme="majorBidi" w:cstheme="majorBidi"/>
                <w:color w:val="1A1A1A"/>
                <w:sz w:val="18"/>
                <w:szCs w:val="18"/>
                <w:lang w:val="en-CA" w:eastAsia="en-GB"/>
              </w:rPr>
              <w:fldChar w:fldCharType="separate"/>
            </w:r>
            <w:r w:rsidRPr="005F0A67">
              <w:rPr>
                <w:rFonts w:asciiTheme="majorBidi" w:eastAsia="Georgia" w:hAnsiTheme="majorBidi" w:cstheme="majorBidi"/>
                <w:color w:val="000000"/>
                <w:sz w:val="18"/>
                <w:szCs w:val="24"/>
                <w:lang w:eastAsia="en-GB"/>
              </w:rPr>
              <w:t>(Fowlie, 2009; Dechezleprêtre and Sato, 2017)</w:t>
            </w:r>
            <w:r w:rsidRPr="005F0A67">
              <w:rPr>
                <w:rFonts w:asciiTheme="majorBidi" w:eastAsia="Tahoma" w:hAnsiTheme="majorBidi" w:cstheme="majorBidi"/>
                <w:color w:val="1A1A1A"/>
                <w:sz w:val="18"/>
                <w:szCs w:val="18"/>
                <w:lang w:val="en-CA" w:eastAsia="en-GB"/>
              </w:rPr>
              <w:fldChar w:fldCharType="end"/>
            </w:r>
            <w:r w:rsidRPr="005F0A67">
              <w:rPr>
                <w:rFonts w:asciiTheme="majorBidi" w:eastAsia="Tahoma" w:hAnsiTheme="majorBidi" w:cstheme="majorBidi"/>
                <w:color w:val="1A1A1A"/>
                <w:sz w:val="18"/>
                <w:szCs w:val="18"/>
                <w:lang w:val="en-CA" w:eastAsia="en-GB"/>
              </w:rPr>
              <w:t>.</w:t>
            </w:r>
          </w:p>
        </w:tc>
        <w:tc>
          <w:tcPr>
            <w:tcW w:w="567"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70AAB624"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lastRenderedPageBreak/>
              <w:t>Pharmaceuticals innovators</w:t>
            </w:r>
          </w:p>
        </w:tc>
        <w:tc>
          <w:tcPr>
            <w:tcW w:w="412"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601A7C9C"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1A1A1A"/>
                <w:sz w:val="18"/>
                <w:szCs w:val="18"/>
                <w:lang w:val="en-CA" w:eastAsia="en-GB"/>
              </w:rPr>
              <w:t>Moderate</w:t>
            </w:r>
          </w:p>
        </w:tc>
        <w:tc>
          <w:tcPr>
            <w:tcW w:w="420"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732B5E7C"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1A1A1A"/>
                <w:sz w:val="18"/>
                <w:szCs w:val="18"/>
                <w:lang w:val="en-CA" w:eastAsia="en-GB"/>
              </w:rPr>
              <w:t>High</w:t>
            </w:r>
          </w:p>
        </w:tc>
        <w:tc>
          <w:tcPr>
            <w:tcW w:w="1951"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61D4B7E0"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 xml:space="preserve">US accounts for approx. 53.2% of global prescription market </w:t>
            </w:r>
            <w:bookmarkStart w:id="192" w:name="_Hlk231767140"/>
            <w:r w:rsidRPr="005F0A67">
              <w:rPr>
                <w:rFonts w:asciiTheme="majorBidi" w:eastAsia="Tahoma" w:hAnsiTheme="majorBidi" w:cstheme="majorBidi"/>
                <w:color w:val="000000"/>
                <w:sz w:val="18"/>
                <w:szCs w:val="18"/>
                <w:lang w:val="en-CA" w:eastAsia="en-GB"/>
              </w:rPr>
              <w:fldChar w:fldCharType="begin"/>
            </w:r>
            <w:r w:rsidRPr="005F0A67">
              <w:rPr>
                <w:rFonts w:asciiTheme="majorBidi" w:eastAsia="Tahoma" w:hAnsiTheme="majorBidi" w:cstheme="majorBidi"/>
                <w:color w:val="000000"/>
                <w:sz w:val="18"/>
                <w:szCs w:val="18"/>
                <w:lang w:val="en-CA" w:eastAsia="en-GB"/>
              </w:rPr>
              <w:instrText xml:space="preserve"> ADDIN ZOTERO_ITEM CSL_CITATION {"citationID":"RbafRkAa","properties":{"unsorted":false,"formattedCitation":"(IQVIA, 2025)","plainCitation":"(IQVIA, 2025)","noteIndex":0},"citationItems":[{"id":157,"uris":["http://zotero.org/users/14977742/items/4Q445HD5"],"itemData":{"id":157,"type":"document","citation-key":"zotero-item-2691","title":"Market share of leading 10 national pharmaceutical markets worldwide in 2024 [Graph]. In Statista.","URL":"https://www.statista.com/statistics/245473/market-share-of-the-leading-10-global-pharmaceutical-markets/","author":[{"literal":"IQVIA"}],"issued":{"date-parts":[["2025",5]]}}}],"schema":"https://github.com/citation-style-language/schema/raw/master/csl-citation.json"} </w:instrText>
            </w:r>
            <w:r w:rsidRPr="005F0A67">
              <w:rPr>
                <w:rFonts w:asciiTheme="majorBidi" w:eastAsia="Tahoma" w:hAnsiTheme="majorBidi" w:cstheme="majorBidi"/>
                <w:color w:val="000000"/>
                <w:sz w:val="18"/>
                <w:szCs w:val="18"/>
                <w:lang w:val="en-CA" w:eastAsia="en-GB"/>
              </w:rPr>
              <w:fldChar w:fldCharType="separate"/>
            </w:r>
            <w:r w:rsidRPr="005F0A67">
              <w:rPr>
                <w:rFonts w:asciiTheme="majorBidi" w:eastAsia="Georgia" w:hAnsiTheme="majorBidi" w:cstheme="majorBidi"/>
                <w:color w:val="000000"/>
                <w:sz w:val="18"/>
                <w:szCs w:val="24"/>
                <w:lang w:eastAsia="en-GB"/>
              </w:rPr>
              <w:t>(IQVIA, 2025)</w:t>
            </w:r>
            <w:r w:rsidRPr="005F0A67">
              <w:rPr>
                <w:rFonts w:asciiTheme="majorBidi" w:eastAsia="Tahoma" w:hAnsiTheme="majorBidi" w:cstheme="majorBidi"/>
                <w:color w:val="000000"/>
                <w:sz w:val="18"/>
                <w:szCs w:val="18"/>
                <w:lang w:val="en-CA" w:eastAsia="en-GB"/>
              </w:rPr>
              <w:fldChar w:fldCharType="end"/>
            </w:r>
            <w:bookmarkEnd w:id="192"/>
            <w:r w:rsidRPr="005F0A67">
              <w:rPr>
                <w:rFonts w:asciiTheme="majorBidi" w:eastAsia="Tahoma" w:hAnsiTheme="majorBidi" w:cstheme="majorBidi"/>
                <w:color w:val="000000"/>
                <w:sz w:val="18"/>
                <w:szCs w:val="18"/>
                <w:lang w:val="en-CA" w:eastAsia="en-GB"/>
              </w:rPr>
              <w:t>; non-Party firms not subject to equivalent obligations; national implementation divergence affecting competitive pressure (U8); participation asymmetry: competitive significance depends on the rate of participation among CBD Party-headquartered peers.</w:t>
            </w:r>
          </w:p>
        </w:tc>
        <w:tc>
          <w:tcPr>
            <w:tcW w:w="464" w:type="pct"/>
            <w:tcBorders>
              <w:top w:val="single" w:sz="1" w:space="0" w:color="AAAAAA"/>
              <w:left w:val="single" w:sz="1" w:space="0" w:color="AAAAAA"/>
              <w:bottom w:val="single" w:sz="1" w:space="0" w:color="AAAAAA"/>
              <w:right w:val="single" w:sz="1" w:space="0" w:color="AAAAAA"/>
            </w:tcBorders>
            <w:shd w:val="clear" w:color="auto" w:fill="FFDCD8"/>
            <w:tcMar>
              <w:top w:w="60" w:type="dxa"/>
              <w:left w:w="100" w:type="dxa"/>
              <w:bottom w:w="60" w:type="dxa"/>
              <w:right w:w="100" w:type="dxa"/>
            </w:tcMar>
            <w:vAlign w:val="center"/>
          </w:tcPr>
          <w:p w14:paraId="389EFDE4"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000000"/>
                <w:sz w:val="18"/>
                <w:szCs w:val="18"/>
                <w:lang w:val="en-CA" w:eastAsia="en-GB"/>
              </w:rPr>
            </w:pPr>
            <w:r w:rsidRPr="005F0A67">
              <w:rPr>
                <w:rFonts w:asciiTheme="majorBidi" w:eastAsia="Tahoma" w:hAnsiTheme="majorBidi" w:cstheme="majorBidi"/>
                <w:b/>
                <w:bCs/>
                <w:color w:val="000000"/>
                <w:sz w:val="18"/>
                <w:szCs w:val="18"/>
                <w:lang w:val="en-CA" w:eastAsia="en-GB"/>
              </w:rPr>
              <w:t>High</w:t>
            </w:r>
          </w:p>
        </w:tc>
      </w:tr>
      <w:tr w:rsidR="005F0A67" w:rsidRPr="005F0A67" w14:paraId="6606B98B" w14:textId="77777777" w:rsidTr="005F0A67">
        <w:tc>
          <w:tcPr>
            <w:tcW w:w="1186" w:type="pct"/>
            <w:vMerge/>
            <w:tcMar>
              <w:top w:w="60" w:type="dxa"/>
              <w:left w:w="100" w:type="dxa"/>
              <w:bottom w:w="60" w:type="dxa"/>
              <w:right w:w="100" w:type="dxa"/>
            </w:tcMar>
            <w:vAlign w:val="center"/>
          </w:tcPr>
          <w:p w14:paraId="0F819E83"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p>
        </w:tc>
        <w:tc>
          <w:tcPr>
            <w:tcW w:w="567"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7AAAB2BF"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Generics producers</w:t>
            </w:r>
          </w:p>
        </w:tc>
        <w:tc>
          <w:tcPr>
            <w:tcW w:w="412"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01983B35"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1A1A1A"/>
                <w:sz w:val="18"/>
                <w:szCs w:val="18"/>
                <w:lang w:val="en-CA" w:eastAsia="en-GB"/>
              </w:rPr>
              <w:t>Moderate</w:t>
            </w:r>
          </w:p>
        </w:tc>
        <w:tc>
          <w:tcPr>
            <w:tcW w:w="420"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4824106F"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1A1A1A"/>
                <w:sz w:val="18"/>
                <w:szCs w:val="18"/>
                <w:lang w:val="en-CA" w:eastAsia="en-GB"/>
              </w:rPr>
              <w:t>Medium</w:t>
            </w:r>
          </w:p>
        </w:tc>
        <w:tc>
          <w:tcPr>
            <w:tcW w:w="1951"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2A97444C"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1A1A1A"/>
                <w:sz w:val="18"/>
                <w:szCs w:val="18"/>
                <w:lang w:val="en-CA" w:eastAsia="en-GB"/>
              </w:rPr>
              <w:t>US generic market presence significant; procurement-driven markets partially limit commercial proximity of non-Party rivals; unbranded generics more exposed than branded given thinner margins and weaker capacity to absorb cost differentials. National implementation divergence (U8).</w:t>
            </w:r>
          </w:p>
        </w:tc>
        <w:tc>
          <w:tcPr>
            <w:tcW w:w="464" w:type="pct"/>
            <w:tcBorders>
              <w:top w:val="single" w:sz="1" w:space="0" w:color="AAAAAA"/>
              <w:left w:val="single" w:sz="1" w:space="0" w:color="AAAAAA"/>
              <w:bottom w:val="single" w:sz="1" w:space="0" w:color="AAAAAA"/>
              <w:right w:val="single" w:sz="1" w:space="0" w:color="AAAAAA"/>
            </w:tcBorders>
            <w:shd w:val="clear" w:color="auto" w:fill="FFF9CC"/>
            <w:tcMar>
              <w:top w:w="60" w:type="dxa"/>
              <w:left w:w="100" w:type="dxa"/>
              <w:bottom w:w="60" w:type="dxa"/>
              <w:right w:w="100" w:type="dxa"/>
            </w:tcMar>
            <w:vAlign w:val="center"/>
          </w:tcPr>
          <w:p w14:paraId="0823F1FA"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000000"/>
                <w:sz w:val="18"/>
                <w:szCs w:val="18"/>
                <w:lang w:val="en-CA" w:eastAsia="en-GB"/>
              </w:rPr>
            </w:pPr>
            <w:r w:rsidRPr="005F0A67">
              <w:rPr>
                <w:rFonts w:asciiTheme="majorBidi" w:eastAsia="Tahoma" w:hAnsiTheme="majorBidi" w:cstheme="majorBidi"/>
                <w:b/>
                <w:bCs/>
                <w:color w:val="000000"/>
                <w:sz w:val="18"/>
                <w:szCs w:val="18"/>
                <w:lang w:val="en-CA" w:eastAsia="en-GB"/>
              </w:rPr>
              <w:t xml:space="preserve">Moderate </w:t>
            </w:r>
          </w:p>
        </w:tc>
      </w:tr>
      <w:tr w:rsidR="005F0A67" w:rsidRPr="005F0A67" w14:paraId="68E3EE55" w14:textId="77777777" w:rsidTr="005F0A67">
        <w:tc>
          <w:tcPr>
            <w:tcW w:w="1186" w:type="pct"/>
            <w:vMerge/>
            <w:tcMar>
              <w:top w:w="60" w:type="dxa"/>
              <w:left w:w="100" w:type="dxa"/>
              <w:bottom w:w="60" w:type="dxa"/>
              <w:right w:w="100" w:type="dxa"/>
            </w:tcMar>
            <w:vAlign w:val="center"/>
          </w:tcPr>
          <w:p w14:paraId="2B08EC67"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p>
        </w:tc>
        <w:tc>
          <w:tcPr>
            <w:tcW w:w="567"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1061FC45"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Biosimilars producers</w:t>
            </w:r>
          </w:p>
        </w:tc>
        <w:tc>
          <w:tcPr>
            <w:tcW w:w="412"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1A17962C"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1A1A1A"/>
                <w:sz w:val="18"/>
                <w:szCs w:val="18"/>
                <w:lang w:val="en-CA" w:eastAsia="en-GB"/>
              </w:rPr>
              <w:t>Moderate</w:t>
            </w:r>
          </w:p>
        </w:tc>
        <w:tc>
          <w:tcPr>
            <w:tcW w:w="420"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15E8C4D1"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1A1A1A"/>
                <w:sz w:val="18"/>
                <w:szCs w:val="18"/>
                <w:lang w:val="en-CA" w:eastAsia="en-GB"/>
              </w:rPr>
              <w:t>Medium</w:t>
            </w:r>
          </w:p>
        </w:tc>
        <w:tc>
          <w:tcPr>
            <w:tcW w:w="1951"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1DD34D8F"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1A1A1A"/>
                <w:sz w:val="18"/>
                <w:szCs w:val="18"/>
                <w:lang w:val="en-CA" w:eastAsia="en-GB"/>
              </w:rPr>
              <w:t>US biosimilar market growing rapidly; contribution creates cost asymmetry with US-headquartered biosimilar producers not subject to equivalent obligations; reimbursement framework differences across markets create variable exposure. Brand-adjacent competition partially limits commercial proximity relative to innovators. National implementation divergence (U8).</w:t>
            </w:r>
          </w:p>
        </w:tc>
        <w:tc>
          <w:tcPr>
            <w:tcW w:w="464" w:type="pct"/>
            <w:tcBorders>
              <w:top w:val="single" w:sz="1" w:space="0" w:color="AAAAAA"/>
              <w:left w:val="single" w:sz="1" w:space="0" w:color="AAAAAA"/>
              <w:bottom w:val="single" w:sz="1" w:space="0" w:color="AAAAAA"/>
              <w:right w:val="single" w:sz="1" w:space="0" w:color="AAAAAA"/>
            </w:tcBorders>
            <w:shd w:val="clear" w:color="auto" w:fill="FEF9CC"/>
            <w:tcMar>
              <w:top w:w="60" w:type="dxa"/>
              <w:left w:w="100" w:type="dxa"/>
              <w:bottom w:w="60" w:type="dxa"/>
              <w:right w:w="100" w:type="dxa"/>
            </w:tcMar>
            <w:vAlign w:val="center"/>
          </w:tcPr>
          <w:p w14:paraId="4E53334D"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000000"/>
                <w:sz w:val="18"/>
                <w:szCs w:val="18"/>
                <w:lang w:val="en-CA" w:eastAsia="en-GB"/>
              </w:rPr>
            </w:pPr>
            <w:r w:rsidRPr="005F0A67">
              <w:rPr>
                <w:rFonts w:asciiTheme="majorBidi" w:eastAsia="Tahoma" w:hAnsiTheme="majorBidi" w:cstheme="majorBidi"/>
                <w:b/>
                <w:bCs/>
                <w:color w:val="000000"/>
                <w:sz w:val="18"/>
                <w:szCs w:val="18"/>
                <w:lang w:val="en-CA" w:eastAsia="en-GB"/>
              </w:rPr>
              <w:t>Moderate</w:t>
            </w:r>
          </w:p>
        </w:tc>
      </w:tr>
      <w:tr w:rsidR="005F0A67" w:rsidRPr="005F0A67" w14:paraId="201CE9E6" w14:textId="77777777" w:rsidTr="005F0A67">
        <w:tc>
          <w:tcPr>
            <w:tcW w:w="1186" w:type="pct"/>
            <w:vMerge w:val="restar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0B3B1929"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1F4E6B"/>
                <w:sz w:val="18"/>
                <w:szCs w:val="18"/>
                <w:lang w:val="en-CA" w:eastAsia="en-GB"/>
              </w:rPr>
            </w:pPr>
            <w:r w:rsidRPr="005F0A67">
              <w:rPr>
                <w:rFonts w:asciiTheme="majorBidi" w:eastAsia="Tahoma" w:hAnsiTheme="majorBidi" w:cstheme="majorBidi"/>
                <w:b/>
                <w:bCs/>
                <w:color w:val="1F4E6B"/>
                <w:sz w:val="18"/>
                <w:szCs w:val="18"/>
                <w:lang w:val="en-CA" w:eastAsia="en-GB"/>
              </w:rPr>
              <w:t>Export competitiveness</w:t>
            </w:r>
          </w:p>
          <w:p w14:paraId="7540EB0B"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1A1A1A"/>
                <w:sz w:val="18"/>
                <w:szCs w:val="18"/>
                <w:lang w:val="en-CA" w:eastAsia="en-GB"/>
              </w:rPr>
              <w:t>Effects on export competitiveness where contribution cost cannot be fully passed through to export customers facing non-Party competition. Research-intensive producers have some pass-through capacity via price negotiation in regulated markets; generics and biosimilars face more constrained conditions in procurement-driven tender markets.</w:t>
            </w:r>
          </w:p>
          <w:p w14:paraId="56860B31"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p>
        </w:tc>
        <w:tc>
          <w:tcPr>
            <w:tcW w:w="567"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6F683CED"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Pharmaceuticals innovators</w:t>
            </w:r>
          </w:p>
        </w:tc>
        <w:tc>
          <w:tcPr>
            <w:tcW w:w="412"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0CF6400B"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1A1A1A"/>
                <w:sz w:val="18"/>
                <w:szCs w:val="18"/>
                <w:lang w:val="en-CA" w:eastAsia="en-GB"/>
              </w:rPr>
              <w:t>Minor</w:t>
            </w:r>
          </w:p>
        </w:tc>
        <w:tc>
          <w:tcPr>
            <w:tcW w:w="420"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5E03A7DB"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1A1A1A"/>
                <w:sz w:val="18"/>
                <w:szCs w:val="18"/>
                <w:lang w:val="en-CA" w:eastAsia="en-GB"/>
              </w:rPr>
              <w:t>Medium</w:t>
            </w:r>
          </w:p>
        </w:tc>
        <w:tc>
          <w:tcPr>
            <w:tcW w:w="1951"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tcPr>
          <w:p w14:paraId="4D4B6FCC"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1A1A1A"/>
                <w:sz w:val="18"/>
                <w:szCs w:val="18"/>
                <w:lang w:val="en-CA" w:eastAsia="en-GB"/>
              </w:rPr>
              <w:t>Some pass-through capacity in export markets via regulated price negotiation; constrained in European CBD Party markets by HTA and reference pricing; vaccine producers most exposed in tender-driven export markets. National implementation divergence (U8); rate revision.</w:t>
            </w:r>
          </w:p>
        </w:tc>
        <w:tc>
          <w:tcPr>
            <w:tcW w:w="464" w:type="pct"/>
            <w:tcBorders>
              <w:top w:val="single" w:sz="1" w:space="0" w:color="AAAAAA"/>
              <w:left w:val="single" w:sz="1" w:space="0" w:color="AAAAAA"/>
              <w:bottom w:val="single" w:sz="1" w:space="0" w:color="AAAAAA"/>
              <w:right w:val="single" w:sz="1" w:space="0" w:color="AAAAAA"/>
            </w:tcBorders>
            <w:shd w:val="clear" w:color="auto" w:fill="D9F3D0"/>
            <w:tcMar>
              <w:top w:w="60" w:type="dxa"/>
              <w:left w:w="100" w:type="dxa"/>
              <w:bottom w:w="60" w:type="dxa"/>
              <w:right w:w="100" w:type="dxa"/>
            </w:tcMar>
            <w:vAlign w:val="center"/>
          </w:tcPr>
          <w:p w14:paraId="620CCCE2"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000000"/>
                <w:sz w:val="18"/>
                <w:szCs w:val="18"/>
                <w:lang w:val="en-CA" w:eastAsia="en-GB"/>
              </w:rPr>
            </w:pPr>
            <w:r w:rsidRPr="005F0A67">
              <w:rPr>
                <w:rFonts w:asciiTheme="majorBidi" w:eastAsia="Tahoma" w:hAnsiTheme="majorBidi" w:cstheme="majorBidi"/>
                <w:b/>
                <w:bCs/>
                <w:color w:val="000000"/>
                <w:sz w:val="18"/>
                <w:szCs w:val="18"/>
                <w:lang w:val="en-CA" w:eastAsia="en-GB"/>
              </w:rPr>
              <w:t>Low</w:t>
            </w:r>
          </w:p>
        </w:tc>
      </w:tr>
      <w:tr w:rsidR="005F0A67" w:rsidRPr="005F0A67" w14:paraId="5C25D9A5" w14:textId="77777777" w:rsidTr="005F0A67">
        <w:tc>
          <w:tcPr>
            <w:tcW w:w="1186" w:type="pct"/>
            <w:vMerge/>
            <w:tcMar>
              <w:top w:w="60" w:type="dxa"/>
              <w:left w:w="100" w:type="dxa"/>
              <w:bottom w:w="60" w:type="dxa"/>
              <w:right w:w="100" w:type="dxa"/>
            </w:tcMar>
            <w:vAlign w:val="center"/>
          </w:tcPr>
          <w:p w14:paraId="1045D055"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p>
        </w:tc>
        <w:tc>
          <w:tcPr>
            <w:tcW w:w="567"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6156140F"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Generics producers</w:t>
            </w:r>
          </w:p>
        </w:tc>
        <w:tc>
          <w:tcPr>
            <w:tcW w:w="412"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3E4C72B8"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1A1A1A"/>
                <w:sz w:val="18"/>
                <w:szCs w:val="18"/>
                <w:lang w:val="en-CA" w:eastAsia="en-GB"/>
              </w:rPr>
              <w:t>Moderate</w:t>
            </w:r>
          </w:p>
        </w:tc>
        <w:tc>
          <w:tcPr>
            <w:tcW w:w="420"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15D9CC92"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1A1A1A"/>
                <w:sz w:val="18"/>
                <w:szCs w:val="18"/>
                <w:lang w:val="en-CA" w:eastAsia="en-GB"/>
              </w:rPr>
              <w:t>Medium</w:t>
            </w:r>
          </w:p>
        </w:tc>
        <w:tc>
          <w:tcPr>
            <w:tcW w:w="1951"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tcPr>
          <w:p w14:paraId="5F89BAB4"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1A1A1A"/>
                <w:sz w:val="18"/>
                <w:szCs w:val="18"/>
                <w:lang w:val="en-CA" w:eastAsia="en-GB"/>
              </w:rPr>
              <w:t xml:space="preserve">Limited pass-through in price-driven export tender markets </w:t>
            </w:r>
            <w:r w:rsidRPr="005F0A67">
              <w:rPr>
                <w:rFonts w:asciiTheme="majorBidi" w:eastAsia="Tahoma" w:hAnsiTheme="majorBidi" w:cstheme="majorBidi"/>
                <w:color w:val="1A1A1A"/>
                <w:sz w:val="18"/>
                <w:szCs w:val="18"/>
                <w:lang w:val="en-CA" w:eastAsia="en-GB"/>
              </w:rPr>
              <w:fldChar w:fldCharType="begin"/>
            </w:r>
            <w:r w:rsidRPr="005F0A67">
              <w:rPr>
                <w:rFonts w:asciiTheme="majorBidi" w:eastAsia="Tahoma" w:hAnsiTheme="majorBidi" w:cstheme="majorBidi"/>
                <w:color w:val="1A1A1A"/>
                <w:sz w:val="18"/>
                <w:szCs w:val="18"/>
                <w:lang w:val="en-CA" w:eastAsia="en-GB"/>
              </w:rPr>
              <w:instrText xml:space="preserve"> ADDIN ZOTERO_ITEM CSL_CITATION {"citationID":"apnh95guqe","properties":{"unsorted":false,"formattedCitation":"(Danzon and Furukawa, 2011)","plainCitation":"(Danzon and Furukawa, 2011)","noteIndex":0},"citationItems":[{"id":160,"uris":["http://zotero.org/users/14977742/items/WRHCSRXX"],"itemData":{"id":160,"type":"article","abstract":"This paper examines the role of regulation and competition in generic markets. Generics offer large potential savings to payers and consumers of pharmaceuticals. Whether the potential savings are realized depends on the extent of generic entry and uptake and the level of generic prices. In the U.S., the regulatory, legal and incentive structures encourage prompt entry, aggressive price competition and patient switching to generics. Key features are that pharmacists are authorized and incentivized to switch patients to cheap generics. By contrast, in many other high and middle income countries, generics traditionally competed on brand rather than price because physicians rather than pharmacies are the decision-makers. Physician-driven generic markets tend to have higher generic prices and may have lower generic uptake, depending on regulations and incentives. Using IMS data to analyze generic markets in the U.S., Canada, France, Germany, U.K., Italy, Spain, Japan, Australia, Mexico, Chile, Brazil over the period 1998-2009, we estimate a three-equation model for number of generic entrants, generic prices and generic volume shares. We find little effect of originator defense strategies, significant differences between unbranded and unbranded generics, variation across countries in volume response to prices. Policy changes adopted to stimulate generic uptake and reduce generic prices have been successful in some E.U. countries.","citation-key":"danzonCrossNationalEvidenceGeneric2011","collection-title":"Working Paper Series","DOI":"10.3386/w17226","genre":"Working Paper","note":"DOI: 10.3386/w17226","number":"17226","publisher":"National Bureau of Economic Research","source":"National Bureau of Economic Research","title":"Cross-National Evidence on Generic Pharmaceuticals: Pharmacy vs. Physician-Driven Markets","title-short":"Cross-National Evidence on Generic Pharmaceuticals","URL":"https://www.nber.org/papers/w17226","author":[{"family":"Danzon","given":"Patricia M."},{"family":"Furukawa","given":"Michael F."}],"accessed":{"date-parts":[["2026",6,1]]},"issued":{"date-parts":[["2011",7]]}}}],"schema":"https://github.com/citation-style-language/schema/raw/master/csl-citation.json"} </w:instrText>
            </w:r>
            <w:r w:rsidRPr="005F0A67">
              <w:rPr>
                <w:rFonts w:asciiTheme="majorBidi" w:eastAsia="Tahoma" w:hAnsiTheme="majorBidi" w:cstheme="majorBidi"/>
                <w:color w:val="1A1A1A"/>
                <w:sz w:val="18"/>
                <w:szCs w:val="18"/>
                <w:lang w:val="en-CA" w:eastAsia="en-GB"/>
              </w:rPr>
              <w:fldChar w:fldCharType="separate"/>
            </w:r>
            <w:r w:rsidRPr="005F0A67">
              <w:rPr>
                <w:rFonts w:asciiTheme="majorBidi" w:eastAsia="Georgia" w:hAnsiTheme="majorBidi" w:cstheme="majorBidi"/>
                <w:color w:val="000000"/>
                <w:sz w:val="18"/>
                <w:szCs w:val="24"/>
                <w:lang w:eastAsia="en-GB"/>
              </w:rPr>
              <w:t>(Danzon and Furukawa, 2011)</w:t>
            </w:r>
            <w:r w:rsidRPr="005F0A67">
              <w:rPr>
                <w:rFonts w:asciiTheme="majorBidi" w:eastAsia="Tahoma" w:hAnsiTheme="majorBidi" w:cstheme="majorBidi"/>
                <w:color w:val="1A1A1A"/>
                <w:sz w:val="18"/>
                <w:szCs w:val="18"/>
                <w:lang w:val="en-CA" w:eastAsia="en-GB"/>
              </w:rPr>
              <w:fldChar w:fldCharType="end"/>
            </w:r>
            <w:r w:rsidRPr="005F0A67">
              <w:rPr>
                <w:rFonts w:asciiTheme="majorBidi" w:eastAsia="Tahoma" w:hAnsiTheme="majorBidi" w:cstheme="majorBidi"/>
                <w:color w:val="1A1A1A"/>
                <w:sz w:val="18"/>
                <w:szCs w:val="18"/>
                <w:lang w:val="en-CA" w:eastAsia="en-GB"/>
              </w:rPr>
              <w:t>; procurement design in destination countries constrains cost recovery; unbranded generics most exposed given thin margins and high price sensitivity of procurement buyers. National implementation divergence (U8); rate revision.</w:t>
            </w:r>
          </w:p>
        </w:tc>
        <w:tc>
          <w:tcPr>
            <w:tcW w:w="464" w:type="pct"/>
            <w:tcBorders>
              <w:top w:val="single" w:sz="1" w:space="0" w:color="AAAAAA"/>
              <w:left w:val="single" w:sz="1" w:space="0" w:color="AAAAAA"/>
              <w:bottom w:val="single" w:sz="1" w:space="0" w:color="AAAAAA"/>
              <w:right w:val="single" w:sz="1" w:space="0" w:color="AAAAAA"/>
            </w:tcBorders>
            <w:shd w:val="clear" w:color="auto" w:fill="FFF9CC"/>
            <w:tcMar>
              <w:top w:w="60" w:type="dxa"/>
              <w:left w:w="100" w:type="dxa"/>
              <w:bottom w:w="60" w:type="dxa"/>
              <w:right w:w="100" w:type="dxa"/>
            </w:tcMar>
            <w:vAlign w:val="center"/>
          </w:tcPr>
          <w:p w14:paraId="41CC7809"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000000"/>
                <w:sz w:val="18"/>
                <w:szCs w:val="18"/>
                <w:lang w:val="en-CA" w:eastAsia="en-GB"/>
              </w:rPr>
            </w:pPr>
            <w:r w:rsidRPr="005F0A67">
              <w:rPr>
                <w:rFonts w:asciiTheme="majorBidi" w:eastAsia="Tahoma" w:hAnsiTheme="majorBidi" w:cstheme="majorBidi"/>
                <w:b/>
                <w:bCs/>
                <w:color w:val="000000"/>
                <w:sz w:val="18"/>
                <w:szCs w:val="18"/>
                <w:lang w:val="en-CA" w:eastAsia="en-GB"/>
              </w:rPr>
              <w:t>Moderate</w:t>
            </w:r>
          </w:p>
        </w:tc>
      </w:tr>
      <w:tr w:rsidR="005F0A67" w:rsidRPr="005F0A67" w14:paraId="7E9885DB" w14:textId="77777777" w:rsidTr="005F0A67">
        <w:tc>
          <w:tcPr>
            <w:tcW w:w="1186" w:type="pct"/>
            <w:vMerge/>
            <w:tcMar>
              <w:top w:w="60" w:type="dxa"/>
              <w:left w:w="100" w:type="dxa"/>
              <w:bottom w:w="60" w:type="dxa"/>
              <w:right w:w="100" w:type="dxa"/>
            </w:tcMar>
            <w:vAlign w:val="center"/>
          </w:tcPr>
          <w:p w14:paraId="331B69C1"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p>
        </w:tc>
        <w:tc>
          <w:tcPr>
            <w:tcW w:w="567"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3DB4F0A6"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Biosimilars producers</w:t>
            </w:r>
          </w:p>
        </w:tc>
        <w:tc>
          <w:tcPr>
            <w:tcW w:w="412"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6180DA7B"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1A1A1A"/>
                <w:sz w:val="18"/>
                <w:szCs w:val="18"/>
                <w:lang w:val="en-CA" w:eastAsia="en-GB"/>
              </w:rPr>
              <w:t>Minor</w:t>
            </w:r>
          </w:p>
        </w:tc>
        <w:tc>
          <w:tcPr>
            <w:tcW w:w="420"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274A9A25"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1A1A1A"/>
                <w:sz w:val="18"/>
                <w:szCs w:val="18"/>
                <w:lang w:val="en-CA" w:eastAsia="en-GB"/>
              </w:rPr>
              <w:t>Medium</w:t>
            </w:r>
          </w:p>
        </w:tc>
        <w:tc>
          <w:tcPr>
            <w:tcW w:w="1951"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tcPr>
          <w:p w14:paraId="740841C6"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1A1A1A"/>
                <w:sz w:val="18"/>
                <w:szCs w:val="18"/>
                <w:lang w:val="en-CA" w:eastAsia="en-GB"/>
              </w:rPr>
              <w:t xml:space="preserve">Reimbursement-driven price pressure constrains export pass-through; market heterogeneity across jurisdictions creates variable exposure </w:t>
            </w:r>
            <w:r w:rsidRPr="005F0A67">
              <w:rPr>
                <w:rFonts w:asciiTheme="majorBidi" w:eastAsia="Tahoma" w:hAnsiTheme="majorBidi" w:cstheme="majorBidi"/>
                <w:color w:val="1A1A1A"/>
                <w:sz w:val="18"/>
                <w:szCs w:val="18"/>
                <w:lang w:val="en-CA" w:eastAsia="en-GB"/>
              </w:rPr>
              <w:fldChar w:fldCharType="begin"/>
            </w:r>
            <w:r w:rsidRPr="005F0A67">
              <w:rPr>
                <w:rFonts w:asciiTheme="majorBidi" w:eastAsia="Tahoma" w:hAnsiTheme="majorBidi" w:cstheme="majorBidi"/>
                <w:color w:val="1A1A1A"/>
                <w:sz w:val="18"/>
                <w:szCs w:val="18"/>
                <w:lang w:val="en-CA" w:eastAsia="en-GB"/>
              </w:rPr>
              <w:instrText xml:space="preserve"> ADDIN ZOTERO_ITEM CSL_CITATION {"citationID":"a1l0mai46jr","properties":{"unsorted":false,"formattedCitation":"(Song {\\i{}et al.}, 2025)","plainCitation":"(Song et al., 2025)","noteIndex":0},"citationItems":[{"id":112,"uris":["http://zotero.org/users/14977742/items/QJBKIZSH"],"itemData":{"id":112,"type":"article-journal","abstract":"Objective\nWe sought to evaluate the relationship between biosimilar introduction and the prices and expenditures of biologics in high-income countries.\n\nMethods\nThis study examined IQVIA-MIDAS sales data for biologics and biosimilars from January 2018 to June 2020 across 12 high-income countries (Australia, Austria, Canada, France, Germany, Italy, Japan, Korea, Spain, Sweden, Switzerland, and the United Kingdom). We selected seven biologics that fall under the World Health Organization Anatomical Therapeutic Chemical code L (Antineoplastic and immunomodulating agents), and categorized them into two groups based on the availability of biosimilar data. Group A consisted of biologics with biosimilars-etanercept, infliximab, rituximab, and trastuzumab, while Group B comprised biologics without biosimilars, including cetuximab, nivolumab, and pembrolizumab. A descriptive analysis was conducted to investigate the association between biosimilar introduction and trends in Fisher price index and relative expenditure. In addition, two-sample t-test and Wilcoxon rank-sum test were used to assess the statistical significance of differences in growth rates between the two groups.\n\nResults\nGroup A exhibited a declining trend in the Fisher price index, whereas Group B remained stable across most countries, with average compound quarterly growth rates being −2.19% and −0.54%, respectively (p &lt; 0.001). Relative expenditure trends also revealed contrasting patterns between the groups across most countries, further highlighting the differences. The average compound quarterly growth rates for relative expenditures was −1.78% for Group A and 7.66% for Group B (p &lt; 0.001).\n\nConclusion\nThe introduction of biosimilars was significantly associated with reductions in the prices and expenditures of biologics in high-income countries. This underscores the potential role of biosimilars in supporting the long-term sustainability of the healthcare system.","citation-key":"songComparativeAnalysisBiologics","container-title":"Frontiers in Pharmacology","DOI":"10.3389/fphar.2025.1659395","ISSN":"1663-9812","journalAbbreviation":"Front Pharmacol","page":"1659395","PMID":"41306781","PMCID":"PMC12643863","source":"PubMed Central","title":"A comparative analysis of biologics market dynamics in 12 countries: (Bio)similar and sustainability","title-short":"A comparative analysis of biologics market dynamics in 12 countries","volume":"16","author":[{"family":"Song","given":"Younghyun"},{"family":"Shin","given":"Gyeongseon"},{"family":"Choi","given":"Gyeyoung"},{"family":"Han","given":"Euna"},{"family":"Ou","given":"Huang-tz"},{"family":"Bae","given":"SeungJin"}],"issued":{"date-parts":[["2025"]]}}}],"schema":"https://github.com/citation-style-language/schema/raw/master/csl-citation.json"} </w:instrText>
            </w:r>
            <w:r w:rsidRPr="005F0A67">
              <w:rPr>
                <w:rFonts w:asciiTheme="majorBidi" w:eastAsia="Tahoma" w:hAnsiTheme="majorBidi" w:cstheme="majorBidi"/>
                <w:color w:val="1A1A1A"/>
                <w:sz w:val="18"/>
                <w:szCs w:val="18"/>
                <w:lang w:val="en-CA" w:eastAsia="en-GB"/>
              </w:rPr>
              <w:fldChar w:fldCharType="separate"/>
            </w:r>
            <w:r w:rsidRPr="005F0A67">
              <w:rPr>
                <w:rFonts w:asciiTheme="majorBidi" w:eastAsia="Georgia" w:hAnsiTheme="majorBidi" w:cstheme="majorBidi"/>
                <w:color w:val="000000"/>
                <w:sz w:val="18"/>
                <w:szCs w:val="24"/>
                <w:lang w:eastAsia="en-GB"/>
              </w:rPr>
              <w:t xml:space="preserve">(Song </w:t>
            </w:r>
            <w:r w:rsidRPr="005F0A67">
              <w:rPr>
                <w:rFonts w:asciiTheme="majorBidi" w:eastAsia="Georgia" w:hAnsiTheme="majorBidi" w:cstheme="majorBidi"/>
                <w:i/>
                <w:iCs/>
                <w:color w:val="000000"/>
                <w:sz w:val="18"/>
                <w:szCs w:val="24"/>
                <w:lang w:eastAsia="en-GB"/>
              </w:rPr>
              <w:t>et al.</w:t>
            </w:r>
            <w:r w:rsidRPr="005F0A67">
              <w:rPr>
                <w:rFonts w:asciiTheme="majorBidi" w:eastAsia="Georgia" w:hAnsiTheme="majorBidi" w:cstheme="majorBidi"/>
                <w:color w:val="000000"/>
                <w:sz w:val="18"/>
                <w:szCs w:val="24"/>
                <w:lang w:eastAsia="en-GB"/>
              </w:rPr>
              <w:t>, 2025)</w:t>
            </w:r>
            <w:r w:rsidRPr="005F0A67">
              <w:rPr>
                <w:rFonts w:asciiTheme="majorBidi" w:eastAsia="Tahoma" w:hAnsiTheme="majorBidi" w:cstheme="majorBidi"/>
                <w:color w:val="1A1A1A"/>
                <w:sz w:val="18"/>
                <w:szCs w:val="18"/>
                <w:lang w:val="en-CA" w:eastAsia="en-GB"/>
              </w:rPr>
              <w:fldChar w:fldCharType="end"/>
            </w:r>
            <w:r w:rsidRPr="005F0A67">
              <w:rPr>
                <w:rFonts w:asciiTheme="majorBidi" w:eastAsia="Tahoma" w:hAnsiTheme="majorBidi" w:cstheme="majorBidi"/>
                <w:color w:val="1A1A1A"/>
                <w:sz w:val="18"/>
                <w:szCs w:val="18"/>
                <w:lang w:val="en-CA" w:eastAsia="en-GB"/>
              </w:rPr>
              <w:t>. National implementation divergence (U8).</w:t>
            </w:r>
          </w:p>
        </w:tc>
        <w:tc>
          <w:tcPr>
            <w:tcW w:w="464" w:type="pct"/>
            <w:tcBorders>
              <w:top w:val="single" w:sz="1" w:space="0" w:color="AAAAAA"/>
              <w:left w:val="single" w:sz="1" w:space="0" w:color="AAAAAA"/>
              <w:bottom w:val="single" w:sz="1" w:space="0" w:color="AAAAAA"/>
              <w:right w:val="single" w:sz="1" w:space="0" w:color="AAAAAA"/>
            </w:tcBorders>
            <w:shd w:val="clear" w:color="auto" w:fill="D9F3D0"/>
            <w:tcMar>
              <w:top w:w="60" w:type="dxa"/>
              <w:left w:w="100" w:type="dxa"/>
              <w:bottom w:w="60" w:type="dxa"/>
              <w:right w:w="100" w:type="dxa"/>
            </w:tcMar>
            <w:vAlign w:val="center"/>
          </w:tcPr>
          <w:p w14:paraId="7BD03BF1"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000000"/>
                <w:sz w:val="18"/>
                <w:szCs w:val="18"/>
                <w:lang w:val="en-CA" w:eastAsia="en-GB"/>
              </w:rPr>
            </w:pPr>
            <w:r w:rsidRPr="005F0A67">
              <w:rPr>
                <w:rFonts w:asciiTheme="majorBidi" w:eastAsia="Tahoma" w:hAnsiTheme="majorBidi" w:cstheme="majorBidi"/>
                <w:b/>
                <w:bCs/>
                <w:color w:val="000000"/>
                <w:sz w:val="18"/>
                <w:szCs w:val="18"/>
                <w:lang w:val="en-CA" w:eastAsia="en-GB"/>
              </w:rPr>
              <w:t>Low</w:t>
            </w:r>
          </w:p>
        </w:tc>
      </w:tr>
      <w:tr w:rsidR="005F0A67" w:rsidRPr="005F0A67" w14:paraId="786391C4" w14:textId="77777777" w:rsidTr="005F0A67">
        <w:tc>
          <w:tcPr>
            <w:tcW w:w="1186" w:type="pct"/>
            <w:vMerge w:val="restar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3C5425C2"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1F4E6B"/>
                <w:sz w:val="18"/>
                <w:szCs w:val="18"/>
                <w:lang w:val="en-CA" w:eastAsia="en-GB"/>
              </w:rPr>
            </w:pPr>
            <w:r w:rsidRPr="005F0A67">
              <w:rPr>
                <w:rFonts w:asciiTheme="majorBidi" w:eastAsia="Tahoma" w:hAnsiTheme="majorBidi" w:cstheme="majorBidi"/>
                <w:b/>
                <w:bCs/>
                <w:color w:val="1F4E6B"/>
                <w:sz w:val="18"/>
                <w:szCs w:val="18"/>
                <w:lang w:val="en-CA" w:eastAsia="en-GB"/>
              </w:rPr>
              <w:t>International standards and regulatory dialogues</w:t>
            </w:r>
          </w:p>
          <w:p w14:paraId="03395F6B"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1A1A1A"/>
                <w:sz w:val="18"/>
                <w:szCs w:val="18"/>
                <w:lang w:val="en-CA" w:eastAsia="en-GB"/>
              </w:rPr>
              <w:t xml:space="preserve">Divergence between the Cali Fund and other DSI-related instruments creates potential conflicting compliance requirements. Most significant for research-intensive producers and vaccine producers given WHO PABS overlap (Section </w:t>
            </w:r>
            <w:r w:rsidRPr="005F0A67">
              <w:rPr>
                <w:rFonts w:asciiTheme="majorBidi" w:eastAsia="Tahoma" w:hAnsiTheme="majorBidi" w:cstheme="majorBidi"/>
                <w:color w:val="1A1A1A"/>
                <w:sz w:val="18"/>
                <w:szCs w:val="18"/>
                <w:lang w:val="en-CA" w:eastAsia="en-GB"/>
              </w:rPr>
              <w:fldChar w:fldCharType="begin"/>
            </w:r>
            <w:r w:rsidRPr="005F0A67">
              <w:rPr>
                <w:rFonts w:asciiTheme="majorBidi" w:eastAsia="Tahoma" w:hAnsiTheme="majorBidi" w:cstheme="majorBidi"/>
                <w:color w:val="1A1A1A"/>
                <w:sz w:val="18"/>
                <w:szCs w:val="18"/>
                <w:lang w:val="en-CA" w:eastAsia="en-GB"/>
              </w:rPr>
              <w:instrText xml:space="preserve"> REF _Ref230171567 \r \h  \* MERGEFORMAT </w:instrText>
            </w:r>
            <w:r w:rsidRPr="005F0A67">
              <w:rPr>
                <w:rFonts w:asciiTheme="majorBidi" w:eastAsia="Tahoma" w:hAnsiTheme="majorBidi" w:cstheme="majorBidi"/>
                <w:color w:val="1A1A1A"/>
                <w:sz w:val="18"/>
                <w:szCs w:val="18"/>
                <w:lang w:val="en-CA" w:eastAsia="en-GB"/>
              </w:rPr>
            </w:r>
            <w:r w:rsidRPr="005F0A67">
              <w:rPr>
                <w:rFonts w:asciiTheme="majorBidi" w:eastAsia="Tahoma" w:hAnsiTheme="majorBidi" w:cstheme="majorBidi"/>
                <w:color w:val="1A1A1A"/>
                <w:sz w:val="18"/>
                <w:szCs w:val="18"/>
                <w:lang w:val="en-CA" w:eastAsia="en-GB"/>
              </w:rPr>
              <w:fldChar w:fldCharType="separate"/>
            </w:r>
            <w:r w:rsidRPr="005F0A67">
              <w:rPr>
                <w:rFonts w:asciiTheme="majorBidi" w:eastAsia="Tahoma" w:hAnsiTheme="majorBidi" w:cstheme="majorBidi"/>
                <w:color w:val="1A1A1A"/>
                <w:sz w:val="18"/>
                <w:szCs w:val="18"/>
                <w:lang w:val="en-CA" w:eastAsia="en-GB"/>
              </w:rPr>
              <w:t>4.2.3</w:t>
            </w:r>
            <w:r w:rsidRPr="005F0A67">
              <w:rPr>
                <w:rFonts w:asciiTheme="majorBidi" w:eastAsia="Tahoma" w:hAnsiTheme="majorBidi" w:cstheme="majorBidi"/>
                <w:color w:val="1A1A1A"/>
                <w:sz w:val="18"/>
                <w:szCs w:val="18"/>
                <w:lang w:val="en-CA" w:eastAsia="en-GB"/>
              </w:rPr>
              <w:fldChar w:fldCharType="end"/>
            </w:r>
            <w:r w:rsidRPr="005F0A67">
              <w:rPr>
                <w:rFonts w:asciiTheme="majorBidi" w:eastAsia="Tahoma" w:hAnsiTheme="majorBidi" w:cstheme="majorBidi"/>
                <w:color w:val="1A1A1A"/>
                <w:sz w:val="18"/>
                <w:szCs w:val="18"/>
                <w:lang w:val="en-CA" w:eastAsia="en-GB"/>
              </w:rPr>
              <w:t>).</w:t>
            </w:r>
          </w:p>
        </w:tc>
        <w:tc>
          <w:tcPr>
            <w:tcW w:w="567"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4B0E3A7A"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Pharmaceuticals innovators</w:t>
            </w:r>
          </w:p>
        </w:tc>
        <w:tc>
          <w:tcPr>
            <w:tcW w:w="412"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7BE63369"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1A1A1A"/>
                <w:sz w:val="18"/>
                <w:szCs w:val="18"/>
                <w:lang w:val="en-CA" w:eastAsia="en-GB"/>
              </w:rPr>
              <w:t>Moderate</w:t>
            </w:r>
          </w:p>
        </w:tc>
        <w:tc>
          <w:tcPr>
            <w:tcW w:w="420"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494F32DD"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Moderate</w:t>
            </w:r>
          </w:p>
        </w:tc>
        <w:tc>
          <w:tcPr>
            <w:tcW w:w="1951"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tcPr>
          <w:p w14:paraId="7E5F1B87"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1A1A1A"/>
                <w:sz w:val="18"/>
                <w:szCs w:val="18"/>
                <w:lang w:val="en-CA" w:eastAsia="en-GB"/>
              </w:rPr>
              <w:t>Potential WHO PABS overlap creates unresolved dual-framework obligations for vaccine producers and potentially biopharmaceutical innovators (U7); certificate of contribution recognition across frameworks (U6); national implementation divergence (U8).</w:t>
            </w:r>
          </w:p>
        </w:tc>
        <w:tc>
          <w:tcPr>
            <w:tcW w:w="464" w:type="pct"/>
            <w:tcBorders>
              <w:top w:val="single" w:sz="1" w:space="0" w:color="AAAAAA"/>
              <w:left w:val="single" w:sz="1" w:space="0" w:color="AAAAAA"/>
              <w:bottom w:val="single" w:sz="1" w:space="0" w:color="AAAAAA"/>
              <w:right w:val="single" w:sz="1" w:space="0" w:color="AAAAAA"/>
            </w:tcBorders>
            <w:shd w:val="clear" w:color="auto" w:fill="FEF9CC"/>
            <w:tcMar>
              <w:top w:w="60" w:type="dxa"/>
              <w:left w:w="100" w:type="dxa"/>
              <w:bottom w:w="60" w:type="dxa"/>
              <w:right w:w="100" w:type="dxa"/>
            </w:tcMar>
            <w:vAlign w:val="center"/>
          </w:tcPr>
          <w:p w14:paraId="21B002AE"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000000"/>
                <w:sz w:val="18"/>
                <w:szCs w:val="18"/>
                <w:lang w:val="en-CA" w:eastAsia="en-GB"/>
              </w:rPr>
            </w:pPr>
            <w:r w:rsidRPr="005F0A67">
              <w:rPr>
                <w:rFonts w:asciiTheme="majorBidi" w:eastAsia="Tahoma" w:hAnsiTheme="majorBidi" w:cstheme="majorBidi"/>
                <w:b/>
                <w:bCs/>
                <w:color w:val="000000"/>
                <w:sz w:val="18"/>
                <w:szCs w:val="18"/>
                <w:lang w:val="en-CA" w:eastAsia="en-GB"/>
              </w:rPr>
              <w:t>Moderate</w:t>
            </w:r>
          </w:p>
        </w:tc>
      </w:tr>
      <w:tr w:rsidR="005F0A67" w:rsidRPr="005F0A67" w14:paraId="682B3487" w14:textId="77777777" w:rsidTr="005F0A67">
        <w:tc>
          <w:tcPr>
            <w:tcW w:w="1186" w:type="pct"/>
            <w:vMerge/>
            <w:tcMar>
              <w:top w:w="60" w:type="dxa"/>
              <w:left w:w="100" w:type="dxa"/>
              <w:bottom w:w="60" w:type="dxa"/>
              <w:right w:w="100" w:type="dxa"/>
            </w:tcMar>
            <w:vAlign w:val="center"/>
          </w:tcPr>
          <w:p w14:paraId="1EDC1420"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p>
        </w:tc>
        <w:tc>
          <w:tcPr>
            <w:tcW w:w="567"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7BFCD647"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Generics producers</w:t>
            </w:r>
          </w:p>
        </w:tc>
        <w:tc>
          <w:tcPr>
            <w:tcW w:w="412"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2DB56D03"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1A1A1A"/>
                <w:sz w:val="18"/>
                <w:szCs w:val="18"/>
                <w:lang w:val="en-CA" w:eastAsia="en-GB"/>
              </w:rPr>
              <w:t>Minor</w:t>
            </w:r>
          </w:p>
        </w:tc>
        <w:tc>
          <w:tcPr>
            <w:tcW w:w="420"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2423D273"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1A1A1A"/>
                <w:sz w:val="18"/>
                <w:szCs w:val="18"/>
                <w:lang w:val="en-CA" w:eastAsia="en-GB"/>
              </w:rPr>
              <w:t>Low</w:t>
            </w:r>
          </w:p>
        </w:tc>
        <w:tc>
          <w:tcPr>
            <w:tcW w:w="1951"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tcPr>
          <w:p w14:paraId="0D4D4EC3"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1A1A1A"/>
                <w:sz w:val="18"/>
                <w:szCs w:val="18"/>
                <w:lang w:val="en-CA" w:eastAsia="en-GB"/>
              </w:rPr>
              <w:t>Limited multi-framework exposure; national implementation divergence (U8).</w:t>
            </w:r>
          </w:p>
        </w:tc>
        <w:tc>
          <w:tcPr>
            <w:tcW w:w="464" w:type="pct"/>
            <w:tcBorders>
              <w:top w:val="single" w:sz="1" w:space="0" w:color="AAAAAA"/>
              <w:left w:val="single" w:sz="1" w:space="0" w:color="AAAAAA"/>
              <w:bottom w:val="single" w:sz="1" w:space="0" w:color="AAAAAA"/>
              <w:right w:val="single" w:sz="1" w:space="0" w:color="AAAAAA"/>
            </w:tcBorders>
            <w:shd w:val="clear" w:color="auto" w:fill="D9F2D0"/>
            <w:tcMar>
              <w:top w:w="60" w:type="dxa"/>
              <w:left w:w="100" w:type="dxa"/>
              <w:bottom w:w="60" w:type="dxa"/>
              <w:right w:w="100" w:type="dxa"/>
            </w:tcMar>
            <w:vAlign w:val="center"/>
          </w:tcPr>
          <w:p w14:paraId="69D33F2B"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000000"/>
                <w:sz w:val="18"/>
                <w:szCs w:val="18"/>
                <w:lang w:val="en-CA" w:eastAsia="en-GB"/>
              </w:rPr>
            </w:pPr>
            <w:r w:rsidRPr="005F0A67">
              <w:rPr>
                <w:rFonts w:asciiTheme="majorBidi" w:eastAsia="Tahoma" w:hAnsiTheme="majorBidi" w:cstheme="majorBidi"/>
                <w:b/>
                <w:bCs/>
                <w:color w:val="000000"/>
                <w:sz w:val="18"/>
                <w:szCs w:val="18"/>
                <w:lang w:val="en-CA" w:eastAsia="en-GB"/>
              </w:rPr>
              <w:t>Low</w:t>
            </w:r>
          </w:p>
        </w:tc>
      </w:tr>
      <w:tr w:rsidR="005F0A67" w:rsidRPr="005F0A67" w14:paraId="19C71E02" w14:textId="77777777" w:rsidTr="005F0A67">
        <w:tc>
          <w:tcPr>
            <w:tcW w:w="1186" w:type="pct"/>
            <w:vMerge/>
            <w:tcMar>
              <w:top w:w="60" w:type="dxa"/>
              <w:left w:w="100" w:type="dxa"/>
              <w:bottom w:w="60" w:type="dxa"/>
              <w:right w:w="100" w:type="dxa"/>
            </w:tcMar>
            <w:vAlign w:val="center"/>
          </w:tcPr>
          <w:p w14:paraId="5C8B0C10"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p>
        </w:tc>
        <w:tc>
          <w:tcPr>
            <w:tcW w:w="567"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5D5AA6AA"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Biosimilars producers</w:t>
            </w:r>
          </w:p>
        </w:tc>
        <w:tc>
          <w:tcPr>
            <w:tcW w:w="412"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79B8B453"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1A1A1A"/>
                <w:sz w:val="18"/>
                <w:szCs w:val="18"/>
                <w:lang w:val="en-CA" w:eastAsia="en-GB"/>
              </w:rPr>
              <w:t>Minor</w:t>
            </w:r>
          </w:p>
        </w:tc>
        <w:tc>
          <w:tcPr>
            <w:tcW w:w="420"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3DEADBEC"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1A1A1A"/>
                <w:sz w:val="18"/>
                <w:szCs w:val="18"/>
                <w:lang w:val="en-CA" w:eastAsia="en-GB"/>
              </w:rPr>
              <w:t>Low</w:t>
            </w:r>
          </w:p>
        </w:tc>
        <w:tc>
          <w:tcPr>
            <w:tcW w:w="1951"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tcPr>
          <w:p w14:paraId="7603CBAA"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1A1A1A"/>
                <w:sz w:val="18"/>
                <w:szCs w:val="18"/>
                <w:lang w:val="en-CA" w:eastAsia="en-GB"/>
              </w:rPr>
              <w:t>Uncertainty about how characterisation process obligations interact with contribution scope under any future product-attribution approach; some sensitivity to PABS framework if pathogen-adjacent biologics in portfolio. National implementation divergence (U8).</w:t>
            </w:r>
          </w:p>
        </w:tc>
        <w:tc>
          <w:tcPr>
            <w:tcW w:w="464" w:type="pct"/>
            <w:tcBorders>
              <w:top w:val="single" w:sz="1" w:space="0" w:color="AAAAAA"/>
              <w:left w:val="single" w:sz="1" w:space="0" w:color="AAAAAA"/>
              <w:bottom w:val="single" w:sz="1" w:space="0" w:color="AAAAAA"/>
              <w:right w:val="single" w:sz="1" w:space="0" w:color="AAAAAA"/>
            </w:tcBorders>
            <w:shd w:val="clear" w:color="auto" w:fill="D9F2D0"/>
            <w:tcMar>
              <w:top w:w="60" w:type="dxa"/>
              <w:left w:w="100" w:type="dxa"/>
              <w:bottom w:w="60" w:type="dxa"/>
              <w:right w:w="100" w:type="dxa"/>
            </w:tcMar>
            <w:vAlign w:val="center"/>
          </w:tcPr>
          <w:p w14:paraId="0AA93E49"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000000"/>
                <w:sz w:val="18"/>
                <w:szCs w:val="18"/>
                <w:lang w:val="en-CA" w:eastAsia="en-GB"/>
              </w:rPr>
            </w:pPr>
            <w:r w:rsidRPr="005F0A67">
              <w:rPr>
                <w:rFonts w:asciiTheme="majorBidi" w:eastAsia="Tahoma" w:hAnsiTheme="majorBidi" w:cstheme="majorBidi"/>
                <w:b/>
                <w:bCs/>
                <w:color w:val="000000"/>
                <w:sz w:val="18"/>
                <w:szCs w:val="18"/>
                <w:lang w:val="en-CA" w:eastAsia="en-GB"/>
              </w:rPr>
              <w:t>Low</w:t>
            </w:r>
          </w:p>
        </w:tc>
      </w:tr>
      <w:tr w:rsidR="005F0A67" w:rsidRPr="005F0A67" w14:paraId="6F874592" w14:textId="77777777" w:rsidTr="005F0A67">
        <w:tc>
          <w:tcPr>
            <w:tcW w:w="1186" w:type="pct"/>
            <w:vMerge w:val="restar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06D70201"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1F4E6B"/>
                <w:sz w:val="18"/>
                <w:szCs w:val="18"/>
                <w:lang w:val="en-CA" w:eastAsia="en-GB"/>
              </w:rPr>
            </w:pPr>
            <w:r w:rsidRPr="005F0A67">
              <w:rPr>
                <w:rFonts w:asciiTheme="majorBidi" w:eastAsia="Tahoma" w:hAnsiTheme="majorBidi" w:cstheme="majorBidi"/>
                <w:b/>
                <w:bCs/>
                <w:color w:val="1F4E6B"/>
                <w:sz w:val="18"/>
                <w:szCs w:val="18"/>
                <w:lang w:val="en-CA" w:eastAsia="en-GB"/>
              </w:rPr>
              <w:t>FDI and relocation effects</w:t>
            </w:r>
          </w:p>
          <w:p w14:paraId="01749A96"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1A1A1A"/>
                <w:sz w:val="18"/>
                <w:szCs w:val="18"/>
                <w:lang w:val="en-CA" w:eastAsia="en-GB"/>
              </w:rPr>
              <w:t xml:space="preserve">Effects on R&amp;D and investment location decisions. Primary firm response to a comparable profit burden is spending reduction rather than relocation </w:t>
            </w:r>
            <w:r w:rsidRPr="005F0A67">
              <w:rPr>
                <w:rFonts w:asciiTheme="majorBidi" w:eastAsia="Tahoma" w:hAnsiTheme="majorBidi" w:cstheme="majorBidi"/>
                <w:color w:val="1A1A1A"/>
                <w:sz w:val="18"/>
                <w:szCs w:val="18"/>
                <w:lang w:val="en-CA" w:eastAsia="en-GB"/>
              </w:rPr>
              <w:fldChar w:fldCharType="begin"/>
            </w:r>
            <w:r w:rsidRPr="005F0A67">
              <w:rPr>
                <w:rFonts w:asciiTheme="majorBidi" w:eastAsia="Tahoma" w:hAnsiTheme="majorBidi" w:cstheme="majorBidi"/>
                <w:color w:val="1A1A1A"/>
                <w:sz w:val="18"/>
                <w:szCs w:val="18"/>
                <w:lang w:val="en-CA" w:eastAsia="en-GB"/>
              </w:rPr>
              <w:instrText xml:space="preserve"> ADDIN ZOTERO_ITEM CSL_CITATION {"citationID":"a2fjc61bebo","properties":{"unsorted":false,"formattedCitation":"(Lichter {\\i{}et al.}, 2025)","plainCitation":"(Lichter et al., 2025)","noteIndex":0},"citationItems":[{"id":181,"uris":["http://zotero.org/users/14977742/items/H43L3BEQ"],"itemData":{"id":181,"type":"article-journal","abstract":"We study how profit taxes affect establishments' R&amp;D activities. Relying on detailed panel data of R&amp;D-active firms in Germany over two decades, we exploit identifying variation induced by more than 10,000 municipal changes in the local business tax rate and federal tax reforms with locally varying effects. Using event-study techniques, we find a sizable, negative effect of profit taxes on establishments' total R&amp;D spending and patents filed. Zooming into the innovation production process, we uncover substantial heterogeneity in the impact of profit taxation for various R&amp;D input factors, among firm characteristics, and for different types of research projects.","citation-key":"lichterProfitTaxationRampD2025","container-title":"American Economic Journal: Economic Policy","DOI":"10.1257/pol.20220580","ISSN":"1945-7731","issue":"1","language":"en","page":"432-463","source":"www.aeaweb.org","title":"Profit Taxation, R&amp;amp;D Spending, and Innovation","volume":"17","author":[{"family":"Lichter","given":"Andreas"},{"family":"Löffler","given":"Max"},{"family":"Isphording","given":"Ingo E."},{"family":"Nguyen","given":"Thu-Van"},{"family":"Poege","given":"Felix"},{"family":"Siegloch","given":"Sebastian"}],"issued":{"date-parts":[["2025",2]]}}}],"schema":"https://github.com/citation-style-language/schema/raw/master/csl-citation.json"} </w:instrText>
            </w:r>
            <w:r w:rsidRPr="005F0A67">
              <w:rPr>
                <w:rFonts w:asciiTheme="majorBidi" w:eastAsia="Tahoma" w:hAnsiTheme="majorBidi" w:cstheme="majorBidi"/>
                <w:color w:val="1A1A1A"/>
                <w:sz w:val="18"/>
                <w:szCs w:val="18"/>
                <w:lang w:val="en-CA" w:eastAsia="en-GB"/>
              </w:rPr>
              <w:fldChar w:fldCharType="separate"/>
            </w:r>
            <w:r w:rsidRPr="005F0A67">
              <w:rPr>
                <w:rFonts w:asciiTheme="majorBidi" w:eastAsia="Georgia" w:hAnsiTheme="majorBidi" w:cstheme="majorBidi"/>
                <w:color w:val="000000"/>
                <w:sz w:val="18"/>
                <w:szCs w:val="24"/>
                <w:lang w:eastAsia="en-GB"/>
              </w:rPr>
              <w:t xml:space="preserve">(Lichter </w:t>
            </w:r>
            <w:r w:rsidRPr="005F0A67">
              <w:rPr>
                <w:rFonts w:asciiTheme="majorBidi" w:eastAsia="Georgia" w:hAnsiTheme="majorBidi" w:cstheme="majorBidi"/>
                <w:i/>
                <w:iCs/>
                <w:color w:val="000000"/>
                <w:sz w:val="18"/>
                <w:szCs w:val="24"/>
                <w:lang w:eastAsia="en-GB"/>
              </w:rPr>
              <w:t>et al.</w:t>
            </w:r>
            <w:r w:rsidRPr="005F0A67">
              <w:rPr>
                <w:rFonts w:asciiTheme="majorBidi" w:eastAsia="Georgia" w:hAnsiTheme="majorBidi" w:cstheme="majorBidi"/>
                <w:color w:val="000000"/>
                <w:sz w:val="18"/>
                <w:szCs w:val="24"/>
                <w:lang w:eastAsia="en-GB"/>
              </w:rPr>
              <w:t>, 2025)</w:t>
            </w:r>
            <w:r w:rsidRPr="005F0A67">
              <w:rPr>
                <w:rFonts w:asciiTheme="majorBidi" w:eastAsia="Tahoma" w:hAnsiTheme="majorBidi" w:cstheme="majorBidi"/>
                <w:color w:val="1A1A1A"/>
                <w:sz w:val="18"/>
                <w:szCs w:val="18"/>
                <w:lang w:val="en-CA" w:eastAsia="en-GB"/>
              </w:rPr>
              <w:fldChar w:fldCharType="end"/>
            </w:r>
            <w:r w:rsidRPr="005F0A67">
              <w:rPr>
                <w:rFonts w:asciiTheme="majorBidi" w:eastAsia="Tahoma" w:hAnsiTheme="majorBidi" w:cstheme="majorBidi"/>
                <w:color w:val="1A1A1A"/>
                <w:sz w:val="18"/>
                <w:szCs w:val="18"/>
                <w:lang w:val="en-CA" w:eastAsia="en-GB"/>
              </w:rPr>
              <w:t>. Manufacturing relocation implausible given fixed infrastructure costs. R&amp;D location effects plausible only at the margin of new investment decisions.</w:t>
            </w:r>
          </w:p>
        </w:tc>
        <w:tc>
          <w:tcPr>
            <w:tcW w:w="567"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715B2523"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Pharmaceuticals innovators</w:t>
            </w:r>
          </w:p>
        </w:tc>
        <w:tc>
          <w:tcPr>
            <w:tcW w:w="412"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50AC95D8"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Minor</w:t>
            </w:r>
          </w:p>
        </w:tc>
        <w:tc>
          <w:tcPr>
            <w:tcW w:w="420"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07FD54AA"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Low</w:t>
            </w:r>
          </w:p>
        </w:tc>
        <w:tc>
          <w:tcPr>
            <w:tcW w:w="1951"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tcPr>
          <w:p w14:paraId="1CA5C564"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1A1A1A"/>
                <w:sz w:val="18"/>
                <w:szCs w:val="18"/>
                <w:lang w:val="en-CA" w:eastAsia="en-GB"/>
              </w:rPr>
              <w:t xml:space="preserve">R&amp;D location decisions at margin of new investment for globally distributed discovery operations; primary response is spending reduction not relocation </w:t>
            </w:r>
            <w:r w:rsidRPr="005F0A67">
              <w:rPr>
                <w:rFonts w:asciiTheme="majorBidi" w:eastAsia="Tahoma" w:hAnsiTheme="majorBidi" w:cstheme="majorBidi"/>
                <w:color w:val="1A1A1A"/>
                <w:sz w:val="18"/>
                <w:szCs w:val="18"/>
                <w:lang w:val="en-CA" w:eastAsia="en-GB"/>
              </w:rPr>
              <w:fldChar w:fldCharType="begin"/>
            </w:r>
            <w:r w:rsidRPr="005F0A67">
              <w:rPr>
                <w:rFonts w:asciiTheme="majorBidi" w:eastAsia="Tahoma" w:hAnsiTheme="majorBidi" w:cstheme="majorBidi"/>
                <w:color w:val="1A1A1A"/>
                <w:sz w:val="18"/>
                <w:szCs w:val="18"/>
                <w:lang w:val="en-CA" w:eastAsia="en-GB"/>
              </w:rPr>
              <w:instrText xml:space="preserve"> ADDIN ZOTERO_ITEM CSL_CITATION {"citationID":"ww4k4q2m","properties":{"unsorted":false,"formattedCitation":"(Lichter {\\i{}et al.}, 2025)","plainCitation":"(Lichter et al., 2025)","noteIndex":0},"citationItems":[{"id":181,"uris":["http://zotero.org/users/14977742/items/H43L3BEQ"],"itemData":{"id":181,"type":"article-journal","abstract":"We study how profit taxes affect establishments' R&amp;D activities. Relying on detailed panel data of R&amp;D-active firms in Germany over two decades, we exploit identifying variation induced by more than 10,000 municipal changes in the local business tax rate and federal tax reforms with locally varying effects. Using event-study techniques, we find a sizable, negative effect of profit taxes on establishments' total R&amp;D spending and patents filed. Zooming into the innovation production process, we uncover substantial heterogeneity in the impact of profit taxation for various R&amp;D input factors, among firm characteristics, and for different types of research projects.","citation-key":"lichterProfitTaxationRampD2025","container-title":"American Economic Journal: Economic Policy","DOI":"10.1257/pol.20220580","ISSN":"1945-7731","issue":"1","language":"en","page":"432-463","source":"www.aeaweb.org","title":"Profit Taxation, R&amp;amp;D Spending, and Innovation","volume":"17","author":[{"family":"Lichter","given":"Andreas"},{"family":"Löffler","given":"Max"},{"family":"Isphording","given":"Ingo E."},{"family":"Nguyen","given":"Thu-Van"},{"family":"Poege","given":"Felix"},{"family":"Siegloch","given":"Sebastian"}],"issued":{"date-parts":[["2025",2]]}}}],"schema":"https://github.com/citation-style-language/schema/raw/master/csl-citation.json"} </w:instrText>
            </w:r>
            <w:r w:rsidRPr="005F0A67">
              <w:rPr>
                <w:rFonts w:asciiTheme="majorBidi" w:eastAsia="Tahoma" w:hAnsiTheme="majorBidi" w:cstheme="majorBidi"/>
                <w:color w:val="1A1A1A"/>
                <w:sz w:val="18"/>
                <w:szCs w:val="18"/>
                <w:lang w:val="en-CA" w:eastAsia="en-GB"/>
              </w:rPr>
              <w:fldChar w:fldCharType="separate"/>
            </w:r>
            <w:r w:rsidRPr="005F0A67">
              <w:rPr>
                <w:rFonts w:asciiTheme="majorBidi" w:eastAsia="Georgia" w:hAnsiTheme="majorBidi" w:cstheme="majorBidi"/>
                <w:color w:val="000000"/>
                <w:sz w:val="18"/>
                <w:szCs w:val="24"/>
                <w:lang w:eastAsia="en-GB"/>
              </w:rPr>
              <w:t xml:space="preserve">(Lichter </w:t>
            </w:r>
            <w:r w:rsidRPr="005F0A67">
              <w:rPr>
                <w:rFonts w:asciiTheme="majorBidi" w:eastAsia="Georgia" w:hAnsiTheme="majorBidi" w:cstheme="majorBidi"/>
                <w:i/>
                <w:iCs/>
                <w:color w:val="000000"/>
                <w:sz w:val="18"/>
                <w:szCs w:val="24"/>
                <w:lang w:eastAsia="en-GB"/>
              </w:rPr>
              <w:t>et al.</w:t>
            </w:r>
            <w:r w:rsidRPr="005F0A67">
              <w:rPr>
                <w:rFonts w:asciiTheme="majorBidi" w:eastAsia="Georgia" w:hAnsiTheme="majorBidi" w:cstheme="majorBidi"/>
                <w:color w:val="000000"/>
                <w:sz w:val="18"/>
                <w:szCs w:val="24"/>
                <w:lang w:eastAsia="en-GB"/>
              </w:rPr>
              <w:t>, 2025)</w:t>
            </w:r>
            <w:r w:rsidRPr="005F0A67">
              <w:rPr>
                <w:rFonts w:asciiTheme="majorBidi" w:eastAsia="Tahoma" w:hAnsiTheme="majorBidi" w:cstheme="majorBidi"/>
                <w:color w:val="1A1A1A"/>
                <w:sz w:val="18"/>
                <w:szCs w:val="18"/>
                <w:lang w:val="en-CA" w:eastAsia="en-GB"/>
              </w:rPr>
              <w:fldChar w:fldCharType="end"/>
            </w:r>
            <w:r w:rsidRPr="005F0A67">
              <w:rPr>
                <w:rFonts w:asciiTheme="majorBidi" w:eastAsia="Tahoma" w:hAnsiTheme="majorBidi" w:cstheme="majorBidi"/>
                <w:color w:val="1A1A1A"/>
                <w:sz w:val="18"/>
                <w:szCs w:val="18"/>
                <w:lang w:val="en-CA" w:eastAsia="en-GB"/>
              </w:rPr>
              <w:t>; manufacturing relocation implausible. Rate revision.</w:t>
            </w:r>
          </w:p>
        </w:tc>
        <w:tc>
          <w:tcPr>
            <w:tcW w:w="464" w:type="pct"/>
            <w:tcBorders>
              <w:top w:val="single" w:sz="1" w:space="0" w:color="AAAAAA"/>
              <w:left w:val="single" w:sz="1" w:space="0" w:color="AAAAAA"/>
              <w:bottom w:val="single" w:sz="1" w:space="0" w:color="AAAAAA"/>
              <w:right w:val="single" w:sz="1" w:space="0" w:color="AAAAAA"/>
            </w:tcBorders>
            <w:shd w:val="clear" w:color="auto" w:fill="D9F3D0"/>
            <w:tcMar>
              <w:top w:w="60" w:type="dxa"/>
              <w:left w:w="100" w:type="dxa"/>
              <w:bottom w:w="60" w:type="dxa"/>
              <w:right w:w="100" w:type="dxa"/>
            </w:tcMar>
            <w:vAlign w:val="center"/>
          </w:tcPr>
          <w:p w14:paraId="1E9259AF"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000000"/>
                <w:sz w:val="18"/>
                <w:szCs w:val="18"/>
                <w:lang w:val="en-CA" w:eastAsia="en-GB"/>
              </w:rPr>
            </w:pPr>
            <w:r w:rsidRPr="005F0A67">
              <w:rPr>
                <w:rFonts w:asciiTheme="majorBidi" w:eastAsia="Tahoma" w:hAnsiTheme="majorBidi" w:cstheme="majorBidi"/>
                <w:b/>
                <w:bCs/>
                <w:color w:val="000000"/>
                <w:sz w:val="18"/>
                <w:szCs w:val="18"/>
                <w:lang w:val="en-CA" w:eastAsia="en-GB"/>
              </w:rPr>
              <w:t>Low</w:t>
            </w:r>
          </w:p>
        </w:tc>
      </w:tr>
      <w:tr w:rsidR="005F0A67" w:rsidRPr="005F0A67" w14:paraId="69319DD6" w14:textId="77777777" w:rsidTr="005F0A67">
        <w:tc>
          <w:tcPr>
            <w:tcW w:w="1186" w:type="pct"/>
            <w:vMerge/>
            <w:tcMar>
              <w:top w:w="60" w:type="dxa"/>
              <w:left w:w="100" w:type="dxa"/>
              <w:bottom w:w="60" w:type="dxa"/>
              <w:right w:w="100" w:type="dxa"/>
            </w:tcMar>
            <w:vAlign w:val="center"/>
          </w:tcPr>
          <w:p w14:paraId="3384D851"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p>
        </w:tc>
        <w:tc>
          <w:tcPr>
            <w:tcW w:w="567"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0A6B7305"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Generics producers</w:t>
            </w:r>
          </w:p>
        </w:tc>
        <w:tc>
          <w:tcPr>
            <w:tcW w:w="412"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57284741"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Minor</w:t>
            </w:r>
          </w:p>
        </w:tc>
        <w:tc>
          <w:tcPr>
            <w:tcW w:w="420"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3F426A8C"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Low</w:t>
            </w:r>
          </w:p>
        </w:tc>
        <w:tc>
          <w:tcPr>
            <w:tcW w:w="1951"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tcPr>
          <w:p w14:paraId="71FE3FD8"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1A1A1A"/>
                <w:sz w:val="18"/>
                <w:szCs w:val="18"/>
                <w:lang w:val="en-CA" w:eastAsia="en-GB"/>
              </w:rPr>
              <w:t>Manufacturing relocation implausible given fixed infrastructure costs; limited R&amp;D base to relocate. Rate revision.</w:t>
            </w:r>
          </w:p>
        </w:tc>
        <w:tc>
          <w:tcPr>
            <w:tcW w:w="464" w:type="pct"/>
            <w:tcBorders>
              <w:top w:val="single" w:sz="1" w:space="0" w:color="AAAAAA"/>
              <w:left w:val="single" w:sz="1" w:space="0" w:color="AAAAAA"/>
              <w:bottom w:val="single" w:sz="1" w:space="0" w:color="AAAAAA"/>
              <w:right w:val="single" w:sz="1" w:space="0" w:color="AAAAAA"/>
            </w:tcBorders>
            <w:shd w:val="clear" w:color="auto" w:fill="D9F3D0"/>
            <w:tcMar>
              <w:top w:w="60" w:type="dxa"/>
              <w:left w:w="100" w:type="dxa"/>
              <w:bottom w:w="60" w:type="dxa"/>
              <w:right w:w="100" w:type="dxa"/>
            </w:tcMar>
            <w:vAlign w:val="center"/>
          </w:tcPr>
          <w:p w14:paraId="41E42A25"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000000"/>
                <w:sz w:val="18"/>
                <w:szCs w:val="18"/>
                <w:lang w:val="en-CA" w:eastAsia="en-GB"/>
              </w:rPr>
            </w:pPr>
            <w:r w:rsidRPr="005F0A67">
              <w:rPr>
                <w:rFonts w:asciiTheme="majorBidi" w:eastAsia="Tahoma" w:hAnsiTheme="majorBidi" w:cstheme="majorBidi"/>
                <w:b/>
                <w:bCs/>
                <w:color w:val="000000"/>
                <w:sz w:val="18"/>
                <w:szCs w:val="18"/>
                <w:lang w:val="en-CA" w:eastAsia="en-GB"/>
              </w:rPr>
              <w:t>Low</w:t>
            </w:r>
          </w:p>
        </w:tc>
      </w:tr>
      <w:tr w:rsidR="005F0A67" w:rsidRPr="005F0A67" w14:paraId="07EB0201" w14:textId="77777777" w:rsidTr="005F0A67">
        <w:tc>
          <w:tcPr>
            <w:tcW w:w="1186" w:type="pct"/>
            <w:vMerge/>
            <w:tcMar>
              <w:top w:w="60" w:type="dxa"/>
              <w:left w:w="100" w:type="dxa"/>
              <w:bottom w:w="60" w:type="dxa"/>
              <w:right w:w="100" w:type="dxa"/>
            </w:tcMar>
            <w:vAlign w:val="center"/>
          </w:tcPr>
          <w:p w14:paraId="2F811720"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p>
        </w:tc>
        <w:tc>
          <w:tcPr>
            <w:tcW w:w="567"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0660EE2F"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Biosimilars producers</w:t>
            </w:r>
          </w:p>
        </w:tc>
        <w:tc>
          <w:tcPr>
            <w:tcW w:w="412"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4F9E4675"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Minor</w:t>
            </w:r>
          </w:p>
        </w:tc>
        <w:tc>
          <w:tcPr>
            <w:tcW w:w="420"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0601D7FD"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000000"/>
                <w:sz w:val="18"/>
                <w:szCs w:val="18"/>
                <w:lang w:val="en-CA" w:eastAsia="en-GB"/>
              </w:rPr>
              <w:t>Low</w:t>
            </w:r>
          </w:p>
        </w:tc>
        <w:tc>
          <w:tcPr>
            <w:tcW w:w="1951"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tcPr>
          <w:p w14:paraId="0FC7C474"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color w:val="000000"/>
                <w:sz w:val="18"/>
                <w:szCs w:val="18"/>
                <w:lang w:val="en-CA" w:eastAsia="en-GB"/>
              </w:rPr>
            </w:pPr>
            <w:r w:rsidRPr="005F0A67">
              <w:rPr>
                <w:rFonts w:asciiTheme="majorBidi" w:eastAsia="Tahoma" w:hAnsiTheme="majorBidi" w:cstheme="majorBidi"/>
                <w:color w:val="1A1A1A"/>
                <w:sz w:val="18"/>
                <w:szCs w:val="18"/>
                <w:lang w:val="en-CA" w:eastAsia="en-GB"/>
              </w:rPr>
              <w:t>Manufacturing relocation implausible; some R&amp;D location sensitivity for smaller developers with globally distributed operations. Rate revision.</w:t>
            </w:r>
          </w:p>
        </w:tc>
        <w:tc>
          <w:tcPr>
            <w:tcW w:w="464" w:type="pct"/>
            <w:tcBorders>
              <w:top w:val="single" w:sz="1" w:space="0" w:color="AAAAAA"/>
              <w:left w:val="single" w:sz="1" w:space="0" w:color="AAAAAA"/>
              <w:bottom w:val="single" w:sz="1" w:space="0" w:color="AAAAAA"/>
              <w:right w:val="single" w:sz="1" w:space="0" w:color="AAAAAA"/>
            </w:tcBorders>
            <w:shd w:val="clear" w:color="auto" w:fill="D9F3D0"/>
            <w:tcMar>
              <w:top w:w="60" w:type="dxa"/>
              <w:left w:w="100" w:type="dxa"/>
              <w:bottom w:w="60" w:type="dxa"/>
              <w:right w:w="100" w:type="dxa"/>
            </w:tcMar>
            <w:vAlign w:val="center"/>
          </w:tcPr>
          <w:p w14:paraId="7DC84AD0"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000000"/>
                <w:sz w:val="18"/>
                <w:szCs w:val="18"/>
                <w:lang w:val="en-CA" w:eastAsia="en-GB"/>
              </w:rPr>
            </w:pPr>
            <w:r w:rsidRPr="005F0A67">
              <w:rPr>
                <w:rFonts w:asciiTheme="majorBidi" w:eastAsia="Tahoma" w:hAnsiTheme="majorBidi" w:cstheme="majorBidi"/>
                <w:b/>
                <w:bCs/>
                <w:color w:val="000000"/>
                <w:sz w:val="18"/>
                <w:szCs w:val="18"/>
                <w:lang w:val="en-CA" w:eastAsia="en-GB"/>
              </w:rPr>
              <w:t>Low</w:t>
            </w:r>
          </w:p>
        </w:tc>
      </w:tr>
    </w:tbl>
    <w:p w14:paraId="5DB89E54"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sectPr w:rsidR="005F0A67" w:rsidRPr="005F0A67" w:rsidSect="005F0A67">
          <w:pgSz w:w="15840" w:h="12240" w:orient="landscape"/>
          <w:pgMar w:top="1260" w:right="1080" w:bottom="1260" w:left="1080" w:header="706" w:footer="706" w:gutter="0"/>
          <w:cols w:space="720"/>
          <w:docGrid w:linePitch="360"/>
        </w:sectPr>
      </w:pPr>
    </w:p>
    <w:p w14:paraId="0E9EDEAD" w14:textId="77777777" w:rsidR="005F0A67" w:rsidRPr="005F0A67" w:rsidRDefault="005F0A67" w:rsidP="005F0A67">
      <w:pPr>
        <w:numPr>
          <w:ilvl w:val="1"/>
          <w:numId w:val="12"/>
        </w:numPr>
        <w:tabs>
          <w:tab w:val="clear" w:pos="567"/>
          <w:tab w:val="clear" w:pos="1134"/>
          <w:tab w:val="clear" w:pos="1701"/>
          <w:tab w:val="clear" w:pos="2268"/>
        </w:tabs>
        <w:spacing w:before="320" w:after="160"/>
        <w:ind w:left="576" w:hanging="576"/>
        <w:jc w:val="left"/>
        <w:outlineLvl w:val="1"/>
        <w:rPr>
          <w:rFonts w:asciiTheme="majorBidi" w:eastAsia="Arial" w:hAnsiTheme="majorBidi" w:cstheme="majorBidi"/>
          <w:b/>
          <w:bCs/>
          <w:color w:val="1A1A1A"/>
          <w:sz w:val="23"/>
          <w:szCs w:val="23"/>
          <w:lang w:val="en-CA" w:eastAsia="en-GB"/>
        </w:rPr>
      </w:pPr>
      <w:bookmarkStart w:id="193" w:name="_Toc234579603"/>
      <w:bookmarkEnd w:id="185"/>
      <w:r w:rsidRPr="005F0A67">
        <w:rPr>
          <w:rFonts w:asciiTheme="majorBidi" w:eastAsia="Arial" w:hAnsiTheme="majorBidi" w:cstheme="majorBidi"/>
          <w:b/>
          <w:bCs/>
          <w:color w:val="1A1A1A"/>
          <w:sz w:val="23"/>
          <w:szCs w:val="23"/>
          <w:lang w:val="en-CA" w:eastAsia="en-GB"/>
        </w:rPr>
        <w:lastRenderedPageBreak/>
        <w:t>Biotechnology</w:t>
      </w:r>
      <w:bookmarkEnd w:id="193"/>
    </w:p>
    <w:p w14:paraId="7FD1445F" w14:textId="77777777" w:rsidR="005F0A67" w:rsidRPr="005F0A67" w:rsidRDefault="005F0A67" w:rsidP="00B009ED">
      <w:pPr>
        <w:tabs>
          <w:tab w:val="clear" w:pos="567"/>
          <w:tab w:val="clear" w:pos="1134"/>
          <w:tab w:val="clear" w:pos="1701"/>
          <w:tab w:val="clear" w:pos="2268"/>
        </w:tabs>
        <w:spacing w:before="320" w:after="160"/>
        <w:ind w:left="720"/>
        <w:jc w:val="left"/>
        <w:outlineLvl w:val="2"/>
        <w:rPr>
          <w:rFonts w:asciiTheme="majorBidi" w:eastAsia="Arial" w:hAnsiTheme="majorBidi" w:cstheme="majorBidi"/>
          <w:b/>
          <w:bCs/>
          <w:color w:val="7F7F7F"/>
          <w:sz w:val="23"/>
          <w:szCs w:val="23"/>
          <w:lang w:val="en-CA" w:eastAsia="en-GB"/>
        </w:rPr>
      </w:pPr>
      <w:bookmarkStart w:id="194" w:name="_Ref231768935"/>
      <w:bookmarkStart w:id="195" w:name="_Toc234579604"/>
      <w:r w:rsidRPr="005F0A67">
        <w:rPr>
          <w:rFonts w:asciiTheme="majorBidi" w:eastAsia="Arial" w:hAnsiTheme="majorBidi" w:cstheme="majorBidi"/>
          <w:b/>
          <w:bCs/>
          <w:color w:val="7F7F7F"/>
          <w:sz w:val="23"/>
          <w:szCs w:val="23"/>
          <w:lang w:val="en-CA" w:eastAsia="en-GB"/>
        </w:rPr>
        <w:t>Characterisation of affected firms (steps 1 &amp; 2)</w:t>
      </w:r>
      <w:bookmarkEnd w:id="194"/>
      <w:bookmarkEnd w:id="195"/>
    </w:p>
    <w:p w14:paraId="1A38F330"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The biotechnology sector contains 3,709 eligible firms and accounts for 19.2% of the central estimate contributions (USD 179 million), the second largest sector share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_Ref230090932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Table 12</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and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_Ref230109751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Figure 5</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With a median margin of 7%, most eligible firms pay on profit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_Ref230048127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Figure 4</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The sector has greater variation in financial performance than pharmaceuticals with many loss-making or near-zero-margin firms alongside established producers with higher margins. Although firm-level data do not directly indicate development stage, the financial profiles of loss-making firms align with early-stage or pre-commercial ventures, which typically rely on external equity rather than internal cash flow - a pattern widely documented in the biotechnology literature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{"citationID":"6DmZlzXf","properties":{"unsorted":false,"formattedCitation":"(Golec and Vernon, 2006; DiMasi and Grabowski, 2007; Bruneo {\\i{}et al.}, 2023)","plainCitation":"(Golec and Vernon, 2006; DiMasi and Grabowski, 2007; Bruneo et al., 2023)","noteIndex":0},"citationItems":[{"id":172,"uris":["http://zotero.org/users/14977742/items/BH5W5G3Y"],"itemData":{"id":172,"type":"article","abstract":"EU countries closely regulate pharmaceutical prices whereas the U.S. does not. This paper shows how price constraints affect the profitability, stock returns, and R&amp;D spending of EU and U.S. firms. Compared to EU firms, U.S. firms are more profitable, earn higher stock returns, and spend more on research and development (R&amp;D). Some differences have increased over time. In 1986, EU pharmaceutical R&amp;D exceeded U.S. R&amp;D by about 24 percent, but by 2004, EU R&amp;D trailed U.S. R&amp;D by about 15 percent. During these 19 years, U.S. R&amp;D spending grew at a real annual compound rate of 8.8 percent, while EU R&amp;D spending grew at a real 5.4 percent rate. Results show that EU consumers enjoyed much lower pharmaceutical price inflation, however, at a cost of 46 fewer new medicines introduced by EU firms and 1680 fewer EU research jobs.","citation-key":"golecEuropeanPharmaceuticalPrice2006","DOI":"10.2139/ssrn.932989","genre":"SSRN Scholarly Paper","language":"en","number":"932989","publisher":"Social Science Research Network","publisher-place":"Rochester, NY","source":"papers.ssrn.com","title":"European Pharmaceutical Price Regulation, Firm Profitability, and R&amp;D Spending","URL":"https://papers.ssrn.com/abstract=932989","author":[{"family":"Golec","given":"Joseph H."},{"family":"Vernon","given":"John A."}],"accessed":{"date-parts":[["2026",6,1]]},"issued":{"date-parts":[["2006",8,1]]}}},{"id":136,"uris":["http://zotero.org/users/14977742/items/R8T9SJMT"],"itemData":{"id":136,"type":"article-journal","abstract":"The costs of developing the types of new drugs that have been pursued by traditional pharmaceutical firms have been estimated in a number of studies. However, similar analyses have not been published on the costs of developing the types of molecules on which biotech firms have focused. This study represents a first attempt to get a sense for the magnitude of the R&amp;D costs associated with the discovery and development of new therapeutic biopharmaceuticals (specifically, recombinant proteins and monoclonal antibodies [mAbs]). We utilize drug-specific data on cash outlays, development times, and success in obtaining regulatory marketing approval to estimate the average pre-tax R&amp;D resource cost for biopharmaceuticals up to the point of initial US marketing approval (in year 2005 dollars). We found average out-of-pocket (cash outlay) cost estimates per approved biopharmaceutical of \\198 million, \\361 million, and \\559 million for the preclinical period, the clinical period, and in total, respectively. Including the time costs associated with biopharmaceutical R&amp;D, we found average capitalized cost estimates per approved biopharmaceutical of \\615 million, \\626 million, and \\1241 million for the preclinical period, the clinical period, and in total, respectively. Adjusting previously published estimates of R&amp;D costs for traditional pharmaceutical firms by using past growth rates for pharmaceutical company costs to correspond to the more recent period to which our biopharmaceutical data apply, we found that total out-of-pocket cost per approved biopharmaceutical was somewhat lower than for the pharmaceutical company data (\\559 million vs \\672 million). However, estimated total capitalized cost per approved new molecule was nearly the same for biopharmaceuticals as for the adjusted pharmaceutical company data (\\1241 million versus \\1318 million). The results should be viewed with some caution for now given a limited number of biopharmaceutical molecules with data on cash outlays, different therapeutic class distributions for biopharmaceuticals and for pharmaceutical company drugs, and uncertainty about whether recent growth rates in pharmaceutical company costs are different from immediate past growth rates. Copyright © 2007 John Wiley &amp; Sons, Ltd.","citation-key":"dimasiCostBiopharmaceuticalRD2007","container-title":"Managerial and Decision Economics","DOI":"10.1002/mde.1360","ISSN":"1099-1468","issue":"4-5","language":"en","license":"Copyright © 2007 John Wiley &amp; Sons, Ltd.","note":"_eprint: https://onlinelibrary.wiley.com/doi/pdf/10.1002/mde.1360","page":"469-479","source":"Wiley Online Library","title":"The cost of biopharmaceutical R&amp;D: is biotech different?","title-short":"The cost of biopharmaceutical R&amp;D","volume":"28","author":[{"family":"DiMasi","given":"Joseph A."},{"family":"Grabowski","given":"Henry G."}],"issued":{"date-parts":[["2007"]]}}},{"id":133,"uris":["http://zotero.org/users/14977742/items/M73ELLXK"],"itemData":{"id":133,"type":"article-journal","abstract":"Biotech companies stand as key actors in pharmaceutical innovation. The high risk and long timelines inherent with their R&amp;amp;D investments might hinder their access to funding, potentially stifling innovation. This study aims to explore into the appeal of biotech companies to capital market investors, whose financial backing could bolster the growth of the biotechnology sector.This paper uses a dataset of 774 US publicly listed biotech firms to investigate their risk and return characteristics by comparing them to pharmaceutical firms and a sample of matched non-biotech R&amp;amp;D-intensive firms over the sample period 1980–2021. Tests show that the conclusions remain consistent across diverse methodological approaches.The paper shows that biotech companies are riskier than the average firm in the market index but outperform on a risk-adjusted basis both the market and a matched group of R&amp;amp;D-intensive firms. This is particularly true for large capitalization biotech, which is also shown to provide a diversification benefit by reducing the downside risk in past crisis periods.This paper provides insight relevant to the current debate about the overall performance of the biotech industry in terms of policy changes and their impact on small, early-stage biotech firms. While small and early-stage biotech firms are playing an increasing role in scientific innovation, this study confirms their greater vulnerability to financial risks and the importance of access to capital markets in enabling those companies to survive and evolve into larger biotech.","citation-key":"bruneoRiskReturnBiotech2023a","container-title":"International Journal of Productivity and Performance Management","DOI":"10.1108/IJPPM-04-2023-0179","ISSN":"1741-0401","issue":"6","journalAbbreviation":"International Journal of Productivity and Performance Management","page":"1926-1947","source":"Silverchair","title":"Risk and return in the biotech industry","volume":"73","author":[{"family":"Bruneo","given":"Hassan"},{"family":"Giacomini","given":"Emanuela"},{"family":"Iannotta","given":"Giuliano"},{"family":"Murthy","given":"Anant"},{"family":"Patris","given":"Julien"}],"issued":{"date-parts":[["2023",10,24]]}}}],"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Georgia" w:hAnsiTheme="majorBidi" w:cstheme="majorBidi"/>
          <w:lang w:val="en-CA" w:eastAsia="en-GB"/>
        </w:rPr>
        <w:t xml:space="preserve">(Golec and Vernon, 2006; DiMasi and Grabowski, 2007; Bruneo </w:t>
      </w:r>
      <w:r w:rsidRPr="005F0A67">
        <w:rPr>
          <w:rFonts w:asciiTheme="majorBidi" w:eastAsia="Georgia" w:hAnsiTheme="majorBidi" w:cstheme="majorBidi"/>
          <w:i/>
          <w:iCs/>
          <w:lang w:val="en-CA" w:eastAsia="en-GB"/>
        </w:rPr>
        <w:t>et al.</w:t>
      </w:r>
      <w:r w:rsidRPr="005F0A67">
        <w:rPr>
          <w:rFonts w:asciiTheme="majorBidi" w:eastAsia="Georgia" w:hAnsiTheme="majorBidi" w:cstheme="majorBidi"/>
          <w:lang w:val="en-CA" w:eastAsia="en-GB"/>
        </w:rPr>
        <w:t>, 2023)</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w:t>
      </w:r>
    </w:p>
    <w:p w14:paraId="15D649E3"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sz w:val="27"/>
          <w:szCs w:val="27"/>
          <w:lang w:val="en-CA" w:eastAsia="en-GB"/>
        </w:rPr>
      </w:pPr>
      <w:r w:rsidRPr="005F0A67">
        <w:rPr>
          <w:rFonts w:asciiTheme="majorBidi" w:eastAsia="Times New Roman" w:hAnsiTheme="majorBidi" w:cstheme="majorBidi"/>
          <w:lang w:val="en-CA" w:eastAsia="en-GB"/>
        </w:rPr>
        <w:t xml:space="preserve">The sectoral scope, as defined here, includes firms whose main business is applying biological systems, living organisms, or their derivatives to develop products, processes, or services. However, biotechnology is best viewed as a set of interconnected product and value-chain positions rather than a single market. Its sub-sectors differ significantly in product type, development costs, commercialisation timelines, regulatory requirements, and vertical specialisation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{"citationID":"b4xg7yjO","properties":{"unsorted":false,"formattedCitation":"(Craig Shimasaki, 2014; Wydra, 2019a)","plainCitation":"(Craig Shimasaki, 2014; Wydra, 2019a)","noteIndex":0},"citationItems":[{"id":129,"uris":["http://zotero.org/users/14977742/items/JK7MWXZC"],"itemData":{"id":129,"type":"chapter","abstract":"The biotechnology industry includes a diverse array of products created within distinct sectors throughout this broad industry. From these sectors ari…","citation-key":"UnderstandingBiotechnologyProduct2014c","container-title":"Biotechnology Entrepreneurship","DOI":"10.1016/B978-0-12-404730-3.00009-9","language":"en-US","note":"DOI: 10.1016/B978-0-12-404730-3.00009-9","page":"113-138","publisher":"Academic Press","source":"www.sciencedirect.com","title":"Chapter 9: Understanding Biotechnology Product Sectors","URL":"https://www.sciencedirect.com/science/chapter/edited-volume/pii/B9780124047303000099","author":[{"literal":"Craig Shimasaki"}],"accessed":{"date-parts":[["2026",6,2]]},"issued":{"date-parts":[["2014",1,1]]}}},{"id":128,"uris":["http://zotero.org/users/14977742/items/LI92YJ27"],"itemData":{"id":128,"type":"article-journal","abstract":"Industrial Biotechnology (IB) is considered as a key technology with a strong potential to generate new growth, spur innovation, increase productivity, and tackle environmental and climate challenges. Industrial Biotechnology is applied in many segments of the bioeconomy ranging from chemicals, biofuels, bioenergy, bio-based plastics, and other biomaterials. However, the segments differ profoundly regarding volume, price, type, and amount of needed feedstock, market condition, societal contributions as well as maturity, etc. This article aims to analyse a set of five different value chains in the technological innovation system (TIS) framework in order to derive adequate policy conclusions. Hereby, we focus on quite distinctive value chains to take into account the high heterogeneity of biotechnological applications. The analysis points out that policy maker have to take into account the fundamental differences in the innovation systems and to implement differentiated innovation policy to address system weaknesses. In particular, market formation is often the key bottleneck innovation systems, but different policy instruments for various application segments needed.","citation-key":"wydraValueChainsIndustrial2019a","container-title":"Sustainability","DOI":"10.3390/su11082435","ISSN":"2071-1050","issue":"8","language":"en","license":"http://creativecommons.org/licenses/by/3.0/","page":"2435","publisher":"Multidisciplinary Digital Publishing Institute","source":"www.mdpi.com","title":"Value Chains for Industrial Biotechnology in the Bioeconomy-Innovation System Analysis","volume":"11","author":[{"family":"Wydra","given":"Sven"}],"issued":{"date-parts":[["2019",1]]}}}],"schema":"https://github.com/citation-style-language/schema/raw/master/csl-citation.json"}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noProof/>
          <w:lang w:val="en-CA" w:eastAsia="en-GB"/>
        </w:rPr>
        <w:t>(Craig Shimasaki, 2014; Wydra, 2019a)</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sz w:val="24"/>
          <w:szCs w:val="24"/>
          <w:lang w:val="en-CA" w:eastAsia="en-GB"/>
        </w:rPr>
        <w:t xml:space="preserve">. </w:t>
      </w:r>
      <w:r w:rsidRPr="005F0A67">
        <w:rPr>
          <w:rFonts w:asciiTheme="majorBidi" w:eastAsia="Times New Roman" w:hAnsiTheme="majorBidi" w:cstheme="majorBidi"/>
          <w:lang w:val="en-CA" w:eastAsia="en-GB"/>
        </w:rPr>
        <w:t>The sector as defined here includes four firm types: biopharmaceutical innovators, molecular diagnostics and clinical laboratory services, industrial biotechnology and biomanufacturing, and R&amp;D service and platform organisations</w:t>
      </w:r>
      <w:r w:rsidRPr="005F0A67">
        <w:rPr>
          <w:rFonts w:asciiTheme="majorBidi" w:eastAsia="Times New Roman" w:hAnsiTheme="majorBidi" w:cstheme="majorBidi"/>
          <w:vertAlign w:val="superscript"/>
          <w:lang w:val="en-CA" w:eastAsia="en-GB"/>
        </w:rPr>
        <w:footnoteReference w:id="84"/>
      </w:r>
      <w:r w:rsidRPr="005F0A67">
        <w:rPr>
          <w:rFonts w:asciiTheme="majorBidi" w:eastAsia="Times New Roman" w:hAnsiTheme="majorBidi" w:cstheme="majorBidi"/>
          <w:lang w:val="en-CA" w:eastAsia="en-GB"/>
        </w:rPr>
        <w:t xml:space="preserve">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{"citationID":"VqPoxAK2","properties":{"unsorted":false,"formattedCitation":"(Craig Shimasaki, 2014; Wydra, 2019b)","plainCitation":"(Craig Shimasaki, 2014; Wydra, 2019b)","noteIndex":0},"citationItems":[{"id":129,"uris":["http://zotero.org/users/14977742/items/JK7MWXZC"],"itemData":{"id":129,"type":"chapter","abstract":"The biotechnology industry includes a diverse array of products created within distinct sectors throughout this broad industry. From these sectors ari…","citation-key":"UnderstandingBiotechnologyProduct2014c","container-title":"Biotechnology Entrepreneurship","DOI":"10.1016/B978-0-12-404730-3.00009-9","language":"en-US","note":"DOI: 10.1016/B978-0-12-404730-3.00009-9","page":"113-138","publisher":"Academic Press","source":"www.sciencedirect.com","title":"Chapter 9: Understanding Biotechnology Product Sectors","URL":"https://www.sciencedirect.com/science/chapter/edited-volume/pii/B9780124047303000099","author":[{"literal":"Craig Shimasaki"}],"accessed":{"date-parts":[["2026",6,2]]},"issued":{"date-parts":[["2014",1,1]]}}},{"id":132,"uris":["http://zotero.org/users/14977742/items/36JMAGLN"],"itemData":{"id":132,"type":"article-journal","abstract":"Industrial Biotechnology (IB) is considered as a key technology with a strong potential to generate new growth, spur innovation, increase productivity, and tackle environmental and climate challenges. Industrial Biotechnology is applied in many segments of the bioeconomy ranging from chemicals, biofuels, bioenergy, bio-based plastics, and other biomaterials. However, the segments differ profoundly regarding volume, price, type, and amount of needed feedstock, market condition, societal contributions as well as maturity, etc. This article aims to analyse a set of five different value chains in the technological innovation system (TIS) framework in order to derive adequate policy conclusions. Hereby, we focus on quite distinctive value chains to take into account the high heterogeneity of biotechnological applications. The analysis points out that policy maker have to take into account the fundamental differences in the innovation systems and to implement differentiated innovation policy to address system weaknesses. In particular, market formation is often the key bottleneck innovation systems, but different policy instruments for various application segments needed.","citation-key":"wydraValueChainsIndustrial2019","container-title":"Sustainability","DOI":"10.3390/su11082435","ISSN":"2071-1050","issue":"8","language":"en","license":"http://creativecommons.org/licenses/by/3.0/","page":"2435","publisher":"Multidisciplinary Digital Publishing Institute","source":"www.mdpi.com","title":"Value Chains for Industrial Biotechnology in the Bioeconomy-Innovation System Analysis","volume":"11","author":[{"family":"Wydra","given":"Sven"}],"issued":{"date-parts":[["2019",1]]}}}],"schema":"https://github.com/citation-style-language/schema/raw/master/csl-citation.json"}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noProof/>
          <w:lang w:val="en-CA" w:eastAsia="en-GB"/>
        </w:rPr>
        <w:t>(Craig Shimasaki, 2014; Wydra, 2019b)</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Firms operating at the biotechnology interface whose primary activity is the development of computational tools, AI platforms, or data infrastructure for biological applications, including bioinformatics software providers and AI-driven sequence analysis platforms, are captured under the information and AI sector. Agricultural biotechnology is covered separately under animal and plant breeding. </w:t>
      </w:r>
    </w:p>
    <w:p w14:paraId="58DD4DF3" w14:textId="77777777" w:rsidR="005F0A67" w:rsidRPr="005F0A67" w:rsidRDefault="005F0A67" w:rsidP="00B009ED">
      <w:pPr>
        <w:tabs>
          <w:tab w:val="clear" w:pos="567"/>
          <w:tab w:val="clear" w:pos="1134"/>
          <w:tab w:val="clear" w:pos="1701"/>
          <w:tab w:val="clear" w:pos="2268"/>
        </w:tabs>
        <w:spacing w:after="120"/>
        <w:jc w:val="left"/>
        <w:outlineLvl w:val="3"/>
        <w:rPr>
          <w:rFonts w:asciiTheme="majorBidi" w:eastAsia="Georgia" w:hAnsiTheme="majorBidi" w:cstheme="majorBidi"/>
          <w:b/>
          <w:bCs/>
          <w:color w:val="0F4761"/>
          <w:lang w:eastAsia="en-GB"/>
        </w:rPr>
      </w:pPr>
      <w:r w:rsidRPr="005F0A67">
        <w:rPr>
          <w:rFonts w:asciiTheme="majorBidi" w:eastAsia="Georgia" w:hAnsiTheme="majorBidi" w:cstheme="majorBidi"/>
          <w:b/>
          <w:bCs/>
          <w:color w:val="0F4761"/>
          <w:lang w:eastAsia="en-GB"/>
        </w:rPr>
        <w:t>Sector and structural features</w:t>
      </w:r>
    </w:p>
    <w:p w14:paraId="3D043DDE"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b/>
          <w:bCs/>
          <w:lang w:val="en-CA" w:eastAsia="en-GB"/>
        </w:rPr>
        <w:t>Biopharmaceutical innovators</w:t>
      </w:r>
      <w:r w:rsidRPr="005F0A67">
        <w:rPr>
          <w:rFonts w:asciiTheme="majorBidi" w:eastAsia="Times New Roman" w:hAnsiTheme="majorBidi" w:cstheme="majorBidi"/>
          <w:lang w:val="en-CA" w:eastAsia="en-GB"/>
        </w:rPr>
        <w:t xml:space="preserve">, or originator biologics, operate in the most research-intensive segment of biotechnology, with high development costs comparable to those of pharmaceutical innovators, long development cycles, high project failure risk, and strong reliance on outsourcing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{"citationID":"p7VDQStG","properties":{"unsorted":false,"formattedCitation":"(Cockburn, 2004; DiMasi and Grabowski, 2007; Enzing and Valk, 2010; Balconi and Lorenzi, 2017a)","plainCitation":"(Cockburn, 2004; DiMasi and Grabowski, 2007; Enzing and Valk, 2010; Balconi and Lorenzi, 2017a)","noteIndex":0},"citationItems":[{"id":124,"uris":["http://zotero.org/users/14977742/items/4HSWGMAR"],"itemData":{"id":124,"type":"article-journal","abstract":"Rising research and development (R&amp;D) expenditures by pharmaceutical companies are, in part, a consequence of changing industry structure, particularly the rise of the biotechnology sector. The creation of a market for biomedical science and increased vertical competition within the industry are likely to spur innovation and raise productivity, but they also could induce socially wasteful spending and weaken academic science. With innovation increasingly dependent on financially vulnerable firms and complex contractual arrangements, R&amp;D investment might be becoming more sensitive to price controls or other cost containment measures.","citation-key":"cockburnChangingStructurePharmaceutical2004","container-title":"Health Affairs","DOI":"10.1377/hlthaff.23.1.10","ISSN":"0278-2715","issue":"1","page":"10-22","publisher":"Health Affairs Publishing","source":"healthaffairs.org (Atypon)","title":"The Changing Structure Of The Pharmaceutical Industry","volume":"23","author":[{"family":"Cockburn","given":"Iain M."}],"issued":{"date-parts":[["2004",1]]}}},{"id":136,"uris":["http://zotero.org/users/14977742/items/R8T9SJMT"],"itemData":{"id":136,"type":"article-journal","abstract":"The costs of developing the types of new drugs that have been pursued by traditional pharmaceutical firms have been estimated in a number of studies. However, similar analyses have not been published on the costs of developing the types of molecules on which biotech firms have focused. This study represents a first attempt to get a sense for the magnitude of the R&amp;D costs associated with the discovery and development of new therapeutic biopharmaceuticals (specifically, recombinant proteins and monoclonal antibodies [mAbs]). We utilize drug-specific data on cash outlays, development times, and success in obtaining regulatory marketing approval to estimate the average pre-tax R&amp;D resource cost for biopharmaceuticals up to the point of initial US marketing approval (in year 2005 dollars). We found average out-of-pocket (cash outlay) cost estimates per approved biopharmaceutical of \\198 million, \\361 million, and \\559 million for the preclinical period, the clinical period, and in total, respectively. Including the time costs associated with biopharmaceutical R&amp;D, we found average capitalized cost estimates per approved biopharmaceutical of \\615 million, \\626 million, and \\1241 million for the preclinical period, the clinical period, and in total, respectively. Adjusting previously published estimates of R&amp;D costs for traditional pharmaceutical firms by using past growth rates for pharmaceutical company costs to correspond to the more recent period to which our biopharmaceutical data apply, we found that total out-of-pocket cost per approved biopharmaceutical was somewhat lower than for the pharmaceutical company data (\\559 million vs \\672 million). However, estimated total capitalized cost per approved new molecule was nearly the same for biopharmaceuticals as for the adjusted pharmaceutical company data (\\1241 million versus \\1318 million). The results should be viewed with some caution for now given a limited number of biopharmaceutical molecules with data on cash outlays, different therapeutic class distributions for biopharmaceuticals and for pharmaceutical company drugs, and uncertainty about whether recent growth rates in pharmaceutical company costs are different from immediate past growth rates. Copyright © 2007 John Wiley &amp; Sons, Ltd.","citation-key":"dimasiCostBiopharmaceuticalRD2007","container-title":"Managerial and Decision Economics","DOI":"10.1002/mde.1360","ISSN":"1099-1468","issue":"4-5","language":"en","license":"Copyright © 2007 John Wiley &amp; Sons, Ltd.","note":"_eprint: https://onlinelibrary.wiley.com/doi/pdf/10.1002/mde.1360","page":"469-479","source":"Wiley Online Library","title":"The cost of biopharmaceutical R&amp;D: is biotech different?","title-short":"The cost of biopharmaceutical R&amp;D","volume":"28","author":[{"family":"DiMasi","given":"Joseph A."},{"family":"Grabowski","given":"Henry G."}],"issued":{"date-parts":[["2007"]]}}},{"id":127,"uris":["http://zotero.org/users/14977742/items/K3CQNRVS"],"itemData":{"id":127,"type":"article-journal","abstract":"In general the biotechnology sector can be qualified as a science driven and high tech sector. This applies for both the group of biotech...","citation-key":"enzingSectoralInnovatiohnPerformance2010","language":"en-US","source":"repository.tno.nl","title":"Sectoral Innovatiohn Performance in the Biotechnology Sector. Final Report. Task 1","URL":"https://repository.tno.nl/SingleDoc?docId=35829","author":[{"family":"Enzing","given":"C. M."},{"family":"Valk","given":"T.","dropping-particle":"van der"}],"accessed":{"date-parts":[["2026",6,2]]},"issued":{"date-parts":[["2010"]]}}},{"id":123,"uris":["http://zotero.org/users/14977742/items/GQEXMYZL"],"itemData":{"id":123,"type":"article-journal","abstract":"The role played by contract research organizations (CROs) in the last decades has been almost completely neglected by the economic and managerial literature, which at most presents an outdated and misleading portrait, of firms performing routine clinical tasks. This study aims at filling this knowledge gap, by describing the evolution of the CRO segment of the biopharma industry in the last two decades, discussing the foundations of CROs&amp;#39; comparative advantage and underlining the consequences of their growth for the effective functioning of the whole industry. Importantly, this study argues that the increased role of CROs in performing fundamental phases of R &amp;amp; D has made the anatomy of the biopharma system more functional: in fact even if the turbulence and mortality of IP-based biotech firms is extremely high, if they rely to a great extent on CROs, the experience acquired to carry out their projects - which mostly fail - does not get lost but cumulatively enhances CROs&amp;#39; capabilities.\n\n\tKey words: Evolution of industries, R &amp;amp; D outsourcing, tacit knowledge, learning, biopharma industry.","citation-key":"balconiIncreasingRoleContract2017a","container-title":"African Journal of Business Management","DOI":"10.5897/AJBM2017.8360","ISSN":"1993-8233","issue":"18","journalAbbreviation":"AJBM","language":"en","page":"478-490","publisher":"Academic Journals","source":"academicjournals.org","title":"The increasing role of contract research organizations in the evolution of the biopharmaceutical industry","volume":"11","author":[{"family":"Balconi","given":"Margherita"},{"family":"Lorenzi","given":"Valeria"}],"issued":{"date-parts":[["2017",9,28]]}}}],"schema":"https://github.com/citation-style-language/schema/raw/master/csl-citation.json"}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noProof/>
          <w:lang w:val="en-CA" w:eastAsia="en-GB"/>
        </w:rPr>
        <w:t>(Cockburn, 2004; DiMasi and Grabowski, 2007; Enzing and Valk, 2010; Balconi and Lorenzi, 2017a)</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The market is mixed: with larger integrated firms remaining central to commercialisation of products, while smaller, financially constrained firms play a major role in upstream innovation through alliances (e.g. with universities or larger firms) and outsourcing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{"citationID":"EldvFuRs","properties":{"unsorted":false,"formattedCitation":"(Cockburn, 2004; Balconi and Lorenzi, 2017a)","plainCitation":"(Cockburn, 2004; Balconi and Lorenzi, 2017a)","noteIndex":0},"citationItems":[{"id":124,"uris":["http://zotero.org/users/14977742/items/4HSWGMAR"],"itemData":{"id":124,"type":"article-journal","abstract":"Rising research and development (R&amp;D) expenditures by pharmaceutical companies are, in part, a consequence of changing industry structure, particularly the rise of the biotechnology sector. The creation of a market for biomedical science and increased vertical competition within the industry are likely to spur innovation and raise productivity, but they also could induce socially wasteful spending and weaken academic science. With innovation increasingly dependent on financially vulnerable firms and complex contractual arrangements, R&amp;D investment might be becoming more sensitive to price controls or other cost containment measures.","citation-key":"cockburnChangingStructurePharmaceutical2004","container-title":"Health Affairs","DOI":"10.1377/hlthaff.23.1.10","ISSN":"0278-2715","issue":"1","page":"10-22","publisher":"Health Affairs Publishing","source":"healthaffairs.org (Atypon)","title":"The Changing Structure Of The Pharmaceutical Industry","volume":"23","author":[{"family":"Cockburn","given":"Iain M."}],"issued":{"date-parts":[["2004",1]]}}},{"id":123,"uris":["http://zotero.org/users/14977742/items/GQEXMYZL"],"itemData":{"id":123,"type":"article-journal","abstract":"The role played by contract research organizations (CROs) in the last decades has been almost completely neglected by the economic and managerial literature, which at most presents an outdated and misleading portrait, of firms performing routine clinical tasks. This study aims at filling this knowledge gap, by describing the evolution of the CRO segment of the biopharma industry in the last two decades, discussing the foundations of CROs&amp;#39; comparative advantage and underlining the consequences of their growth for the effective functioning of the whole industry. Importantly, this study argues that the increased role of CROs in performing fundamental phases of R &amp;amp; D has made the anatomy of the biopharma system more functional: in fact even if the turbulence and mortality of IP-based biotech firms is extremely high, if they rely to a great extent on CROs, the experience acquired to carry out their projects - which mostly fail - does not get lost but cumulatively enhances CROs&amp;#39; capabilities.\n\n\tKey words: Evolution of industries, R &amp;amp; D outsourcing, tacit knowledge, learning, biopharma industry.","citation-key":"balconiIncreasingRoleContract2017a","container-title":"African Journal of Business Management","DOI":"10.5897/AJBM2017.8360","ISSN":"1993-8233","issue":"18","journalAbbreviation":"AJBM","language":"en","page":"478-490","publisher":"Academic Journals","source":"academicjournals.org","title":"The increasing role of contract research organizations in the evolution of the biopharmaceutical industry","volume":"11","author":[{"family":"Balconi","given":"Margherita"},{"family":"Lorenzi","given":"Valeria"}],"issued":{"date-parts":[["2017",9,28]]}}}],"schema":"https://github.com/citation-style-language/schema/raw/master/csl-citation.json"}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noProof/>
          <w:lang w:val="en-CA" w:eastAsia="en-GB"/>
        </w:rPr>
        <w:t>(Cockburn, 2004; Balconi and Lorenzi, 2017a)</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According to the study by Popa et. al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Xc71ziUd","properties":{"unsorted":false,"formattedCitation":"(2018a)","plainCitation":"(2018a)","noteIndex":0},"citationItems":[{"id":97,"uris":["http://zotero.org/users/14977742/items/P8NNR22V"],"itemData":{"id":97,"type":"article-journal","abstract":"Background: Profits in the biopharmaceutical industry have been scrutinized in social debate. However, drawing conclusions based on industry profitability only is inappropriate as such an analysis does not account for risks faced by investors. This study aims to measure risks and returns in the biopharmaceutical industry and investigates whether risk-adjusted return on investment in the biopharmaceutical industry is higher than that in other industries., Methods: To enable appropriate comparison, we identified six benchmark industries with characteristics that match those of the biopharmaceutical industry: automotive manufacturing, commercial aircraft manufacturing, consumer electronics, packaged food manufacturing, telecom, and oil and gas. For those industries, we selected the top 25 companies per industry, covering 35–65% of industry revenues. Data on return measures (i.e., net profit margin, return on equity, total shareholder return) and risk measures (i.e., volatility of total shareholder return, beta) were derived from Bloomberg over the 2004–2016 period. The Sharpe ratio was calculated as a measure of risk-adjusted return on investment and compared between industries., Results: Net profit margins varied between 12.6 and 19.5% in the biopharmaceutical industry, and ranged from 2.6 to 8.4% in the benchmark industries. Return on equity for the biopharmaceutical industry was above the average for the other industries. Total shareholder returns for the biopharmaceutical industry amounted to 11.7%, ranking fifth across the seven industries. The biopharmaceutical industry ranked sixth among the seven industries regarding beta, and sixth in terms of volatility of total shareholder return. The median Sharpe value for the biopharmaceutical industry ranked fifth of seven industries., Conclusion: Over the 2004–2016 period, the biopharmaceutical industry did not attain risk-adjusted return on investment in excess of that in other industries and, thus, did not outperform these industries.","citation-key":"popaRiskReturnAnalysisBiopharmaceutical2018a","container-title":"Frontiers in Pharmacology","DOI":"10.3389/fphar.2018.01108","ISSN":"1663-9812","journalAbbreviation":"Front Pharmacol","page":"1108","PMID":"30327601","PMCID":"PMC6174211","source":"PubMed Central","title":"Risk-Return Analysis of the Biopharmaceutical Industry as Compared to Other Industries","volume":"9","author":[{"family":"Popa","given":"Cedric"},{"family":"Holvoet","given":"Karel"},{"family":"Van Montfort","given":"Tessa"},{"family":"Groeneveld","given":"Floris"},{"family":"Simoens","given":"Steven"}],"issued":{"date-parts":[["2018",10,1]]}},"suppress-author":true}],"schema":"https://github.com/citation-style-language/schema/raw/master/csl-citation.json"}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noProof/>
          <w:lang w:val="en-CA" w:eastAsia="en-GB"/>
        </w:rPr>
        <w:t>(2018a)</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the biopharmaceutical industry is R&amp;D-intensive among the top-performing firms</w:t>
      </w:r>
      <w:r w:rsidRPr="005F0A67">
        <w:rPr>
          <w:rFonts w:asciiTheme="majorBidi" w:eastAsia="Times New Roman" w:hAnsiTheme="majorBidi" w:cstheme="majorBidi"/>
          <w:vertAlign w:val="superscript"/>
          <w:lang w:val="en-CA" w:eastAsia="en-GB"/>
        </w:rPr>
        <w:footnoteReference w:id="85"/>
      </w:r>
      <w:r w:rsidRPr="005F0A67">
        <w:rPr>
          <w:rFonts w:asciiTheme="majorBidi" w:eastAsia="Times New Roman" w:hAnsiTheme="majorBidi" w:cstheme="majorBidi"/>
          <w:lang w:val="en-CA" w:eastAsia="en-GB"/>
        </w:rPr>
        <w:t xml:space="preserve">, with approximately 16% of sales being reinvested into R&amp;D. The study further finds that this sub-industry exhibits a wide dispersion of net profit margins, which reflects the presence of early-stage innovators making losses, and highly profitable established firms. The median net profit margins were estimated at almost 17% from 2004 to 2016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{"citationID":"WqRM4RDP","properties":{"unsorted":false,"formattedCitation":"(Popa {\\i{}et al.}, 2018a)","plainCitation":"(Popa et al., 2018a)","noteIndex":0},"citationItems":[{"id":97,"uris":["http://zotero.org/users/14977742/items/P8NNR22V"],"itemData":{"id":97,"type":"article-journal","abstract":"Background: Profits in the biopharmaceutical industry have been scrutinized in social debate. However, drawing conclusions based on industry profitability only is inappropriate as such an analysis does not account for risks faced by investors. This study aims to measure risks and returns in the biopharmaceutical industry and investigates whether risk-adjusted return on investment in the biopharmaceutical industry is higher than that in other industries., Methods: To enable appropriate comparison, we identified six benchmark industries with characteristics that match those of the biopharmaceutical industry: automotive manufacturing, commercial aircraft manufacturing, consumer electronics, packaged food manufacturing, telecom, and oil and gas. For those industries, we selected the top 25 companies per industry, covering 35–65% of industry revenues. Data on return measures (i.e., net profit margin, return on equity, total shareholder return) and risk measures (i.e., volatility of total shareholder return, beta) were derived from Bloomberg over the 2004–2016 period. The Sharpe ratio was calculated as a measure of risk-adjusted return on investment and compared between industries., Results: Net profit margins varied between 12.6 and 19.5% in the biopharmaceutical industry, and ranged from 2.6 to 8.4% in the benchmark industries. Return on equity for the biopharmaceutical industry was above the average for the other industries. Total shareholder returns for the biopharmaceutical industry amounted to 11.7%, ranking fifth across the seven industries. The biopharmaceutical industry ranked sixth among the seven industries regarding beta, and sixth in terms of volatility of total shareholder return. The median Sharpe value for the biopharmaceutical industry ranked fifth of seven industries., Conclusion: Over the 2004–2016 period, the biopharmaceutical industry did not attain risk-adjusted return on investment in excess of that in other industries and, thus, did not outperform these industries.","citation-key":"popaRiskReturnAnalysisBiopharmaceutical2018a","container-title":"Frontiers in Pharmacology","DOI":"10.3389/fphar.2018.01108","ISSN":"1663-9812","journalAbbreviation":"Front Pharmacol","page":"1108","PMID":"30327601","PMCID":"PMC6174211","source":"PubMed Central","title":"Risk-Return Analysis of the Biopharmaceutical Industry as Compared to Other Industries","volume":"9","author":[{"family":"Popa","given":"Cedric"},{"family":"Holvoet","given":"Karel"},{"family":"Van Montfort","given":"Tessa"},{"family":"Groeneveld","given":"Floris"},{"family":"Simoens","given":"Steven"}],"issued":{"date-parts":[["2018",10,1]]}}}],"schema":"https://github.com/citation-style-language/schema/raw/master/csl-citation.json"}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Georgia" w:hAnsiTheme="majorBidi" w:cstheme="majorBidi"/>
          <w:lang w:val="en-CA" w:eastAsia="en-GB"/>
        </w:rPr>
        <w:t xml:space="preserve">(Popa </w:t>
      </w:r>
      <w:r w:rsidRPr="005F0A67">
        <w:rPr>
          <w:rFonts w:asciiTheme="majorBidi" w:eastAsia="Georgia" w:hAnsiTheme="majorBidi" w:cstheme="majorBidi"/>
          <w:i/>
          <w:iCs/>
          <w:lang w:val="en-CA" w:eastAsia="en-GB"/>
        </w:rPr>
        <w:t>et al.</w:t>
      </w:r>
      <w:r w:rsidRPr="005F0A67">
        <w:rPr>
          <w:rFonts w:asciiTheme="majorBidi" w:eastAsia="Georgia" w:hAnsiTheme="majorBidi" w:cstheme="majorBidi"/>
          <w:lang w:val="en-CA" w:eastAsia="en-GB"/>
        </w:rPr>
        <w:t>, 2018a)</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Biopharmaceuticals is now a leading and expanding segment of the wider pharmaceutical market. By 2022, the annual FDA approval rate for biologics exceeded that of small-molecule entities, and in 2021, 4 out 10 of the highest-selling drugs globally were biologics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{"citationID":"tehmw8hJ","properties":{"unsorted":false,"formattedCitation":"(Urquhart, 2022; Senior, 2023)","plainCitation":"(Urquhart, 2022; Senior, 2023)","noteIndex":0},"citationItems":[{"id":116,"uris":["http://zotero.org/users/14977742/items/9S32R3LI"],"itemData":{"id":116,"type":"article-journal","citation-key":"urquhartTopCompaniesDrugs2022","container-title":"Nature Reviews Drug Discovery","DOI":"10.1038/d41573-022-00047-9","ISSN":"1474-1776, 1474-1784","issue":"4","journalAbbreviation":"Nat Rev Drug Discov","language":"en","license":"https://www.springer.com/tdm","page":"251-251","source":"DOI.org (Crossref)","title":"Top companies and drugs by sales in 2021","volume":"21","author":[{"family":"Urquhart","given":"Lisa"}],"issued":{"date-parts":[["2022",4]]}}},{"id":117,"uris":["http://zotero.org/users/14977742/items/CJQUDUKX"],"itemData":{"id":117,"type":"article-journal","citation-key":"seniorFreshBiotechPipeline2023","container-title":"Nature Biotechnology","DOI":"10.1038/s41587-022-01630-6","ISSN":"1087-0156, 1546-1696","issue":"2","journalAbbreviation":"Nat Biotechnol","language":"en","license":"https://www.springernature.com/gp/researchers/text-and-data-mining","page":"174-182","source":"DOI.org (Crossref)","title":"Fresh from the biotech pipeline: fewer approvals, but biologics gain share","title-short":"Fresh from the biotech pipeline","volume":"41","author":[{"family":"Senior","given":"Melanie"}],"issued":{"date-parts":[["2023",2]]}}}],"schema":"https://github.com/citation-style-language/schema/raw/master/csl-citation.json"}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noProof/>
          <w:lang w:val="en-CA" w:eastAsia="en-GB"/>
        </w:rPr>
        <w:t>(Urquhart, 2022; Senior, 2023)</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After patent expiry, </w:t>
      </w:r>
      <w:r w:rsidRPr="005F0A67">
        <w:rPr>
          <w:rFonts w:asciiTheme="majorBidi" w:eastAsia="Times New Roman" w:hAnsiTheme="majorBidi" w:cstheme="majorBidi"/>
          <w:lang w:val="en-CA" w:eastAsia="en-GB"/>
        </w:rPr>
        <w:lastRenderedPageBreak/>
        <w:t xml:space="preserve">biologics face strong competition from biosimilars, rather than generics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{"citationID":"yfDBXD6z","properties":{"unsorted":false,"formattedCitation":"(Lyman {\\i{}et al.}, 2018; Carl {\\i{}et al.}, 2022; Song {\\i{}et al.}, 2025)","plainCitation":"(Lyman et al., 2018; Carl et al., 2022; Song et al., 2025)","noteIndex":0},"citationItems":[{"id":115,"uris":["http://zotero.org/users/14977742/items/JXVWSEJM"],"itemData":{"id":115,"type":"article-journal","citation-key":"lymanRationaleOpportunitiesReality2018","container-title":"New England Journal of Medicine","DOI":"10.1056/NEJMhle1800125","ISSN":"0028-4793, 1533-4406","issue":"21","journalAbbreviation":"N Engl J Med","language":"en","page":"2036-2044","source":"DOI.org (Crossref)","title":"Rationale, Opportunities, and Reality of Biosimilar Medications","volume":"378","author":[{"family":"Lyman","given":"Gary H."},{"family":"Zon","given":"Robin"},{"family":"Harvey","given":"R. Donald"},{"family":"Schilsky","given":"Richard L."}],"issued":{"date-parts":[["2018",5,24]]}}},{"id":114,"uris":["http://zotero.org/users/14977742/items/2RTYRL59"],"itemData":{"id":114,"type":"article-journal","abstract":"Importance\n              Biologics account for a substantial proportion of health care expenditures. Their costs have been projected to reach US $452 billion in global spending by 2022. Given recent expiration of patent protection of biologics, a shift toward greater follow-on competition among biosimilars would be expected that would allow greater uptake and lower drug costs.\n            \n            \n              Objective\n              To assess uptake and prices of biosimilars in the US compared with 2 European countries (Germany and Switzerland) with national mechanisms for drug price negotiation.\n            \n            \n              Design, Setting, and Participants\n              In this cohort study, biologics and biosimilars that were approved in the US, Germany, and Switzerland until August 2020 were identified. Prices and sales data were extracted from public and commercial databases for the years 2011 to 2020. Data were analyzed from August 1, 2021, to February 28, 2022.\n            \n            \n              Main Outcomes and Measures\n              Descriptive statistics were used to show temporal trends in the uptake of biosimilars and relative prices compared with those of reference products (ie, biologic agents) for each country. Descriptive analysis was also performed to compare the uptake of biosimilars between the 3 countries limited to biologics that have biosimilars on the market in all countries. To test if biosimilar awareness in each country increased over the last decade, a linear least squares regression was applied.\n            \n            \n              Results\n              The study cohort included 15 biosimilars and 6 biologics for the US, 52 biosimilars and 15 biologics for Germany, and 28 biosimilars and 13 biologics for Switzerland. Uptake of biosimilars increased over time in all countries. On average, the biosimilar market share at launch was highest in Germany; however, it increased at the fastest rate in the US. Monthly treatment costs of biosimilars in the US were a median of 1.94 (IQR, 1.78-2.44) and 2.74 (IQR, 1.91-3.46) higher than corresponding costs in Germany and Switzerland, respectively.\n            \n            \n              Conclusions and Relevance\n              The findings of this cohort study suggest that more biosimilars have been marketed in Germany and Switzerland than in the US. Policies that counter anticompetitive practices in the US could allow biosimilars to enter the market sooner and could also lower health care costs with improved access. Awareness of biosimilars should be promoted to increase uptake of biosimilars globally.","citation-key":"carlComparisonUptakePrices2022","container-title":"JAMA Network Open","DOI":"10.1001/jamanetworkopen.2022.44670","ISSN":"2574-3805","issue":"12","journalAbbreviation":"JAMA Netw Open","language":"en","page":"e2244670","source":"DOI.org (Crossref)","title":"Comparison of Uptake and Prices of Biosimilars in the US, Germany, and Switzerland","volume":"5","author":[{"family":"Carl","given":"David L."},{"family":"Laube","given":"Yannic"},{"family":"Serra-Burriel","given":"Miquel"},{"family":"Naci","given":"Huseyin"},{"family":"Ludwig","given":"Wolf-Dieter"},{"family":"Vokinger","given":"Kerstin N."}],"issued":{"date-parts":[["2022",12,2]]}}},{"id":112,"uris":["http://zotero.org/users/14977742/items/QJBKIZSH"],"itemData":{"id":112,"type":"article-journal","abstract":"Objective\nWe sought to evaluate the relationship between biosimilar introduction and the prices and expenditures of biologics in high-income countries.\n\nMethods\nThis study examined IQVIA-MIDAS sales data for biologics and biosimilars from January 2018 to June 2020 across 12 high-income countries (Australia, Austria, Canada, France, Germany, Italy, Japan, Korea, Spain, Sweden, Switzerland, and the United Kingdom). We selected seven biologics that fall under the World Health Organization Anatomical Therapeutic Chemical code L (Antineoplastic and immunomodulating agents), and categorized them into two groups based on the availability of biosimilar data. Group A consisted of biologics with biosimilars-etanercept, infliximab, rituximab, and trastuzumab, while Group B comprised biologics without biosimilars, including cetuximab, nivolumab, and pembrolizumab. A descriptive analysis was conducted to investigate the association between biosimilar introduction and trends in Fisher price index and relative expenditure. In addition, two-sample t-test and Wilcoxon rank-sum test were used to assess the statistical significance of differences in growth rates between the two groups.\n\nResults\nGroup A exhibited a declining trend in the Fisher price index, whereas Group B remained stable across most countries, with average compound quarterly growth rates being −2.19% and −0.54%, respectively (p &lt; 0.001). Relative expenditure trends also revealed contrasting patterns between the groups across most countries, further highlighting the differences. The average compound quarterly growth rates for relative expenditures was −1.78% for Group A and 7.66% for Group B (p &lt; 0.001).\n\nConclusion\nThe introduction of biosimilars was significantly associated with reductions in the prices and expenditures of biologics in high-income countries. This underscores the potential role of biosimilars in supporting the long-term sustainability of the healthcare system.","citation-key":"songComparativeAnalysisBiologics","container-title":"Frontiers in Pharmacology","DOI":"10.3389/fphar.2025.1659395","ISSN":"1663-9812","journalAbbreviation":"Front Pharmacol","page":"1659395","PMID":"41306781","PMCID":"PMC12643863","source":"PubMed Central","title":"A comparative analysis of biologics market dynamics in 12 countries: (Bio)similar and sustainability","title-short":"A comparative analysis of biologics market dynamics in 12 countries","volume":"16","author":[{"family":"Song","given":"Younghyun"},{"family":"Shin","given":"Gyeongseon"},{"family":"Choi","given":"Gyeyoung"},{"family":"Han","given":"Euna"},{"family":"Ou","given":"Huang-tz"},{"family":"Bae","given":"SeungJin"}],"issued":{"date-parts":[["2025"]]}}}],"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Georgia" w:hAnsiTheme="majorBidi" w:cstheme="majorBidi"/>
          <w:lang w:val="en-CA" w:eastAsia="en-GB"/>
        </w:rPr>
        <w:t xml:space="preserve">(Lyman </w:t>
      </w:r>
      <w:r w:rsidRPr="005F0A67">
        <w:rPr>
          <w:rFonts w:asciiTheme="majorBidi" w:eastAsia="Georgia" w:hAnsiTheme="majorBidi" w:cstheme="majorBidi"/>
          <w:i/>
          <w:iCs/>
          <w:lang w:val="en-CA" w:eastAsia="en-GB"/>
        </w:rPr>
        <w:t>et al.</w:t>
      </w:r>
      <w:r w:rsidRPr="005F0A67">
        <w:rPr>
          <w:rFonts w:asciiTheme="majorBidi" w:eastAsia="Georgia" w:hAnsiTheme="majorBidi" w:cstheme="majorBidi"/>
          <w:lang w:val="en-CA" w:eastAsia="en-GB"/>
        </w:rPr>
        <w:t xml:space="preserve">, 2018; Carl </w:t>
      </w:r>
      <w:r w:rsidRPr="005F0A67">
        <w:rPr>
          <w:rFonts w:asciiTheme="majorBidi" w:eastAsia="Georgia" w:hAnsiTheme="majorBidi" w:cstheme="majorBidi"/>
          <w:i/>
          <w:iCs/>
          <w:lang w:val="en-CA" w:eastAsia="en-GB"/>
        </w:rPr>
        <w:t>et al.</w:t>
      </w:r>
      <w:r w:rsidRPr="005F0A67">
        <w:rPr>
          <w:rFonts w:asciiTheme="majorBidi" w:eastAsia="Georgia" w:hAnsiTheme="majorBidi" w:cstheme="majorBidi"/>
          <w:lang w:val="en-CA" w:eastAsia="en-GB"/>
        </w:rPr>
        <w:t xml:space="preserve">, 2022; Song </w:t>
      </w:r>
      <w:r w:rsidRPr="005F0A67">
        <w:rPr>
          <w:rFonts w:asciiTheme="majorBidi" w:eastAsia="Georgia" w:hAnsiTheme="majorBidi" w:cstheme="majorBidi"/>
          <w:i/>
          <w:iCs/>
          <w:lang w:val="en-CA" w:eastAsia="en-GB"/>
        </w:rPr>
        <w:t>et al.</w:t>
      </w:r>
      <w:r w:rsidRPr="005F0A67">
        <w:rPr>
          <w:rFonts w:asciiTheme="majorBidi" w:eastAsia="Georgia" w:hAnsiTheme="majorBidi" w:cstheme="majorBidi"/>
          <w:lang w:val="en-CA" w:eastAsia="en-GB"/>
        </w:rPr>
        <w:t>, 2025)</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Biosimilars entry has led to significant reductions in prices and expenditures in high-income countries. However, the level of competitive pressure varies widely across markets due to differences in regulatory frameworks, reimbursement mechanisms, and prescriber behaviour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{"citationID":"LcweMpZU","properties":{"unsorted":false,"formattedCitation":"(Song {\\i{}et al.}, 2025)","plainCitation":"(Song et al., 2025)","noteIndex":0},"citationItems":[{"id":112,"uris":["http://zotero.org/users/14977742/items/QJBKIZSH"],"itemData":{"id":112,"type":"article-journal","abstract":"Objective\nWe sought to evaluate the relationship between biosimilar introduction and the prices and expenditures of biologics in high-income countries.\n\nMethods\nThis study examined IQVIA-MIDAS sales data for biologics and biosimilars from January 2018 to June 2020 across 12 high-income countries (Australia, Austria, Canada, France, Germany, Italy, Japan, Korea, Spain, Sweden, Switzerland, and the United Kingdom). We selected seven biologics that fall under the World Health Organization Anatomical Therapeutic Chemical code L (Antineoplastic and immunomodulating agents), and categorized them into two groups based on the availability of biosimilar data. Group A consisted of biologics with biosimilars-etanercept, infliximab, rituximab, and trastuzumab, while Group B comprised biologics without biosimilars, including cetuximab, nivolumab, and pembrolizumab. A descriptive analysis was conducted to investigate the association between biosimilar introduction and trends in Fisher price index and relative expenditure. In addition, two-sample t-test and Wilcoxon rank-sum test were used to assess the statistical significance of differences in growth rates between the two groups.\n\nResults\nGroup A exhibited a declining trend in the Fisher price index, whereas Group B remained stable across most countries, with average compound quarterly growth rates being −2.19% and −0.54%, respectively (p &lt; 0.001). Relative expenditure trends also revealed contrasting patterns between the groups across most countries, further highlighting the differences. The average compound quarterly growth rates for relative expenditures was −1.78% for Group A and 7.66% for Group B (p &lt; 0.001).\n\nConclusion\nThe introduction of biosimilars was significantly associated with reductions in the prices and expenditures of biologics in high-income countries. This underscores the potential role of biosimilars in supporting the long-term sustainability of the healthcare system.","citation-key":"songComparativeAnalysisBiologics","container-title":"Frontiers in Pharmacology","DOI":"10.3389/fphar.2025.1659395","ISSN":"1663-9812","journalAbbreviation":"Front Pharmacol","page":"1659395","PMID":"41306781","PMCID":"PMC12643863","source":"PubMed Central","title":"A comparative analysis of biologics market dynamics in 12 countries: (Bio)similar and sustainability","title-short":"A comparative analysis of biologics market dynamics in 12 countries","volume":"16","author":[{"family":"Song","given":"Younghyun"},{"family":"Shin","given":"Gyeongseon"},{"family":"Choi","given":"Gyeyoung"},{"family":"Han","given":"Euna"},{"family":"Ou","given":"Huang-tz"},{"family":"Bae","given":"SeungJin"}],"issued":{"date-parts":[["2025"]]}}}],"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Georgia" w:hAnsiTheme="majorBidi" w:cstheme="majorBidi"/>
          <w:lang w:val="en-CA" w:eastAsia="en-GB"/>
        </w:rPr>
        <w:t xml:space="preserve">(Song </w:t>
      </w:r>
      <w:r w:rsidRPr="005F0A67">
        <w:rPr>
          <w:rFonts w:asciiTheme="majorBidi" w:eastAsia="Georgia" w:hAnsiTheme="majorBidi" w:cstheme="majorBidi"/>
          <w:i/>
          <w:iCs/>
          <w:lang w:val="en-CA" w:eastAsia="en-GB"/>
        </w:rPr>
        <w:t>et al.</w:t>
      </w:r>
      <w:r w:rsidRPr="005F0A67">
        <w:rPr>
          <w:rFonts w:asciiTheme="majorBidi" w:eastAsia="Georgia" w:hAnsiTheme="majorBidi" w:cstheme="majorBidi"/>
          <w:lang w:val="en-CA" w:eastAsia="en-GB"/>
        </w:rPr>
        <w:t>, 2025)</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Originator biologics face similar competition from the US rivals as pharmaceuticals, with the US capturing 48% of the global biologics market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{"citationID":"a2ap46u5vp5","properties":{"unsorted":false,"formattedCitation":"(Grand View Research, 2024)","plainCitation":"(Grand View Research, 2024)","noteIndex":0},"citationItems":[{"id":108,"uris":["http://zotero.org/users/14977742/items/8FJ4P7E2"],"itemData":{"id":108,"type":"webpage","abstract":"The biologics market in the United States is expected to reach a projected revenue of US$ 300,858.9 million by 2030. A compound annual growth rate of 7.7% is expected of  the United States biologics market from 2025 to 2030.","citation-key":"UnitedStatesBiologics","language":"en","title":"The United States Biologics Market Size &amp; Outlook, 2030","URL":"https://www.grandviewresearch.com/horizon/outlook/biologics-market/united-states","author":[{"literal":"Grand View Research"}],"accessed":{"date-parts":[["2026",6,3]]},"issued":{"date-parts":[["2024"]]}}}],"schema":"https://github.com/citation-style-language/schema/raw/master/csl-citation.json"}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Georgia" w:hAnsiTheme="majorBidi" w:cstheme="majorBidi"/>
          <w:lang w:eastAsia="en-GB"/>
        </w:rPr>
        <w:t>(Grand View Research, 2024)</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w:t>
      </w:r>
    </w:p>
    <w:p w14:paraId="66C63846"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b/>
          <w:bCs/>
          <w:lang w:val="en-CA" w:eastAsia="en-GB"/>
        </w:rPr>
        <w:t xml:space="preserve">Molecular diagnostics and clinical laboratory services </w:t>
      </w:r>
      <w:r w:rsidRPr="005F0A67">
        <w:rPr>
          <w:rFonts w:asciiTheme="majorBidi" w:eastAsia="Times New Roman" w:hAnsiTheme="majorBidi" w:cstheme="majorBidi"/>
          <w:lang w:val="en-CA" w:eastAsia="en-GB"/>
        </w:rPr>
        <w:t>operate in a large, fragmented market, with North America holding the largest regional share</w:t>
      </w:r>
      <w:r w:rsidRPr="005F0A67">
        <w:rPr>
          <w:rFonts w:asciiTheme="majorBidi" w:eastAsia="Times New Roman" w:hAnsiTheme="majorBidi" w:cstheme="majorBidi"/>
          <w:vertAlign w:val="superscript"/>
          <w:lang w:val="en-CA" w:eastAsia="en-GB"/>
        </w:rPr>
        <w:footnoteReference w:id="86"/>
      </w:r>
      <w:r w:rsidRPr="005F0A67">
        <w:rPr>
          <w:rFonts w:asciiTheme="majorBidi" w:eastAsia="Times New Roman" w:hAnsiTheme="majorBidi" w:cstheme="majorBidi"/>
          <w:lang w:val="en-CA" w:eastAsia="en-GB"/>
        </w:rPr>
        <w:t xml:space="preserve">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{"citationID":"MocBeWps","properties":{"unsorted":false,"formattedCitation":"(Fortune Business Insights, 2026b)","plainCitation":"(Fortune Business Insights, 2026b)","noteIndex":0},"citationItems":[{"id":104,"uris":["http://zotero.org/users/14977742/items/S8MEN3LF"],"itemData":{"id":104,"type":"webpage","abstract":"The molecular diagnostics market size is projected to grow from USD 16.35 Billion in 2026 to USD 23.62 Billion by 2034, at a CAGR of 4.71% during the forecast period.","citation-key":"MolecularDiagnosticsMarket","language":"en","title":"Molecular Diagnostics Market Size, Share &amp; Growth Report, 2034","URL":"https://www.fortunebusinessinsights.com/industry-reports/molecular-diagnostics-market-100086","author":[{"literal":"Fortune Business Insights"}],"accessed":{"date-parts":[["2026",6,3]]},"issued":{"date-parts":[["2026",5]]}}}],"schema":"https://github.com/citation-style-language/schema/raw/master/csl-citation.json"}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noProof/>
          <w:lang w:val="en-CA" w:eastAsia="en-GB"/>
        </w:rPr>
        <w:t>(Fortune Business Insights, 2026b)</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Market position depends as much on coverage decisions, reimbursement pathways, and laboratory oversight frameworks as on the underlying test performance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{"citationID":"L4GFitug","properties":{"unsorted":false,"formattedCitation":"(Miller {\\i{}et al.}, 2011; Klein, 2020; Sireci {\\i{}et al.}, 2020)","plainCitation":"(Miller et al., 2011; Klein, 2020; Sireci et al., 2020)","noteIndex":0},"citationItems":[{"id":106,"uris":["http://zotero.org/users/14977742/items/CZGABIAP"],"itemData":{"id":106,"type":"article-journal","abstract":"The clinical utility and medico–economic value of several personalized diagnostic tests has been well described in the literature. Development of such tests, including generation of the necessary supportive clinical validation data, is a complex and expensive endeavor. In general, sponsors of such tests lack sufficient clarity on appropriate reimbursement and regulatory pathways to provide the clear development framework necessary to incentivize the required level of investment. In the USA, an imperfect reimbursement paradigm has evolved to accommodate a small number of ‘value-priced‘ laboratory-developed tests, although major structural barriers remain to broader implementation. In Europe, by contrast, there is virtually no precedent for value-based public sector pricing, and even such procedurally based pricing as currently exists is administered by a complex network of largely decentralized bodies. As a consequence, patient access is limited and health–economic savings are not realized. This article explores some of the European market entry barriers, with a focus on reimbursement challenges, and highlights some collaborative proposals to address such.","citation-key":"millerMarketAccessChallenges2011","container-title":"Personalized Medicine","DOI":"10.2217/pme.11.2","ISSN":"1741-0541","issue":"2","note":"_eprint: https://doi.org/10.2217/pme.11.2","page":"137-148","PMID":"29783414","publisher":"Taylor &amp; Francis","source":"Taylor and Francis+NEJM","title":"Market Access Challenges in the EU for High Medical Value Diagnostic Tests","volume":"8","author":[{"family":"Miller","given":"Iain"},{"family":"Ashton-Chess","given":"Joanna"},{"family":"Spolders","given":"Herman"},{"family":"Fert","given":"Vincent"},{"family":"Ferrara","given":"Joseph"},{"family":"Kroll","given":"Werner"},{"family":"Askaa","given":"Jon"},{"family":"Larcier","given":"Patrick"},{"family":"Terry","given":"Patrick F"},{"family":"Bruinvels","given":"Anne"},{"family":"Huriez","given":"Alain"}],"issued":{"date-parts":[["2011",3,1]]}}},{"id":105,"uris":["http://zotero.org/users/14977742/items/BPQFCBYE"],"itemData":{"id":105,"type":"article-journal","abstract":"Molecular genetic testing has raised a variety of policy issues, ranging from privacy to reimbursement. Recently, payment policies have become of paramount importance as Medicare implemented the first significant change to test pricing since 1984 and announced a broad national coverage policy for the use of next-generation sequencing (NGS) in cancer patients that contains significant restrictions. Regulatory and oversight concerns have been important topics for discussion as the US Food and Drug Administration (FDA), Congress, and stakeholders have focused on new approaches to regulation of laboratory-developed tests (LDTs). Patents on gene sequences and relationships between genetic variants and clinical phenotypes have been points of contention since the field's inception. Two Supreme Court cases invalidated patents on gene sequences and biological relationships, ushering in the era of NGS and precision medicine. However, a recent legislative proposal threatens to reverse these gains and restore gene patents as barriers to progress in genetic and genomic testing and the implementation of genomic medicine.This review discusses current issues in payment policy, laboratory oversight, and gene patenting and their potential impacts on genetic and genomic testing.Coverage and reimbursement policies present serious challenges to genetic and genomic testing. The potential for FDA regulation of LDTs looms as a significant threat to diagnostic innovation, patient access, and the viability of molecular genetic testing laboratories. Changes in patent law could cause gene patents to reemerge as barriers to the advancement of genomic medicine.","citation-key":"kleinCurrentPolicyChallenges2020","container-title":"Clinical Chemistry","DOI":"10.1373/clinchem.2019.308775","ISSN":"0009-9147","issue":"1","journalAbbreviation":"Clin Chem","page":"61-67","source":"Silverchair","title":"Current Policy Challenges in Genomic Medicine","volume":"66","author":[{"family":"Klein","given":"Roger D"}],"issued":{"date-parts":[["2020",1,1]]}}},{"id":107,"uris":["http://zotero.org/users/14977742/items/52ZRD2HJ"],"itemData":{"id":107,"type":"article-journal","citation-key":"sireciMolecularPathologyEconomics2020","container-title":"The Journal of Molecular Diagnostics","DOI":"10.1016/j.jmoldx.2020.05.008","ISSN":"1525-1578","issue":"8","journalAbbreviation":"The Journal of Molecular Diagnostics","language":"English","page":"975-993","PMID":"32504675","publisher":"Elsevier","source":"www.jmdjournal.org","title":"Molecular Pathology Economics 101: An Overview of Molecular Diagnostics Coding, Coverage, and Reimbursement: A Report of the Association for Molecular Pathology","title-short":"Molecular Pathology Economics 101","volume":"22","author":[{"family":"Sireci","given":"Anthony N."},{"family":"Patel","given":"Jay L."},{"family":"Joseph","given":"Loren"},{"family":"Hiemenz","given":"Matthew C."},{"family":"Rosca","given":"Oana C."},{"family":"Caughron","given":"Samuel K."},{"family":"Thibault-Sennett","given":"Sarah A."},{"family":"Burke","given":"Tara L."},{"family":"Aisner","given":"Dara L."}],"issued":{"date-parts":[["2020",8,1]]}}}],"schema":"https://github.com/citation-style-language/schema/raw/master/csl-citation.json"}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Georgia" w:hAnsiTheme="majorBidi" w:cstheme="majorBidi"/>
          <w:lang w:val="en-CA" w:eastAsia="en-GB"/>
        </w:rPr>
        <w:t xml:space="preserve">(Miller </w:t>
      </w:r>
      <w:r w:rsidRPr="005F0A67">
        <w:rPr>
          <w:rFonts w:asciiTheme="majorBidi" w:eastAsia="Georgia" w:hAnsiTheme="majorBidi" w:cstheme="majorBidi"/>
          <w:i/>
          <w:iCs/>
          <w:lang w:val="en-CA" w:eastAsia="en-GB"/>
        </w:rPr>
        <w:t>et al.</w:t>
      </w:r>
      <w:r w:rsidRPr="005F0A67">
        <w:rPr>
          <w:rFonts w:asciiTheme="majorBidi" w:eastAsia="Georgia" w:hAnsiTheme="majorBidi" w:cstheme="majorBidi"/>
          <w:lang w:val="en-CA" w:eastAsia="en-GB"/>
        </w:rPr>
        <w:t xml:space="preserve">, 2011; Klein, 2020; Sireci </w:t>
      </w:r>
      <w:r w:rsidRPr="005F0A67">
        <w:rPr>
          <w:rFonts w:asciiTheme="majorBidi" w:eastAsia="Georgia" w:hAnsiTheme="majorBidi" w:cstheme="majorBidi"/>
          <w:i/>
          <w:iCs/>
          <w:lang w:val="en-CA" w:eastAsia="en-GB"/>
        </w:rPr>
        <w:t>et al.</w:t>
      </w:r>
      <w:r w:rsidRPr="005F0A67">
        <w:rPr>
          <w:rFonts w:asciiTheme="majorBidi" w:eastAsia="Georgia" w:hAnsiTheme="majorBidi" w:cstheme="majorBidi"/>
          <w:lang w:val="en-CA" w:eastAsia="en-GB"/>
        </w:rPr>
        <w:t>, 2020)</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Firms in this sub-group may face prolonged price pressure on reimbursement resulting from regulatory changes to fee schedules. This dynamic is exemplified by the experience in the United States after the implementation of the Protecting Access to Medicare Act (PAMA), under which reimbursement rates were cut for 75% of clinical laboratory tests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{"citationID":"HyBxbn27","properties":{"unsorted":false,"formattedCitation":"(Sireci {\\i{}et al.}, 2020)","plainCitation":"(Sireci et al., 2020)","noteIndex":0},"citationItems":[{"id":107,"uris":["http://zotero.org/users/14977742/items/52ZRD2HJ"],"itemData":{"id":107,"type":"article-journal","citation-key":"sireciMolecularPathologyEconomics2020","container-title":"The Journal of Molecular Diagnostics","DOI":"10.1016/j.jmoldx.2020.05.008","ISSN":"1525-1578","issue":"8","journalAbbreviation":"The Journal of Molecular Diagnostics","language":"English","page":"975-993","PMID":"32504675","publisher":"Elsevier","source":"www.jmdjournal.org","title":"Molecular Pathology Economics 101: An Overview of Molecular Diagnostics Coding, Coverage, and Reimbursement: A Report of the Association for Molecular Pathology","title-short":"Molecular Pathology Economics 101","volume":"22","author":[{"family":"Sireci","given":"Anthony N."},{"family":"Patel","given":"Jay L."},{"family":"Joseph","given":"Loren"},{"family":"Hiemenz","given":"Matthew C."},{"family":"Rosca","given":"Oana C."},{"family":"Caughron","given":"Samuel K."},{"family":"Thibault-Sennett","given":"Sarah A."},{"family":"Burke","given":"Tara L."},{"family":"Aisner","given":"Dara L."}],"issued":{"date-parts":[["2020",8,1]]}}}],"schema":"https://github.com/citation-style-language/schema/raw/master/csl-citation.json"}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Georgia" w:hAnsiTheme="majorBidi" w:cstheme="majorBidi"/>
          <w:lang w:val="en-CA" w:eastAsia="en-GB"/>
        </w:rPr>
        <w:t xml:space="preserve">(Sireci </w:t>
      </w:r>
      <w:r w:rsidRPr="005F0A67">
        <w:rPr>
          <w:rFonts w:asciiTheme="majorBidi" w:eastAsia="Georgia" w:hAnsiTheme="majorBidi" w:cstheme="majorBidi"/>
          <w:i/>
          <w:iCs/>
          <w:lang w:val="en-CA" w:eastAsia="en-GB"/>
        </w:rPr>
        <w:t>et al.</w:t>
      </w:r>
      <w:r w:rsidRPr="005F0A67">
        <w:rPr>
          <w:rFonts w:asciiTheme="majorBidi" w:eastAsia="Georgia" w:hAnsiTheme="majorBidi" w:cstheme="majorBidi"/>
          <w:lang w:val="en-CA" w:eastAsia="en-GB"/>
        </w:rPr>
        <w:t>, 2020)</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Competition from non-CBD-Party firms is limited because diagnostics and laboratory services are mainly delivered domestically. However, detailed firm-level information needed to conduct a more granular competitiveness analysis for this sub-group is largely absent from publicly accessible data sources.</w:t>
      </w:r>
    </w:p>
    <w:p w14:paraId="5D69D255"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b/>
          <w:bCs/>
          <w:lang w:val="en-CA" w:eastAsia="en-GB"/>
        </w:rPr>
        <w:t xml:space="preserve">Industrial biotechnology and biomanufacturing </w:t>
      </w:r>
      <w:r w:rsidRPr="005F0A67">
        <w:rPr>
          <w:rFonts w:asciiTheme="majorBidi" w:eastAsia="Times New Roman" w:hAnsiTheme="majorBidi" w:cstheme="majorBidi"/>
          <w:lang w:val="en-CA" w:eastAsia="en-GB"/>
        </w:rPr>
        <w:t>compete primarily on process economics, engineering capability, and the ability to scale production</w:t>
      </w:r>
      <w:r w:rsidRPr="005F0A67">
        <w:rPr>
          <w:rFonts w:asciiTheme="majorBidi" w:eastAsia="Times New Roman" w:hAnsiTheme="majorBidi" w:cstheme="majorBidi"/>
          <w:b/>
          <w:bCs/>
          <w:lang w:val="en-CA" w:eastAsia="en-GB"/>
        </w:rPr>
        <w:t xml:space="preserve">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{"citationID":"X0DgS9fs","properties":{"unsorted":false,"formattedCitation":"(Clarke and Kitney, 2020; Biggs {\\i{}et al.}, 2021)","plainCitation":"(Clarke and Kitney, 2020; Biggs et al., 2021)","noteIndex":0},"citationItems":[{"id":102,"uris":["http://zotero.org/users/14977742/items/933XGZQK"],"itemData":{"id":102,"type":"article-journal","abstract":"Since the beginning of the 21st Century, synthetic biology has established itself as an effective technological approach to design and engineer biological systems. Whilst research and investment continues to develop the understanding, control and engineering infrastructural platforms necessary to tackle ever more challenging systems — and to increase the precision, robustness, speed and affordability of existing solutions — hundreds of start-up companies, predominantly in the US and UK, are already translating learnings and potential applications into commercially viable tools, services and products. Start-ups and SMEs have been the predominant channel for synthetic biology commercialisation to date, facilitating rapid response to changing societal interests and market pull arising from increasing awareness of health and global sustainability issues. Private investment in start-ups across the US and UK is increasing rapidly and now totals over $12bn. Health-related biotechnology applications have dominated the commercialisation of products to date, but significant opportunities for the production of bio-derived materials and chemicals, including consumer products, are now being developed. Synthetic biology start-ups developing tools and services account for between 10% (in the UK) and </w:instrText>
      </w:r>
      <w:r w:rsidRPr="005F0A67">
        <w:rPr>
          <w:rFonts w:ascii="Cambria Math" w:eastAsia="Times New Roman" w:hAnsi="Cambria Math" w:cs="Cambria Math"/>
          <w:lang w:val="en-CA" w:eastAsia="en-GB"/>
        </w:rPr>
        <w:instrText>∼</w:instrText>
      </w:r>
      <w:r w:rsidRPr="005F0A67">
        <w:rPr>
          <w:rFonts w:asciiTheme="majorBidi" w:eastAsia="Times New Roman" w:hAnsiTheme="majorBidi" w:cstheme="majorBidi"/>
          <w:lang w:val="en-CA" w:eastAsia="en-GB"/>
        </w:rPr>
        <w:instrText xml:space="preserve">25% (in the US) of private investment activity. Around 20% of synthetic biology start-ups address industrial biotechnology targets, but currently, only attract </w:instrText>
      </w:r>
      <w:r w:rsidRPr="005F0A67">
        <w:rPr>
          <w:rFonts w:ascii="Cambria Math" w:eastAsia="Times New Roman" w:hAnsi="Cambria Math" w:cs="Cambria Math"/>
          <w:lang w:val="en-CA" w:eastAsia="en-GB"/>
        </w:rPr>
        <w:instrText>∼</w:instrText>
      </w:r>
      <w:r w:rsidRPr="005F0A67">
        <w:rPr>
          <w:rFonts w:asciiTheme="majorBidi" w:eastAsia="Times New Roman" w:hAnsiTheme="majorBidi" w:cstheme="majorBidi"/>
          <w:lang w:val="en-CA" w:eastAsia="en-GB"/>
        </w:rPr>
        <w:instrText xml:space="preserve">11% private investment. Adopting a more networked approach — linking specialists, infrastructure and ongoing research to de-risk the economic challenges of scale-up and supported by an effective long-term funding strategy — is set to transform the impact of synthetic biology and industrial biotechnology in the bioeconomy.","citation-key":"clarkeDevelopingSyntheticBiology2020","container-title":"Biochemical Society Transactions","DOI":"10.1042/BST20190349","ISSN":"0300-5127","issue":"1","journalAbbreviation":"Biochem Soc Trans","page":"113-122","source":"Silverchair","title":"Developing synthetic biology for industrial biotechnology applications","volume":"48","author":[{"family":"Clarke","given":"Lionel"},{"family":"Kitney","given":"Richard"}],"issued":{"date-parts":[["2020",2,20]]}}},{"id":101,"uris":["http://zotero.org/users/14977742/items/8S43APCE"],"itemData":{"id":101,"type":"article-journal","citation-key":"biggsEnablingCommercialSuccess2021","container-title":"Science","DOI":"10.1126/science.abj5040","issue":"6575","page":"1563-1565","publisher":"American Association for the Advancement of Science","source":"science.org (Atypon)","title":"Enabling commercial success of industrial biotechnology","volume":"374","author":[{"family":"Biggs","given":"Bradley W."},{"family":"Alper","given":"Hal S."},{"family":"Pfleger","given":"Brian F."},{"family":"Tyo","given":"Keith E. J."},{"family":"Santos","given":"Christine N. S."},{"family":"Ajikumar","given":"Parayil Kumaran"},{"family":"Stephanopoulos","given":"Gregory"}],"issued":{"date-parts":[["2021",12,24]]}}}],"schema":"https://github.com/citation-style-language/schema/raw/master/csl-citation.json"}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Georgia" w:hAnsiTheme="majorBidi" w:cstheme="majorBidi"/>
          <w:lang w:val="en-CA" w:eastAsia="en-GB"/>
        </w:rPr>
        <w:t xml:space="preserve">(Clarke and Kitney, 2020; Biggs </w:t>
      </w:r>
      <w:r w:rsidRPr="005F0A67">
        <w:rPr>
          <w:rFonts w:asciiTheme="majorBidi" w:eastAsia="Georgia" w:hAnsiTheme="majorBidi" w:cstheme="majorBidi"/>
          <w:i/>
          <w:iCs/>
          <w:lang w:val="en-CA" w:eastAsia="en-GB"/>
        </w:rPr>
        <w:t>et al.</w:t>
      </w:r>
      <w:r w:rsidRPr="005F0A67">
        <w:rPr>
          <w:rFonts w:asciiTheme="majorBidi" w:eastAsia="Georgia" w:hAnsiTheme="majorBidi" w:cstheme="majorBidi"/>
          <w:lang w:val="en-CA" w:eastAsia="en-GB"/>
        </w:rPr>
        <w:t>, 2021)</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They manufacture chemicals, materials, biofuels, and other industrial inputs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{"citationID":"ZmXmVqo6","properties":{"unsorted":false,"formattedCitation":"(Philp, Ritchie and Allan, 2013; Craig Shimasaki, 2014)","plainCitation":"(Philp, Ritchie and Allan, 2013; Craig Shimasaki, 2014)","noteIndex":0},"citationItems":[{"id":99,"uris":["http://zotero.org/users/14977742/items/CHVTJXAU"],"itemData":{"id":99,"type":"article-journal","citation-key":"philpBiobasedChemicalsConvergence2013","container-title":"Trends in Biotechnology","DOI":"10.1016/j.tibtech.2012.12.007","ISSN":"0167-7799, 1879-3096","issue":"4","journalAbbreviation":"Trends in Biotechnology","language":"English","page":"219-222","publisher":"Elsevier","source":"www.cell.com","title":"Biobased chemicals: the convergence of green chemistry with industrial biotechnology","title-short":"Biobased chemicals","volume":"31","author":[{"family":"Philp","given":"Jim C."},{"family":"Ritchie","given":"Rachael J."},{"family":"Allan","given":"Jacqueline E. M."}],"issued":{"date-parts":[["2013",4,1]]}}},{"id":129,"uris":["http://zotero.org/users/14977742/items/JK7MWXZC"],"itemData":{"id":129,"type":"chapter","abstract":"The biotechnology industry includes a diverse array of products created within distinct sectors throughout this broad industry. From these sectors ari…","citation-key":"UnderstandingBiotechnologyProduct2014c","container-title":"Biotechnology Entrepreneurship","DOI":"10.1016/B978-0-12-404730-3.00009-9","language":"en-US","note":"DOI: 10.1016/B978-0-12-404730-3.00009-9","page":"113-138","publisher":"Academic Press","source":"www.sciencedirect.com","title":"Chapter 9: Understanding Biotechnology Product Sectors","URL":"https://www.sciencedirect.com/science/chapter/edited-volume/pii/B9780124047303000099","author":[{"literal":"Craig Shimasaki"}],"accessed":{"date-parts":[["2026",6,2]]},"issued":{"date-parts":[["2014",1,1]]}}}],"schema":"https://github.com/citation-style-language/schema/raw/master/csl-citation.json"}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(Philp, Ritchie and Allan, 2013; Craig Shimasaki, 2014)</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and must compete against more mature petrochemicals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{"citationID":"p8pTS4Tc","properties":{"unsorted":false,"formattedCitation":"(Philp, Ritchie and Allan, 2013; Kim {\\i{}et al.}, 2026)","plainCitation":"(Philp, Ritchie and Allan, 2013; Kim et al., 2026)","noteIndex":0},"citationItems":[{"id":99,"uris":["http://zotero.org/users/14977742/items/CHVTJXAU"],"itemData":{"id":99,"type":"article-journal","citation-key":"philpBiobasedChemicalsConvergence2013","container-title":"Trends in Biotechnology","DOI":"10.1016/j.tibtech.2012.12.007","ISSN":"0167-7799, 1879-3096","issue":"4","journalAbbreviation":"Trends in Biotechnology","language":"English","page":"219-222","publisher":"Elsevier","source":"www.cell.com","title":"Biobased chemicals: the convergence of green chemistry with industrial biotechnology","title-short":"Biobased chemicals","volume":"31","author":[{"family":"Philp","given":"Jim C."},{"family":"Ritchie","given":"Rachael J."},{"family":"Allan","given":"Jacqueline E. M."}],"issued":{"date-parts":[["2013",4,1]]}}},{"id":95,"uris":["http://zotero.org/users/14977742/items/FEAPHSGG"],"itemData":{"id":95,"type":"article-journal","abstract":"Biomanufacturing offers a sustainable alternative to petrochemical manufacturing by harnessing engineered microorganisms to convert renewable feedstocks into diverse value-added products. Systems metabolic engineering has driven its advancement, enabling rational design of microbial strains with enhanced performance and robustness. Despite these achievements, large-scale commercialisation remains limited, highlighting the persistent gap between laboratory success and industrial deployment. We examine the challenges and opportunities in advancing biomanufacturing towards industrial implementation through two cases, succinic acid and polyhydroxyalkanoates, that exemplify products nearing, yet not fully reaching, commercial maturity. Finally, we discuss how integrating artificial intelligence with systems metabolic engineering can accelerate sustainable biomanufacturing.","citation-key":"kimPetrochemicalsChallengesOpportunities2026","container-title":"Nature Communications","DOI":"10.1038/s41467-026-73835-1","ISSN":"2041-1723","issue":"1","journalAbbreviation":"Nat Commun","language":"en","license":"2026 The Author(s)","page":"4819","publisher":"Nature Publishing Group","source":"www.nature.com","title":"Beyond petrochemicals: challenges and opportunities in industrial-scale biomanufacturing","title-short":"Beyond petrochemicals","volume":"17","author":[{"family":"Kim","given":"Ji Yeon"},{"family":"Yu","given":"Hye Eun"},{"family":"Kim","given":"Min Ho"},{"family":"Lee","given":"Sang Yup"}],"issued":{"date-parts":[["2026",5,30]]}}}],"schema":"https://github.com/citation-style-language/schema/raw/master/csl-citation.json"}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Georgia" w:hAnsiTheme="majorBidi" w:cstheme="majorBidi"/>
          <w:lang w:val="en-CA" w:eastAsia="en-GB"/>
        </w:rPr>
        <w:t xml:space="preserve">(Philp, Ritchie and Allan, 2013; Kim </w:t>
      </w:r>
      <w:r w:rsidRPr="005F0A67">
        <w:rPr>
          <w:rFonts w:asciiTheme="majorBidi" w:eastAsia="Georgia" w:hAnsiTheme="majorBidi" w:cstheme="majorBidi"/>
          <w:i/>
          <w:iCs/>
          <w:lang w:val="en-CA" w:eastAsia="en-GB"/>
        </w:rPr>
        <w:t>et al.</w:t>
      </w:r>
      <w:r w:rsidRPr="005F0A67">
        <w:rPr>
          <w:rFonts w:asciiTheme="majorBidi" w:eastAsia="Georgia" w:hAnsiTheme="majorBidi" w:cstheme="majorBidi"/>
          <w:lang w:val="en-CA" w:eastAsia="en-GB"/>
        </w:rPr>
        <w:t>, 2026)</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Commodity chemicals produced through mature petrochemical pathways generally sell for less than USD 5 per kg, which makes it inherently difficult for bio-based alternatives to compete on price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{"citationID":"ZZRai1Wo","properties":{"unsorted":false,"formattedCitation":"(Kim {\\i{}et al.}, 2026)","plainCitation":"(Kim et al., 2026)","noteIndex":0},"citationItems":[{"id":95,"uris":["http://zotero.org/users/14977742/items/FEAPHSGG"],"itemData":{"id":95,"type":"article-journal","abstract":"Biomanufacturing offers a sustainable alternative to petrochemical manufacturing by harnessing engineered microorganisms to convert renewable feedstocks into diverse value-added products. Systems metabolic engineering has driven its advancement, enabling rational design of microbial strains with enhanced performance and robustness. Despite these achievements, large-scale commercialisation remains limited, highlighting the persistent gap between laboratory success and industrial deployment. We examine the challenges and opportunities in advancing biomanufacturing towards industrial implementation through two cases, succinic acid and polyhydroxyalkanoates, that exemplify products nearing, yet not fully reaching, commercial maturity. Finally, we discuss how integrating artificial intelligence with systems metabolic engineering can accelerate sustainable biomanufacturing.","citation-key":"kimPetrochemicalsChallengesOpportunities2026","container-title":"Nature Communications","DOI":"10.1038/s41467-026-73835-1","ISSN":"2041-1723","issue":"1","journalAbbreviation":"Nat Commun","language":"en","license":"2026 The Author(s)","page":"4819","publisher":"Nature Publishing Group","source":"www.nature.com","title":"Beyond petrochemicals: challenges and opportunities in industrial-scale biomanufacturing","title-short":"Beyond petrochemicals","volume":"17","author":[{"family":"Kim","given":"Ji Yeon"},{"family":"Yu","given":"Hye Eun"},{"family":"Kim","given":"Min Ho"},{"family":"Lee","given":"Sang Yup"}],"issued":{"date-parts":[["2026",5,30]]}}}],"schema":"https://github.com/citation-style-language/schema/raw/master/csl-citation.json"}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Georgia" w:hAnsiTheme="majorBidi" w:cstheme="majorBidi"/>
          <w:lang w:val="en-CA" w:eastAsia="en-GB"/>
        </w:rPr>
        <w:t xml:space="preserve">(Kim </w:t>
      </w:r>
      <w:r w:rsidRPr="005F0A67">
        <w:rPr>
          <w:rFonts w:asciiTheme="majorBidi" w:eastAsia="Georgia" w:hAnsiTheme="majorBidi" w:cstheme="majorBidi"/>
          <w:i/>
          <w:iCs/>
          <w:lang w:val="en-CA" w:eastAsia="en-GB"/>
        </w:rPr>
        <w:t>et al.</w:t>
      </w:r>
      <w:r w:rsidRPr="005F0A67">
        <w:rPr>
          <w:rFonts w:asciiTheme="majorBidi" w:eastAsia="Georgia" w:hAnsiTheme="majorBidi" w:cstheme="majorBidi"/>
          <w:lang w:val="en-CA" w:eastAsia="en-GB"/>
        </w:rPr>
        <w:t>, 2026)</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Additional investment in new bio-based manufacturing capacity is hindered by uncertain demand growth and exposure to fluctuating oil prices, both of which undermine reliable long-term financial planning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{"citationID":"ohGh3PjU","properties":{"unsorted":false,"formattedCitation":"(Kim {\\i{}et al.}, 2026)","plainCitation":"(Kim et al., 2026)","noteIndex":0},"citationItems":[{"id":95,"uris":["http://zotero.org/users/14977742/items/FEAPHSGG"],"itemData":{"id":95,"type":"article-journal","abstract":"Biomanufacturing offers a sustainable alternative to petrochemical manufacturing by harnessing engineered microorganisms to convert renewable feedstocks into diverse value-added products. Systems metabolic engineering has driven its advancement, enabling rational design of microbial strains with enhanced performance and robustness. Despite these achievements, large-scale commercialisation remains limited, highlighting the persistent gap between laboratory success and industrial deployment. We examine the challenges and opportunities in advancing biomanufacturing towards industrial implementation through two cases, succinic acid and polyhydroxyalkanoates, that exemplify products nearing, yet not fully reaching, commercial maturity. Finally, we discuss how integrating artificial intelligence with systems metabolic engineering can accelerate sustainable biomanufacturing.","citation-key":"kimPetrochemicalsChallengesOpportunities2026","container-title":"Nature Communications","DOI":"10.1038/s41467-026-73835-1","ISSN":"2041-1723","issue":"1","journalAbbreviation":"Nat Commun","language":"en","license":"2026 The Author(s)","page":"4819","publisher":"Nature Publishing Group","source":"www.nature.com","title":"Beyond petrochemicals: challenges and opportunities in industrial-scale biomanufacturing","title-short":"Beyond petrochemicals","volume":"17","author":[{"family":"Kim","given":"Ji Yeon"},{"family":"Yu","given":"Hye Eun"},{"family":"Kim","given":"Min Ho"},{"family":"Lee","given":"Sang Yup"}],"issued":{"date-parts":[["2026",5,30]]}}}],"schema":"https://github.com/citation-style-language/schema/raw/master/csl-citation.json"}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Georgia" w:hAnsiTheme="majorBidi" w:cstheme="majorBidi"/>
          <w:lang w:val="en-CA" w:eastAsia="en-GB"/>
        </w:rPr>
        <w:t xml:space="preserve">(Kim </w:t>
      </w:r>
      <w:r w:rsidRPr="005F0A67">
        <w:rPr>
          <w:rFonts w:asciiTheme="majorBidi" w:eastAsia="Georgia" w:hAnsiTheme="majorBidi" w:cstheme="majorBidi"/>
          <w:i/>
          <w:iCs/>
          <w:lang w:val="en-CA" w:eastAsia="en-GB"/>
        </w:rPr>
        <w:t>et al.</w:t>
      </w:r>
      <w:r w:rsidRPr="005F0A67">
        <w:rPr>
          <w:rFonts w:asciiTheme="majorBidi" w:eastAsia="Georgia" w:hAnsiTheme="majorBidi" w:cstheme="majorBidi"/>
          <w:lang w:val="en-CA" w:eastAsia="en-GB"/>
        </w:rPr>
        <w:t>, 2026)</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The transition from research to large-scale commercial production is also problematic: downstream processing alone can represent 15-90% of total production costs, and scale-up continues to be a major economic constraint, especially for smaller companies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{"citationID":"IKw4wEDM","properties":{"unsorted":false,"formattedCitation":"(Clarke and Kitney, 2020; Biggs {\\i{}et al.}, 2021; Asin-Garcia {\\i{}et al.}, 2025)","plainCitation":"(Clarke and Kitney, 2020; Biggs et al., 2021; Asin-Garcia et al., 2025)","noteIndex":0},"citationItems":[{"id":102,"uris":["http://zotero.org/users/14977742/items/933XGZQK"],"itemData":{"id":102,"type":"article-journal","abstract":"Since the beginning of the 21st Century, synthetic biology has established itself as an effective technological approach to design and engineer biological systems. Whilst research and investment continues to develop the understanding, control and engineering infrastructural platforms necessary to tackle ever more challenging systems — and to increase the precision, robustness, speed and affordability of existing solutions — hundreds of start-up companies, predominantly in the US and UK, are already translating learnings and potential applications into commercially viable tools, services and products. Start-ups and SMEs have been the predominant channel for synthetic biology commercialisation to date, facilitating rapid response to changing societal interests and market pull arising from increasing awareness of health and global sustainability issues. Private investment in start-ups across the US and UK is increasing rapidly and now totals over $12bn. Health-related biotechnology applications have dominated the commercialisation of products to date, but significant opportunities for the production of bio-derived materials and chemicals, including consumer products, are now being developed. Synthetic biology start-ups developing tools and services account for between 10% (in the UK) and </w:instrText>
      </w:r>
      <w:r w:rsidRPr="005F0A67">
        <w:rPr>
          <w:rFonts w:ascii="Cambria Math" w:eastAsia="Times New Roman" w:hAnsi="Cambria Math" w:cs="Cambria Math"/>
          <w:lang w:val="en-CA" w:eastAsia="en-GB"/>
        </w:rPr>
        <w:instrText>∼</w:instrText>
      </w:r>
      <w:r w:rsidRPr="005F0A67">
        <w:rPr>
          <w:rFonts w:asciiTheme="majorBidi" w:eastAsia="Times New Roman" w:hAnsiTheme="majorBidi" w:cstheme="majorBidi"/>
          <w:lang w:val="en-CA" w:eastAsia="en-GB"/>
        </w:rPr>
        <w:instrText xml:space="preserve">25% (in the US) of private investment activity. Around 20% of synthetic biology start-ups address industrial biotechnology targets, but currently, only attract </w:instrText>
      </w:r>
      <w:r w:rsidRPr="005F0A67">
        <w:rPr>
          <w:rFonts w:ascii="Cambria Math" w:eastAsia="Times New Roman" w:hAnsi="Cambria Math" w:cs="Cambria Math"/>
          <w:lang w:val="en-CA" w:eastAsia="en-GB"/>
        </w:rPr>
        <w:instrText>∼</w:instrText>
      </w:r>
      <w:r w:rsidRPr="005F0A67">
        <w:rPr>
          <w:rFonts w:asciiTheme="majorBidi" w:eastAsia="Times New Roman" w:hAnsiTheme="majorBidi" w:cstheme="majorBidi"/>
          <w:lang w:val="en-CA" w:eastAsia="en-GB"/>
        </w:rPr>
        <w:instrText xml:space="preserve">11% private investment. Adopting a more networked approach — linking specialists, infrastructure and ongoing research to de-risk the economic challenges of scale-up and supported by an effective long-term funding strategy — is set to transform the impact of synthetic biology and industrial biotechnology in the bioeconomy.","citation-key":"clarkeDevelopingSyntheticBiology2020","container-title":"Biochemical Society Transactions","DOI":"10.1042/BST20190349","ISSN":"0300-5127","issue":"1","journalAbbreviation":"Biochem Soc Trans","page":"113-122","source":"Silverchair","title":"Developing synthetic biology for industrial biotechnology applications","volume":"48","author":[{"family":"Clarke","given":"Lionel"},{"family":"Kitney","given":"Richard"}],"issued":{"date-parts":[["2020",2,20]]}}},{"id":101,"uris":["http://zotero.org/users/14977742/items/8S43APCE"],"itemData":{"id":101,"type":"article-journal","citation-key":"biggsEnablingCommercialSuccess2021","container-title":"Science","DOI":"10.1126/science.abj5040","issue":"6575","page":"1563-1565","publisher":"American Association for the Advancement of Science","source":"science.org (Atypon)","title":"Enabling commercial success of industrial biotechnology","volume":"374","author":[{"family":"Biggs","given":"Bradley W."},{"family":"Alper","given":"Hal S."},{"family":"Pfleger","given":"Brian F."},{"family":"Tyo","given":"Keith E. J."},{"family":"Santos","given":"Christine N. S."},{"family":"Ajikumar","given":"Parayil Kumaran"},{"family":"Stephanopoulos","given":"Gregory"}],"issued":{"date-parts":[["2021",12,24]]}}},{"id":93,"uris":["http://zotero.org/users/14977742/items/V7IXUG2X"],"itemData":{"id":93,"type":"article-journal","citation-key":"asin-garciaSnapshotBiomanufacturingNeed2025a","container-title":"Trends in Biotechnology","DOI":"10.1016/j.tibtech.2024.10.014","ISSN":"0167-7799, 1879-3096","issue":"5","journalAbbreviation":"Trends in Biotechnology","language":"English","page":"1000-1014","PMID":"39592270","publisher":"Elsevier","source":"www.cell.com","title":"A snapshot of biomanufacturing and the need for enabling research infrastructure","volume":"43","author":[{"family":"Asin-Garcia","given":"Enrique"},{"family":"Fawcett","given":"James D."},{"family":"Batianis","given":"Christos"},{"family":"Santos","given":"Vitor A. P. Martins","dropping-particle":"dos"}],"issued":{"date-parts":[["2025",5,1]]}}}],"schema":"https://github.com/citation-style-language/schema/raw/master/csl-citation.json"}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Georgia" w:hAnsiTheme="majorBidi" w:cstheme="majorBidi"/>
          <w:lang w:val="en-CA" w:eastAsia="en-GB"/>
        </w:rPr>
        <w:t xml:space="preserve">(Clarke and Kitney, 2020; Biggs </w:t>
      </w:r>
      <w:r w:rsidRPr="005F0A67">
        <w:rPr>
          <w:rFonts w:asciiTheme="majorBidi" w:eastAsia="Georgia" w:hAnsiTheme="majorBidi" w:cstheme="majorBidi"/>
          <w:i/>
          <w:iCs/>
          <w:lang w:val="en-CA" w:eastAsia="en-GB"/>
        </w:rPr>
        <w:t>et al.</w:t>
      </w:r>
      <w:r w:rsidRPr="005F0A67">
        <w:rPr>
          <w:rFonts w:asciiTheme="majorBidi" w:eastAsia="Georgia" w:hAnsiTheme="majorBidi" w:cstheme="majorBidi"/>
          <w:lang w:val="en-CA" w:eastAsia="en-GB"/>
        </w:rPr>
        <w:t xml:space="preserve">, 2021; Asin-Garcia </w:t>
      </w:r>
      <w:r w:rsidRPr="005F0A67">
        <w:rPr>
          <w:rFonts w:asciiTheme="majorBidi" w:eastAsia="Georgia" w:hAnsiTheme="majorBidi" w:cstheme="majorBidi"/>
          <w:i/>
          <w:iCs/>
          <w:lang w:val="en-CA" w:eastAsia="en-GB"/>
        </w:rPr>
        <w:t>et al.</w:t>
      </w:r>
      <w:r w:rsidRPr="005F0A67">
        <w:rPr>
          <w:rFonts w:asciiTheme="majorBidi" w:eastAsia="Georgia" w:hAnsiTheme="majorBidi" w:cstheme="majorBidi"/>
          <w:lang w:val="en-CA" w:eastAsia="en-GB"/>
        </w:rPr>
        <w:t>, 2025)</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Industrial applications also differ substantially in volume and price, making market conditions highly </w:t>
      </w:r>
      <w:bookmarkStart w:id="196" w:name="_Int_RJRvToNF"/>
      <w:r w:rsidRPr="005F0A67">
        <w:rPr>
          <w:rFonts w:asciiTheme="majorBidi" w:eastAsia="Times New Roman" w:hAnsiTheme="majorBidi" w:cstheme="majorBidi"/>
          <w:lang w:val="en-CA" w:eastAsia="en-GB"/>
        </w:rPr>
        <w:t>product-specific</w:t>
      </w:r>
      <w:bookmarkEnd w:id="196"/>
      <w:r w:rsidRPr="005F0A67">
        <w:rPr>
          <w:rFonts w:asciiTheme="majorBidi" w:eastAsia="Times New Roman" w:hAnsiTheme="majorBidi" w:cstheme="majorBidi"/>
          <w:lang w:val="en-CA" w:eastAsia="en-GB"/>
        </w:rPr>
        <w:t xml:space="preserve">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{"citationID":"igUBVP3j","properties":{"unsorted":false,"formattedCitation":"(Wydra, 2019b)","plainCitation":"(Wydra, 2019b)","noteIndex":0},"citationItems":[{"id":132,"uris":["http://zotero.org/users/14977742/items/36JMAGLN"],"itemData":{"id":132,"type":"article-journal","abstract":"Industrial Biotechnology (IB) is considered as a key technology with a strong potential to generate new growth, spur innovation, increase productivity, and tackle environmental and climate challenges. Industrial Biotechnology is applied in many segments of the bioeconomy ranging from chemicals, biofuels, bioenergy, bio-based plastics, and other biomaterials. However, the segments differ profoundly regarding volume, price, type, and amount of needed feedstock, market condition, societal contributions as well as maturity, etc. This article aims to analyse a set of five different value chains in the technological innovation system (TIS) framework in order to derive adequate policy conclusions. Hereby, we focus on quite distinctive value chains to take into account the high heterogeneity of biotechnological applications. The analysis points out that policy maker have to take into account the fundamental differences in the innovation systems and to implement differentiated innovation policy to address system weaknesses. In particular, market formation is often the key bottleneck innovation systems, but different policy instruments for various application segments needed.","citation-key":"wydraValueChainsIndustrial2019","container-title":"Sustainability","DOI":"10.3390/su11082435","ISSN":"2071-1050","issue":"8","language":"en","license":"http://creativecommons.org/licenses/by/3.0/","page":"2435","publisher":"Multidisciplinary Digital Publishing Institute","source":"www.mdpi.com","title":"Value Chains for Industrial Biotechnology in the Bioeconomy-Innovation System Analysis","volume":"11","author":[{"family":"Wydra","given":"Sven"}],"issued":{"date-parts":[["2019",1]]}}}],"schema":"https://github.com/citation-style-language/schema/raw/master/csl-citation.json"}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(Wydra, 2019b)</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w:t>
      </w:r>
    </w:p>
    <w:p w14:paraId="3FB6FF37"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b/>
          <w:bCs/>
          <w:lang w:val="en-CA" w:eastAsia="en-GB"/>
        </w:rPr>
        <w:t>R&amp;D service and platform organisations</w:t>
      </w:r>
      <w:r w:rsidRPr="005F0A67">
        <w:rPr>
          <w:rFonts w:asciiTheme="majorBidi" w:eastAsia="Times New Roman" w:hAnsiTheme="majorBidi" w:cstheme="majorBidi"/>
          <w:lang w:val="en-CA" w:eastAsia="en-GB"/>
        </w:rPr>
        <w:t xml:space="preserve">, such as contract research organisations and other specialised service providers, contribute to biotechnology innovation mainly by offering research and technical capabilities, rather than by focusing on the commercialisation of end products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{"citationID":"y0QvCwFm","properties":{"unsorted":false,"formattedCitation":"(Dimachkie Masri {\\i{}et al.}, 2012; Balconi and Lorenzi, 2017b)","plainCitation":"(Dimachkie Masri et al., 2012; Balconi and Lorenzi, 2017b)","noteIndex":0},"citationItems":[{"id":92,"uris":["http://zotero.org/users/14977742/items/FVJQF2TB"],"itemData":{"id":92,"type":"article-journal","abstract":"The aging of the population, high prevalence of chronic diseases, and increased need for evidence‐based practice are factors that have boosted a high demand for clinical trials in the United States. In recent years, an increasing number of clinical trials have shifted from academic medical centers, to community‐based practices, to global sites in different countries. Contract research organizations (CROs) are service organizations that provide research and support services to pharmaceutical, biotechnological, and health companies. This paper aims to explore the evolution of the CRO industry in the United States and worldwide, and to discuss the benefits and pitfalls of the globalization of CROs.The organizational ecology framework is used to analyze the lifecycle of CROs in response to their environment including their emergence, growth, and evolution to date.The authors discuss the drug development process, the role of CROs and outsourcing in clinical research. Pharmaceutical companies began outsourcing research activities to increase their profit margins and better position themselves in the rapidly‐changing healthcare environment. The paper analyzes the evolution of the CROs over time and the factor that affected it, including the current globalization stage with special emphasis in India, China and Central and Eastern Europe. Consequences of globalization include the stimulation of research collaboration, policy and issues related to quality.The evolution of CROs over time points to transformation/evolution of these organizations, with challenges as they become an integral part of the drug development process in the USA and other countries.","citation-key":"dimachkiemasriContractResearchOrganizations2012","container-title":"International Journal of Pharmaceutical and Healthcare Marketing","DOI":"10.1108/17506121211283226","ISSN":"1750-6123","issue":"4","journalAbbreviation":"International Journal of Pharmaceutical and Healthcare Marketing","page":"336-350","source":"Silverchair","title":"Contract research organizations: an industry analysis","title-short":"Contract research organizations","volume":"6","author":[{"family":"Dimachkie Masri","given":"Maysoun"},{"family":"Ramirez","given":"Bernardo"},{"family":"Popescu","given":"Cristina"},{"family":"Reggie","given":"Ed Michael"}],"issued":{"date-parts":[["2012",11,23]]}}},{"id":125,"uris":["http://zotero.org/users/14977742/items/V54LL8DW"],"itemData":{"id":125,"type":"article-journal","abstract":"The role played by contract research organizations (CROs) in the last decades has been almost completely neglected by the economic and managerial literature, which at most presents an outdated and misleading portrait, of firms performing routine clinical tasks. This study aims at filling this knowledge gap, by describing the evolution of the CRO segment of the biopharma industry in the last two decades, discussing the foundations of CROs&amp;#39; comparative advantage and underlining the consequences of their growth for the effective functioning of the whole industry. Importantly, this study argues that the increased role of CROs in performing fundamental phases of R &amp;amp; D has made the anatomy of the biopharma system more functional: in fact even if the turbulence and mortality of IP-based biotech firms is extremely high, if they rely to a great extent on CROs, the experience acquired to carry out their projects - which mostly fail - does not get lost but cumulatively enhances CROs&amp;#39; capabilities.\n\n\tKey words: Evolution of industries, R &amp;amp; D outsourcing, tacit knowledge, learning, biopharma industry.","citation-key":"balconiIncreasingRoleContract2017","container-title":"African Journal of Business Management","DOI":"10.5897/AJBM2017.8360","ISSN":"1993-8233","issue":"18","journalAbbreviation":"AJBM","language":"en","page":"478-490","publisher":"Academic Journals","source":"academicjournals.org","title":"The increasing role of contract research organizations in the evolution of the biopharmaceutical industry","volume":"11","author":[{"family":"Balconi","given":"Margherita"},{"family":"Lorenzi","given":"Valeria"}],"issued":{"date-parts":[["2017",9,28]]}}}],"schema":"https://github.com/citation-style-language/schema/raw/master/csl-citation.json"}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Georgia" w:hAnsiTheme="majorBidi" w:cstheme="majorBidi"/>
          <w:lang w:val="en-CA" w:eastAsia="en-GB"/>
        </w:rPr>
        <w:t xml:space="preserve">(Dimachkie Masri </w:t>
      </w:r>
      <w:r w:rsidRPr="005F0A67">
        <w:rPr>
          <w:rFonts w:asciiTheme="majorBidi" w:eastAsia="Georgia" w:hAnsiTheme="majorBidi" w:cstheme="majorBidi"/>
          <w:i/>
          <w:iCs/>
          <w:lang w:val="en-CA" w:eastAsia="en-GB"/>
        </w:rPr>
        <w:t>et al.</w:t>
      </w:r>
      <w:r w:rsidRPr="005F0A67">
        <w:rPr>
          <w:rFonts w:asciiTheme="majorBidi" w:eastAsia="Georgia" w:hAnsiTheme="majorBidi" w:cstheme="majorBidi"/>
          <w:lang w:val="en-CA" w:eastAsia="en-GB"/>
        </w:rPr>
        <w:t>, 2012; Balconi and Lorenzi, 2017b)</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These companies benefit from outsourcing arrangements and vertical specialisation within biopharmaceutical and wider biotechnology innovation networks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{"citationID":"cAdVE62i","properties":{"unsorted":false,"formattedCitation":"(Dimachkie Masri {\\i{}et al.}, 2012)","plainCitation":"(Dimachkie Masri et al., 2012)","noteIndex":0},"citationItems":[{"id":92,"uris":["http://zotero.org/users/14977742/items/FVJQF2TB"],"itemData":{"id":92,"type":"article-journal","abstract":"The aging of the population, high prevalence of chronic diseases, and increased need for evidence‐based practice are factors that have boosted a high demand for clinical trials in the United States. In recent years, an increasing number of clinical trials have shifted from academic medical centers, to community‐based practices, to global sites in different countries. Contract research organizations (CROs) are service organizations that provide research and support services to pharmaceutical, biotechnological, and health companies. This paper aims to explore the evolution of the CRO industry in the United States and worldwide, and to discuss the benefits and pitfalls of the globalization of CROs.The organizational ecology framework is used to analyze the lifecycle of CROs in response to their environment including their emergence, growth, and evolution to date.The authors discuss the drug development process, the role of CROs and outsourcing in clinical research. Pharmaceutical companies began outsourcing research activities to increase their profit margins and better position themselves in the rapidly‐changing healthcare environment. The paper analyzes the evolution of the CROs over time and the factor that affected it, including the current globalization stage with special emphasis in India, China and Central and Eastern Europe. Consequences of globalization include the stimulation of research collaboration, policy and issues related to quality.The evolution of CROs over time points to transformation/evolution of these organizations, with challenges as they become an integral part of the drug development process in the USA and other countries.","citation-key":"dimachkiemasriContractResearchOrganizations2012","container-title":"International Journal of Pharmaceutical and Healthcare Marketing","DOI":"10.1108/17506121211283226","ISSN":"1750-6123","issue":"4","journalAbbreviation":"International Journal of Pharmaceutical and Healthcare Marketing","page":"336-350","source":"Silverchair","title":"Contract research organizations: an industry analysis","title-short":"Contract research organizations","volume":"6","author":[{"family":"Dimachkie Masri","given":"Maysoun"},{"family":"Ramirez","given":"Bernardo"},{"family":"Popescu","given":"Cristina"},{"family":"Reggie","given":"Ed Michael"}],"issued":{"date-parts":[["2012",11,23]]}}}],"schema":"https://github.com/citation-style-language/schema/raw/master/csl-citation.json"}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Georgia" w:hAnsiTheme="majorBidi" w:cstheme="majorBidi"/>
          <w:lang w:val="en-CA" w:eastAsia="en-GB"/>
        </w:rPr>
        <w:t xml:space="preserve">(Dimachkie Masri </w:t>
      </w:r>
      <w:r w:rsidRPr="005F0A67">
        <w:rPr>
          <w:rFonts w:asciiTheme="majorBidi" w:eastAsia="Georgia" w:hAnsiTheme="majorBidi" w:cstheme="majorBidi"/>
          <w:i/>
          <w:iCs/>
          <w:lang w:val="en-CA" w:eastAsia="en-GB"/>
        </w:rPr>
        <w:t>et al.</w:t>
      </w:r>
      <w:r w:rsidRPr="005F0A67">
        <w:rPr>
          <w:rFonts w:asciiTheme="majorBidi" w:eastAsia="Georgia" w:hAnsiTheme="majorBidi" w:cstheme="majorBidi"/>
          <w:lang w:val="en-CA" w:eastAsia="en-GB"/>
        </w:rPr>
        <w:t>, 2012)</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Their competitive advantage relies predominantly on their accumulated expertise and bargaining strength in contracts, rather than on conventional final-product price competition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{"citationID":"mOnZlJMk","properties":{"unsorted":false,"formattedCitation":"(Billette de Villemeur, Scannell and Versaevel, 2022)","plainCitation":"(Billette de Villemeur, Scannell and Versaevel, 2022)","noteIndex":0},"citationItems":[{"id":91,"uris":["http://zotero.org/users/14977742/items/D4I5WPEG"],"itemData":{"id":91,"type":"article-journal","abstract":"Research and development (R&amp;D) outsourcing offers some obvious productivity benefits (e.g., access to new technology, variabilised costs, risk sharing, etc.). However, recent work in economics points to a productivity headwind at the level of the innovation ecosystem. The market for technologies with economies of scope and knowledge spillovers (those with the biggest impact on industry economics and social welfare) has structural features that allow customers to capture a disproportionate share of economic value and transfer a disproportionate share of economic risk to technology providers, even though the providers aim to maximise profit. This reduces the incentives to invest in new ventures that specialise in the most promising early-stage projects. Therefore, near-term gains from R&amp;D outsourcing can be offset by slower innovation in the long run.","citation-key":"billettedevillemeurBiopharmaceuticalRDOutsourcing2022","container-title":"Drug Discovery Today","DOI":"10.1016/j.drudis.2022.08.001","ISSN":"1359-6446","issue":"11","journalAbbreviation":"Drug Discovery Today","page":"103333","source":"ScienceDirect","title":"Biopharmaceutical R&amp;D outsourcing: Short-term gain for long-term pain?","title-short":"Biopharmaceutical R&amp;D outsourcing","volume":"27","author":[{"family":"Billette de Villemeur","given":"Etienne"},{"family":"Scannell","given":"Jack W."},{"family":"Versaevel","given":"Bruno"}],"issued":{"date-parts":[["2022",11,1]]}}}],"schema":"https://github.com/citation-style-language/schema/raw/master/csl-citation.json"}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(Billette de Villemeur, Scannell and Versaevel, 2022)</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Contract research organisations and related service providers operate with structurally low margins </w:t>
      </w:r>
      <w:r w:rsidRPr="005F0A67">
        <w:rPr>
          <w:rFonts w:asciiTheme="majorBidi" w:eastAsia="Times New Roman" w:hAnsiTheme="majorBidi" w:cstheme="majorBidi"/>
          <w:lang w:val="en-CA" w:eastAsia="en-GB"/>
        </w:rPr>
        <w:lastRenderedPageBreak/>
        <w:t xml:space="preserve">because they function as cost-cutting intermediaries within the pharmaceutical value chain, in which individual service steps capture only a small share of the overall product value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{"citationID":"lX9NVFIL","properties":{"unsorted":false,"formattedCitation":"(Huang, 2019a)","plainCitation":"(Huang, 2019a)","noteIndex":0},"citationItems":[{"id":89,"uris":["http://zotero.org/users/14977742/items/X8P639I3"],"itemData":{"id":89,"type":"article-journal","abstract":", Since the beginning, Contract Research\nOrganizations (CROs) have always faced two core challenges: low profit\nmargin and limited market capitalization. Nowadays, the CRO industry\nis experiencing a supply chain disruption, driving it to chase the\nupstream part of the pharmaceutical value chain. A 3P (past, present,\nprospect) decision-tree model is developed, revealing the future of\nthe CRO industry may be a CRO-Venture model. Perspectives on the potential\ntransformation of CRO industry will contribute to the real-world practice\nand innovation of this business model.","citation-key":"huangContractResearchOrganizations2019a","container-title":"ACS Medicinal Chemistry Letters","DOI":"10.1021/acsmedchemlett.9b00046","ISSN":"1948-5875","issue":"5","journalAbbreviation":"ACS Med Chem Lett","page":"684-686","PMID":"31097979","PMCID":"PMC6511962","source":"PubMed Central","title":"Contract Research Organizations Are Seeking Transformation in the Pharmaceutical Value Chain","volume":"10","author":[{"family":"Huang","given":"Jianan"}],"issued":{"date-parts":[["2019",3,13]]}}}],"schema":"https://github.com/citation-style-language/schema/raw/master/csl-citation.json"}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(Huang, 2019a)</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w:t>
      </w:r>
    </w:p>
    <w:p w14:paraId="6A69AFE1" w14:textId="77777777" w:rsidR="005F0A67" w:rsidRPr="005F0A67" w:rsidRDefault="005F0A67" w:rsidP="00B009ED">
      <w:pPr>
        <w:tabs>
          <w:tab w:val="clear" w:pos="567"/>
          <w:tab w:val="clear" w:pos="1134"/>
          <w:tab w:val="clear" w:pos="1701"/>
          <w:tab w:val="clear" w:pos="2268"/>
        </w:tabs>
        <w:spacing w:after="120"/>
        <w:jc w:val="left"/>
        <w:outlineLvl w:val="3"/>
        <w:rPr>
          <w:rFonts w:asciiTheme="majorBidi" w:eastAsia="Georgia" w:hAnsiTheme="majorBidi" w:cstheme="majorBidi"/>
          <w:b/>
          <w:bCs/>
          <w:color w:val="0F4761"/>
          <w:lang w:eastAsia="en-GB"/>
        </w:rPr>
      </w:pPr>
      <w:r w:rsidRPr="005F0A67">
        <w:rPr>
          <w:rFonts w:asciiTheme="majorBidi" w:eastAsia="Georgia" w:hAnsiTheme="majorBidi" w:cstheme="majorBidi"/>
          <w:b/>
          <w:bCs/>
          <w:color w:val="0F4761"/>
          <w:lang w:eastAsia="en-GB"/>
        </w:rPr>
        <w:t>Value chain position and DSI use intensity</w:t>
      </w:r>
    </w:p>
    <w:p w14:paraId="738D2ED7"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DSI use is direct across all four biotechnology sub-groups, though its competitive significance differs by firm type. The biological sequence data are extensively used in commercial biotechnology innovation, as documented through patent citation analyses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{"citationID":"xsfL4Wok","properties":{"unsorted":false,"formattedCitation":"(Oldham, Hall and Forero, 2013; Bousfield {\\i{}et al.}, 2016a)","plainCitation":"(Oldham, Hall and Forero, 2013; Bousfield et al., 2016a)","noteIndex":0},"citationItems":[{"id":436,"uris":["http://zotero.org/users/14977742/items/KMC99ATY"],"itemData":{"id":436,"type":"article-journal","citation-key":"oldhamBiologicalDiversityPatent2013","container-title":"PLoS ONE","DOI":"10.1371/journal.pone.0078737","ISSN":"1932-6203","issue":"11","journalAbbreviation":"PLoS ONE","language":"en","page":"e78737","source":"DOI.org (Crossref)","title":"Biological Diversity in the Patent System","volume":"8","author":[{"family":"Oldham","given":"Paul"},{"family":"Hall","given":"Stephen"},{"family":"Forero","given":"Oscar"}],"editor":[{"family":"Pappalardo","given":"Francesco"}],"issued":{"date-parts":[["2013",11,12]]}}},{"id":435,"uris":["http://zotero.org/users/14977742/items/CTI3KWHC"],"itemData":{"id":435,"type":"article-journal","abstract":"Data from open access biomolecular data resources, such as the European Nucleotide Archive and the Protein Data Bank are extensively reused within life science research for comparative studies, method development and to derive new scientific insights. Indicators that estimate the extent and utility of such secondary use of research data need to reflect this complex and highly variable data usage. By linking open access scientific literature, via Europe PubMedCentral, to the metadata in biological data resources we separate data citations associated with a deposition statement from citations that capture the subsequent, long-term, reuse of data in academia and industry.  We extend this analysis to begin to investigate citations of biomolecular resources in patent documents. We find citations in more than 8,000 patents from 2014, demonstrating substantial use and an important role for data resources in defining biological concepts in granted patents to both academic and industrial innovators. Combined together our results indicate that the citation patterns in biomedical literature and patents vary, not only due to citation practice but also according to the data resource cited. The results guard against the use of simple metrics such as citation counts and show that indicators of data use must not only take into account citations within the biomedical literature but also include reuse of data in industry and other parts of society by including patents and other scientific and technical documents such as guidelines, reports and grant applications.","citation-key":"bousfieldPatternsDatabaseCitation2016a","container-title":"F1000Research","DOI":"10.12688/f1000research.7911.1","ISSN":"2046-1402","journalAbbreviation":"F1000Res","language":"en","page":"160","source":"DOI.org (Crossref)","title":"Patterns of database citation in articles and patents indicate long-term scientific and industry value of biological data resources","volume":"5","author":[{"family":"Bousfield","given":"David"},{"family":"McEntyre","given":"Johanna"},{"family":"Velankar","given":"Sameer"},{"family":"Papadatos","given":"George"},{"family":"Bateman","given":"Alex"},{"family":"Cochrane","given":"Guy"},{"family":"Kim","given":"Jee-Hyub"},{"family":"Graef","given":"Florian"},{"family":"Vartak","given":"Vid"},{"family":"Alako","given":"Blaise"},{"family":"Blomberg","given":"Niklas"}],"issued":{"date-parts":[["2016",2,11]]}}}],"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Georgia" w:hAnsiTheme="majorBidi" w:cstheme="majorBidi"/>
          <w:lang w:eastAsia="en-GB"/>
        </w:rPr>
        <w:t xml:space="preserve">(Oldham, Hall and Forero, 2013; Bousfield </w:t>
      </w:r>
      <w:r w:rsidRPr="005F0A67">
        <w:rPr>
          <w:rFonts w:asciiTheme="majorBidi" w:eastAsia="Georgia" w:hAnsiTheme="majorBidi" w:cstheme="majorBidi"/>
          <w:i/>
          <w:iCs/>
          <w:lang w:eastAsia="en-GB"/>
        </w:rPr>
        <w:t>et al.</w:t>
      </w:r>
      <w:r w:rsidRPr="005F0A67">
        <w:rPr>
          <w:rFonts w:asciiTheme="majorBidi" w:eastAsia="Georgia" w:hAnsiTheme="majorBidi" w:cstheme="majorBidi"/>
          <w:lang w:eastAsia="en-GB"/>
        </w:rPr>
        <w:t>, 2016a)</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For industrial biotechnology firms, DSI is used directly in strain engineering and process characterisation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{"citationID":"tajMvlgc","properties":{"unsorted":false,"formattedCitation":"(Abbate {\\i{}et al.}, 2023)","plainCitation":"(Abbate et al., 2023)","noteIndex":0},"citationItems":[{"id":88,"uris":["http://zotero.org/users/14977742/items/2L749Y2A"],"itemData":{"id":88,"type":"article-journal","abstract":"Biomanufacturing could contribute as much as \\documentclass[12pt]{minimal}\n\\usepackage{amsmath}\n\\usepackage{wasysym}\n\\usepackage{amsfonts}\n\\usepackage{amssymb}\n\\usepackage{amsbsy}\n\\usepackage{upgreek}\n\\usepackage{mathrsfs}\n\\setlength{\\oddsidemargin}{-69pt}\n\\begin{document}\n${\\$}$\\end{document}30 trillion to the global economy by 2030. However, the success of the growing bioeconomy depends on our ability to manufacture high-performing strains in a time- and cost-effective manner. The Design–Build–Test–Learn (DBTL) framework has proven to be an effective strain engineering approach. Significant improvements have been made in genome engineering, genotyping, and phenotyping throughput over the last couple of decades that have greatly accelerated the DBTL cycles. However, to achieve a radical reduction in strain development time and cost, we need to look at the strain engineering process through a lens of optimizing the whole cycle, as opposed to simply increasing throughput at each stage. We propose an approach that integrates all 4 stages of the DBTL cycle and takes advantage of the advances in computational design, high-throughput genome engineering, and phenotyping methods, as well as machine learning tools for making predictions about strain scale-up performance. In this perspective, we discuss the challenges of industrial strain engineering, outline the best approaches to overcoming these challenges, and showcase examples of successful strain engineering projects for production of heterologous proteins, amino acids, and small molecules, as well as improving tolerance, fitness, and de-risking the scale-up of industrial strains., \nGraphical AbstractThis perspective will discuss methods to overcome the challenges in strain engineering necessary to support the increasing role that biotechnology will play as a disruptive force for several industries.","citation-key":"abbateOptimizingStrainEngineering2023","container-title":"Journal of Industrial Microbiology &amp; Biotechnology","DOI":"10.1093/jimb/kuad025","ISSN":"1367-5435","issue":"1","journalAbbreviation":"J Ind Microbiol Biotechnol","page":"kuad025","PMID":"37656881","PMCID":"PMC10548853","source":"PubMed Central","title":"Optimizing the strain engineering process for industrial-scale production of bio-based molecules","volume":"50","author":[{"family":"Abbate","given":"Eric"},{"family":"Andrion","given":"Jennifer"},{"family":"Apel","given":"Amanda"},{"family":"Biggs","given":"Matthew"},{"family":"Chaves","given":"Julie"},{"family":"Cheung","given":"Kristi"},{"family":"Ciesla","given":"Anthony"},{"family":"Clark-ElSayed","given":"Alia"},{"family":"Clay","given":"Michael"},{"family":"Contridas","given":"Riarose"},{"family":"Fox","given":"Richard"},{"family":"Hein","given":"Glenn"},{"family":"Held","given":"Dan"},{"family":"Horwitz","given":"Andrew"},{"family":"Jenkins","given":"Stefan"},{"family":"Kalbarczyk","given":"Karolina"},{"family":"Krishnamurthy","given":"Nandini"},{"family":"Mirsiaghi","given":"Mona"},{"family":"Noon","given":"Katherine"},{"family":"Rowe","given":"Mike"},{"family":"Shepherd","given":"Tyson"},{"family":"Tarasava","given":"Katia"},{"family":"Tarasow","given":"Theodore M"},{"family":"Thacker","given":"Drew"},{"family":"Villa","given":"Gladys"},{"family":"Yerramsetty","given":"Krishna"}],"issued":{"date-parts":[["2023",9,1]]}}}],"schema":"https://github.com/citation-style-language/schema/raw/master/csl-citation.json"}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Georgia" w:hAnsiTheme="majorBidi" w:cstheme="majorBidi"/>
          <w:lang w:val="en-CA" w:eastAsia="en-GB"/>
        </w:rPr>
        <w:t xml:space="preserve">(Abbate </w:t>
      </w:r>
      <w:r w:rsidRPr="005F0A67">
        <w:rPr>
          <w:rFonts w:asciiTheme="majorBidi" w:eastAsia="Georgia" w:hAnsiTheme="majorBidi" w:cstheme="majorBidi"/>
          <w:i/>
          <w:iCs/>
          <w:lang w:val="en-CA" w:eastAsia="en-GB"/>
        </w:rPr>
        <w:t>et al.</w:t>
      </w:r>
      <w:r w:rsidRPr="005F0A67">
        <w:rPr>
          <w:rFonts w:asciiTheme="majorBidi" w:eastAsia="Georgia" w:hAnsiTheme="majorBidi" w:cstheme="majorBidi"/>
          <w:lang w:val="en-CA" w:eastAsia="en-GB"/>
        </w:rPr>
        <w:t>, 2023)</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For molecular diagnostics companies, DSI is used mainly during assay design and validation, rather than in routine commercial manufacturing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{"citationID":"WrRj3c0O","properties":{"unsorted":false,"formattedCitation":"(Sireci {\\i{}et al.}, 2020)","plainCitation":"(Sireci et al., 2020)","noteIndex":0},"citationItems":[{"id":107,"uris":["http://zotero.org/users/14977742/items/52ZRD2HJ"],"itemData":{"id":107,"type":"article-journal","citation-key":"sireciMolecularPathologyEconomics2020","container-title":"The Journal of Molecular Diagnostics","DOI":"10.1016/j.jmoldx.2020.05.008","ISSN":"1525-1578","issue":"8","journalAbbreviation":"The Journal of Molecular Diagnostics","language":"English","page":"975-993","PMID":"32504675","publisher":"Elsevier","source":"www.jmdjournal.org","title":"Molecular Pathology Economics 101: An Overview of Molecular Diagnostics Coding, Coverage, and Reimbursement: A Report of the Association for Molecular Pathology","title-short":"Molecular Pathology Economics 101","volume":"22","author":[{"family":"Sireci","given":"Anthony N."},{"family":"Patel","given":"Jay L."},{"family":"Joseph","given":"Loren"},{"family":"Hiemenz","given":"Matthew C."},{"family":"Rosca","given":"Oana C."},{"family":"Caughron","given":"Samuel K."},{"family":"Thibault-Sennett","given":"Sarah A."},{"family":"Burke","given":"Tara L."},{"family":"Aisner","given":"Dara L."}],"issued":{"date-parts":[["2020",8,1]]}}}],"schema":"https://github.com/citation-style-language/schema/raw/master/csl-citation.json"}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Georgia" w:hAnsiTheme="majorBidi" w:cstheme="majorBidi"/>
          <w:lang w:val="en-CA" w:eastAsia="en-GB"/>
        </w:rPr>
        <w:t xml:space="preserve">(Sireci </w:t>
      </w:r>
      <w:r w:rsidRPr="005F0A67">
        <w:rPr>
          <w:rFonts w:asciiTheme="majorBidi" w:eastAsia="Georgia" w:hAnsiTheme="majorBidi" w:cstheme="majorBidi"/>
          <w:i/>
          <w:iCs/>
          <w:lang w:val="en-CA" w:eastAsia="en-GB"/>
        </w:rPr>
        <w:t>et al.</w:t>
      </w:r>
      <w:r w:rsidRPr="005F0A67">
        <w:rPr>
          <w:rFonts w:asciiTheme="majorBidi" w:eastAsia="Georgia" w:hAnsiTheme="majorBidi" w:cstheme="majorBidi"/>
          <w:lang w:val="en-CA" w:eastAsia="en-GB"/>
        </w:rPr>
        <w:t>, 2020)</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In the case of R&amp;D service and platform providers, these organisations both use and generate sequence data directly, but given they are upstream providers for biopharma and biotech clients, they can pass any contribution costs onto them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{"citationID":"MsM1bQRX","properties":{"unsorted":false,"formattedCitation":"(Huang, 2019b)","plainCitation":"(Huang, 2019b)","noteIndex":0},"citationItems":[{"id":90,"uris":["http://zotero.org/users/14977742/items/NU9G84UR"],"itemData":{"id":90,"type":"article-journal","abstract":", Since the beginning, Contract Research\nOrganizations (CROs) have always faced two core challenges: low profit\nmargin and limited market capitalization. Nowadays, the CRO industry\nis experiencing a supply chain disruption, driving it to chase the\nupstream part of the pharmaceutical value chain. A 3P (past, present,\nprospect) decision-tree model is developed, revealing the future of\nthe CRO industry may be a CRO-Venture model. Perspectives on the potential\ntransformation of CRO industry will contribute to the real-world practice\nand innovation of this business model.","citation-key":"huangContractResearchOrganizations2019","container-title":"ACS Medicinal Chemistry Letters","DOI":"10.1021/acsmedchemlett.9b00046","ISSN":"1948-5875","issue":"5","journalAbbreviation":"ACS Med Chem Lett","page":"684-686","PMID":"31097979","PMCID":"PMC6511962","source":"PubMed Central","title":"Contract Research Organizations Are Seeking Transformation in the Pharmaceutical Value Chain","volume":"10","author":[{"family":"Huang","given":"Jianan"}],"issued":{"date-parts":[["2019",3,13]]}}}],"schema":"https://github.com/citation-style-language/schema/raw/master/csl-citation.json"}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(Huang, 2019b)</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w:t>
      </w:r>
    </w:p>
    <w:p w14:paraId="0A4AE1B9" w14:textId="77777777" w:rsidR="005F0A67" w:rsidRPr="005F0A67" w:rsidRDefault="005F0A67" w:rsidP="00B009ED">
      <w:pPr>
        <w:tabs>
          <w:tab w:val="clear" w:pos="567"/>
          <w:tab w:val="clear" w:pos="1134"/>
          <w:tab w:val="clear" w:pos="1701"/>
          <w:tab w:val="clear" w:pos="2268"/>
        </w:tabs>
        <w:spacing w:after="120"/>
        <w:jc w:val="left"/>
        <w:outlineLvl w:val="3"/>
        <w:rPr>
          <w:rFonts w:asciiTheme="majorBidi" w:eastAsia="Georgia" w:hAnsiTheme="majorBidi" w:cstheme="majorBidi"/>
          <w:b/>
          <w:bCs/>
          <w:color w:val="0F4761"/>
          <w:lang w:eastAsia="en-GB"/>
        </w:rPr>
      </w:pPr>
      <w:r w:rsidRPr="005F0A67">
        <w:rPr>
          <w:rFonts w:asciiTheme="majorBidi" w:eastAsia="Georgia" w:hAnsiTheme="majorBidi" w:cstheme="majorBidi"/>
          <w:b/>
          <w:bCs/>
          <w:color w:val="0F4761"/>
          <w:lang w:eastAsia="en-GB"/>
        </w:rPr>
        <w:t>Expected contribution base</w:t>
      </w:r>
    </w:p>
    <w:p w14:paraId="75C2342B"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The sector's contribution base reflects its financial heterogeneity. With a median margin of 7%, most eligible firms pay on profit, with contributions scaling directly with earnings. Early-stage and pre-commercial firms are unlikely to meet the minimum-of-two threshold criteria and fall largely outside the eligible population. Established biopharmaceutical firms, with median net profit margins of approximately 17%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{"citationID":"9Fq6JFbp","properties":{"unsorted":false,"formattedCitation":"(Popa {\\i{}et al.}, 2018b)","plainCitation":"(Popa et al., 2018b)","noteIndex":0},"citationItems":[{"id":98,"uris":["http://zotero.org/users/14977742/items/2QASZQ6L"],"itemData":{"id":98,"type":"article-journal","abstract":"Background: Profits in the biopharmaceutical industry have been scrutinized in social debate. However, drawing conclusions based on industry profitability only is inappropriate as such an analysis does not account for risks faced by investors. This study aims to measure risks and returns in the biopharmaceutical industry and investigates whether risk-adjusted return on investment in the biopharmaceutical industry is higher than that in other industries., Methods: To enable appropriate comparison, we identified six benchmark industries with characteristics that match those of the biopharmaceutical industry: automotive manufacturing, commercial aircraft manufacturing, consumer electronics, packaged food manufacturing, telecom, and oil and gas. For those industries, we selected the top 25 companies per industry, covering 35–65% of industry revenues. Data on return measures (i.e., net profit margin, return on equity, total shareholder return) and risk measures (i.e., volatility of total shareholder return, beta) were derived from Bloomberg over the 2004–2016 period. The Sharpe ratio was calculated as a measure of risk-adjusted return on investment and compared between industries., Results: Net profit margins varied between 12.6 and 19.5% in the biopharmaceutical industry, and ranged from 2.6 to 8.4% in the benchmark industries. Return on equity for the biopharmaceutical industry was above the average for the other industries. Total shareholder returns for the biopharmaceutical industry amounted to 11.7%, ranking fifth across the seven industries. The biopharmaceutical industry ranked sixth among the seven industries regarding beta, and sixth in terms of volatility of total shareholder return. The median Sharpe value for the biopharmaceutical industry ranked fifth of seven industries., Conclusion: Over the 2004–2016 period, the biopharmaceutical industry did not attain risk-adjusted return on investment in excess of that in other industries and, thus, did not outperform these industries.","citation-key":"popaRiskReturnAnalysisBiopharmaceutical2018","container-title":"Frontiers in Pharmacology","DOI":"10.3389/fphar.2018.01108","ISSN":"1663-9812","journalAbbreviation":"Front Pharmacol","page":"1108","PMID":"30327601","PMCID":"PMC6174211","source":"PubMed Central","title":"Risk-Return Analysis of the Biopharmaceutical Industry as Compared to Other Industries","volume":"9","author":[{"family":"Popa","given":"Cedric"},{"family":"Holvoet","given":"Karel"},{"family":"Van Montfort","given":"Tessa"},{"family":"Groeneveld","given":"Floris"},{"family":"Simoens","given":"Steven"}],"issued":{"date-parts":[["2018",10,1]]}}}],"schema":"https://github.com/citation-style-language/schema/raw/master/csl-citation.json"}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Georgia" w:hAnsiTheme="majorBidi" w:cstheme="majorBidi"/>
          <w:lang w:val="en-CA" w:eastAsia="en-GB"/>
        </w:rPr>
        <w:t xml:space="preserve">(Popa </w:t>
      </w:r>
      <w:r w:rsidRPr="005F0A67">
        <w:rPr>
          <w:rFonts w:asciiTheme="majorBidi" w:eastAsia="Georgia" w:hAnsiTheme="majorBidi" w:cstheme="majorBidi"/>
          <w:i/>
          <w:iCs/>
          <w:lang w:val="en-CA" w:eastAsia="en-GB"/>
        </w:rPr>
        <w:t>et al.</w:t>
      </w:r>
      <w:r w:rsidRPr="005F0A67">
        <w:rPr>
          <w:rFonts w:asciiTheme="majorBidi" w:eastAsia="Georgia" w:hAnsiTheme="majorBidi" w:cstheme="majorBidi"/>
          <w:lang w:val="en-CA" w:eastAsia="en-GB"/>
        </w:rPr>
        <w:t>, 2018b)</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are revenue payers. For industrial biotechnology, margins vary substantially by product market, making a characterisation of the contribution base difficult. For molecular diagnostics and R&amp;D service providers, available data are insufficient to determine the likely contribution base with confidence. </w:t>
      </w:r>
    </w:p>
    <w:p w14:paraId="36585E24"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lang w:val="en-CA" w:eastAsia="en-GB"/>
        </w:rPr>
        <w:t>The three asymmetries identified in Step 2 are reflected in the pillar assessments below: eligibility asymmetry is most significant for biopharmaceutical innovators given US dominance of the global biologics market, and for industrial biotech firms competing against petrochemicals; participation asymmetry operates through first-mover dynamics given the non-binding design, with R&amp;D service firms least exposed due to their ability to pass costs upstream to clients; and contribution base asymmetry is most relevant for industrial biotech and molecular diagnostics firms, which pay predominantly on profit in markets with limited pass-through capacity relative to the biopharmaceutical innovators paying on revenue.</w:t>
      </w:r>
    </w:p>
    <w:p w14:paraId="30876026" w14:textId="77777777" w:rsidR="005F0A67" w:rsidRPr="005F0A67" w:rsidRDefault="005F0A67" w:rsidP="00B009ED">
      <w:pPr>
        <w:tabs>
          <w:tab w:val="clear" w:pos="567"/>
          <w:tab w:val="clear" w:pos="1134"/>
          <w:tab w:val="clear" w:pos="1701"/>
          <w:tab w:val="clear" w:pos="2268"/>
        </w:tabs>
        <w:spacing w:before="320" w:after="160"/>
        <w:ind w:left="720"/>
        <w:jc w:val="left"/>
        <w:outlineLvl w:val="2"/>
        <w:rPr>
          <w:rFonts w:asciiTheme="majorBidi" w:eastAsia="Arial" w:hAnsiTheme="majorBidi" w:cstheme="majorBidi"/>
          <w:b/>
          <w:bCs/>
          <w:color w:val="7F7F7F"/>
          <w:sz w:val="23"/>
          <w:szCs w:val="23"/>
          <w:lang w:val="en-CA" w:eastAsia="en-GB"/>
        </w:rPr>
      </w:pPr>
      <w:bookmarkStart w:id="197" w:name="_Toc234579605"/>
      <w:r w:rsidRPr="005F0A67">
        <w:rPr>
          <w:rFonts w:asciiTheme="majorBidi" w:eastAsia="Arial" w:hAnsiTheme="majorBidi" w:cstheme="majorBidi"/>
          <w:b/>
          <w:bCs/>
          <w:color w:val="7F7F7F"/>
          <w:sz w:val="23"/>
          <w:szCs w:val="23"/>
          <w:lang w:val="en-CA" w:eastAsia="en-GB"/>
        </w:rPr>
        <w:t>Pillar assessment (step 3)</w:t>
      </w:r>
      <w:bookmarkEnd w:id="197"/>
    </w:p>
    <w:p w14:paraId="54805B29"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_Ref231768777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Table 26</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_Ref231768786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Table 27</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and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_Ref231768794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Table 28</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present the materiality assessment for Pillars I, II and III respectively, drawing on the sector characterisation in Section 7.8, the broader empirical literature findings in Section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_Ref231121284 \r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7.4</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and the analytical framework in Section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_Ref230281726 \r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7.5</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w:t>
      </w:r>
    </w:p>
    <w:p w14:paraId="5B360710"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lang w:val="en-CA" w:eastAsia="en-GB"/>
        </w:rPr>
        <w:t xml:space="preserve">The biotechnology sector's principal competitive risk lies in the structural asymmetry with US-headquartered rivals, which generates a high materiality finding for biopharmaceutical innovators on competitive position versus non-Party competitors given US dominance of the global biologics market. Most direct financial channels across Pillar I are assessed as Low for biopharmaceutical innovators, with the exception of pass-through capacity which is Moderate given some pricing power through reimbursement negotiations; Moderate materiality also arises for certainty and predictability given long development pipeline horizons and unresolved WHO PABS dual-framework uncertainty, and for R&amp;D investment and product innovation capacity given high R&amp;D intensity and long development cycles. Industrial biotechnology and biomanufacturing firms are the most exposed firm type in Pillar I, where thin margins and competition against petrochemical benchmarks mean even small cost differentials are competitively significant. R&amp;D service and platform organisations are the least </w:t>
      </w:r>
      <w:r w:rsidRPr="005F0A67">
        <w:rPr>
          <w:rFonts w:asciiTheme="majorBidi" w:eastAsia="Times New Roman" w:hAnsiTheme="majorBidi" w:cstheme="majorBidi"/>
          <w:lang w:val="en-CA" w:eastAsia="en-GB"/>
        </w:rPr>
        <w:lastRenderedPageBreak/>
        <w:t>exposed throughout, given their ability to pass contribution costs upstream to biopharma and biotech clients. Molecular diagnostics firms face limited competitiveness risk overall, given predominantly domestic service delivery and reimbursement-constrained markets where non-Party competitor exposure is low.</w:t>
      </w:r>
    </w:p>
    <w:p w14:paraId="42B9E27B"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sectPr w:rsidR="005F0A67" w:rsidRPr="005F0A67" w:rsidSect="005F0A67">
          <w:pgSz w:w="12240" w:h="15840"/>
          <w:pgMar w:top="1080" w:right="1260" w:bottom="1080" w:left="1260" w:header="706" w:footer="706" w:gutter="0"/>
          <w:cols w:space="720"/>
          <w:docGrid w:linePitch="360"/>
        </w:sectPr>
      </w:pPr>
      <w:r w:rsidRPr="005F0A67">
        <w:rPr>
          <w:rFonts w:asciiTheme="majorBidi" w:eastAsia="Times New Roman" w:hAnsiTheme="majorBidi" w:cstheme="majorBidi"/>
          <w:lang w:val="en-CA" w:eastAsia="en-GB"/>
        </w:rPr>
        <w:t>Where competitive effects do materialise, their downstream implications would vary by firm type. For biopharmaceutical innovators, the primary theoretical concern is that margin compression could affect biologics development pipelines at the margin, with potential implications for the pace of innovation in biological medicines over long time horizons; as with pharmaceutical innovators, however, large well-capitalised firms do not reduce R&amp;D proportionally to revenue changes at burden levels of this magnitude, and early-stage innovators most sensitive to financing constraints fall largely outside the eligible population under the profit floor. For industrial biotechnology and biomanufacturing firms, the more immediate concern is competitive viability in commodity-adjacent markets where margins are already thin and bio-based alternatives compete against established petrochemicals; cost absorption rather than pass-through is the likely response, with the non-binding design providing a safeguard for the most exposed firms. The possibility that biopharmaceutical innovators pass some portion of the contribution into output pricing through reimbursement negotiations cannot be excluded, though at indicative rates this effect would be negligible relative to the scale of existing pricing dynamics in regulated biopharmaceutical markets.</w:t>
      </w:r>
    </w:p>
    <w:p w14:paraId="70325136" w14:textId="77777777" w:rsidR="005F0A67" w:rsidRPr="005F0A67" w:rsidRDefault="005F0A67" w:rsidP="005F0A67">
      <w:pPr>
        <w:tabs>
          <w:tab w:val="clear" w:pos="567"/>
          <w:tab w:val="clear" w:pos="1134"/>
          <w:tab w:val="clear" w:pos="1701"/>
          <w:tab w:val="clear" w:pos="2268"/>
        </w:tabs>
        <w:spacing w:after="200" w:line="312" w:lineRule="auto"/>
        <w:contextualSpacing/>
        <w:rPr>
          <w:rFonts w:asciiTheme="majorBidi" w:eastAsia="Georgia" w:hAnsiTheme="majorBidi" w:cstheme="majorBidi"/>
          <w:b/>
          <w:bCs/>
          <w:color w:val="419844"/>
          <w:lang w:eastAsia="en-GB"/>
        </w:rPr>
      </w:pPr>
      <w:bookmarkStart w:id="198" w:name="_Ref231768777"/>
      <w:r w:rsidRPr="005F0A67">
        <w:rPr>
          <w:rFonts w:asciiTheme="majorBidi" w:eastAsia="Georgia" w:hAnsiTheme="majorBidi" w:cstheme="majorBidi"/>
          <w:b/>
          <w:bCs/>
          <w:color w:val="419844"/>
          <w:lang w:val="en-US" w:eastAsia="ja-JP"/>
        </w:rPr>
        <w:lastRenderedPageBreak/>
        <w:t xml:space="preserve">Table </w:t>
      </w:r>
      <w:r w:rsidRPr="005F0A67">
        <w:rPr>
          <w:rFonts w:asciiTheme="majorBidi" w:eastAsia="Georgia" w:hAnsiTheme="majorBidi" w:cstheme="majorBidi"/>
          <w:b/>
          <w:bCs/>
          <w:color w:val="419844"/>
          <w:lang w:eastAsia="en-GB"/>
        </w:rPr>
        <w:fldChar w:fldCharType="begin"/>
      </w:r>
      <w:r w:rsidRPr="005F0A67">
        <w:rPr>
          <w:rFonts w:asciiTheme="majorBidi" w:eastAsia="Georgia" w:hAnsiTheme="majorBidi" w:cstheme="majorBidi"/>
          <w:b/>
          <w:bCs/>
          <w:color w:val="419844"/>
          <w:lang w:eastAsia="en-GB"/>
        </w:rPr>
        <w:instrText xml:space="preserve"> SEQ Table \* ARABIC </w:instrText>
      </w:r>
      <w:r w:rsidRPr="005F0A67">
        <w:rPr>
          <w:rFonts w:asciiTheme="majorBidi" w:eastAsia="Georgia" w:hAnsiTheme="majorBidi" w:cstheme="majorBidi"/>
          <w:b/>
          <w:bCs/>
          <w:color w:val="419844"/>
          <w:lang w:eastAsia="en-GB"/>
        </w:rPr>
        <w:fldChar w:fldCharType="separate"/>
      </w:r>
      <w:r w:rsidRPr="005F0A67">
        <w:rPr>
          <w:rFonts w:asciiTheme="majorBidi" w:eastAsia="Georgia" w:hAnsiTheme="majorBidi" w:cstheme="majorBidi"/>
          <w:b/>
          <w:bCs/>
          <w:noProof/>
          <w:color w:val="419844"/>
          <w:lang w:eastAsia="en-GB"/>
        </w:rPr>
        <w:t>26</w:t>
      </w:r>
      <w:r w:rsidRPr="005F0A67">
        <w:rPr>
          <w:rFonts w:asciiTheme="majorBidi" w:eastAsia="Georgia" w:hAnsiTheme="majorBidi" w:cstheme="majorBidi"/>
          <w:b/>
          <w:bCs/>
          <w:color w:val="419844"/>
          <w:lang w:eastAsia="en-GB"/>
        </w:rPr>
        <w:fldChar w:fldCharType="end"/>
      </w:r>
      <w:bookmarkEnd w:id="198"/>
      <w:r w:rsidRPr="005F0A67">
        <w:rPr>
          <w:rFonts w:asciiTheme="majorBidi" w:eastAsia="Georgia" w:hAnsiTheme="majorBidi" w:cstheme="majorBidi"/>
          <w:b/>
          <w:bCs/>
          <w:color w:val="419844"/>
          <w:lang w:val="en-US" w:eastAsia="ja-JP"/>
        </w:rPr>
        <w:t xml:space="preserve"> Pillar I: costs and price competitiveness impacts materiality assessment - Biotechnology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6"/>
        <w:gridCol w:w="1647"/>
        <w:gridCol w:w="1163"/>
        <w:gridCol w:w="1185"/>
        <w:gridCol w:w="5258"/>
        <w:gridCol w:w="1179"/>
      </w:tblGrid>
      <w:tr w:rsidR="005F0A67" w:rsidRPr="005F0A67" w14:paraId="60BAD611" w14:textId="77777777" w:rsidTr="00FB671B">
        <w:tc>
          <w:tcPr>
            <w:tcW w:w="1187" w:type="pct"/>
            <w:tcBorders>
              <w:top w:val="single" w:sz="1" w:space="0" w:color="AAAAAA"/>
              <w:left w:val="single" w:sz="1" w:space="0" w:color="AAAAAA"/>
              <w:right w:val="single" w:sz="1" w:space="0" w:color="AAAAAA"/>
            </w:tcBorders>
            <w:shd w:val="clear" w:color="auto" w:fill="1F4E6B"/>
            <w:tcMar>
              <w:top w:w="60" w:type="dxa"/>
              <w:left w:w="100" w:type="dxa"/>
              <w:bottom w:w="60" w:type="dxa"/>
              <w:right w:w="100" w:type="dxa"/>
            </w:tcMar>
          </w:tcPr>
          <w:p w14:paraId="55627E3A"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color w:val="FFFFFF"/>
                <w:sz w:val="18"/>
                <w:szCs w:val="18"/>
                <w:lang w:val="en-CA" w:eastAsia="en-GB"/>
              </w:rPr>
              <w:t>Impact</w:t>
            </w:r>
          </w:p>
        </w:tc>
        <w:tc>
          <w:tcPr>
            <w:tcW w:w="602" w:type="pct"/>
            <w:tcBorders>
              <w:top w:val="single" w:sz="1" w:space="0" w:color="AAAAAA"/>
              <w:left w:val="single" w:sz="1" w:space="0" w:color="AAAAAA"/>
              <w:right w:val="single" w:sz="1" w:space="0" w:color="AAAAAA"/>
            </w:tcBorders>
            <w:shd w:val="clear" w:color="auto" w:fill="1F4E6B"/>
            <w:tcMar>
              <w:top w:w="60" w:type="dxa"/>
              <w:left w:w="100" w:type="dxa"/>
              <w:bottom w:w="60" w:type="dxa"/>
              <w:right w:w="100" w:type="dxa"/>
            </w:tcMar>
          </w:tcPr>
          <w:p w14:paraId="3E91496B"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color w:val="FFFFFF"/>
                <w:sz w:val="18"/>
                <w:szCs w:val="18"/>
                <w:lang w:val="en-CA" w:eastAsia="en-GB"/>
              </w:rPr>
              <w:t>Firm type</w:t>
            </w:r>
          </w:p>
        </w:tc>
        <w:tc>
          <w:tcPr>
            <w:tcW w:w="425" w:type="pct"/>
            <w:tcBorders>
              <w:top w:val="single" w:sz="1" w:space="0" w:color="AAAAAA"/>
              <w:left w:val="single" w:sz="1" w:space="0" w:color="AAAAAA"/>
              <w:right w:val="single" w:sz="1" w:space="0" w:color="AAAAAA"/>
            </w:tcBorders>
            <w:shd w:val="clear" w:color="auto" w:fill="1F4E6B"/>
            <w:tcMar>
              <w:top w:w="60" w:type="dxa"/>
              <w:left w:w="100" w:type="dxa"/>
              <w:bottom w:w="60" w:type="dxa"/>
              <w:right w:w="100" w:type="dxa"/>
            </w:tcMar>
          </w:tcPr>
          <w:p w14:paraId="66BA593F"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color w:val="FFFFFF"/>
                <w:sz w:val="18"/>
                <w:szCs w:val="18"/>
                <w:lang w:val="en-CA" w:eastAsia="en-GB"/>
              </w:rPr>
              <w:t>Magnitude</w:t>
            </w:r>
          </w:p>
        </w:tc>
        <w:tc>
          <w:tcPr>
            <w:tcW w:w="433" w:type="pct"/>
            <w:tcBorders>
              <w:top w:val="single" w:sz="1" w:space="0" w:color="AAAAAA"/>
              <w:left w:val="single" w:sz="1" w:space="0" w:color="AAAAAA"/>
              <w:right w:val="single" w:sz="1" w:space="0" w:color="AAAAAA"/>
            </w:tcBorders>
            <w:shd w:val="clear" w:color="auto" w:fill="1F4E6B"/>
            <w:tcMar>
              <w:top w:w="60" w:type="dxa"/>
              <w:left w:w="100" w:type="dxa"/>
              <w:bottom w:w="60" w:type="dxa"/>
              <w:right w:w="100" w:type="dxa"/>
            </w:tcMar>
          </w:tcPr>
          <w:p w14:paraId="15FEBBC0"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color w:val="FFFFFF"/>
                <w:sz w:val="18"/>
                <w:szCs w:val="18"/>
                <w:lang w:val="en-CA" w:eastAsia="en-GB"/>
              </w:rPr>
              <w:t>Probability</w:t>
            </w:r>
          </w:p>
        </w:tc>
        <w:tc>
          <w:tcPr>
            <w:tcW w:w="1922" w:type="pct"/>
            <w:tcBorders>
              <w:top w:val="single" w:sz="1" w:space="0" w:color="AAAAAA"/>
              <w:left w:val="single" w:sz="1" w:space="0" w:color="AAAAAA"/>
              <w:right w:val="single" w:sz="1" w:space="0" w:color="AAAAAA"/>
            </w:tcBorders>
            <w:shd w:val="clear" w:color="auto" w:fill="1F4E6B"/>
            <w:tcMar>
              <w:top w:w="60" w:type="dxa"/>
              <w:left w:w="100" w:type="dxa"/>
              <w:bottom w:w="60" w:type="dxa"/>
              <w:right w:w="100" w:type="dxa"/>
            </w:tcMar>
          </w:tcPr>
          <w:p w14:paraId="687583DF"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color w:val="FFFFFF"/>
                <w:sz w:val="18"/>
                <w:szCs w:val="18"/>
                <w:lang w:val="en-CA" w:eastAsia="en-GB"/>
              </w:rPr>
              <w:t>Key conditions</w:t>
            </w:r>
          </w:p>
        </w:tc>
        <w:tc>
          <w:tcPr>
            <w:tcW w:w="431" w:type="pct"/>
            <w:tcBorders>
              <w:top w:val="single" w:sz="1" w:space="0" w:color="AAAAAA"/>
              <w:left w:val="single" w:sz="1" w:space="0" w:color="AAAAAA"/>
              <w:right w:val="single" w:sz="1" w:space="0" w:color="AAAAAA"/>
            </w:tcBorders>
            <w:shd w:val="clear" w:color="auto" w:fill="1F4E6B"/>
            <w:tcMar>
              <w:top w:w="60" w:type="dxa"/>
              <w:left w:w="100" w:type="dxa"/>
              <w:bottom w:w="60" w:type="dxa"/>
              <w:right w:w="100" w:type="dxa"/>
            </w:tcMar>
          </w:tcPr>
          <w:p w14:paraId="7F50FB04"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color w:val="FFFFFF"/>
                <w:sz w:val="18"/>
                <w:szCs w:val="18"/>
                <w:lang w:val="en-CA" w:eastAsia="en-GB"/>
              </w:rPr>
              <w:t>Materiality</w:t>
            </w:r>
          </w:p>
        </w:tc>
      </w:tr>
      <w:tr w:rsidR="005F0A67" w:rsidRPr="005F0A67" w14:paraId="2719438E" w14:textId="77777777" w:rsidTr="005F0A67">
        <w:tc>
          <w:tcPr>
            <w:tcW w:w="1187" w:type="pct"/>
            <w:vMerge w:val="restar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7AB32FB3"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b/>
                <w:bCs/>
                <w:sz w:val="18"/>
                <w:szCs w:val="18"/>
                <w:lang w:val="en-CA" w:eastAsia="en-GB"/>
              </w:rPr>
            </w:pPr>
            <w:r w:rsidRPr="005F0A67">
              <w:rPr>
                <w:rFonts w:asciiTheme="majorBidi" w:eastAsia="Times New Roman" w:hAnsiTheme="majorBidi" w:cstheme="majorBidi"/>
                <w:b/>
                <w:bCs/>
                <w:sz w:val="18"/>
                <w:szCs w:val="18"/>
                <w:lang w:val="en-CA" w:eastAsia="en-GB"/>
              </w:rPr>
              <w:t>Administrative burden</w:t>
            </w:r>
          </w:p>
          <w:p w14:paraId="4739EAF3"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Costs of calculating, reporting, and documenting the contribution. Low under current revenue/profit design as both bases use indicators already reported for tax and accounting. Significance rises substantially if scope shifts to product- or use-based attribution, requiring DSI tracking at product level. All four biotech firm types use DSI directly, documented through patent citation analyses (Oldham, Hall and Forero, 2013; Bousfield et al., 2016b).</w:t>
            </w:r>
          </w:p>
        </w:tc>
        <w:tc>
          <w:tcPr>
            <w:tcW w:w="60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13F74F1C"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Biopharmaceutical innovators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11A2AF0E"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2922634F"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c>
          <w:tcPr>
            <w:tcW w:w="192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2748A285"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Potential obligation stacking with WHO PABS (U7) for pathogen-adjacent activities; contribution base definition (U12).</w:t>
            </w:r>
          </w:p>
        </w:tc>
        <w:tc>
          <w:tcPr>
            <w:tcW w:w="431" w:type="pct"/>
            <w:tcBorders>
              <w:top w:val="single" w:sz="1" w:space="0" w:color="AAAAAA"/>
              <w:left w:val="single" w:sz="1" w:space="0" w:color="AAAAAA"/>
              <w:right w:val="single" w:sz="1" w:space="0" w:color="AAAAAA"/>
            </w:tcBorders>
            <w:shd w:val="clear" w:color="auto" w:fill="D9F2D0"/>
            <w:tcMar>
              <w:top w:w="60" w:type="dxa"/>
              <w:left w:w="100" w:type="dxa"/>
              <w:bottom w:w="60" w:type="dxa"/>
              <w:right w:w="100" w:type="dxa"/>
            </w:tcMar>
            <w:vAlign w:val="center"/>
          </w:tcPr>
          <w:p w14:paraId="288F9379"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b/>
                <w:bCs/>
                <w:sz w:val="24"/>
                <w:szCs w:val="24"/>
                <w:lang w:val="en-CA" w:eastAsia="en-GB"/>
              </w:rPr>
            </w:pPr>
            <w:r w:rsidRPr="005F0A67">
              <w:rPr>
                <w:rFonts w:asciiTheme="majorBidi" w:eastAsia="Times New Roman" w:hAnsiTheme="majorBidi" w:cstheme="majorBidi"/>
                <w:b/>
                <w:bCs/>
                <w:sz w:val="18"/>
                <w:szCs w:val="18"/>
                <w:lang w:val="en-CA" w:eastAsia="en-GB"/>
              </w:rPr>
              <w:t>Low</w:t>
            </w:r>
          </w:p>
        </w:tc>
      </w:tr>
      <w:tr w:rsidR="005F0A67" w:rsidRPr="005F0A67" w14:paraId="31F98F35" w14:textId="77777777" w:rsidTr="005F0A67">
        <w:tc>
          <w:tcPr>
            <w:tcW w:w="1187" w:type="pct"/>
            <w:vMerge/>
            <w:tcMar>
              <w:top w:w="60" w:type="dxa"/>
              <w:left w:w="100" w:type="dxa"/>
              <w:bottom w:w="60" w:type="dxa"/>
              <w:right w:w="100" w:type="dxa"/>
            </w:tcMar>
          </w:tcPr>
          <w:p w14:paraId="0F4153B7"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p>
        </w:tc>
        <w:tc>
          <w:tcPr>
            <w:tcW w:w="60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58353EA3"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Molecular diagnostics and clinical laboratory services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0DB0E509"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564F3A5F"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c>
          <w:tcPr>
            <w:tcW w:w="192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387F3FE1"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DSI use concentrated in assay design and validation rather than routine manufacturing (Sireci et al., 2020), limiting documentation burden; contribution base definition (U12).</w:t>
            </w:r>
          </w:p>
        </w:tc>
        <w:tc>
          <w:tcPr>
            <w:tcW w:w="431" w:type="pct"/>
            <w:tcBorders>
              <w:top w:val="single" w:sz="1" w:space="0" w:color="AAAAAA"/>
              <w:left w:val="single" w:sz="1" w:space="0" w:color="AAAAAA"/>
              <w:right w:val="single" w:sz="1" w:space="0" w:color="AAAAAA"/>
            </w:tcBorders>
            <w:shd w:val="clear" w:color="auto" w:fill="D9F2D0"/>
            <w:tcMar>
              <w:top w:w="60" w:type="dxa"/>
              <w:left w:w="100" w:type="dxa"/>
              <w:bottom w:w="60" w:type="dxa"/>
              <w:right w:w="100" w:type="dxa"/>
            </w:tcMar>
            <w:vAlign w:val="center"/>
          </w:tcPr>
          <w:p w14:paraId="04C26DC3"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b/>
                <w:bCs/>
                <w:sz w:val="24"/>
                <w:szCs w:val="24"/>
                <w:lang w:val="en-CA" w:eastAsia="en-GB"/>
              </w:rPr>
            </w:pPr>
            <w:r w:rsidRPr="005F0A67">
              <w:rPr>
                <w:rFonts w:asciiTheme="majorBidi" w:eastAsia="Times New Roman" w:hAnsiTheme="majorBidi" w:cstheme="majorBidi"/>
                <w:b/>
                <w:bCs/>
                <w:sz w:val="18"/>
                <w:szCs w:val="18"/>
                <w:lang w:val="en-CA" w:eastAsia="en-GB"/>
              </w:rPr>
              <w:t>Low</w:t>
            </w:r>
          </w:p>
        </w:tc>
      </w:tr>
      <w:tr w:rsidR="005F0A67" w:rsidRPr="005F0A67" w14:paraId="492145E6" w14:textId="77777777" w:rsidTr="005F0A67">
        <w:tc>
          <w:tcPr>
            <w:tcW w:w="1187" w:type="pct"/>
            <w:vMerge/>
            <w:tcMar>
              <w:top w:w="60" w:type="dxa"/>
              <w:left w:w="100" w:type="dxa"/>
              <w:bottom w:w="60" w:type="dxa"/>
              <w:right w:w="100" w:type="dxa"/>
            </w:tcMar>
          </w:tcPr>
          <w:p w14:paraId="4DF7B507"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p>
        </w:tc>
        <w:tc>
          <w:tcPr>
            <w:tcW w:w="60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32E8A00A"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Industrial biotechnology and biomanufacturing</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215078F3"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273CC989"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c>
          <w:tcPr>
            <w:tcW w:w="192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620C5CA4"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DSI used directly in strain engineering and process characterisation (Abbate et al., 2023); broad scope interpretation could require product-level DSI tracking; contribution base definition (U12).</w:t>
            </w:r>
          </w:p>
        </w:tc>
        <w:tc>
          <w:tcPr>
            <w:tcW w:w="431" w:type="pct"/>
            <w:tcBorders>
              <w:top w:val="single" w:sz="1" w:space="0" w:color="AAAAAA"/>
              <w:left w:val="single" w:sz="1" w:space="0" w:color="AAAAAA"/>
              <w:right w:val="single" w:sz="1" w:space="0" w:color="AAAAAA"/>
            </w:tcBorders>
            <w:shd w:val="clear" w:color="auto" w:fill="D9F2D0"/>
            <w:tcMar>
              <w:top w:w="60" w:type="dxa"/>
              <w:left w:w="100" w:type="dxa"/>
              <w:bottom w:w="60" w:type="dxa"/>
              <w:right w:w="100" w:type="dxa"/>
            </w:tcMar>
            <w:vAlign w:val="center"/>
          </w:tcPr>
          <w:p w14:paraId="0F4AF18C"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b/>
                <w:bCs/>
                <w:sz w:val="24"/>
                <w:szCs w:val="24"/>
                <w:lang w:val="en-CA" w:eastAsia="en-GB"/>
              </w:rPr>
            </w:pPr>
            <w:r w:rsidRPr="005F0A67">
              <w:rPr>
                <w:rFonts w:asciiTheme="majorBidi" w:eastAsia="Times New Roman" w:hAnsiTheme="majorBidi" w:cstheme="majorBidi"/>
                <w:b/>
                <w:bCs/>
                <w:sz w:val="18"/>
                <w:szCs w:val="18"/>
                <w:lang w:val="en-CA" w:eastAsia="en-GB"/>
              </w:rPr>
              <w:t>Low</w:t>
            </w:r>
          </w:p>
        </w:tc>
      </w:tr>
      <w:tr w:rsidR="005F0A67" w:rsidRPr="005F0A67" w14:paraId="55316D95" w14:textId="77777777" w:rsidTr="005F0A67">
        <w:tc>
          <w:tcPr>
            <w:tcW w:w="1187" w:type="pct"/>
            <w:vMerge/>
            <w:tcMar>
              <w:top w:w="60" w:type="dxa"/>
              <w:left w:w="100" w:type="dxa"/>
              <w:bottom w:w="60" w:type="dxa"/>
              <w:right w:w="100" w:type="dxa"/>
            </w:tcMar>
          </w:tcPr>
          <w:p w14:paraId="1C8371AE"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p>
        </w:tc>
        <w:tc>
          <w:tcPr>
            <w:tcW w:w="60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79ACF3FA"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R&amp;D service and platform organisations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7B18C0DE"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7FABF902"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c>
          <w:tcPr>
            <w:tcW w:w="192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037CC561"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These firms both use and generate sequence data directly; documentation burden may be lower given DSI is central to their core activity. Contribution base definition (U12).</w:t>
            </w:r>
          </w:p>
        </w:tc>
        <w:tc>
          <w:tcPr>
            <w:tcW w:w="431" w:type="pct"/>
            <w:tcBorders>
              <w:top w:val="single" w:sz="1" w:space="0" w:color="AAAAAA"/>
              <w:left w:val="single" w:sz="1" w:space="0" w:color="AAAAAA"/>
              <w:right w:val="single" w:sz="1" w:space="0" w:color="AAAAAA"/>
            </w:tcBorders>
            <w:shd w:val="clear" w:color="auto" w:fill="D9F2D0"/>
            <w:tcMar>
              <w:top w:w="60" w:type="dxa"/>
              <w:left w:w="100" w:type="dxa"/>
              <w:bottom w:w="60" w:type="dxa"/>
              <w:right w:w="100" w:type="dxa"/>
            </w:tcMar>
            <w:vAlign w:val="center"/>
          </w:tcPr>
          <w:p w14:paraId="64ACD342"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b/>
                <w:bCs/>
                <w:sz w:val="24"/>
                <w:szCs w:val="24"/>
                <w:lang w:val="en-CA" w:eastAsia="en-GB"/>
              </w:rPr>
            </w:pPr>
            <w:r w:rsidRPr="005F0A67">
              <w:rPr>
                <w:rFonts w:asciiTheme="majorBidi" w:eastAsia="Times New Roman" w:hAnsiTheme="majorBidi" w:cstheme="majorBidi"/>
                <w:b/>
                <w:bCs/>
                <w:sz w:val="18"/>
                <w:szCs w:val="18"/>
                <w:lang w:val="en-CA" w:eastAsia="en-GB"/>
              </w:rPr>
              <w:t>Low</w:t>
            </w:r>
          </w:p>
        </w:tc>
      </w:tr>
      <w:tr w:rsidR="005F0A67" w:rsidRPr="005F0A67" w14:paraId="2D498A37" w14:textId="77777777" w:rsidTr="005F0A67">
        <w:tc>
          <w:tcPr>
            <w:tcW w:w="1187" w:type="pct"/>
            <w:vMerge w:val="restar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6445C877"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b/>
                <w:bCs/>
                <w:sz w:val="18"/>
                <w:szCs w:val="18"/>
                <w:lang w:val="en-CA" w:eastAsia="en-GB"/>
              </w:rPr>
            </w:pPr>
            <w:r w:rsidRPr="005F0A67">
              <w:rPr>
                <w:rFonts w:asciiTheme="majorBidi" w:eastAsia="Times New Roman" w:hAnsiTheme="majorBidi" w:cstheme="majorBidi"/>
                <w:b/>
                <w:bCs/>
                <w:sz w:val="18"/>
                <w:szCs w:val="18"/>
                <w:lang w:val="en-CA" w:eastAsia="en-GB"/>
              </w:rPr>
              <w:t>Substantive compliance costs</w:t>
            </w:r>
          </w:p>
          <w:p w14:paraId="6428672D"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The contribution payment itself as a direct cost burden. The sector median margin is 7% (Table 10), with most eligible firms paying on profit. Established biopharmaceutical firms with median net profit margins of approximately 17% (Popa et al., 2018b) are revenue-base payers facing a minor burden. Industrial biotech and R&amp;D service firms with structurally lower margins face a proportionally higher profit-base burden. Early-stage and pre-commercial firms fall largely outside the eligible population under the two-of-three threshold rule.</w:t>
            </w:r>
          </w:p>
        </w:tc>
        <w:tc>
          <w:tcPr>
            <w:tcW w:w="60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7D0B2367"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Biopharmaceutical innovators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2F5A2280"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2FEA5A8C"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Medium</w:t>
            </w:r>
          </w:p>
        </w:tc>
        <w:tc>
          <w:tcPr>
            <w:tcW w:w="192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4CA082BA"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Established biopharmaceutical firms with median margins ~17% pay on revenue; burden minor as a share of revenue. Smaller financially constrained innovators more exposed but typically below the eligibility threshold. Rate revision; potential WHO PABS obligation stacking (U7); entity definition (U3).</w:t>
            </w:r>
          </w:p>
        </w:tc>
        <w:tc>
          <w:tcPr>
            <w:tcW w:w="431" w:type="pct"/>
            <w:tcBorders>
              <w:top w:val="single" w:sz="1" w:space="0" w:color="AAAAAA"/>
              <w:left w:val="single" w:sz="1" w:space="0" w:color="AAAAAA"/>
              <w:right w:val="single" w:sz="1" w:space="0" w:color="AAAAAA"/>
            </w:tcBorders>
            <w:shd w:val="clear" w:color="auto" w:fill="D9F3D0"/>
            <w:tcMar>
              <w:top w:w="60" w:type="dxa"/>
              <w:left w:w="100" w:type="dxa"/>
              <w:bottom w:w="60" w:type="dxa"/>
              <w:right w:w="100" w:type="dxa"/>
            </w:tcMar>
            <w:vAlign w:val="center"/>
          </w:tcPr>
          <w:p w14:paraId="44C3F98E"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b/>
                <w:bCs/>
                <w:sz w:val="24"/>
                <w:szCs w:val="24"/>
                <w:lang w:val="en-CA" w:eastAsia="en-GB"/>
              </w:rPr>
            </w:pPr>
            <w:r w:rsidRPr="005F0A67">
              <w:rPr>
                <w:rFonts w:asciiTheme="majorBidi" w:eastAsia="Times New Roman" w:hAnsiTheme="majorBidi" w:cstheme="majorBidi"/>
                <w:b/>
                <w:bCs/>
                <w:sz w:val="18"/>
                <w:szCs w:val="18"/>
                <w:lang w:val="en-CA" w:eastAsia="en-GB"/>
              </w:rPr>
              <w:t>Low</w:t>
            </w:r>
          </w:p>
        </w:tc>
      </w:tr>
      <w:tr w:rsidR="005F0A67" w:rsidRPr="005F0A67" w14:paraId="342BBB9F" w14:textId="77777777" w:rsidTr="005F0A67">
        <w:tc>
          <w:tcPr>
            <w:tcW w:w="1187" w:type="pct"/>
            <w:vMerge/>
            <w:tcMar>
              <w:top w:w="60" w:type="dxa"/>
              <w:left w:w="100" w:type="dxa"/>
              <w:bottom w:w="60" w:type="dxa"/>
              <w:right w:w="100" w:type="dxa"/>
            </w:tcMar>
          </w:tcPr>
          <w:p w14:paraId="79481A59"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p>
        </w:tc>
        <w:tc>
          <w:tcPr>
            <w:tcW w:w="60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5E27B547"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Molecular diagnostics and clinical laboratory services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346242D4"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38AA9748"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Medium</w:t>
            </w:r>
          </w:p>
        </w:tc>
        <w:tc>
          <w:tcPr>
            <w:tcW w:w="192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037A7DF3"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Reimbursement fee schedule pressure (e.g. PAMA cuts affecting 75% of US clinical laboratory tests, Sireci et al., 2020) already compresses margins; contribution adds to a constrained cost structure. Limited firm-level margin data available. Rate revision; entity definition (U3).</w:t>
            </w:r>
          </w:p>
        </w:tc>
        <w:tc>
          <w:tcPr>
            <w:tcW w:w="431" w:type="pct"/>
            <w:tcBorders>
              <w:top w:val="single" w:sz="1" w:space="0" w:color="AAAAAA"/>
              <w:left w:val="single" w:sz="1" w:space="0" w:color="AAAAAA"/>
              <w:right w:val="single" w:sz="1" w:space="0" w:color="AAAAAA"/>
            </w:tcBorders>
            <w:shd w:val="clear" w:color="auto" w:fill="D9F3D0"/>
            <w:tcMar>
              <w:top w:w="60" w:type="dxa"/>
              <w:left w:w="100" w:type="dxa"/>
              <w:bottom w:w="60" w:type="dxa"/>
              <w:right w:w="100" w:type="dxa"/>
            </w:tcMar>
            <w:vAlign w:val="center"/>
          </w:tcPr>
          <w:p w14:paraId="0D3E901F"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b/>
                <w:bCs/>
                <w:sz w:val="24"/>
                <w:szCs w:val="24"/>
                <w:lang w:val="en-CA" w:eastAsia="en-GB"/>
              </w:rPr>
            </w:pPr>
            <w:r w:rsidRPr="005F0A67">
              <w:rPr>
                <w:rFonts w:asciiTheme="majorBidi" w:eastAsia="Times New Roman" w:hAnsiTheme="majorBidi" w:cstheme="majorBidi"/>
                <w:b/>
                <w:bCs/>
                <w:sz w:val="18"/>
                <w:szCs w:val="18"/>
                <w:lang w:val="en-CA" w:eastAsia="en-GB"/>
              </w:rPr>
              <w:t>Low</w:t>
            </w:r>
          </w:p>
        </w:tc>
      </w:tr>
      <w:tr w:rsidR="005F0A67" w:rsidRPr="005F0A67" w14:paraId="218B5046" w14:textId="77777777" w:rsidTr="005F0A67">
        <w:tc>
          <w:tcPr>
            <w:tcW w:w="1187" w:type="pct"/>
            <w:vMerge/>
            <w:tcMar>
              <w:top w:w="60" w:type="dxa"/>
              <w:left w:w="100" w:type="dxa"/>
              <w:bottom w:w="60" w:type="dxa"/>
              <w:right w:w="100" w:type="dxa"/>
            </w:tcMar>
          </w:tcPr>
          <w:p w14:paraId="0CC98BBF"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p>
        </w:tc>
        <w:tc>
          <w:tcPr>
            <w:tcW w:w="60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2B02CEB8"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Industrial biotechnology and biomanufacturing</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25C12264"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Moderate</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7D511CFB"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Medium</w:t>
            </w:r>
          </w:p>
        </w:tc>
        <w:tc>
          <w:tcPr>
            <w:tcW w:w="192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2BD1D467"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Competing against mature petrochemical routes where commodity chemicals sell below USD 5/kg (Kim et al., 2026); even small cost differentials affect competitiveness. Downstream processing represents 15-90% of production costs, limiting margin headroom (Clarke and Kitney, 2020). Rate revision; entity definition (U3).</w:t>
            </w:r>
          </w:p>
        </w:tc>
        <w:tc>
          <w:tcPr>
            <w:tcW w:w="431" w:type="pct"/>
            <w:tcBorders>
              <w:top w:val="single" w:sz="1" w:space="0" w:color="AAAAAA"/>
              <w:left w:val="single" w:sz="1" w:space="0" w:color="AAAAAA"/>
              <w:right w:val="single" w:sz="1" w:space="0" w:color="AAAAAA"/>
            </w:tcBorders>
            <w:shd w:val="clear" w:color="auto" w:fill="FEF9CC"/>
            <w:tcMar>
              <w:top w:w="60" w:type="dxa"/>
              <w:left w:w="100" w:type="dxa"/>
              <w:bottom w:w="60" w:type="dxa"/>
              <w:right w:w="100" w:type="dxa"/>
            </w:tcMar>
            <w:vAlign w:val="center"/>
          </w:tcPr>
          <w:p w14:paraId="2BCE39C7"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b/>
                <w:bCs/>
                <w:sz w:val="24"/>
                <w:szCs w:val="24"/>
                <w:lang w:val="en-CA" w:eastAsia="en-GB"/>
              </w:rPr>
            </w:pPr>
            <w:r w:rsidRPr="005F0A67">
              <w:rPr>
                <w:rFonts w:asciiTheme="majorBidi" w:eastAsia="Times New Roman" w:hAnsiTheme="majorBidi" w:cstheme="majorBidi"/>
                <w:b/>
                <w:bCs/>
                <w:sz w:val="18"/>
                <w:szCs w:val="18"/>
                <w:lang w:val="en-CA" w:eastAsia="en-GB"/>
              </w:rPr>
              <w:t>Moderate</w:t>
            </w:r>
          </w:p>
        </w:tc>
      </w:tr>
      <w:tr w:rsidR="005F0A67" w:rsidRPr="005F0A67" w14:paraId="2791A780" w14:textId="77777777" w:rsidTr="005F0A67">
        <w:tc>
          <w:tcPr>
            <w:tcW w:w="1187" w:type="pct"/>
            <w:vMerge/>
            <w:tcMar>
              <w:top w:w="60" w:type="dxa"/>
              <w:left w:w="100" w:type="dxa"/>
              <w:bottom w:w="60" w:type="dxa"/>
              <w:right w:w="100" w:type="dxa"/>
            </w:tcMar>
          </w:tcPr>
          <w:p w14:paraId="7893641E"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p>
        </w:tc>
        <w:tc>
          <w:tcPr>
            <w:tcW w:w="60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4974D92B"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R&amp;D service and platform organisations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22BC33A5"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2915FF6F"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c>
          <w:tcPr>
            <w:tcW w:w="192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4BF50B88"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Structurally low margins as cost-cutting intermediaries in the pharma value chain (Huang, 2019a); upstream position enables pass-forward of contribution costs to biopharma and biotech clients (Huang, 2019b), limiting net burden. Rate revision; entity definition (U3).</w:t>
            </w:r>
          </w:p>
        </w:tc>
        <w:tc>
          <w:tcPr>
            <w:tcW w:w="431" w:type="pct"/>
            <w:tcBorders>
              <w:top w:val="single" w:sz="1" w:space="0" w:color="AAAAAA"/>
              <w:left w:val="single" w:sz="1" w:space="0" w:color="AAAAAA"/>
              <w:right w:val="single" w:sz="1" w:space="0" w:color="AAAAAA"/>
            </w:tcBorders>
            <w:shd w:val="clear" w:color="auto" w:fill="D9F2D0"/>
            <w:tcMar>
              <w:top w:w="60" w:type="dxa"/>
              <w:left w:w="100" w:type="dxa"/>
              <w:bottom w:w="60" w:type="dxa"/>
              <w:right w:w="100" w:type="dxa"/>
            </w:tcMar>
            <w:vAlign w:val="center"/>
          </w:tcPr>
          <w:p w14:paraId="12C841D1"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b/>
                <w:bCs/>
                <w:sz w:val="24"/>
                <w:szCs w:val="24"/>
                <w:lang w:val="en-CA" w:eastAsia="en-GB"/>
              </w:rPr>
            </w:pPr>
            <w:r w:rsidRPr="005F0A67">
              <w:rPr>
                <w:rFonts w:asciiTheme="majorBidi" w:eastAsia="Times New Roman" w:hAnsiTheme="majorBidi" w:cstheme="majorBidi"/>
                <w:b/>
                <w:bCs/>
                <w:sz w:val="18"/>
                <w:szCs w:val="18"/>
                <w:lang w:val="en-CA" w:eastAsia="en-GB"/>
              </w:rPr>
              <w:t>Low</w:t>
            </w:r>
          </w:p>
        </w:tc>
      </w:tr>
      <w:tr w:rsidR="005F0A67" w:rsidRPr="005F0A67" w14:paraId="0AB7938E" w14:textId="77777777" w:rsidTr="005F0A67">
        <w:tc>
          <w:tcPr>
            <w:tcW w:w="1187" w:type="pct"/>
            <w:vMerge w:val="restar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19D3924C"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b/>
                <w:bCs/>
                <w:sz w:val="18"/>
                <w:szCs w:val="18"/>
                <w:lang w:val="en-CA" w:eastAsia="en-GB"/>
              </w:rPr>
            </w:pPr>
            <w:r w:rsidRPr="005F0A67">
              <w:rPr>
                <w:rFonts w:asciiTheme="majorBidi" w:eastAsia="Times New Roman" w:hAnsiTheme="majorBidi" w:cstheme="majorBidi"/>
                <w:b/>
                <w:bCs/>
                <w:sz w:val="18"/>
                <w:szCs w:val="18"/>
                <w:lang w:val="en-CA" w:eastAsia="en-GB"/>
              </w:rPr>
              <w:t>Cost of capital</w:t>
            </w:r>
          </w:p>
          <w:p w14:paraId="64A03B4F"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 xml:space="preserve">Changes in cost or availability of financing from margin compression or reduced free cash flow. Large well-capitalised firms are least responsive to profit-burden changes of higher magnitude (see Section 7.4). Voluntary </w:t>
            </w:r>
            <w:r w:rsidRPr="005F0A67">
              <w:rPr>
                <w:rFonts w:asciiTheme="majorBidi" w:eastAsia="Times New Roman" w:hAnsiTheme="majorBidi" w:cstheme="majorBidi"/>
                <w:sz w:val="18"/>
                <w:szCs w:val="18"/>
                <w:lang w:val="en-CA" w:eastAsia="en-GB"/>
              </w:rPr>
              <w:lastRenderedPageBreak/>
              <w:t>opt-out constrains severe outcomes. Early-stage loss-making firms are largely outside the eligible population under the profit floor.</w:t>
            </w:r>
          </w:p>
        </w:tc>
        <w:tc>
          <w:tcPr>
            <w:tcW w:w="60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72102D66"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lastRenderedPageBreak/>
              <w:t>Biopharmaceutical innovators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71AA8AE0"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369EB813"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c>
          <w:tcPr>
            <w:tcW w:w="192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02087EC2"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Established large biopharmaceutical firms least exposed; smaller innovators with limited retained earnings face somewhat higher exposure within this Low assessment. Rate revision.</w:t>
            </w:r>
          </w:p>
        </w:tc>
        <w:tc>
          <w:tcPr>
            <w:tcW w:w="431" w:type="pct"/>
            <w:tcBorders>
              <w:top w:val="single" w:sz="1" w:space="0" w:color="AAAAAA"/>
              <w:left w:val="single" w:sz="1" w:space="0" w:color="AAAAAA"/>
              <w:right w:val="single" w:sz="1" w:space="0" w:color="AAAAAA"/>
            </w:tcBorders>
            <w:shd w:val="clear" w:color="auto" w:fill="D9F2D0"/>
            <w:tcMar>
              <w:top w:w="60" w:type="dxa"/>
              <w:left w:w="100" w:type="dxa"/>
              <w:bottom w:w="60" w:type="dxa"/>
              <w:right w:w="100" w:type="dxa"/>
            </w:tcMar>
            <w:vAlign w:val="center"/>
          </w:tcPr>
          <w:p w14:paraId="1AF38164"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b/>
                <w:bCs/>
                <w:sz w:val="24"/>
                <w:szCs w:val="24"/>
                <w:lang w:val="en-CA" w:eastAsia="en-GB"/>
              </w:rPr>
            </w:pPr>
            <w:r w:rsidRPr="005F0A67">
              <w:rPr>
                <w:rFonts w:asciiTheme="majorBidi" w:eastAsia="Times New Roman" w:hAnsiTheme="majorBidi" w:cstheme="majorBidi"/>
                <w:b/>
                <w:bCs/>
                <w:sz w:val="18"/>
                <w:szCs w:val="18"/>
                <w:lang w:val="en-CA" w:eastAsia="en-GB"/>
              </w:rPr>
              <w:t>Low</w:t>
            </w:r>
          </w:p>
        </w:tc>
      </w:tr>
      <w:tr w:rsidR="005F0A67" w:rsidRPr="005F0A67" w14:paraId="41D786F4" w14:textId="77777777" w:rsidTr="005F0A67">
        <w:tc>
          <w:tcPr>
            <w:tcW w:w="1187" w:type="pct"/>
            <w:vMerge/>
            <w:tcMar>
              <w:top w:w="60" w:type="dxa"/>
              <w:left w:w="100" w:type="dxa"/>
              <w:bottom w:w="60" w:type="dxa"/>
              <w:right w:w="100" w:type="dxa"/>
            </w:tcMar>
          </w:tcPr>
          <w:p w14:paraId="3FA457DF"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p>
        </w:tc>
        <w:tc>
          <w:tcPr>
            <w:tcW w:w="60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1ECBE313"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Molecular diagnostics and clinical laboratory services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0ED31A4F"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53A50A56"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c>
          <w:tcPr>
            <w:tcW w:w="192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7D8A6393"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 xml:space="preserve">Reimbursement-constrained margins </w:t>
            </w:r>
            <w:bookmarkStart w:id="199" w:name="_Int_GcLc57LW"/>
            <w:r w:rsidRPr="005F0A67">
              <w:rPr>
                <w:rFonts w:asciiTheme="majorBidi" w:eastAsia="Times New Roman" w:hAnsiTheme="majorBidi" w:cstheme="majorBidi"/>
                <w:sz w:val="18"/>
                <w:szCs w:val="18"/>
                <w:lang w:val="en-CA" w:eastAsia="en-GB"/>
              </w:rPr>
              <w:t>increase</w:t>
            </w:r>
            <w:bookmarkEnd w:id="199"/>
            <w:r w:rsidRPr="005F0A67">
              <w:rPr>
                <w:rFonts w:asciiTheme="majorBidi" w:eastAsia="Times New Roman" w:hAnsiTheme="majorBidi" w:cstheme="majorBidi"/>
                <w:sz w:val="18"/>
                <w:szCs w:val="18"/>
                <w:lang w:val="en-CA" w:eastAsia="en-GB"/>
              </w:rPr>
              <w:t xml:space="preserve"> sensitivity; voluntary opt-out </w:t>
            </w:r>
            <w:bookmarkStart w:id="200" w:name="_Int_kPyfO7NU"/>
            <w:r w:rsidRPr="005F0A67">
              <w:rPr>
                <w:rFonts w:asciiTheme="majorBidi" w:eastAsia="Times New Roman" w:hAnsiTheme="majorBidi" w:cstheme="majorBidi"/>
                <w:sz w:val="18"/>
                <w:szCs w:val="18"/>
                <w:lang w:val="en-CA" w:eastAsia="en-GB"/>
              </w:rPr>
              <w:t>limits</w:t>
            </w:r>
            <w:bookmarkEnd w:id="200"/>
            <w:r w:rsidRPr="005F0A67">
              <w:rPr>
                <w:rFonts w:asciiTheme="majorBidi" w:eastAsia="Times New Roman" w:hAnsiTheme="majorBidi" w:cstheme="majorBidi"/>
                <w:sz w:val="18"/>
                <w:szCs w:val="18"/>
                <w:lang w:val="en-CA" w:eastAsia="en-GB"/>
              </w:rPr>
              <w:t xml:space="preserve"> severe outcomes. Rate revision.</w:t>
            </w:r>
          </w:p>
        </w:tc>
        <w:tc>
          <w:tcPr>
            <w:tcW w:w="431" w:type="pct"/>
            <w:tcBorders>
              <w:top w:val="single" w:sz="1" w:space="0" w:color="AAAAAA"/>
              <w:left w:val="single" w:sz="1" w:space="0" w:color="AAAAAA"/>
              <w:right w:val="single" w:sz="1" w:space="0" w:color="AAAAAA"/>
            </w:tcBorders>
            <w:shd w:val="clear" w:color="auto" w:fill="D9F2D0"/>
            <w:tcMar>
              <w:top w:w="60" w:type="dxa"/>
              <w:left w:w="100" w:type="dxa"/>
              <w:bottom w:w="60" w:type="dxa"/>
              <w:right w:w="100" w:type="dxa"/>
            </w:tcMar>
            <w:vAlign w:val="center"/>
          </w:tcPr>
          <w:p w14:paraId="411AF28B"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b/>
                <w:bCs/>
                <w:sz w:val="24"/>
                <w:szCs w:val="24"/>
                <w:lang w:val="en-CA" w:eastAsia="en-GB"/>
              </w:rPr>
            </w:pPr>
            <w:r w:rsidRPr="005F0A67">
              <w:rPr>
                <w:rFonts w:asciiTheme="majorBidi" w:eastAsia="Times New Roman" w:hAnsiTheme="majorBidi" w:cstheme="majorBidi"/>
                <w:b/>
                <w:bCs/>
                <w:sz w:val="18"/>
                <w:szCs w:val="18"/>
                <w:lang w:val="en-CA" w:eastAsia="en-GB"/>
              </w:rPr>
              <w:t>Low</w:t>
            </w:r>
          </w:p>
        </w:tc>
      </w:tr>
      <w:tr w:rsidR="005F0A67" w:rsidRPr="005F0A67" w14:paraId="336D804D" w14:textId="77777777" w:rsidTr="005F0A67">
        <w:tc>
          <w:tcPr>
            <w:tcW w:w="1187" w:type="pct"/>
            <w:vMerge/>
            <w:tcMar>
              <w:top w:w="60" w:type="dxa"/>
              <w:left w:w="100" w:type="dxa"/>
              <w:bottom w:w="60" w:type="dxa"/>
              <w:right w:w="100" w:type="dxa"/>
            </w:tcMar>
          </w:tcPr>
          <w:p w14:paraId="04610AEC"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p>
        </w:tc>
        <w:tc>
          <w:tcPr>
            <w:tcW w:w="60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19ECAFC4"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Industrial biotechnology and biomanufacturing</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281FB63D"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639F194D"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c>
          <w:tcPr>
            <w:tcW w:w="192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699A8253"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 xml:space="preserve">Scale-up financing needs are significant, but contribution burden is too small to materially affect creditworthiness at indicative rates. </w:t>
            </w:r>
            <w:bookmarkStart w:id="201" w:name="_Int_3jDpFtAI"/>
            <w:r w:rsidRPr="005F0A67">
              <w:rPr>
                <w:rFonts w:asciiTheme="majorBidi" w:eastAsia="Times New Roman" w:hAnsiTheme="majorBidi" w:cstheme="majorBidi"/>
                <w:sz w:val="18"/>
                <w:szCs w:val="18"/>
                <w:lang w:val="en-CA" w:eastAsia="en-GB"/>
              </w:rPr>
              <w:t>Voluntary</w:t>
            </w:r>
            <w:bookmarkEnd w:id="201"/>
            <w:r w:rsidRPr="005F0A67">
              <w:rPr>
                <w:rFonts w:asciiTheme="majorBidi" w:eastAsia="Times New Roman" w:hAnsiTheme="majorBidi" w:cstheme="majorBidi"/>
                <w:sz w:val="18"/>
                <w:szCs w:val="18"/>
                <w:lang w:val="en-CA" w:eastAsia="en-GB"/>
              </w:rPr>
              <w:t xml:space="preserve"> opt-out </w:t>
            </w:r>
            <w:bookmarkStart w:id="202" w:name="_Int_B9j4Abkf"/>
            <w:r w:rsidRPr="005F0A67">
              <w:rPr>
                <w:rFonts w:asciiTheme="majorBidi" w:eastAsia="Times New Roman" w:hAnsiTheme="majorBidi" w:cstheme="majorBidi"/>
                <w:sz w:val="18"/>
                <w:szCs w:val="18"/>
                <w:lang w:val="en-CA" w:eastAsia="en-GB"/>
              </w:rPr>
              <w:t>limits</w:t>
            </w:r>
            <w:bookmarkEnd w:id="202"/>
            <w:r w:rsidRPr="005F0A67">
              <w:rPr>
                <w:rFonts w:asciiTheme="majorBidi" w:eastAsia="Times New Roman" w:hAnsiTheme="majorBidi" w:cstheme="majorBidi"/>
                <w:sz w:val="18"/>
                <w:szCs w:val="18"/>
                <w:lang w:val="en-CA" w:eastAsia="en-GB"/>
              </w:rPr>
              <w:t xml:space="preserve"> severe outcomes. Rate revision.</w:t>
            </w:r>
          </w:p>
        </w:tc>
        <w:tc>
          <w:tcPr>
            <w:tcW w:w="431" w:type="pct"/>
            <w:tcBorders>
              <w:top w:val="single" w:sz="1" w:space="0" w:color="AAAAAA"/>
              <w:left w:val="single" w:sz="1" w:space="0" w:color="AAAAAA"/>
              <w:right w:val="single" w:sz="1" w:space="0" w:color="AAAAAA"/>
            </w:tcBorders>
            <w:shd w:val="clear" w:color="auto" w:fill="D9F2D0"/>
            <w:tcMar>
              <w:top w:w="60" w:type="dxa"/>
              <w:left w:w="100" w:type="dxa"/>
              <w:bottom w:w="60" w:type="dxa"/>
              <w:right w:w="100" w:type="dxa"/>
            </w:tcMar>
            <w:vAlign w:val="center"/>
          </w:tcPr>
          <w:p w14:paraId="6786A4CF"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b/>
                <w:bCs/>
                <w:sz w:val="24"/>
                <w:szCs w:val="24"/>
                <w:lang w:val="en-CA" w:eastAsia="en-GB"/>
              </w:rPr>
            </w:pPr>
            <w:r w:rsidRPr="005F0A67">
              <w:rPr>
                <w:rFonts w:asciiTheme="majorBidi" w:eastAsia="Times New Roman" w:hAnsiTheme="majorBidi" w:cstheme="majorBidi"/>
                <w:b/>
                <w:bCs/>
                <w:sz w:val="18"/>
                <w:szCs w:val="18"/>
                <w:lang w:val="en-CA" w:eastAsia="en-GB"/>
              </w:rPr>
              <w:t>Low</w:t>
            </w:r>
          </w:p>
        </w:tc>
      </w:tr>
      <w:tr w:rsidR="005F0A67" w:rsidRPr="005F0A67" w14:paraId="5D41429D" w14:textId="77777777" w:rsidTr="005F0A67">
        <w:tc>
          <w:tcPr>
            <w:tcW w:w="1187" w:type="pct"/>
            <w:vMerge/>
            <w:tcMar>
              <w:top w:w="60" w:type="dxa"/>
              <w:left w:w="100" w:type="dxa"/>
              <w:bottom w:w="60" w:type="dxa"/>
              <w:right w:w="100" w:type="dxa"/>
            </w:tcMar>
          </w:tcPr>
          <w:p w14:paraId="0ADFE16B"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p>
        </w:tc>
        <w:tc>
          <w:tcPr>
            <w:tcW w:w="60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49D7785F"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R&amp;D service and platform organisations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6A31BEAF"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116D282D"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c>
          <w:tcPr>
            <w:tcW w:w="192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23AB0FB4"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Structurally low margins but reliance on contracted client relationships rather than capital-intensive innovation limits exposure. Rate revision.</w:t>
            </w:r>
          </w:p>
        </w:tc>
        <w:tc>
          <w:tcPr>
            <w:tcW w:w="431" w:type="pct"/>
            <w:tcBorders>
              <w:top w:val="single" w:sz="1" w:space="0" w:color="AAAAAA"/>
              <w:left w:val="single" w:sz="1" w:space="0" w:color="AAAAAA"/>
              <w:right w:val="single" w:sz="1" w:space="0" w:color="AAAAAA"/>
            </w:tcBorders>
            <w:shd w:val="clear" w:color="auto" w:fill="D9F2D0"/>
            <w:tcMar>
              <w:top w:w="60" w:type="dxa"/>
              <w:left w:w="100" w:type="dxa"/>
              <w:bottom w:w="60" w:type="dxa"/>
              <w:right w:w="100" w:type="dxa"/>
            </w:tcMar>
            <w:vAlign w:val="center"/>
          </w:tcPr>
          <w:p w14:paraId="74863F8F"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b/>
                <w:bCs/>
                <w:sz w:val="24"/>
                <w:szCs w:val="24"/>
                <w:lang w:val="en-CA" w:eastAsia="en-GB"/>
              </w:rPr>
            </w:pPr>
            <w:r w:rsidRPr="005F0A67">
              <w:rPr>
                <w:rFonts w:asciiTheme="majorBidi" w:eastAsia="Times New Roman" w:hAnsiTheme="majorBidi" w:cstheme="majorBidi"/>
                <w:b/>
                <w:bCs/>
                <w:sz w:val="18"/>
                <w:szCs w:val="18"/>
                <w:lang w:val="en-CA" w:eastAsia="en-GB"/>
              </w:rPr>
              <w:t>Low</w:t>
            </w:r>
          </w:p>
        </w:tc>
      </w:tr>
      <w:tr w:rsidR="005F0A67" w:rsidRPr="005F0A67" w14:paraId="74D03E18" w14:textId="77777777" w:rsidTr="005F0A67">
        <w:tc>
          <w:tcPr>
            <w:tcW w:w="1187" w:type="pct"/>
            <w:vMerge w:val="restar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2BA57001"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b/>
                <w:bCs/>
                <w:sz w:val="18"/>
                <w:szCs w:val="18"/>
                <w:lang w:val="en-CA" w:eastAsia="en-GB"/>
              </w:rPr>
            </w:pPr>
            <w:r w:rsidRPr="005F0A67">
              <w:rPr>
                <w:rFonts w:asciiTheme="majorBidi" w:eastAsia="Times New Roman" w:hAnsiTheme="majorBidi" w:cstheme="majorBidi"/>
                <w:b/>
                <w:bCs/>
                <w:sz w:val="18"/>
                <w:szCs w:val="18"/>
                <w:lang w:val="en-CA" w:eastAsia="en-GB"/>
              </w:rPr>
              <w:t>Cost of intermediate consumption</w:t>
            </w:r>
          </w:p>
          <w:p w14:paraId="04C6B095"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Indirect cost increase if laboratory equipment firms pass Cali Fund contributions forward via input pricing. Biotechnology firms are among the primary users of sequencing and analytical equipment, making this channel more relevant here than in most other sectors. Materialises only where upstream firms participate and do not absorb the contribution.</w:t>
            </w:r>
          </w:p>
        </w:tc>
        <w:tc>
          <w:tcPr>
            <w:tcW w:w="60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5570EBEA"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Biopharmaceutical innovators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68175B27"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6310DDA1"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Medium</w:t>
            </w:r>
          </w:p>
        </w:tc>
        <w:tc>
          <w:tcPr>
            <w:tcW w:w="192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19134A00"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Strong supply chain dependence on sequencing and laboratory equipment; direct vs indirect use boundary (U4) affecting laboratory equipment eligibility.</w:t>
            </w:r>
          </w:p>
        </w:tc>
        <w:tc>
          <w:tcPr>
            <w:tcW w:w="431" w:type="pct"/>
            <w:tcBorders>
              <w:top w:val="single" w:sz="1" w:space="0" w:color="AAAAAA"/>
              <w:left w:val="single" w:sz="1" w:space="0" w:color="AAAAAA"/>
              <w:right w:val="single" w:sz="1" w:space="0" w:color="AAAAAA"/>
            </w:tcBorders>
            <w:shd w:val="clear" w:color="auto" w:fill="D9F2D0"/>
            <w:tcMar>
              <w:top w:w="60" w:type="dxa"/>
              <w:left w:w="100" w:type="dxa"/>
              <w:bottom w:w="60" w:type="dxa"/>
              <w:right w:w="100" w:type="dxa"/>
            </w:tcMar>
            <w:vAlign w:val="center"/>
          </w:tcPr>
          <w:p w14:paraId="140A93AE"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b/>
                <w:bCs/>
                <w:sz w:val="24"/>
                <w:szCs w:val="24"/>
                <w:lang w:val="en-CA" w:eastAsia="en-GB"/>
              </w:rPr>
            </w:pPr>
            <w:r w:rsidRPr="005F0A67">
              <w:rPr>
                <w:rFonts w:asciiTheme="majorBidi" w:eastAsia="Times New Roman" w:hAnsiTheme="majorBidi" w:cstheme="majorBidi"/>
                <w:b/>
                <w:bCs/>
                <w:sz w:val="18"/>
                <w:szCs w:val="18"/>
                <w:lang w:val="en-CA" w:eastAsia="en-GB"/>
              </w:rPr>
              <w:t>Low</w:t>
            </w:r>
          </w:p>
        </w:tc>
      </w:tr>
      <w:tr w:rsidR="005F0A67" w:rsidRPr="005F0A67" w14:paraId="3A8D4548" w14:textId="77777777" w:rsidTr="005F0A67">
        <w:tc>
          <w:tcPr>
            <w:tcW w:w="1187" w:type="pct"/>
            <w:vMerge/>
            <w:tcMar>
              <w:top w:w="60" w:type="dxa"/>
              <w:left w:w="100" w:type="dxa"/>
              <w:bottom w:w="60" w:type="dxa"/>
              <w:right w:w="100" w:type="dxa"/>
            </w:tcMar>
          </w:tcPr>
          <w:p w14:paraId="73EB0E49"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p>
        </w:tc>
        <w:tc>
          <w:tcPr>
            <w:tcW w:w="60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1B8FF232"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Molecular diagnostics and clinical laboratory services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7C4B1C63"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688CF2F4"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Medium</w:t>
            </w:r>
          </w:p>
        </w:tc>
        <w:tc>
          <w:tcPr>
            <w:tcW w:w="192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0251778D"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DSI use concentrated in assay design using laboratory equipment; direct vs indirect use boundary (U4).</w:t>
            </w:r>
          </w:p>
        </w:tc>
        <w:tc>
          <w:tcPr>
            <w:tcW w:w="431" w:type="pct"/>
            <w:tcBorders>
              <w:top w:val="single" w:sz="1" w:space="0" w:color="AAAAAA"/>
              <w:left w:val="single" w:sz="1" w:space="0" w:color="AAAAAA"/>
              <w:right w:val="single" w:sz="1" w:space="0" w:color="AAAAAA"/>
            </w:tcBorders>
            <w:shd w:val="clear" w:color="auto" w:fill="D9F2D0"/>
            <w:tcMar>
              <w:top w:w="60" w:type="dxa"/>
              <w:left w:w="100" w:type="dxa"/>
              <w:bottom w:w="60" w:type="dxa"/>
              <w:right w:w="100" w:type="dxa"/>
            </w:tcMar>
            <w:vAlign w:val="center"/>
          </w:tcPr>
          <w:p w14:paraId="0A6407D6"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b/>
                <w:bCs/>
                <w:sz w:val="24"/>
                <w:szCs w:val="24"/>
                <w:lang w:val="en-CA" w:eastAsia="en-GB"/>
              </w:rPr>
            </w:pPr>
            <w:r w:rsidRPr="005F0A67">
              <w:rPr>
                <w:rFonts w:asciiTheme="majorBidi" w:eastAsia="Times New Roman" w:hAnsiTheme="majorBidi" w:cstheme="majorBidi"/>
                <w:b/>
                <w:bCs/>
                <w:sz w:val="18"/>
                <w:szCs w:val="18"/>
                <w:lang w:val="en-CA" w:eastAsia="en-GB"/>
              </w:rPr>
              <w:t>Low</w:t>
            </w:r>
          </w:p>
        </w:tc>
      </w:tr>
      <w:tr w:rsidR="005F0A67" w:rsidRPr="005F0A67" w14:paraId="57B1E9AF" w14:textId="77777777" w:rsidTr="005F0A67">
        <w:tc>
          <w:tcPr>
            <w:tcW w:w="1187" w:type="pct"/>
            <w:vMerge/>
            <w:tcMar>
              <w:top w:w="60" w:type="dxa"/>
              <w:left w:w="100" w:type="dxa"/>
              <w:bottom w:w="60" w:type="dxa"/>
              <w:right w:w="100" w:type="dxa"/>
            </w:tcMar>
          </w:tcPr>
          <w:p w14:paraId="58A7AFE4"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p>
        </w:tc>
        <w:tc>
          <w:tcPr>
            <w:tcW w:w="60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34139918"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Industrial biotechnology and biomanufacturing</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6EE4EA55"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5EFEBD0E"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c>
          <w:tcPr>
            <w:tcW w:w="192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6DA7BDCA"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DSI use in strain engineering via sequencing tools; weaker ongoing dependence than biopharmaceutical innovators; direct vs indirect use boundary (U4).</w:t>
            </w:r>
          </w:p>
        </w:tc>
        <w:tc>
          <w:tcPr>
            <w:tcW w:w="431" w:type="pct"/>
            <w:tcBorders>
              <w:top w:val="single" w:sz="1" w:space="0" w:color="AAAAAA"/>
              <w:left w:val="single" w:sz="1" w:space="0" w:color="AAAAAA"/>
              <w:right w:val="single" w:sz="1" w:space="0" w:color="AAAAAA"/>
            </w:tcBorders>
            <w:shd w:val="clear" w:color="auto" w:fill="D9F2D0"/>
            <w:tcMar>
              <w:top w:w="60" w:type="dxa"/>
              <w:left w:w="100" w:type="dxa"/>
              <w:bottom w:w="60" w:type="dxa"/>
              <w:right w:w="100" w:type="dxa"/>
            </w:tcMar>
            <w:vAlign w:val="center"/>
          </w:tcPr>
          <w:p w14:paraId="5728EA50"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b/>
                <w:bCs/>
                <w:sz w:val="24"/>
                <w:szCs w:val="24"/>
                <w:lang w:val="en-CA" w:eastAsia="en-GB"/>
              </w:rPr>
            </w:pPr>
            <w:r w:rsidRPr="005F0A67">
              <w:rPr>
                <w:rFonts w:asciiTheme="majorBidi" w:eastAsia="Times New Roman" w:hAnsiTheme="majorBidi" w:cstheme="majorBidi"/>
                <w:b/>
                <w:bCs/>
                <w:sz w:val="18"/>
                <w:szCs w:val="18"/>
                <w:lang w:val="en-CA" w:eastAsia="en-GB"/>
              </w:rPr>
              <w:t>Low</w:t>
            </w:r>
          </w:p>
        </w:tc>
      </w:tr>
      <w:tr w:rsidR="005F0A67" w:rsidRPr="005F0A67" w14:paraId="7BF3FA04" w14:textId="77777777" w:rsidTr="005F0A67">
        <w:tc>
          <w:tcPr>
            <w:tcW w:w="1187" w:type="pct"/>
            <w:vMerge/>
            <w:tcMar>
              <w:top w:w="60" w:type="dxa"/>
              <w:left w:w="100" w:type="dxa"/>
              <w:bottom w:w="60" w:type="dxa"/>
              <w:right w:w="100" w:type="dxa"/>
            </w:tcMar>
          </w:tcPr>
          <w:p w14:paraId="5F5ECA9F"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p>
        </w:tc>
        <w:tc>
          <w:tcPr>
            <w:tcW w:w="60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52900CC1"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R&amp;D service and platform organisations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7B461D87"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4BE7C6F1"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c>
          <w:tcPr>
            <w:tcW w:w="192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15C7F1FB"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These firms generate as well as use sequence data; partly within the laboratory equipment supply chain themselves. Direct vs indirect use boundary (U4).</w:t>
            </w:r>
          </w:p>
        </w:tc>
        <w:tc>
          <w:tcPr>
            <w:tcW w:w="431" w:type="pct"/>
            <w:tcBorders>
              <w:top w:val="single" w:sz="1" w:space="0" w:color="AAAAAA"/>
              <w:left w:val="single" w:sz="1" w:space="0" w:color="AAAAAA"/>
              <w:right w:val="single" w:sz="1" w:space="0" w:color="AAAAAA"/>
            </w:tcBorders>
            <w:shd w:val="clear" w:color="auto" w:fill="D9F2D0"/>
            <w:tcMar>
              <w:top w:w="60" w:type="dxa"/>
              <w:left w:w="100" w:type="dxa"/>
              <w:bottom w:w="60" w:type="dxa"/>
              <w:right w:w="100" w:type="dxa"/>
            </w:tcMar>
            <w:vAlign w:val="center"/>
          </w:tcPr>
          <w:p w14:paraId="329AE946"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b/>
                <w:bCs/>
                <w:sz w:val="24"/>
                <w:szCs w:val="24"/>
                <w:lang w:val="en-CA" w:eastAsia="en-GB"/>
              </w:rPr>
            </w:pPr>
            <w:r w:rsidRPr="005F0A67">
              <w:rPr>
                <w:rFonts w:asciiTheme="majorBidi" w:eastAsia="Times New Roman" w:hAnsiTheme="majorBidi" w:cstheme="majorBidi"/>
                <w:b/>
                <w:bCs/>
                <w:sz w:val="18"/>
                <w:szCs w:val="18"/>
                <w:lang w:val="en-CA" w:eastAsia="en-GB"/>
              </w:rPr>
              <w:t>Low</w:t>
            </w:r>
          </w:p>
        </w:tc>
      </w:tr>
      <w:tr w:rsidR="005F0A67" w:rsidRPr="005F0A67" w14:paraId="00B264A0" w14:textId="77777777" w:rsidTr="005F0A67">
        <w:tc>
          <w:tcPr>
            <w:tcW w:w="1187" w:type="pct"/>
            <w:vMerge w:val="restar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59CB789E"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b/>
                <w:bCs/>
                <w:sz w:val="18"/>
                <w:szCs w:val="18"/>
                <w:lang w:val="en-CA" w:eastAsia="en-GB"/>
              </w:rPr>
            </w:pPr>
            <w:r w:rsidRPr="005F0A67">
              <w:rPr>
                <w:rFonts w:asciiTheme="majorBidi" w:eastAsia="Times New Roman" w:hAnsiTheme="majorBidi" w:cstheme="majorBidi"/>
                <w:b/>
                <w:bCs/>
                <w:sz w:val="18"/>
                <w:szCs w:val="18"/>
                <w:lang w:val="en-CA" w:eastAsia="en-GB"/>
              </w:rPr>
              <w:t>Pass-through to consumers</w:t>
            </w:r>
          </w:p>
          <w:p w14:paraId="6DDF2754"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Extent to which contribution cost is transferred to customers via output pricing. Pass-through capacity varies substantially across biotech firm types. Biopharmaceutical innovators have some capacity through reimbursement systems. Industrial biotech firms face price-sensitive industrial customers benchmarking against petrochemical routes, where pass-through is structurally constrained. R&amp;D service firms can pass costs upstream to biopharma and biotech clients given their upstream value chain position (Huang, 2019b).</w:t>
            </w:r>
          </w:p>
        </w:tc>
        <w:tc>
          <w:tcPr>
            <w:tcW w:w="60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24F4AADE"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Biopharmaceutical innovators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594BC91C"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Moderate</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4B6F156E"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Medium</w:t>
            </w:r>
          </w:p>
        </w:tc>
        <w:tc>
          <w:tcPr>
            <w:tcW w:w="192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7F960A21"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Moderate pass-through capacity through reimbursement and pricing negotiations; constrained in European CBD Party markets by HTA frameworks. National implementation divergence (U8).</w:t>
            </w:r>
          </w:p>
        </w:tc>
        <w:tc>
          <w:tcPr>
            <w:tcW w:w="431" w:type="pct"/>
            <w:tcBorders>
              <w:top w:val="single" w:sz="1" w:space="0" w:color="AAAAAA"/>
              <w:left w:val="single" w:sz="1" w:space="0" w:color="AAAAAA"/>
              <w:right w:val="single" w:sz="1" w:space="0" w:color="AAAAAA"/>
            </w:tcBorders>
            <w:shd w:val="clear" w:color="auto" w:fill="FEF9CC"/>
            <w:tcMar>
              <w:top w:w="60" w:type="dxa"/>
              <w:left w:w="100" w:type="dxa"/>
              <w:bottom w:w="60" w:type="dxa"/>
              <w:right w:w="100" w:type="dxa"/>
            </w:tcMar>
            <w:vAlign w:val="center"/>
          </w:tcPr>
          <w:p w14:paraId="3A0F86C7"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b/>
                <w:bCs/>
                <w:sz w:val="18"/>
                <w:szCs w:val="18"/>
                <w:lang w:val="en-CA" w:eastAsia="en-GB"/>
              </w:rPr>
            </w:pPr>
            <w:r w:rsidRPr="005F0A67">
              <w:rPr>
                <w:rFonts w:asciiTheme="majorBidi" w:eastAsia="Times New Roman" w:hAnsiTheme="majorBidi" w:cstheme="majorBidi"/>
                <w:b/>
                <w:bCs/>
                <w:sz w:val="18"/>
                <w:szCs w:val="18"/>
                <w:lang w:val="en-CA" w:eastAsia="en-GB"/>
              </w:rPr>
              <w:t>Moderate</w:t>
            </w:r>
          </w:p>
        </w:tc>
      </w:tr>
      <w:tr w:rsidR="005F0A67" w:rsidRPr="005F0A67" w14:paraId="781558E2" w14:textId="77777777" w:rsidTr="005F0A67">
        <w:tc>
          <w:tcPr>
            <w:tcW w:w="1187" w:type="pct"/>
            <w:vMerge/>
            <w:tcMar>
              <w:top w:w="60" w:type="dxa"/>
              <w:left w:w="100" w:type="dxa"/>
              <w:bottom w:w="60" w:type="dxa"/>
              <w:right w:w="100" w:type="dxa"/>
            </w:tcMar>
          </w:tcPr>
          <w:p w14:paraId="56CB09EB"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p>
        </w:tc>
        <w:tc>
          <w:tcPr>
            <w:tcW w:w="60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46485443"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Molecular diagnostics and clinical laboratory services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5FD5761D"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1B212655"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c>
          <w:tcPr>
            <w:tcW w:w="192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61C83EA7"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Reimbursement fee schedules constrain pricing flexibility; competition from non-Party firms limited given predominantly domestic service delivery. National implementation divergence (U8).</w:t>
            </w:r>
          </w:p>
        </w:tc>
        <w:tc>
          <w:tcPr>
            <w:tcW w:w="431" w:type="pct"/>
            <w:tcBorders>
              <w:top w:val="single" w:sz="1" w:space="0" w:color="AAAAAA"/>
              <w:left w:val="single" w:sz="1" w:space="0" w:color="AAAAAA"/>
              <w:right w:val="single" w:sz="1" w:space="0" w:color="AAAAAA"/>
            </w:tcBorders>
            <w:shd w:val="clear" w:color="auto" w:fill="D9F2D0"/>
            <w:tcMar>
              <w:top w:w="60" w:type="dxa"/>
              <w:left w:w="100" w:type="dxa"/>
              <w:bottom w:w="60" w:type="dxa"/>
              <w:right w:w="100" w:type="dxa"/>
            </w:tcMar>
            <w:vAlign w:val="center"/>
          </w:tcPr>
          <w:p w14:paraId="5A187A36"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b/>
                <w:bCs/>
                <w:sz w:val="24"/>
                <w:szCs w:val="24"/>
                <w:lang w:val="en-CA" w:eastAsia="en-GB"/>
              </w:rPr>
            </w:pPr>
            <w:r w:rsidRPr="005F0A67">
              <w:rPr>
                <w:rFonts w:asciiTheme="majorBidi" w:eastAsia="Times New Roman" w:hAnsiTheme="majorBidi" w:cstheme="majorBidi"/>
                <w:b/>
                <w:bCs/>
                <w:sz w:val="18"/>
                <w:szCs w:val="18"/>
                <w:lang w:val="en-CA" w:eastAsia="en-GB"/>
              </w:rPr>
              <w:t>Low</w:t>
            </w:r>
          </w:p>
        </w:tc>
      </w:tr>
      <w:tr w:rsidR="005F0A67" w:rsidRPr="005F0A67" w14:paraId="16830104" w14:textId="77777777" w:rsidTr="005F0A67">
        <w:tc>
          <w:tcPr>
            <w:tcW w:w="1187" w:type="pct"/>
            <w:vMerge/>
            <w:tcMar>
              <w:top w:w="60" w:type="dxa"/>
              <w:left w:w="100" w:type="dxa"/>
              <w:bottom w:w="60" w:type="dxa"/>
              <w:right w:w="100" w:type="dxa"/>
            </w:tcMar>
          </w:tcPr>
          <w:p w14:paraId="65FFCC30"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p>
        </w:tc>
        <w:tc>
          <w:tcPr>
            <w:tcW w:w="60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21493178"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Industrial biotechnology and biomanufacturing</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0FFB8EE1"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40A50FC0"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c>
          <w:tcPr>
            <w:tcW w:w="192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175A1391"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Price-sensitive industrial customers benchmarking against petrochemical routes (Kim et al., 2026) create structural barriers to pass-through; even small cost differentials affect procurement decisions. National implementation divergence (U8).</w:t>
            </w:r>
          </w:p>
        </w:tc>
        <w:tc>
          <w:tcPr>
            <w:tcW w:w="431" w:type="pct"/>
            <w:tcBorders>
              <w:top w:val="single" w:sz="1" w:space="0" w:color="AAAAAA"/>
              <w:left w:val="single" w:sz="1" w:space="0" w:color="AAAAAA"/>
              <w:right w:val="single" w:sz="1" w:space="0" w:color="AAAAAA"/>
            </w:tcBorders>
            <w:shd w:val="clear" w:color="auto" w:fill="D9F3D0"/>
            <w:tcMar>
              <w:top w:w="60" w:type="dxa"/>
              <w:left w:w="100" w:type="dxa"/>
              <w:bottom w:w="60" w:type="dxa"/>
              <w:right w:w="100" w:type="dxa"/>
            </w:tcMar>
            <w:vAlign w:val="center"/>
          </w:tcPr>
          <w:p w14:paraId="75AD5AD8"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b/>
                <w:bCs/>
                <w:sz w:val="24"/>
                <w:szCs w:val="24"/>
                <w:lang w:val="en-CA" w:eastAsia="en-GB"/>
              </w:rPr>
            </w:pPr>
            <w:r w:rsidRPr="005F0A67">
              <w:rPr>
                <w:rFonts w:asciiTheme="majorBidi" w:eastAsia="Times New Roman" w:hAnsiTheme="majorBidi" w:cstheme="majorBidi"/>
                <w:b/>
                <w:bCs/>
                <w:sz w:val="18"/>
                <w:szCs w:val="18"/>
                <w:lang w:val="en-CA" w:eastAsia="en-GB"/>
              </w:rPr>
              <w:t>Low</w:t>
            </w:r>
          </w:p>
        </w:tc>
      </w:tr>
      <w:tr w:rsidR="005F0A67" w:rsidRPr="005F0A67" w14:paraId="3532F2E6" w14:textId="77777777" w:rsidTr="005F0A67">
        <w:tc>
          <w:tcPr>
            <w:tcW w:w="1187" w:type="pct"/>
            <w:vMerge/>
            <w:tcMar>
              <w:top w:w="60" w:type="dxa"/>
              <w:left w:w="100" w:type="dxa"/>
              <w:bottom w:w="60" w:type="dxa"/>
              <w:right w:w="100" w:type="dxa"/>
            </w:tcMar>
          </w:tcPr>
          <w:p w14:paraId="3ACAA356"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p>
        </w:tc>
        <w:tc>
          <w:tcPr>
            <w:tcW w:w="60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0AE8EC84"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R&amp;D service and platform organisations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24C6485D"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65D2EB67"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c>
          <w:tcPr>
            <w:tcW w:w="192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679DC387"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Upstream position enables pass-forward of contribution costs to biopharma and biotech clients (Huang, 2019b); overall pass-through capacity dependent on the degree of specialisation (e.g. stronger for specialist CROs); National implementation divergence (U8).</w:t>
            </w:r>
          </w:p>
        </w:tc>
        <w:tc>
          <w:tcPr>
            <w:tcW w:w="431" w:type="pct"/>
            <w:tcBorders>
              <w:top w:val="single" w:sz="1" w:space="0" w:color="AAAAAA"/>
              <w:left w:val="single" w:sz="1" w:space="0" w:color="AAAAAA"/>
              <w:right w:val="single" w:sz="1" w:space="0" w:color="AAAAAA"/>
            </w:tcBorders>
            <w:shd w:val="clear" w:color="auto" w:fill="D9F2D0"/>
            <w:tcMar>
              <w:top w:w="60" w:type="dxa"/>
              <w:left w:w="100" w:type="dxa"/>
              <w:bottom w:w="60" w:type="dxa"/>
              <w:right w:w="100" w:type="dxa"/>
            </w:tcMar>
            <w:vAlign w:val="center"/>
          </w:tcPr>
          <w:p w14:paraId="2A630E93"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b/>
                <w:bCs/>
                <w:sz w:val="24"/>
                <w:szCs w:val="24"/>
                <w:lang w:val="en-CA" w:eastAsia="en-GB"/>
              </w:rPr>
            </w:pPr>
            <w:r w:rsidRPr="005F0A67">
              <w:rPr>
                <w:rFonts w:asciiTheme="majorBidi" w:eastAsia="Times New Roman" w:hAnsiTheme="majorBidi" w:cstheme="majorBidi"/>
                <w:b/>
                <w:bCs/>
                <w:sz w:val="18"/>
                <w:szCs w:val="18"/>
                <w:lang w:val="en-CA" w:eastAsia="en-GB"/>
              </w:rPr>
              <w:t>Low</w:t>
            </w:r>
          </w:p>
        </w:tc>
      </w:tr>
    </w:tbl>
    <w:p w14:paraId="7E9D1EB1"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p>
    <w:p w14:paraId="6CAF74E5" w14:textId="77777777" w:rsidR="005F0A67" w:rsidRPr="005F0A67" w:rsidRDefault="005F0A67" w:rsidP="005F0A67">
      <w:pPr>
        <w:tabs>
          <w:tab w:val="clear" w:pos="567"/>
          <w:tab w:val="clear" w:pos="1134"/>
          <w:tab w:val="clear" w:pos="1701"/>
          <w:tab w:val="clear" w:pos="2268"/>
        </w:tabs>
        <w:spacing w:after="200" w:line="312" w:lineRule="auto"/>
        <w:contextualSpacing/>
        <w:rPr>
          <w:rFonts w:asciiTheme="majorBidi" w:eastAsia="Georgia" w:hAnsiTheme="majorBidi" w:cstheme="majorBidi"/>
          <w:b/>
          <w:bCs/>
          <w:color w:val="419844"/>
          <w:lang w:eastAsia="en-GB"/>
        </w:rPr>
      </w:pPr>
      <w:bookmarkStart w:id="203" w:name="_Ref231768786"/>
      <w:r w:rsidRPr="005F0A67">
        <w:rPr>
          <w:rFonts w:asciiTheme="majorBidi" w:eastAsia="Georgia" w:hAnsiTheme="majorBidi" w:cstheme="majorBidi"/>
          <w:b/>
          <w:bCs/>
          <w:color w:val="419844"/>
          <w:lang w:val="en-US" w:eastAsia="ja-JP"/>
        </w:rPr>
        <w:t xml:space="preserve">Table </w:t>
      </w:r>
      <w:r w:rsidRPr="005F0A67">
        <w:rPr>
          <w:rFonts w:asciiTheme="majorBidi" w:eastAsia="Georgia" w:hAnsiTheme="majorBidi" w:cstheme="majorBidi"/>
          <w:b/>
          <w:bCs/>
          <w:color w:val="419844"/>
          <w:lang w:eastAsia="en-GB"/>
        </w:rPr>
        <w:fldChar w:fldCharType="begin"/>
      </w:r>
      <w:r w:rsidRPr="005F0A67">
        <w:rPr>
          <w:rFonts w:asciiTheme="majorBidi" w:eastAsia="Georgia" w:hAnsiTheme="majorBidi" w:cstheme="majorBidi"/>
          <w:b/>
          <w:bCs/>
          <w:color w:val="419844"/>
          <w:lang w:eastAsia="en-GB"/>
        </w:rPr>
        <w:instrText xml:space="preserve"> SEQ Table \* ARABIC </w:instrText>
      </w:r>
      <w:r w:rsidRPr="005F0A67">
        <w:rPr>
          <w:rFonts w:asciiTheme="majorBidi" w:eastAsia="Georgia" w:hAnsiTheme="majorBidi" w:cstheme="majorBidi"/>
          <w:b/>
          <w:bCs/>
          <w:color w:val="419844"/>
          <w:lang w:eastAsia="en-GB"/>
        </w:rPr>
        <w:fldChar w:fldCharType="separate"/>
      </w:r>
      <w:r w:rsidRPr="005F0A67">
        <w:rPr>
          <w:rFonts w:asciiTheme="majorBidi" w:eastAsia="Georgia" w:hAnsiTheme="majorBidi" w:cstheme="majorBidi"/>
          <w:b/>
          <w:bCs/>
          <w:noProof/>
          <w:color w:val="419844"/>
          <w:lang w:eastAsia="en-GB"/>
        </w:rPr>
        <w:t>27</w:t>
      </w:r>
      <w:r w:rsidRPr="005F0A67">
        <w:rPr>
          <w:rFonts w:asciiTheme="majorBidi" w:eastAsia="Georgia" w:hAnsiTheme="majorBidi" w:cstheme="majorBidi"/>
          <w:b/>
          <w:bCs/>
          <w:color w:val="419844"/>
          <w:lang w:eastAsia="en-GB"/>
        </w:rPr>
        <w:fldChar w:fldCharType="end"/>
      </w:r>
      <w:bookmarkEnd w:id="203"/>
      <w:r w:rsidRPr="005F0A67">
        <w:rPr>
          <w:rFonts w:asciiTheme="majorBidi" w:eastAsia="Georgia" w:hAnsiTheme="majorBidi" w:cstheme="majorBidi"/>
          <w:b/>
          <w:bCs/>
          <w:color w:val="419844"/>
          <w:lang w:val="en-US" w:eastAsia="ja-JP"/>
        </w:rPr>
        <w:t xml:space="preserve"> Pillar II: capacity to innovate impacts materiality assessment - Biotechnology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94"/>
        <w:gridCol w:w="1560"/>
        <w:gridCol w:w="1147"/>
        <w:gridCol w:w="1169"/>
        <w:gridCol w:w="5344"/>
        <w:gridCol w:w="1164"/>
      </w:tblGrid>
      <w:tr w:rsidR="005F0A67" w:rsidRPr="005F0A67" w14:paraId="6AA68D6F" w14:textId="77777777" w:rsidTr="00FB671B">
        <w:tc>
          <w:tcPr>
            <w:tcW w:w="1210" w:type="pct"/>
            <w:tcBorders>
              <w:top w:val="single" w:sz="1" w:space="0" w:color="AAAAAA"/>
              <w:left w:val="single" w:sz="1" w:space="0" w:color="AAAAAA"/>
              <w:right w:val="single" w:sz="1" w:space="0" w:color="AAAAAA"/>
            </w:tcBorders>
            <w:shd w:val="clear" w:color="auto" w:fill="1F4E6B"/>
            <w:tcMar>
              <w:top w:w="60" w:type="dxa"/>
              <w:left w:w="100" w:type="dxa"/>
              <w:bottom w:w="60" w:type="dxa"/>
              <w:right w:w="100" w:type="dxa"/>
            </w:tcMar>
          </w:tcPr>
          <w:p w14:paraId="22245421"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color w:val="FFFFFF"/>
                <w:sz w:val="18"/>
                <w:szCs w:val="18"/>
                <w:lang w:val="en-CA" w:eastAsia="en-GB"/>
              </w:rPr>
              <w:t>Impact</w:t>
            </w:r>
          </w:p>
        </w:tc>
        <w:tc>
          <w:tcPr>
            <w:tcW w:w="542" w:type="pct"/>
            <w:tcBorders>
              <w:top w:val="single" w:sz="1" w:space="0" w:color="AAAAAA"/>
              <w:left w:val="single" w:sz="1" w:space="0" w:color="AAAAAA"/>
              <w:right w:val="single" w:sz="1" w:space="0" w:color="AAAAAA"/>
            </w:tcBorders>
            <w:shd w:val="clear" w:color="auto" w:fill="1F4E6B"/>
            <w:tcMar>
              <w:top w:w="60" w:type="dxa"/>
              <w:left w:w="100" w:type="dxa"/>
              <w:bottom w:w="60" w:type="dxa"/>
              <w:right w:w="100" w:type="dxa"/>
            </w:tcMar>
          </w:tcPr>
          <w:p w14:paraId="66BC2EDB"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color w:val="FFFFFF"/>
                <w:sz w:val="18"/>
                <w:szCs w:val="18"/>
                <w:lang w:val="en-CA" w:eastAsia="en-GB"/>
              </w:rPr>
              <w:t>Firm type</w:t>
            </w:r>
          </w:p>
        </w:tc>
        <w:tc>
          <w:tcPr>
            <w:tcW w:w="425" w:type="pct"/>
            <w:tcBorders>
              <w:top w:val="single" w:sz="1" w:space="0" w:color="AAAAAA"/>
              <w:left w:val="single" w:sz="1" w:space="0" w:color="AAAAAA"/>
              <w:right w:val="single" w:sz="1" w:space="0" w:color="AAAAAA"/>
            </w:tcBorders>
            <w:shd w:val="clear" w:color="auto" w:fill="1F4E6B"/>
            <w:tcMar>
              <w:top w:w="60" w:type="dxa"/>
              <w:left w:w="100" w:type="dxa"/>
              <w:bottom w:w="60" w:type="dxa"/>
              <w:right w:w="100" w:type="dxa"/>
            </w:tcMar>
          </w:tcPr>
          <w:p w14:paraId="5C5E8297"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color w:val="FFFFFF"/>
                <w:sz w:val="18"/>
                <w:szCs w:val="18"/>
                <w:lang w:val="en-CA" w:eastAsia="en-GB"/>
              </w:rPr>
              <w:t>Magnitude</w:t>
            </w:r>
          </w:p>
        </w:tc>
        <w:tc>
          <w:tcPr>
            <w:tcW w:w="433" w:type="pct"/>
            <w:tcBorders>
              <w:top w:val="single" w:sz="1" w:space="0" w:color="AAAAAA"/>
              <w:left w:val="single" w:sz="1" w:space="0" w:color="AAAAAA"/>
              <w:right w:val="single" w:sz="1" w:space="0" w:color="AAAAAA"/>
            </w:tcBorders>
            <w:shd w:val="clear" w:color="auto" w:fill="1F4E6B"/>
            <w:tcMar>
              <w:top w:w="60" w:type="dxa"/>
              <w:left w:w="100" w:type="dxa"/>
              <w:bottom w:w="60" w:type="dxa"/>
              <w:right w:w="100" w:type="dxa"/>
            </w:tcMar>
          </w:tcPr>
          <w:p w14:paraId="30C4BE70"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color w:val="FFFFFF"/>
                <w:sz w:val="18"/>
                <w:szCs w:val="18"/>
                <w:lang w:val="en-CA" w:eastAsia="en-GB"/>
              </w:rPr>
              <w:t>Probability</w:t>
            </w:r>
          </w:p>
        </w:tc>
        <w:tc>
          <w:tcPr>
            <w:tcW w:w="1959" w:type="pct"/>
            <w:tcBorders>
              <w:top w:val="single" w:sz="1" w:space="0" w:color="AAAAAA"/>
              <w:left w:val="single" w:sz="1" w:space="0" w:color="AAAAAA"/>
              <w:right w:val="single" w:sz="1" w:space="0" w:color="AAAAAA"/>
            </w:tcBorders>
            <w:shd w:val="clear" w:color="auto" w:fill="1F4E6B"/>
            <w:tcMar>
              <w:top w:w="60" w:type="dxa"/>
              <w:left w:w="100" w:type="dxa"/>
              <w:bottom w:w="60" w:type="dxa"/>
              <w:right w:w="100" w:type="dxa"/>
            </w:tcMar>
          </w:tcPr>
          <w:p w14:paraId="06CA9187"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color w:val="FFFFFF"/>
                <w:sz w:val="18"/>
                <w:szCs w:val="18"/>
                <w:lang w:val="en-CA" w:eastAsia="en-GB"/>
              </w:rPr>
              <w:t>Key conditions</w:t>
            </w:r>
          </w:p>
        </w:tc>
        <w:tc>
          <w:tcPr>
            <w:tcW w:w="431" w:type="pct"/>
            <w:tcBorders>
              <w:top w:val="single" w:sz="1" w:space="0" w:color="AAAAAA"/>
              <w:left w:val="single" w:sz="1" w:space="0" w:color="AAAAAA"/>
              <w:right w:val="single" w:sz="1" w:space="0" w:color="AAAAAA"/>
            </w:tcBorders>
            <w:shd w:val="clear" w:color="auto" w:fill="1F4E6B"/>
            <w:tcMar>
              <w:top w:w="60" w:type="dxa"/>
              <w:left w:w="100" w:type="dxa"/>
              <w:bottom w:w="60" w:type="dxa"/>
              <w:right w:w="100" w:type="dxa"/>
            </w:tcMar>
          </w:tcPr>
          <w:p w14:paraId="243D9C6B"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color w:val="FFFFFF"/>
                <w:sz w:val="18"/>
                <w:szCs w:val="18"/>
                <w:lang w:val="en-CA" w:eastAsia="en-GB"/>
              </w:rPr>
              <w:t>Materiality</w:t>
            </w:r>
          </w:p>
        </w:tc>
      </w:tr>
      <w:tr w:rsidR="005F0A67" w:rsidRPr="005F0A67" w14:paraId="18E772BB" w14:textId="77777777" w:rsidTr="005F0A67">
        <w:tc>
          <w:tcPr>
            <w:tcW w:w="1210" w:type="pct"/>
            <w:vMerge w:val="restar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128CCFFE"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b/>
                <w:bCs/>
                <w:sz w:val="18"/>
                <w:szCs w:val="18"/>
                <w:lang w:val="en-CA" w:eastAsia="en-GB"/>
              </w:rPr>
            </w:pPr>
            <w:r w:rsidRPr="005F0A67">
              <w:rPr>
                <w:rFonts w:asciiTheme="majorBidi" w:eastAsia="Times New Roman" w:hAnsiTheme="majorBidi" w:cstheme="majorBidi"/>
                <w:b/>
                <w:bCs/>
                <w:sz w:val="18"/>
                <w:szCs w:val="18"/>
                <w:lang w:val="en-CA" w:eastAsia="en-GB"/>
              </w:rPr>
              <w:lastRenderedPageBreak/>
              <w:t>R&amp;D investment capacity</w:t>
            </w:r>
          </w:p>
          <w:p w14:paraId="3F13EFA2"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Reduction in capital available for R&amp;D through margin compression or reduced free cash flow. A comparable 1pp profit tax burden reduces R&amp;D by ~6-7% over eight years, with effects concentrated in financially constrained firms (Lichter et al., 2025). Established biopharmaceutical innovators with median margins of ~17% are relatively insulated; industrial biotech and R&amp;D service firms with thinner margins face higher exposure per unit of contribution.</w:t>
            </w: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7ADCE1B4"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Biopharmaceutical innovators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06CBBE04"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Moderate</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51454A3D"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Medium</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6A3DD522"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High R&amp;D intensity (~16% of sales, Popa et al., 2018a); long development cycles with high project failure risk (DiMasi and Grabowski, 2007); mix of large well-capitalised integrated firms (least exposed) and smaller financially constrained innovators (more at risk, Lichter et al., 2025); potential WHO PABS overlap (U7); rate revision.</w:t>
            </w:r>
          </w:p>
        </w:tc>
        <w:tc>
          <w:tcPr>
            <w:tcW w:w="431" w:type="pct"/>
            <w:tcBorders>
              <w:top w:val="single" w:sz="1" w:space="0" w:color="AAAAAA"/>
              <w:left w:val="single" w:sz="1" w:space="0" w:color="AAAAAA"/>
              <w:right w:val="single" w:sz="1" w:space="0" w:color="AAAAAA"/>
            </w:tcBorders>
            <w:shd w:val="clear" w:color="auto" w:fill="FEF9CC"/>
            <w:tcMar>
              <w:top w:w="60" w:type="dxa"/>
              <w:left w:w="100" w:type="dxa"/>
              <w:bottom w:w="60" w:type="dxa"/>
              <w:right w:w="100" w:type="dxa"/>
            </w:tcMar>
            <w:vAlign w:val="center"/>
          </w:tcPr>
          <w:p w14:paraId="6126646C"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b/>
                <w:bCs/>
                <w:sz w:val="24"/>
                <w:szCs w:val="24"/>
                <w:lang w:val="en-CA" w:eastAsia="en-GB"/>
              </w:rPr>
            </w:pPr>
            <w:r w:rsidRPr="005F0A67">
              <w:rPr>
                <w:rFonts w:asciiTheme="majorBidi" w:eastAsia="Times New Roman" w:hAnsiTheme="majorBidi" w:cstheme="majorBidi"/>
                <w:b/>
                <w:bCs/>
                <w:sz w:val="18"/>
                <w:szCs w:val="18"/>
                <w:lang w:val="en-CA" w:eastAsia="en-GB"/>
              </w:rPr>
              <w:t>Moderate</w:t>
            </w:r>
          </w:p>
        </w:tc>
      </w:tr>
      <w:tr w:rsidR="005F0A67" w:rsidRPr="005F0A67" w14:paraId="2B65AFB9" w14:textId="77777777" w:rsidTr="005F0A67">
        <w:tc>
          <w:tcPr>
            <w:tcW w:w="1210" w:type="pct"/>
            <w:vMerge/>
            <w:tcMar>
              <w:top w:w="60" w:type="dxa"/>
              <w:left w:w="100" w:type="dxa"/>
              <w:bottom w:w="60" w:type="dxa"/>
              <w:right w:w="100" w:type="dxa"/>
            </w:tcMar>
          </w:tcPr>
          <w:p w14:paraId="02292E34"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00DE3233"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Molecular diagnostics and clinical laboratory services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67386F92"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7B1D28D8"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28B4DA62"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Moderate R&amp;D intensity; shorter development cycles than biopharmaceutical innovators; reimbursement constraints already compress margins available for R&amp;D. Rate revision.</w:t>
            </w:r>
          </w:p>
        </w:tc>
        <w:tc>
          <w:tcPr>
            <w:tcW w:w="431" w:type="pct"/>
            <w:tcBorders>
              <w:top w:val="single" w:sz="1" w:space="0" w:color="AAAAAA"/>
              <w:left w:val="single" w:sz="1" w:space="0" w:color="AAAAAA"/>
              <w:right w:val="single" w:sz="1" w:space="0" w:color="AAAAAA"/>
            </w:tcBorders>
            <w:shd w:val="clear" w:color="auto" w:fill="D9F2D0"/>
            <w:tcMar>
              <w:top w:w="60" w:type="dxa"/>
              <w:left w:w="100" w:type="dxa"/>
              <w:bottom w:w="60" w:type="dxa"/>
              <w:right w:w="100" w:type="dxa"/>
            </w:tcMar>
            <w:vAlign w:val="center"/>
          </w:tcPr>
          <w:p w14:paraId="3D2ABB71"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b/>
                <w:bCs/>
                <w:sz w:val="24"/>
                <w:szCs w:val="24"/>
                <w:lang w:val="en-CA" w:eastAsia="en-GB"/>
              </w:rPr>
            </w:pPr>
            <w:r w:rsidRPr="005F0A67">
              <w:rPr>
                <w:rFonts w:asciiTheme="majorBidi" w:eastAsia="Times New Roman" w:hAnsiTheme="majorBidi" w:cstheme="majorBidi"/>
                <w:b/>
                <w:bCs/>
                <w:sz w:val="18"/>
                <w:szCs w:val="18"/>
                <w:lang w:val="en-CA" w:eastAsia="en-GB"/>
              </w:rPr>
              <w:t>Low</w:t>
            </w:r>
          </w:p>
        </w:tc>
      </w:tr>
      <w:tr w:rsidR="005F0A67" w:rsidRPr="005F0A67" w14:paraId="4F85C588" w14:textId="77777777" w:rsidTr="005F0A67">
        <w:tc>
          <w:tcPr>
            <w:tcW w:w="1210" w:type="pct"/>
            <w:vMerge/>
            <w:tcMar>
              <w:top w:w="60" w:type="dxa"/>
              <w:left w:w="100" w:type="dxa"/>
              <w:bottom w:w="60" w:type="dxa"/>
              <w:right w:w="100" w:type="dxa"/>
            </w:tcMar>
          </w:tcPr>
          <w:p w14:paraId="77132598"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34962CCF"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Industrial biotechnology and biomanufacturing</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0041CCF5"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7760789D"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4B002648"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Scale-up and process engineering R&amp;D is significant but shorter-cycle than drug development; already constrained by uncertain demand growth and oil price exposure (Kim et al., 2026). Rate revision.</w:t>
            </w:r>
          </w:p>
        </w:tc>
        <w:tc>
          <w:tcPr>
            <w:tcW w:w="431" w:type="pct"/>
            <w:tcBorders>
              <w:top w:val="single" w:sz="1" w:space="0" w:color="AAAAAA"/>
              <w:left w:val="single" w:sz="1" w:space="0" w:color="AAAAAA"/>
              <w:right w:val="single" w:sz="1" w:space="0" w:color="AAAAAA"/>
            </w:tcBorders>
            <w:shd w:val="clear" w:color="auto" w:fill="D9F2D0"/>
            <w:tcMar>
              <w:top w:w="60" w:type="dxa"/>
              <w:left w:w="100" w:type="dxa"/>
              <w:bottom w:w="60" w:type="dxa"/>
              <w:right w:w="100" w:type="dxa"/>
            </w:tcMar>
            <w:vAlign w:val="center"/>
          </w:tcPr>
          <w:p w14:paraId="5FC97B23"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b/>
                <w:bCs/>
                <w:sz w:val="24"/>
                <w:szCs w:val="24"/>
                <w:lang w:val="en-CA" w:eastAsia="en-GB"/>
              </w:rPr>
            </w:pPr>
            <w:r w:rsidRPr="005F0A67">
              <w:rPr>
                <w:rFonts w:asciiTheme="majorBidi" w:eastAsia="Times New Roman" w:hAnsiTheme="majorBidi" w:cstheme="majorBidi"/>
                <w:b/>
                <w:bCs/>
                <w:sz w:val="18"/>
                <w:szCs w:val="18"/>
                <w:lang w:val="en-CA" w:eastAsia="en-GB"/>
              </w:rPr>
              <w:t>Low</w:t>
            </w:r>
          </w:p>
        </w:tc>
      </w:tr>
      <w:tr w:rsidR="005F0A67" w:rsidRPr="005F0A67" w14:paraId="42D72121" w14:textId="77777777" w:rsidTr="005F0A67">
        <w:tc>
          <w:tcPr>
            <w:tcW w:w="1210" w:type="pct"/>
            <w:vMerge/>
            <w:tcMar>
              <w:top w:w="60" w:type="dxa"/>
              <w:left w:w="100" w:type="dxa"/>
              <w:bottom w:w="60" w:type="dxa"/>
              <w:right w:w="100" w:type="dxa"/>
            </w:tcMar>
          </w:tcPr>
          <w:p w14:paraId="59F7C7C0"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11B6E652"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R&amp;D service and platform organisations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30AE9BE6"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359FA4AA"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487CECFE"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R&amp;D is primarily contracted client work rather than proprietary pipeline investment; contribution burden limited given pass-forward capacity to clients (Huang, 2019b). Rate revision.</w:t>
            </w:r>
          </w:p>
        </w:tc>
        <w:tc>
          <w:tcPr>
            <w:tcW w:w="431" w:type="pct"/>
            <w:tcBorders>
              <w:top w:val="single" w:sz="1" w:space="0" w:color="AAAAAA"/>
              <w:left w:val="single" w:sz="1" w:space="0" w:color="AAAAAA"/>
              <w:right w:val="single" w:sz="1" w:space="0" w:color="AAAAAA"/>
            </w:tcBorders>
            <w:shd w:val="clear" w:color="auto" w:fill="D9F2D0"/>
            <w:tcMar>
              <w:top w:w="60" w:type="dxa"/>
              <w:left w:w="100" w:type="dxa"/>
              <w:bottom w:w="60" w:type="dxa"/>
              <w:right w:w="100" w:type="dxa"/>
            </w:tcMar>
            <w:vAlign w:val="center"/>
          </w:tcPr>
          <w:p w14:paraId="7B9CA0F0"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b/>
                <w:bCs/>
                <w:sz w:val="24"/>
                <w:szCs w:val="24"/>
                <w:lang w:val="en-CA" w:eastAsia="en-GB"/>
              </w:rPr>
            </w:pPr>
            <w:r w:rsidRPr="005F0A67">
              <w:rPr>
                <w:rFonts w:asciiTheme="majorBidi" w:eastAsia="Times New Roman" w:hAnsiTheme="majorBidi" w:cstheme="majorBidi"/>
                <w:b/>
                <w:bCs/>
                <w:sz w:val="18"/>
                <w:szCs w:val="18"/>
                <w:lang w:val="en-CA" w:eastAsia="en-GB"/>
              </w:rPr>
              <w:t>Low</w:t>
            </w:r>
          </w:p>
        </w:tc>
      </w:tr>
      <w:tr w:rsidR="005F0A67" w:rsidRPr="005F0A67" w14:paraId="5B0D38F4" w14:textId="77777777" w:rsidTr="005F0A67">
        <w:tc>
          <w:tcPr>
            <w:tcW w:w="1210" w:type="pct"/>
            <w:vMerge w:val="restar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521ED843"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b/>
                <w:bCs/>
                <w:sz w:val="18"/>
                <w:szCs w:val="18"/>
                <w:lang w:val="en-CA" w:eastAsia="en-GB"/>
              </w:rPr>
            </w:pPr>
            <w:r w:rsidRPr="005F0A67">
              <w:rPr>
                <w:rFonts w:asciiTheme="majorBidi" w:eastAsia="Times New Roman" w:hAnsiTheme="majorBidi" w:cstheme="majorBidi"/>
                <w:b/>
                <w:bCs/>
                <w:sz w:val="18"/>
                <w:szCs w:val="18"/>
                <w:lang w:val="en-CA" w:eastAsia="en-GB"/>
              </w:rPr>
              <w:t>Product innovation capacity</w:t>
            </w:r>
          </w:p>
          <w:p w14:paraId="045B640D"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Reduction in capital for development and commercialisation of new products via the same margin compression channel as R&amp;D investment. Most significant for firms with long pipelines and high development costs. Innovation effects most pronounced for financially constrained firms.</w:t>
            </w: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4119F4CE"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Biopharmaceutical innovators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1BD15183"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Moderate</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4830DDCA"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Medium</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15B96800"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Long development cycles and high project failure risk (DiMasi and Grabowski, 2007); mix of large integrated firms and financially constrained smaller innovators; rate revision; potential obligation stacking (U7).</w:t>
            </w:r>
          </w:p>
        </w:tc>
        <w:tc>
          <w:tcPr>
            <w:tcW w:w="431" w:type="pct"/>
            <w:tcBorders>
              <w:top w:val="single" w:sz="1" w:space="0" w:color="AAAAAA"/>
              <w:left w:val="single" w:sz="1" w:space="0" w:color="AAAAAA"/>
              <w:right w:val="single" w:sz="1" w:space="0" w:color="AAAAAA"/>
            </w:tcBorders>
            <w:shd w:val="clear" w:color="auto" w:fill="FEF9CC"/>
            <w:tcMar>
              <w:top w:w="60" w:type="dxa"/>
              <w:left w:w="100" w:type="dxa"/>
              <w:bottom w:w="60" w:type="dxa"/>
              <w:right w:w="100" w:type="dxa"/>
            </w:tcMar>
            <w:vAlign w:val="center"/>
          </w:tcPr>
          <w:p w14:paraId="04D784C5"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b/>
                <w:bCs/>
                <w:sz w:val="24"/>
                <w:szCs w:val="24"/>
                <w:lang w:val="en-CA" w:eastAsia="en-GB"/>
              </w:rPr>
            </w:pPr>
            <w:r w:rsidRPr="005F0A67">
              <w:rPr>
                <w:rFonts w:asciiTheme="majorBidi" w:eastAsia="Times New Roman" w:hAnsiTheme="majorBidi" w:cstheme="majorBidi"/>
                <w:b/>
                <w:bCs/>
                <w:sz w:val="18"/>
                <w:szCs w:val="18"/>
                <w:lang w:val="en-CA" w:eastAsia="en-GB"/>
              </w:rPr>
              <w:t>Moderate</w:t>
            </w:r>
          </w:p>
        </w:tc>
      </w:tr>
      <w:tr w:rsidR="005F0A67" w:rsidRPr="005F0A67" w14:paraId="4A27AB15" w14:textId="77777777" w:rsidTr="005F0A67">
        <w:tc>
          <w:tcPr>
            <w:tcW w:w="1210" w:type="pct"/>
            <w:vMerge/>
            <w:tcMar>
              <w:top w:w="60" w:type="dxa"/>
              <w:left w:w="100" w:type="dxa"/>
              <w:bottom w:w="60" w:type="dxa"/>
              <w:right w:w="100" w:type="dxa"/>
            </w:tcMar>
          </w:tcPr>
          <w:p w14:paraId="254EDC1B"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5D5ECE20"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Molecular diagnostics and clinical laboratory services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1916850F"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0FFB455A"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35A04A50"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Test development cycles shorter than drug development; reimbursement pathway uncertainty already a primary constraint on product commercialisation. Rate revision.</w:t>
            </w:r>
          </w:p>
        </w:tc>
        <w:tc>
          <w:tcPr>
            <w:tcW w:w="431" w:type="pct"/>
            <w:tcBorders>
              <w:top w:val="single" w:sz="1" w:space="0" w:color="AAAAAA"/>
              <w:left w:val="single" w:sz="1" w:space="0" w:color="AAAAAA"/>
              <w:right w:val="single" w:sz="1" w:space="0" w:color="AAAAAA"/>
            </w:tcBorders>
            <w:shd w:val="clear" w:color="auto" w:fill="D9F2D0"/>
            <w:tcMar>
              <w:top w:w="60" w:type="dxa"/>
              <w:left w:w="100" w:type="dxa"/>
              <w:bottom w:w="60" w:type="dxa"/>
              <w:right w:w="100" w:type="dxa"/>
            </w:tcMar>
            <w:vAlign w:val="center"/>
          </w:tcPr>
          <w:p w14:paraId="614FB6E0"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b/>
                <w:bCs/>
                <w:sz w:val="24"/>
                <w:szCs w:val="24"/>
                <w:lang w:val="en-CA" w:eastAsia="en-GB"/>
              </w:rPr>
            </w:pPr>
            <w:r w:rsidRPr="005F0A67">
              <w:rPr>
                <w:rFonts w:asciiTheme="majorBidi" w:eastAsia="Times New Roman" w:hAnsiTheme="majorBidi" w:cstheme="majorBidi"/>
                <w:b/>
                <w:bCs/>
                <w:sz w:val="18"/>
                <w:szCs w:val="18"/>
                <w:lang w:val="en-CA" w:eastAsia="en-GB"/>
              </w:rPr>
              <w:t>Low</w:t>
            </w:r>
          </w:p>
        </w:tc>
      </w:tr>
      <w:tr w:rsidR="005F0A67" w:rsidRPr="005F0A67" w14:paraId="1B549088" w14:textId="77777777" w:rsidTr="005F0A67">
        <w:tc>
          <w:tcPr>
            <w:tcW w:w="1210" w:type="pct"/>
            <w:vMerge/>
            <w:tcMar>
              <w:top w:w="60" w:type="dxa"/>
              <w:left w:w="100" w:type="dxa"/>
              <w:bottom w:w="60" w:type="dxa"/>
              <w:right w:w="100" w:type="dxa"/>
            </w:tcMar>
          </w:tcPr>
          <w:p w14:paraId="6EDB1A32"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6688DAA3"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Industrial biotechnology and biomanufacturing</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2B387D67"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312F9842"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09F0EC87"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Scale-up from research to large-scale production is a major independent constraint; contribution burden too small to materially add to existing commercialisation challenges at indicative rates (Clarke and Kitney, 2020). Rate revision.</w:t>
            </w:r>
          </w:p>
        </w:tc>
        <w:tc>
          <w:tcPr>
            <w:tcW w:w="431" w:type="pct"/>
            <w:tcBorders>
              <w:top w:val="single" w:sz="1" w:space="0" w:color="AAAAAA"/>
              <w:left w:val="single" w:sz="1" w:space="0" w:color="AAAAAA"/>
              <w:right w:val="single" w:sz="1" w:space="0" w:color="AAAAAA"/>
            </w:tcBorders>
            <w:shd w:val="clear" w:color="auto" w:fill="D9F2D0"/>
            <w:tcMar>
              <w:top w:w="60" w:type="dxa"/>
              <w:left w:w="100" w:type="dxa"/>
              <w:bottom w:w="60" w:type="dxa"/>
              <w:right w:w="100" w:type="dxa"/>
            </w:tcMar>
            <w:vAlign w:val="center"/>
          </w:tcPr>
          <w:p w14:paraId="7AAEB4A1"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b/>
                <w:bCs/>
                <w:sz w:val="24"/>
                <w:szCs w:val="24"/>
                <w:lang w:val="en-CA" w:eastAsia="en-GB"/>
              </w:rPr>
            </w:pPr>
            <w:r w:rsidRPr="005F0A67">
              <w:rPr>
                <w:rFonts w:asciiTheme="majorBidi" w:eastAsia="Times New Roman" w:hAnsiTheme="majorBidi" w:cstheme="majorBidi"/>
                <w:b/>
                <w:bCs/>
                <w:sz w:val="18"/>
                <w:szCs w:val="18"/>
                <w:lang w:val="en-CA" w:eastAsia="en-GB"/>
              </w:rPr>
              <w:t>Low</w:t>
            </w:r>
          </w:p>
        </w:tc>
      </w:tr>
      <w:tr w:rsidR="005F0A67" w:rsidRPr="005F0A67" w14:paraId="2D1328EE" w14:textId="77777777" w:rsidTr="005F0A67">
        <w:tc>
          <w:tcPr>
            <w:tcW w:w="1210" w:type="pct"/>
            <w:vMerge/>
            <w:tcMar>
              <w:top w:w="60" w:type="dxa"/>
              <w:left w:w="100" w:type="dxa"/>
              <w:bottom w:w="60" w:type="dxa"/>
              <w:right w:w="100" w:type="dxa"/>
            </w:tcMar>
          </w:tcPr>
          <w:p w14:paraId="1639779E"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35AEA371"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R&amp;D service and platform organisations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07C104FD"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12E916B5"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1318EB75"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Product innovation not the primary competitive model; services-based rather than product pipeline. Rate revision.</w:t>
            </w:r>
          </w:p>
        </w:tc>
        <w:tc>
          <w:tcPr>
            <w:tcW w:w="431" w:type="pct"/>
            <w:tcBorders>
              <w:top w:val="single" w:sz="1" w:space="0" w:color="AAAAAA"/>
              <w:left w:val="single" w:sz="1" w:space="0" w:color="AAAAAA"/>
              <w:right w:val="single" w:sz="1" w:space="0" w:color="AAAAAA"/>
            </w:tcBorders>
            <w:shd w:val="clear" w:color="auto" w:fill="D9F2D0"/>
            <w:tcMar>
              <w:top w:w="60" w:type="dxa"/>
              <w:left w:w="100" w:type="dxa"/>
              <w:bottom w:w="60" w:type="dxa"/>
              <w:right w:w="100" w:type="dxa"/>
            </w:tcMar>
            <w:vAlign w:val="center"/>
          </w:tcPr>
          <w:p w14:paraId="3E0DA8D8"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b/>
                <w:bCs/>
                <w:sz w:val="24"/>
                <w:szCs w:val="24"/>
                <w:lang w:val="en-CA" w:eastAsia="en-GB"/>
              </w:rPr>
            </w:pPr>
            <w:r w:rsidRPr="005F0A67">
              <w:rPr>
                <w:rFonts w:asciiTheme="majorBidi" w:eastAsia="Times New Roman" w:hAnsiTheme="majorBidi" w:cstheme="majorBidi"/>
                <w:b/>
                <w:bCs/>
                <w:sz w:val="18"/>
                <w:szCs w:val="18"/>
                <w:lang w:val="en-CA" w:eastAsia="en-GB"/>
              </w:rPr>
              <w:t>Low</w:t>
            </w:r>
          </w:p>
        </w:tc>
      </w:tr>
      <w:tr w:rsidR="005F0A67" w:rsidRPr="005F0A67" w14:paraId="43F41D63" w14:textId="77777777" w:rsidTr="005F0A67">
        <w:tc>
          <w:tcPr>
            <w:tcW w:w="1210" w:type="pct"/>
            <w:vMerge w:val="restar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531610B8"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b/>
                <w:bCs/>
                <w:sz w:val="18"/>
                <w:szCs w:val="18"/>
                <w:lang w:val="en-CA" w:eastAsia="en-GB"/>
              </w:rPr>
            </w:pPr>
            <w:r w:rsidRPr="005F0A67">
              <w:rPr>
                <w:rFonts w:asciiTheme="majorBidi" w:eastAsia="Times New Roman" w:hAnsiTheme="majorBidi" w:cstheme="majorBidi"/>
                <w:b/>
                <w:bCs/>
                <w:sz w:val="18"/>
                <w:szCs w:val="18"/>
                <w:lang w:val="en-CA" w:eastAsia="en-GB"/>
              </w:rPr>
              <w:t>Access to risk capital</w:t>
            </w:r>
          </w:p>
          <w:p w14:paraId="108C5004"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 xml:space="preserve">Effect on ability to attract external financing for innovation where margin compression reduces perceived returns. Most relevant for early-stage biopharmaceutical innovators reliant on external equity. Early-stage and loss-making firms are typically exempt under </w:t>
            </w:r>
            <w:r w:rsidRPr="005F0A67">
              <w:rPr>
                <w:rFonts w:asciiTheme="majorBidi" w:eastAsia="Times New Roman" w:hAnsiTheme="majorBidi" w:cstheme="majorBidi"/>
                <w:sz w:val="18"/>
                <w:szCs w:val="18"/>
                <w:lang w:val="en-CA" w:eastAsia="en-GB"/>
              </w:rPr>
              <w:lastRenderedPageBreak/>
              <w:t>the profit floor and outside the eligible population, but the mechanism may affect investor perception of the sector's regulatory environment.</w:t>
            </w: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71E675E1"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lastRenderedPageBreak/>
              <w:t>Biopharmaceutical innovators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31451D12"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4378F768"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12B82FA5"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Early-stage loss-making innovators are exempt under the profit floor; established firms with retained earnings least exposed; investor perception of regulatory environment may be affected at the margin. Rate revision.</w:t>
            </w:r>
          </w:p>
        </w:tc>
        <w:tc>
          <w:tcPr>
            <w:tcW w:w="431" w:type="pct"/>
            <w:tcBorders>
              <w:top w:val="single" w:sz="1" w:space="0" w:color="AAAAAA"/>
              <w:left w:val="single" w:sz="1" w:space="0" w:color="AAAAAA"/>
              <w:right w:val="single" w:sz="1" w:space="0" w:color="AAAAAA"/>
            </w:tcBorders>
            <w:shd w:val="clear" w:color="auto" w:fill="D9F2D0"/>
            <w:tcMar>
              <w:top w:w="60" w:type="dxa"/>
              <w:left w:w="100" w:type="dxa"/>
              <w:bottom w:w="60" w:type="dxa"/>
              <w:right w:w="100" w:type="dxa"/>
            </w:tcMar>
            <w:vAlign w:val="center"/>
          </w:tcPr>
          <w:p w14:paraId="3F087EC5"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b/>
                <w:bCs/>
                <w:sz w:val="24"/>
                <w:szCs w:val="24"/>
                <w:lang w:val="en-CA" w:eastAsia="en-GB"/>
              </w:rPr>
            </w:pPr>
            <w:r w:rsidRPr="005F0A67">
              <w:rPr>
                <w:rFonts w:asciiTheme="majorBidi" w:eastAsia="Times New Roman" w:hAnsiTheme="majorBidi" w:cstheme="majorBidi"/>
                <w:b/>
                <w:bCs/>
                <w:sz w:val="18"/>
                <w:szCs w:val="18"/>
                <w:lang w:val="en-CA" w:eastAsia="en-GB"/>
              </w:rPr>
              <w:t>Low</w:t>
            </w:r>
          </w:p>
        </w:tc>
      </w:tr>
      <w:tr w:rsidR="005F0A67" w:rsidRPr="005F0A67" w14:paraId="40F5102A" w14:textId="77777777" w:rsidTr="005F0A67">
        <w:tc>
          <w:tcPr>
            <w:tcW w:w="1210" w:type="pct"/>
            <w:vMerge/>
            <w:tcMar>
              <w:top w:w="60" w:type="dxa"/>
              <w:left w:w="100" w:type="dxa"/>
              <w:bottom w:w="60" w:type="dxa"/>
              <w:right w:w="100" w:type="dxa"/>
            </w:tcMar>
          </w:tcPr>
          <w:p w14:paraId="0718464B"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494D713B"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Molecular diagnostics and clinical laboratory services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3AFDB0F0"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3179AC1F"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23CCFF4C"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Reimbursement-constrained financing environment already challenging; contribution burden minor relative to existing constraints. Rate revision.</w:t>
            </w:r>
          </w:p>
        </w:tc>
        <w:tc>
          <w:tcPr>
            <w:tcW w:w="431" w:type="pct"/>
            <w:tcBorders>
              <w:top w:val="single" w:sz="1" w:space="0" w:color="AAAAAA"/>
              <w:left w:val="single" w:sz="1" w:space="0" w:color="AAAAAA"/>
              <w:right w:val="single" w:sz="1" w:space="0" w:color="AAAAAA"/>
            </w:tcBorders>
            <w:shd w:val="clear" w:color="auto" w:fill="D9F2D0"/>
            <w:tcMar>
              <w:top w:w="60" w:type="dxa"/>
              <w:left w:w="100" w:type="dxa"/>
              <w:bottom w:w="60" w:type="dxa"/>
              <w:right w:w="100" w:type="dxa"/>
            </w:tcMar>
            <w:vAlign w:val="center"/>
          </w:tcPr>
          <w:p w14:paraId="0A6ADEE1"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b/>
                <w:bCs/>
                <w:sz w:val="24"/>
                <w:szCs w:val="24"/>
                <w:lang w:val="en-CA" w:eastAsia="en-GB"/>
              </w:rPr>
            </w:pPr>
            <w:r w:rsidRPr="005F0A67">
              <w:rPr>
                <w:rFonts w:asciiTheme="majorBidi" w:eastAsia="Times New Roman" w:hAnsiTheme="majorBidi" w:cstheme="majorBidi"/>
                <w:b/>
                <w:bCs/>
                <w:sz w:val="18"/>
                <w:szCs w:val="18"/>
                <w:lang w:val="en-CA" w:eastAsia="en-GB"/>
              </w:rPr>
              <w:t>Low</w:t>
            </w:r>
          </w:p>
        </w:tc>
      </w:tr>
      <w:tr w:rsidR="005F0A67" w:rsidRPr="005F0A67" w14:paraId="1DFF1AFF" w14:textId="77777777" w:rsidTr="005F0A67">
        <w:tc>
          <w:tcPr>
            <w:tcW w:w="1210" w:type="pct"/>
            <w:vMerge/>
            <w:tcMar>
              <w:top w:w="60" w:type="dxa"/>
              <w:left w:w="100" w:type="dxa"/>
              <w:bottom w:w="60" w:type="dxa"/>
              <w:right w:w="100" w:type="dxa"/>
            </w:tcMar>
          </w:tcPr>
          <w:p w14:paraId="1479FE77"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2723E197"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Industrial biotechnology and biomanufacturing</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269226D6"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4FE8B66F"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2DABA03C"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 xml:space="preserve">Scale-up financing needs significant but contribution burden too small to materially affect investor decisions at indicative rates. </w:t>
            </w:r>
            <w:bookmarkStart w:id="204" w:name="_Int_vML7jR1g"/>
            <w:r w:rsidRPr="005F0A67">
              <w:rPr>
                <w:rFonts w:asciiTheme="majorBidi" w:eastAsia="Times New Roman" w:hAnsiTheme="majorBidi" w:cstheme="majorBidi"/>
                <w:sz w:val="18"/>
                <w:szCs w:val="18"/>
                <w:lang w:val="en-CA" w:eastAsia="en-GB"/>
              </w:rPr>
              <w:t>Voluntary</w:t>
            </w:r>
            <w:bookmarkEnd w:id="204"/>
            <w:r w:rsidRPr="005F0A67">
              <w:rPr>
                <w:rFonts w:asciiTheme="majorBidi" w:eastAsia="Times New Roman" w:hAnsiTheme="majorBidi" w:cstheme="majorBidi"/>
                <w:sz w:val="18"/>
                <w:szCs w:val="18"/>
                <w:lang w:val="en-CA" w:eastAsia="en-GB"/>
              </w:rPr>
              <w:t xml:space="preserve"> opt-out </w:t>
            </w:r>
            <w:bookmarkStart w:id="205" w:name="_Int_B7SECsmG"/>
            <w:r w:rsidRPr="005F0A67">
              <w:rPr>
                <w:rFonts w:asciiTheme="majorBidi" w:eastAsia="Times New Roman" w:hAnsiTheme="majorBidi" w:cstheme="majorBidi"/>
                <w:sz w:val="18"/>
                <w:szCs w:val="18"/>
                <w:lang w:val="en-CA" w:eastAsia="en-GB"/>
              </w:rPr>
              <w:t>limits</w:t>
            </w:r>
            <w:bookmarkEnd w:id="205"/>
            <w:r w:rsidRPr="005F0A67">
              <w:rPr>
                <w:rFonts w:asciiTheme="majorBidi" w:eastAsia="Times New Roman" w:hAnsiTheme="majorBidi" w:cstheme="majorBidi"/>
                <w:sz w:val="18"/>
                <w:szCs w:val="18"/>
                <w:lang w:val="en-CA" w:eastAsia="en-GB"/>
              </w:rPr>
              <w:t xml:space="preserve"> severe outcomes. Rate revision.</w:t>
            </w:r>
          </w:p>
        </w:tc>
        <w:tc>
          <w:tcPr>
            <w:tcW w:w="431" w:type="pct"/>
            <w:tcBorders>
              <w:top w:val="single" w:sz="1" w:space="0" w:color="AAAAAA"/>
              <w:left w:val="single" w:sz="1" w:space="0" w:color="AAAAAA"/>
              <w:right w:val="single" w:sz="1" w:space="0" w:color="AAAAAA"/>
            </w:tcBorders>
            <w:shd w:val="clear" w:color="auto" w:fill="D9F2D0"/>
            <w:tcMar>
              <w:top w:w="60" w:type="dxa"/>
              <w:left w:w="100" w:type="dxa"/>
              <w:bottom w:w="60" w:type="dxa"/>
              <w:right w:w="100" w:type="dxa"/>
            </w:tcMar>
            <w:vAlign w:val="center"/>
          </w:tcPr>
          <w:p w14:paraId="2C2EE475"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b/>
                <w:bCs/>
                <w:sz w:val="24"/>
                <w:szCs w:val="24"/>
                <w:lang w:val="en-CA" w:eastAsia="en-GB"/>
              </w:rPr>
            </w:pPr>
            <w:r w:rsidRPr="005F0A67">
              <w:rPr>
                <w:rFonts w:asciiTheme="majorBidi" w:eastAsia="Times New Roman" w:hAnsiTheme="majorBidi" w:cstheme="majorBidi"/>
                <w:b/>
                <w:bCs/>
                <w:sz w:val="18"/>
                <w:szCs w:val="18"/>
                <w:lang w:val="en-CA" w:eastAsia="en-GB"/>
              </w:rPr>
              <w:t>Low</w:t>
            </w:r>
          </w:p>
        </w:tc>
      </w:tr>
      <w:tr w:rsidR="005F0A67" w:rsidRPr="005F0A67" w14:paraId="504B3DB1" w14:textId="77777777" w:rsidTr="005F0A67">
        <w:tc>
          <w:tcPr>
            <w:tcW w:w="1210" w:type="pct"/>
            <w:vMerge/>
            <w:tcMar>
              <w:top w:w="60" w:type="dxa"/>
              <w:left w:w="100" w:type="dxa"/>
              <w:bottom w:w="60" w:type="dxa"/>
              <w:right w:w="100" w:type="dxa"/>
            </w:tcMar>
          </w:tcPr>
          <w:p w14:paraId="5EBB6ED8"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579835E0"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R&amp;D service and platform organisations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0557B150"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103A02DD"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1C8C7FA0"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Contract-based business model reduces reliance on risk capital for innovation; limited exposure. Rate revision.</w:t>
            </w:r>
          </w:p>
        </w:tc>
        <w:tc>
          <w:tcPr>
            <w:tcW w:w="431" w:type="pct"/>
            <w:tcBorders>
              <w:top w:val="single" w:sz="1" w:space="0" w:color="AAAAAA"/>
              <w:left w:val="single" w:sz="1" w:space="0" w:color="AAAAAA"/>
              <w:right w:val="single" w:sz="1" w:space="0" w:color="AAAAAA"/>
            </w:tcBorders>
            <w:shd w:val="clear" w:color="auto" w:fill="D9F2D0"/>
            <w:tcMar>
              <w:top w:w="60" w:type="dxa"/>
              <w:left w:w="100" w:type="dxa"/>
              <w:bottom w:w="60" w:type="dxa"/>
              <w:right w:w="100" w:type="dxa"/>
            </w:tcMar>
            <w:vAlign w:val="center"/>
          </w:tcPr>
          <w:p w14:paraId="5508DE76"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b/>
                <w:bCs/>
                <w:sz w:val="24"/>
                <w:szCs w:val="24"/>
                <w:lang w:val="en-CA" w:eastAsia="en-GB"/>
              </w:rPr>
            </w:pPr>
            <w:r w:rsidRPr="005F0A67">
              <w:rPr>
                <w:rFonts w:asciiTheme="majorBidi" w:eastAsia="Times New Roman" w:hAnsiTheme="majorBidi" w:cstheme="majorBidi"/>
                <w:b/>
                <w:bCs/>
                <w:sz w:val="18"/>
                <w:szCs w:val="18"/>
                <w:lang w:val="en-CA" w:eastAsia="en-GB"/>
              </w:rPr>
              <w:t>Low</w:t>
            </w:r>
          </w:p>
        </w:tc>
      </w:tr>
      <w:tr w:rsidR="005F0A67" w:rsidRPr="005F0A67" w14:paraId="5C437E19" w14:textId="77777777" w:rsidTr="005F0A67">
        <w:tc>
          <w:tcPr>
            <w:tcW w:w="1210" w:type="pct"/>
            <w:vMerge w:val="restar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718A8D8F"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b/>
                <w:bCs/>
                <w:sz w:val="18"/>
                <w:szCs w:val="18"/>
                <w:lang w:val="en-CA" w:eastAsia="en-GB"/>
              </w:rPr>
            </w:pPr>
            <w:r w:rsidRPr="005F0A67">
              <w:rPr>
                <w:rFonts w:asciiTheme="majorBidi" w:eastAsia="Times New Roman" w:hAnsiTheme="majorBidi" w:cstheme="majorBidi"/>
                <w:b/>
                <w:bCs/>
                <w:sz w:val="18"/>
                <w:szCs w:val="18"/>
                <w:lang w:val="en-CA" w:eastAsia="en-GB"/>
              </w:rPr>
              <w:t>Certainty and predictability</w:t>
            </w:r>
          </w:p>
          <w:p w14:paraId="6B65941E"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Effect of unresolved Decision 16/2 design parameters on willingness to commit to long-term R&amp;D investment pipelines. Non-binding design means uncertainty primarily deters participation rather than investment. Significant for biopharmaceutical innovators with long pipelines comparable to pharmaceutical innovators; low for industrial biotech and R&amp;D service firms with shorter development cycles.</w:t>
            </w: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32F035C4"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Biopharmaceutical innovators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444B6536"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Moderate</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1B76ADA0"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Medium</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32EF80E8"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Long development pipelines where DSI access uncertainty and legal certainty around contribution obligations affect pipeline commitments; certificate of contribution legal value (U6); potential WHO PABS overlap (U7); potential rate revision trajectory ahead of COP17.</w:t>
            </w:r>
          </w:p>
        </w:tc>
        <w:tc>
          <w:tcPr>
            <w:tcW w:w="431" w:type="pct"/>
            <w:tcBorders>
              <w:top w:val="single" w:sz="1" w:space="0" w:color="AAAAAA"/>
              <w:left w:val="single" w:sz="1" w:space="0" w:color="AAAAAA"/>
              <w:right w:val="single" w:sz="1" w:space="0" w:color="AAAAAA"/>
            </w:tcBorders>
            <w:shd w:val="clear" w:color="auto" w:fill="FEF9CC"/>
            <w:tcMar>
              <w:top w:w="60" w:type="dxa"/>
              <w:left w:w="100" w:type="dxa"/>
              <w:bottom w:w="60" w:type="dxa"/>
              <w:right w:w="100" w:type="dxa"/>
            </w:tcMar>
            <w:vAlign w:val="center"/>
          </w:tcPr>
          <w:p w14:paraId="29311D73"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b/>
                <w:bCs/>
                <w:sz w:val="24"/>
                <w:szCs w:val="24"/>
                <w:lang w:val="en-CA" w:eastAsia="en-GB"/>
              </w:rPr>
            </w:pPr>
            <w:r w:rsidRPr="005F0A67">
              <w:rPr>
                <w:rFonts w:asciiTheme="majorBidi" w:eastAsia="Times New Roman" w:hAnsiTheme="majorBidi" w:cstheme="majorBidi"/>
                <w:b/>
                <w:bCs/>
                <w:sz w:val="18"/>
                <w:szCs w:val="18"/>
                <w:lang w:val="en-CA" w:eastAsia="en-GB"/>
              </w:rPr>
              <w:t>Moderate</w:t>
            </w:r>
          </w:p>
        </w:tc>
      </w:tr>
      <w:tr w:rsidR="005F0A67" w:rsidRPr="005F0A67" w14:paraId="25DBC9BE" w14:textId="77777777" w:rsidTr="005F0A67">
        <w:tc>
          <w:tcPr>
            <w:tcW w:w="1210" w:type="pct"/>
            <w:vMerge/>
            <w:tcMar>
              <w:top w:w="60" w:type="dxa"/>
              <w:left w:w="100" w:type="dxa"/>
              <w:bottom w:w="60" w:type="dxa"/>
              <w:right w:w="100" w:type="dxa"/>
            </w:tcMar>
          </w:tcPr>
          <w:p w14:paraId="24495D33"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2D893862"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Molecular diagnostics and clinical laboratory services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0444CCB0"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5E6D418B"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207867E3"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Shorter development horizons reduce sensitivity to long-run regulatory uncertainty; certificate legal value (U6); rate revision.</w:t>
            </w:r>
          </w:p>
        </w:tc>
        <w:tc>
          <w:tcPr>
            <w:tcW w:w="431" w:type="pct"/>
            <w:tcBorders>
              <w:top w:val="single" w:sz="1" w:space="0" w:color="AAAAAA"/>
              <w:left w:val="single" w:sz="1" w:space="0" w:color="AAAAAA"/>
              <w:right w:val="single" w:sz="1" w:space="0" w:color="AAAAAA"/>
            </w:tcBorders>
            <w:shd w:val="clear" w:color="auto" w:fill="D9F2D0"/>
            <w:tcMar>
              <w:top w:w="60" w:type="dxa"/>
              <w:left w:w="100" w:type="dxa"/>
              <w:bottom w:w="60" w:type="dxa"/>
              <w:right w:w="100" w:type="dxa"/>
            </w:tcMar>
            <w:vAlign w:val="center"/>
          </w:tcPr>
          <w:p w14:paraId="463622A4"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b/>
                <w:bCs/>
                <w:sz w:val="24"/>
                <w:szCs w:val="24"/>
                <w:lang w:val="en-CA" w:eastAsia="en-GB"/>
              </w:rPr>
            </w:pPr>
            <w:r w:rsidRPr="005F0A67">
              <w:rPr>
                <w:rFonts w:asciiTheme="majorBidi" w:eastAsia="Times New Roman" w:hAnsiTheme="majorBidi" w:cstheme="majorBidi"/>
                <w:b/>
                <w:bCs/>
                <w:sz w:val="18"/>
                <w:szCs w:val="18"/>
                <w:lang w:val="en-CA" w:eastAsia="en-GB"/>
              </w:rPr>
              <w:t>Low</w:t>
            </w:r>
          </w:p>
        </w:tc>
      </w:tr>
      <w:tr w:rsidR="005F0A67" w:rsidRPr="005F0A67" w14:paraId="36EA5EAC" w14:textId="77777777" w:rsidTr="005F0A67">
        <w:tc>
          <w:tcPr>
            <w:tcW w:w="1210" w:type="pct"/>
            <w:vMerge/>
            <w:tcMar>
              <w:top w:w="60" w:type="dxa"/>
              <w:left w:w="100" w:type="dxa"/>
              <w:bottom w:w="60" w:type="dxa"/>
              <w:right w:w="100" w:type="dxa"/>
            </w:tcMar>
          </w:tcPr>
          <w:p w14:paraId="7BD74188"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0BF9F180"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Industrial biotechnology and biomanufacturing</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0EB26EFB"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6E583E7D"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4A62412A"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Investment uncertainty already driven by oil price exposure and demand growth uncertainty (Kim et al., 2026); contribution regulatory uncertainty a secondary factor. Certificate legal value (U6); rate revision.</w:t>
            </w:r>
          </w:p>
        </w:tc>
        <w:tc>
          <w:tcPr>
            <w:tcW w:w="431" w:type="pct"/>
            <w:tcBorders>
              <w:top w:val="single" w:sz="1" w:space="0" w:color="AAAAAA"/>
              <w:left w:val="single" w:sz="1" w:space="0" w:color="AAAAAA"/>
              <w:right w:val="single" w:sz="1" w:space="0" w:color="AAAAAA"/>
            </w:tcBorders>
            <w:shd w:val="clear" w:color="auto" w:fill="D9F2D0"/>
            <w:tcMar>
              <w:top w:w="60" w:type="dxa"/>
              <w:left w:w="100" w:type="dxa"/>
              <w:bottom w:w="60" w:type="dxa"/>
              <w:right w:w="100" w:type="dxa"/>
            </w:tcMar>
            <w:vAlign w:val="center"/>
          </w:tcPr>
          <w:p w14:paraId="366AB68F"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b/>
                <w:bCs/>
                <w:sz w:val="24"/>
                <w:szCs w:val="24"/>
                <w:lang w:val="en-CA" w:eastAsia="en-GB"/>
              </w:rPr>
            </w:pPr>
            <w:r w:rsidRPr="005F0A67">
              <w:rPr>
                <w:rFonts w:asciiTheme="majorBidi" w:eastAsia="Times New Roman" w:hAnsiTheme="majorBidi" w:cstheme="majorBidi"/>
                <w:b/>
                <w:bCs/>
                <w:sz w:val="18"/>
                <w:szCs w:val="18"/>
                <w:lang w:val="en-CA" w:eastAsia="en-GB"/>
              </w:rPr>
              <w:t>Low</w:t>
            </w:r>
          </w:p>
        </w:tc>
      </w:tr>
      <w:tr w:rsidR="005F0A67" w:rsidRPr="005F0A67" w14:paraId="180F0190" w14:textId="77777777" w:rsidTr="005F0A67">
        <w:tc>
          <w:tcPr>
            <w:tcW w:w="1210" w:type="pct"/>
            <w:vMerge/>
            <w:tcMar>
              <w:top w:w="60" w:type="dxa"/>
              <w:left w:w="100" w:type="dxa"/>
              <w:bottom w:w="60" w:type="dxa"/>
              <w:right w:w="100" w:type="dxa"/>
            </w:tcMar>
          </w:tcPr>
          <w:p w14:paraId="583EB457"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78994EDC"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R&amp;D service and platform organisations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2C734549"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5D35C2A1"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727894C5"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Contract-based model with shorter project horizons; regulatory uncertainty around mechanism design has limited impact on business pipeline. Certificate legal value (U6); rate revision.</w:t>
            </w:r>
          </w:p>
        </w:tc>
        <w:tc>
          <w:tcPr>
            <w:tcW w:w="431" w:type="pct"/>
            <w:tcBorders>
              <w:top w:val="single" w:sz="1" w:space="0" w:color="AAAAAA"/>
              <w:left w:val="single" w:sz="1" w:space="0" w:color="AAAAAA"/>
              <w:right w:val="single" w:sz="1" w:space="0" w:color="AAAAAA"/>
            </w:tcBorders>
            <w:shd w:val="clear" w:color="auto" w:fill="D9F2D0"/>
            <w:tcMar>
              <w:top w:w="60" w:type="dxa"/>
              <w:left w:w="100" w:type="dxa"/>
              <w:bottom w:w="60" w:type="dxa"/>
              <w:right w:w="100" w:type="dxa"/>
            </w:tcMar>
            <w:vAlign w:val="center"/>
          </w:tcPr>
          <w:p w14:paraId="16F03431"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b/>
                <w:bCs/>
                <w:sz w:val="24"/>
                <w:szCs w:val="24"/>
                <w:lang w:val="en-CA" w:eastAsia="en-GB"/>
              </w:rPr>
            </w:pPr>
            <w:r w:rsidRPr="005F0A67">
              <w:rPr>
                <w:rFonts w:asciiTheme="majorBidi" w:eastAsia="Times New Roman" w:hAnsiTheme="majorBidi" w:cstheme="majorBidi"/>
                <w:b/>
                <w:bCs/>
                <w:sz w:val="18"/>
                <w:szCs w:val="18"/>
                <w:lang w:val="en-CA" w:eastAsia="en-GB"/>
              </w:rPr>
              <w:t>Low</w:t>
            </w:r>
          </w:p>
        </w:tc>
      </w:tr>
    </w:tbl>
    <w:p w14:paraId="12BBA8EA"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p>
    <w:p w14:paraId="444BC3F1"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Georgia" w:hAnsiTheme="majorBidi" w:cstheme="majorBidi"/>
          <w:b/>
          <w:bCs/>
          <w:color w:val="419844"/>
          <w:lang w:val="en-CA" w:eastAsia="en-GB"/>
        </w:rPr>
      </w:pPr>
      <w:bookmarkStart w:id="206" w:name="_Ref231768794"/>
      <w:r w:rsidRPr="005F0A67">
        <w:rPr>
          <w:rFonts w:asciiTheme="majorBidi" w:eastAsia="Georgia" w:hAnsiTheme="majorBidi" w:cstheme="majorBidi"/>
          <w:b/>
          <w:bCs/>
          <w:color w:val="419844"/>
          <w:lang w:val="en-CA" w:eastAsia="en-GB"/>
        </w:rPr>
        <w:t xml:space="preserve">Table </w:t>
      </w:r>
      <w:r w:rsidRPr="005F0A67">
        <w:rPr>
          <w:rFonts w:asciiTheme="majorBidi" w:eastAsia="Georgia" w:hAnsiTheme="majorBidi" w:cstheme="majorBidi"/>
          <w:b/>
          <w:bCs/>
          <w:color w:val="419844"/>
          <w:lang w:val="en-CA" w:eastAsia="en-GB"/>
        </w:rPr>
        <w:fldChar w:fldCharType="begin"/>
      </w:r>
      <w:r w:rsidRPr="005F0A67">
        <w:rPr>
          <w:rFonts w:asciiTheme="majorBidi" w:eastAsia="Georgia" w:hAnsiTheme="majorBidi" w:cstheme="majorBidi"/>
          <w:b/>
          <w:bCs/>
          <w:color w:val="419844"/>
          <w:lang w:val="en-CA" w:eastAsia="en-GB"/>
        </w:rPr>
        <w:instrText xml:space="preserve"> SEQ Table \* ARABIC </w:instrText>
      </w:r>
      <w:r w:rsidRPr="005F0A67">
        <w:rPr>
          <w:rFonts w:asciiTheme="majorBidi" w:eastAsia="Georgia" w:hAnsiTheme="majorBidi" w:cstheme="majorBidi"/>
          <w:b/>
          <w:bCs/>
          <w:color w:val="419844"/>
          <w:lang w:val="en-CA" w:eastAsia="en-GB"/>
        </w:rPr>
        <w:fldChar w:fldCharType="separate"/>
      </w:r>
      <w:r w:rsidRPr="005F0A67">
        <w:rPr>
          <w:rFonts w:asciiTheme="majorBidi" w:eastAsia="Georgia" w:hAnsiTheme="majorBidi" w:cstheme="majorBidi"/>
          <w:b/>
          <w:bCs/>
          <w:noProof/>
          <w:color w:val="419844"/>
          <w:lang w:val="en-CA" w:eastAsia="en-GB"/>
        </w:rPr>
        <w:t>28</w:t>
      </w:r>
      <w:r w:rsidRPr="005F0A67">
        <w:rPr>
          <w:rFonts w:asciiTheme="majorBidi" w:eastAsia="Georgia" w:hAnsiTheme="majorBidi" w:cstheme="majorBidi"/>
          <w:b/>
          <w:bCs/>
          <w:color w:val="419844"/>
          <w:lang w:val="en-CA" w:eastAsia="en-GB"/>
        </w:rPr>
        <w:fldChar w:fldCharType="end"/>
      </w:r>
      <w:bookmarkEnd w:id="206"/>
      <w:r w:rsidRPr="005F0A67">
        <w:rPr>
          <w:rFonts w:asciiTheme="majorBidi" w:eastAsia="Georgia" w:hAnsiTheme="majorBidi" w:cstheme="majorBidi"/>
          <w:b/>
          <w:bCs/>
          <w:color w:val="419844"/>
          <w:lang w:val="en-CA" w:eastAsia="en-GB"/>
        </w:rPr>
        <w:t xml:space="preserve"> Pillar III: international competitiveness impacts materiality assessment -</w:t>
      </w:r>
      <w:r w:rsidRPr="005F0A67">
        <w:rPr>
          <w:rFonts w:asciiTheme="majorBidi" w:eastAsia="Georgia" w:hAnsiTheme="majorBidi" w:cstheme="majorBidi"/>
          <w:b/>
          <w:bCs/>
          <w:i/>
          <w:iCs/>
          <w:color w:val="419844"/>
          <w:lang w:val="en-CA" w:eastAsia="en-GB"/>
        </w:rPr>
        <w:t xml:space="preserve"> </w:t>
      </w:r>
      <w:r w:rsidRPr="005F0A67">
        <w:rPr>
          <w:rFonts w:asciiTheme="majorBidi" w:eastAsia="Georgia" w:hAnsiTheme="majorBidi" w:cstheme="majorBidi"/>
          <w:b/>
          <w:bCs/>
          <w:color w:val="419844"/>
          <w:lang w:val="en-CA" w:eastAsia="en-GB"/>
        </w:rPr>
        <w:t xml:space="preserve">Biotechnology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94"/>
        <w:gridCol w:w="1560"/>
        <w:gridCol w:w="1147"/>
        <w:gridCol w:w="1169"/>
        <w:gridCol w:w="5344"/>
        <w:gridCol w:w="1164"/>
      </w:tblGrid>
      <w:tr w:rsidR="005F0A67" w:rsidRPr="005F0A67" w14:paraId="0547366C" w14:textId="77777777" w:rsidTr="00FB671B">
        <w:tc>
          <w:tcPr>
            <w:tcW w:w="1210" w:type="pct"/>
            <w:tcBorders>
              <w:top w:val="single" w:sz="1" w:space="0" w:color="AAAAAA"/>
              <w:left w:val="single" w:sz="1" w:space="0" w:color="AAAAAA"/>
              <w:right w:val="single" w:sz="1" w:space="0" w:color="AAAAAA"/>
            </w:tcBorders>
            <w:shd w:val="clear" w:color="auto" w:fill="1F4E6B"/>
            <w:tcMar>
              <w:top w:w="60" w:type="dxa"/>
              <w:left w:w="100" w:type="dxa"/>
              <w:bottom w:w="60" w:type="dxa"/>
              <w:right w:w="100" w:type="dxa"/>
            </w:tcMar>
          </w:tcPr>
          <w:p w14:paraId="29A8D177"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color w:val="FFFFFF"/>
                <w:sz w:val="18"/>
                <w:szCs w:val="18"/>
                <w:lang w:val="en-CA" w:eastAsia="en-GB"/>
              </w:rPr>
              <w:t>Impact</w:t>
            </w:r>
          </w:p>
        </w:tc>
        <w:tc>
          <w:tcPr>
            <w:tcW w:w="542" w:type="pct"/>
            <w:tcBorders>
              <w:top w:val="single" w:sz="1" w:space="0" w:color="AAAAAA"/>
              <w:left w:val="single" w:sz="1" w:space="0" w:color="AAAAAA"/>
              <w:right w:val="single" w:sz="1" w:space="0" w:color="AAAAAA"/>
            </w:tcBorders>
            <w:shd w:val="clear" w:color="auto" w:fill="1F4E6B"/>
            <w:tcMar>
              <w:top w:w="60" w:type="dxa"/>
              <w:left w:w="100" w:type="dxa"/>
              <w:bottom w:w="60" w:type="dxa"/>
              <w:right w:w="100" w:type="dxa"/>
            </w:tcMar>
          </w:tcPr>
          <w:p w14:paraId="4C787EB2"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color w:val="FFFFFF"/>
                <w:sz w:val="18"/>
                <w:szCs w:val="18"/>
                <w:lang w:val="en-CA" w:eastAsia="en-GB"/>
              </w:rPr>
              <w:t>Firm type</w:t>
            </w:r>
          </w:p>
        </w:tc>
        <w:tc>
          <w:tcPr>
            <w:tcW w:w="425" w:type="pct"/>
            <w:tcBorders>
              <w:top w:val="single" w:sz="1" w:space="0" w:color="AAAAAA"/>
              <w:left w:val="single" w:sz="1" w:space="0" w:color="AAAAAA"/>
              <w:right w:val="single" w:sz="1" w:space="0" w:color="AAAAAA"/>
            </w:tcBorders>
            <w:shd w:val="clear" w:color="auto" w:fill="1F4E6B"/>
            <w:tcMar>
              <w:top w:w="60" w:type="dxa"/>
              <w:left w:w="100" w:type="dxa"/>
              <w:bottom w:w="60" w:type="dxa"/>
              <w:right w:w="100" w:type="dxa"/>
            </w:tcMar>
          </w:tcPr>
          <w:p w14:paraId="45A162E8"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color w:val="FFFFFF"/>
                <w:sz w:val="18"/>
                <w:szCs w:val="18"/>
                <w:lang w:val="en-CA" w:eastAsia="en-GB"/>
              </w:rPr>
              <w:t>Magnitude</w:t>
            </w:r>
          </w:p>
        </w:tc>
        <w:tc>
          <w:tcPr>
            <w:tcW w:w="433" w:type="pct"/>
            <w:tcBorders>
              <w:top w:val="single" w:sz="1" w:space="0" w:color="AAAAAA"/>
              <w:left w:val="single" w:sz="1" w:space="0" w:color="AAAAAA"/>
              <w:right w:val="single" w:sz="1" w:space="0" w:color="AAAAAA"/>
            </w:tcBorders>
            <w:shd w:val="clear" w:color="auto" w:fill="1F4E6B"/>
            <w:tcMar>
              <w:top w:w="60" w:type="dxa"/>
              <w:left w:w="100" w:type="dxa"/>
              <w:bottom w:w="60" w:type="dxa"/>
              <w:right w:w="100" w:type="dxa"/>
            </w:tcMar>
          </w:tcPr>
          <w:p w14:paraId="5B5C3BDE"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color w:val="FFFFFF"/>
                <w:sz w:val="18"/>
                <w:szCs w:val="18"/>
                <w:lang w:val="en-CA" w:eastAsia="en-GB"/>
              </w:rPr>
              <w:t>Probability</w:t>
            </w:r>
          </w:p>
        </w:tc>
        <w:tc>
          <w:tcPr>
            <w:tcW w:w="1959" w:type="pct"/>
            <w:tcBorders>
              <w:top w:val="single" w:sz="1" w:space="0" w:color="AAAAAA"/>
              <w:left w:val="single" w:sz="1" w:space="0" w:color="AAAAAA"/>
              <w:right w:val="single" w:sz="1" w:space="0" w:color="AAAAAA"/>
            </w:tcBorders>
            <w:shd w:val="clear" w:color="auto" w:fill="1F4E6B"/>
            <w:tcMar>
              <w:top w:w="60" w:type="dxa"/>
              <w:left w:w="100" w:type="dxa"/>
              <w:bottom w:w="60" w:type="dxa"/>
              <w:right w:w="100" w:type="dxa"/>
            </w:tcMar>
          </w:tcPr>
          <w:p w14:paraId="7C718877"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color w:val="FFFFFF"/>
                <w:sz w:val="18"/>
                <w:szCs w:val="18"/>
                <w:lang w:val="en-CA" w:eastAsia="en-GB"/>
              </w:rPr>
              <w:t>Key conditions</w:t>
            </w:r>
          </w:p>
        </w:tc>
        <w:tc>
          <w:tcPr>
            <w:tcW w:w="431" w:type="pct"/>
            <w:tcBorders>
              <w:top w:val="single" w:sz="1" w:space="0" w:color="AAAAAA"/>
              <w:left w:val="single" w:sz="1" w:space="0" w:color="AAAAAA"/>
              <w:right w:val="single" w:sz="1" w:space="0" w:color="AAAAAA"/>
            </w:tcBorders>
            <w:shd w:val="clear" w:color="auto" w:fill="1F4E6B"/>
            <w:tcMar>
              <w:top w:w="60" w:type="dxa"/>
              <w:left w:w="100" w:type="dxa"/>
              <w:bottom w:w="60" w:type="dxa"/>
              <w:right w:w="100" w:type="dxa"/>
            </w:tcMar>
          </w:tcPr>
          <w:p w14:paraId="2A8D2EC0"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color w:val="FFFFFF"/>
                <w:sz w:val="18"/>
                <w:szCs w:val="18"/>
                <w:lang w:val="en-CA" w:eastAsia="en-GB"/>
              </w:rPr>
              <w:t>Materiality</w:t>
            </w:r>
          </w:p>
        </w:tc>
      </w:tr>
      <w:tr w:rsidR="005F0A67" w:rsidRPr="005F0A67" w14:paraId="66F4F04F" w14:textId="77777777" w:rsidTr="005F0A67">
        <w:tc>
          <w:tcPr>
            <w:tcW w:w="1210" w:type="pct"/>
            <w:vMerge w:val="restar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17FF8954"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b/>
                <w:bCs/>
                <w:sz w:val="18"/>
                <w:szCs w:val="18"/>
                <w:lang w:val="en-CA" w:eastAsia="en-GB"/>
              </w:rPr>
            </w:pPr>
            <w:r w:rsidRPr="005F0A67">
              <w:rPr>
                <w:rFonts w:asciiTheme="majorBidi" w:eastAsia="Times New Roman" w:hAnsiTheme="majorBidi" w:cstheme="majorBidi"/>
                <w:b/>
                <w:bCs/>
                <w:sz w:val="18"/>
                <w:szCs w:val="18"/>
                <w:lang w:val="en-CA" w:eastAsia="en-GB"/>
              </w:rPr>
              <w:t>Competitive position vs non-Party competitors</w:t>
            </w:r>
          </w:p>
          <w:p w14:paraId="414428EB"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 xml:space="preserve">Direct cost asymmetry with competitors in non-CBD-Party jurisdictions. The US captures 48% of the global biologics market and dominates biopharmaceutical innovation globally </w:t>
            </w:r>
            <w:r w:rsidRPr="005F0A67">
              <w:rPr>
                <w:rFonts w:asciiTheme="majorBidi" w:eastAsia="Times New Roman" w:hAnsiTheme="majorBidi" w:cstheme="majorBidi"/>
                <w:sz w:val="18"/>
                <w:szCs w:val="18"/>
                <w:lang w:val="en-CA" w:eastAsia="en-GB"/>
              </w:rPr>
              <w:fldChar w:fldCharType="begin"/>
            </w:r>
            <w:r w:rsidRPr="005F0A67">
              <w:rPr>
                <w:rFonts w:asciiTheme="majorBidi" w:eastAsia="Times New Roman" w:hAnsiTheme="majorBidi" w:cstheme="majorBidi"/>
                <w:sz w:val="18"/>
                <w:szCs w:val="18"/>
                <w:lang w:val="en-CA" w:eastAsia="en-GB"/>
              </w:rPr>
              <w:instrText xml:space="preserve"> ADDIN ZOTERO_ITEM CSL_CITATION {"citationID":"a1nrdumf2li","properties":{"unsorted":false,"formattedCitation":"(Grand View Research, 2024)","plainCitation":"(Grand View Research, 2024)","noteIndex":0},"citationItems":[{"id":108,"uris":["http://zotero.org/users/14977742/items/8FJ4P7E2"],"itemData":{"id":108,"type":"webpage","abstract":"The biologics market in the United States is expected to reach a projected revenue of US$ 300,858.9 million by 2030. A compound annual growth rate of 7.7% is expected of  the United States biologics market from 2025 to 2030.","citation-key":"UnitedStatesBiologics","language":"en","title":"The United States Biologics Market Size &amp; Outlook, 2030","URL":"https://www.grandviewresearch.com/horizon/outlook/biologics-market/united-states","author":[{"literal":"Grand View Research"}],"accessed":{"date-parts":[["2026",6,3]]},"issued":{"date-parts":[["2024"]]}}}],"schema":"https://github.com/citation-style-language/schema/raw/master/csl-citation.json"} </w:instrText>
            </w:r>
            <w:r w:rsidRPr="005F0A67">
              <w:rPr>
                <w:rFonts w:asciiTheme="majorBidi" w:eastAsia="Times New Roman" w:hAnsiTheme="majorBidi" w:cstheme="majorBidi"/>
                <w:sz w:val="18"/>
                <w:szCs w:val="18"/>
                <w:lang w:val="en-CA" w:eastAsia="en-GB"/>
              </w:rPr>
              <w:fldChar w:fldCharType="separate"/>
            </w:r>
            <w:r w:rsidRPr="005F0A67">
              <w:rPr>
                <w:rFonts w:asciiTheme="majorBidi" w:eastAsia="Georgia" w:hAnsiTheme="majorBidi" w:cstheme="majorBidi"/>
                <w:sz w:val="18"/>
                <w:szCs w:val="24"/>
                <w:lang w:eastAsia="en-GB"/>
              </w:rPr>
              <w:t>(Grand View Research, 2024)</w:t>
            </w:r>
            <w:r w:rsidRPr="005F0A67">
              <w:rPr>
                <w:rFonts w:asciiTheme="majorBidi" w:eastAsia="Times New Roman" w:hAnsiTheme="majorBidi" w:cstheme="majorBidi"/>
                <w:sz w:val="18"/>
                <w:szCs w:val="18"/>
                <w:lang w:val="en-CA" w:eastAsia="en-GB"/>
              </w:rPr>
              <w:fldChar w:fldCharType="end"/>
            </w:r>
            <w:r w:rsidRPr="005F0A67">
              <w:rPr>
                <w:rFonts w:asciiTheme="majorBidi" w:eastAsia="Times New Roman" w:hAnsiTheme="majorBidi" w:cstheme="majorBidi"/>
                <w:sz w:val="18"/>
                <w:szCs w:val="18"/>
                <w:lang w:val="en-CA" w:eastAsia="en-GB"/>
              </w:rPr>
              <w:t xml:space="preserve">. Industrial biotech firms face non-Party competitors in petrochemical-route incumbents, many headquartered outside CBD Party jurisdictions. Competition from non-Party firms is limited for molecular diagnostics given predominantly domestic service </w:t>
            </w:r>
            <w:r w:rsidRPr="005F0A67">
              <w:rPr>
                <w:rFonts w:asciiTheme="majorBidi" w:eastAsia="Times New Roman" w:hAnsiTheme="majorBidi" w:cstheme="majorBidi"/>
                <w:sz w:val="18"/>
                <w:szCs w:val="18"/>
                <w:lang w:val="en-CA" w:eastAsia="en-GB"/>
              </w:rPr>
              <w:lastRenderedPageBreak/>
              <w:t>delivery; R&amp;D service firms compete primarily on specialist expertise rather than price.</w:t>
            </w: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6EE28B32"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lastRenderedPageBreak/>
              <w:t>Biopharmaceutical innovators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0402F67A"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Moderate</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00B65CCC"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High</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6F12B39B"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 xml:space="preserve">US captures 48% of global biologics market </w:t>
            </w:r>
            <w:r w:rsidRPr="005F0A67">
              <w:rPr>
                <w:rFonts w:asciiTheme="majorBidi" w:eastAsia="Times New Roman" w:hAnsiTheme="majorBidi" w:cstheme="majorBidi"/>
                <w:sz w:val="18"/>
                <w:szCs w:val="18"/>
                <w:lang w:val="en-CA" w:eastAsia="en-GB"/>
              </w:rPr>
              <w:fldChar w:fldCharType="begin"/>
            </w:r>
            <w:r w:rsidRPr="005F0A67">
              <w:rPr>
                <w:rFonts w:asciiTheme="majorBidi" w:eastAsia="Times New Roman" w:hAnsiTheme="majorBidi" w:cstheme="majorBidi"/>
                <w:sz w:val="18"/>
                <w:szCs w:val="18"/>
                <w:lang w:val="en-CA" w:eastAsia="en-GB"/>
              </w:rPr>
              <w:instrText xml:space="preserve"> ADDIN ZOTERO_ITEM CSL_CITATION {"citationID":"DhRl94aW","properties":{"unsorted":false,"formattedCitation":"(Grand View Research, 2024)","plainCitation":"(Grand View Research, 2024)","noteIndex":0},"citationItems":[{"id":108,"uris":["http://zotero.org/users/14977742/items/8FJ4P7E2"],"itemData":{"id":108,"type":"webpage","abstract":"The biologics market in the United States is expected to reach a projected revenue of US$ 300,858.9 million by 2030. A compound annual growth rate of 7.7% is expected of  the United States biologics market from 2025 to 2030.","citation-key":"UnitedStatesBiologics","language":"en","title":"The United States Biologics Market Size &amp; Outlook, 2030","URL":"https://www.grandviewresearch.com/horizon/outlook/biologics-market/united-states","author":[{"literal":"Grand View Research"}],"accessed":{"date-parts":[["2026",6,3]]},"issued":{"date-parts":[["2024"]]}}}],"schema":"https://github.com/citation-style-language/schema/raw/master/csl-citation.json"} </w:instrText>
            </w:r>
            <w:r w:rsidRPr="005F0A67">
              <w:rPr>
                <w:rFonts w:asciiTheme="majorBidi" w:eastAsia="Times New Roman" w:hAnsiTheme="majorBidi" w:cstheme="majorBidi"/>
                <w:sz w:val="18"/>
                <w:szCs w:val="18"/>
                <w:lang w:val="en-CA" w:eastAsia="en-GB"/>
              </w:rPr>
              <w:fldChar w:fldCharType="separate"/>
            </w:r>
            <w:r w:rsidRPr="005F0A67">
              <w:rPr>
                <w:rFonts w:asciiTheme="majorBidi" w:eastAsia="Georgia" w:hAnsiTheme="majorBidi" w:cstheme="majorBidi"/>
                <w:sz w:val="18"/>
                <w:szCs w:val="24"/>
                <w:lang w:eastAsia="en-GB"/>
              </w:rPr>
              <w:t>(Grand View Research, 2024)</w:t>
            </w:r>
            <w:r w:rsidRPr="005F0A67">
              <w:rPr>
                <w:rFonts w:asciiTheme="majorBidi" w:eastAsia="Times New Roman" w:hAnsiTheme="majorBidi" w:cstheme="majorBidi"/>
                <w:sz w:val="18"/>
                <w:szCs w:val="18"/>
                <w:lang w:val="en-CA" w:eastAsia="en-GB"/>
              </w:rPr>
              <w:fldChar w:fldCharType="end"/>
            </w:r>
            <w:r w:rsidRPr="005F0A67">
              <w:rPr>
                <w:rFonts w:asciiTheme="majorBidi" w:eastAsia="Times New Roman" w:hAnsiTheme="majorBidi" w:cstheme="majorBidi"/>
                <w:sz w:val="18"/>
                <w:szCs w:val="18"/>
                <w:lang w:val="en-CA" w:eastAsia="en-GB"/>
              </w:rPr>
              <w:t>; direct product-market competition with US-headquartered biopharmaceutical firms not subject to equivalent obligations; asymmetry permanent under current mechanism design; national implementation divergence (U8); participation rate among sector peers.</w:t>
            </w:r>
          </w:p>
        </w:tc>
        <w:tc>
          <w:tcPr>
            <w:tcW w:w="431" w:type="pct"/>
            <w:tcBorders>
              <w:top w:val="single" w:sz="1" w:space="0" w:color="AAAAAA"/>
              <w:left w:val="single" w:sz="1" w:space="0" w:color="AAAAAA"/>
              <w:right w:val="single" w:sz="1" w:space="0" w:color="AAAAAA"/>
            </w:tcBorders>
            <w:shd w:val="clear" w:color="auto" w:fill="FFDCD8"/>
            <w:tcMar>
              <w:top w:w="60" w:type="dxa"/>
              <w:left w:w="100" w:type="dxa"/>
              <w:bottom w:w="60" w:type="dxa"/>
              <w:right w:w="100" w:type="dxa"/>
            </w:tcMar>
            <w:vAlign w:val="center"/>
          </w:tcPr>
          <w:p w14:paraId="3B8135AD"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b/>
                <w:bCs/>
                <w:sz w:val="24"/>
                <w:szCs w:val="24"/>
                <w:lang w:val="en-CA" w:eastAsia="en-GB"/>
              </w:rPr>
            </w:pPr>
            <w:r w:rsidRPr="005F0A67">
              <w:rPr>
                <w:rFonts w:asciiTheme="majorBidi" w:eastAsia="Times New Roman" w:hAnsiTheme="majorBidi" w:cstheme="majorBidi"/>
                <w:b/>
                <w:bCs/>
                <w:sz w:val="18"/>
                <w:szCs w:val="18"/>
                <w:lang w:val="en-CA" w:eastAsia="en-GB"/>
              </w:rPr>
              <w:t>High</w:t>
            </w:r>
          </w:p>
        </w:tc>
      </w:tr>
      <w:tr w:rsidR="005F0A67" w:rsidRPr="005F0A67" w14:paraId="76541E93" w14:textId="77777777" w:rsidTr="005F0A67">
        <w:tc>
          <w:tcPr>
            <w:tcW w:w="1210" w:type="pct"/>
            <w:vMerge/>
            <w:tcMar>
              <w:top w:w="60" w:type="dxa"/>
              <w:left w:w="100" w:type="dxa"/>
              <w:bottom w:w="60" w:type="dxa"/>
              <w:right w:w="100" w:type="dxa"/>
            </w:tcMar>
          </w:tcPr>
          <w:p w14:paraId="5DB3E4F5"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5963782C"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Molecular diagnostics and clinical laboratory services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580622C6"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7E70EA41"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4CD7C822"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Competition from non-Party firms limited given predominantly domestic service delivery and reimbursement-linked market access; national implementation divergence (U8).</w:t>
            </w:r>
          </w:p>
        </w:tc>
        <w:tc>
          <w:tcPr>
            <w:tcW w:w="431" w:type="pct"/>
            <w:tcBorders>
              <w:top w:val="single" w:sz="1" w:space="0" w:color="AAAAAA"/>
              <w:left w:val="single" w:sz="1" w:space="0" w:color="AAAAAA"/>
              <w:right w:val="single" w:sz="1" w:space="0" w:color="AAAAAA"/>
            </w:tcBorders>
            <w:shd w:val="clear" w:color="auto" w:fill="D9F2D0"/>
            <w:tcMar>
              <w:top w:w="60" w:type="dxa"/>
              <w:left w:w="100" w:type="dxa"/>
              <w:bottom w:w="60" w:type="dxa"/>
              <w:right w:w="100" w:type="dxa"/>
            </w:tcMar>
            <w:vAlign w:val="center"/>
          </w:tcPr>
          <w:p w14:paraId="0D259865"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b/>
                <w:bCs/>
                <w:sz w:val="24"/>
                <w:szCs w:val="24"/>
                <w:lang w:val="en-CA" w:eastAsia="en-GB"/>
              </w:rPr>
            </w:pPr>
            <w:r w:rsidRPr="005F0A67">
              <w:rPr>
                <w:rFonts w:asciiTheme="majorBidi" w:eastAsia="Times New Roman" w:hAnsiTheme="majorBidi" w:cstheme="majorBidi"/>
                <w:b/>
                <w:bCs/>
                <w:sz w:val="18"/>
                <w:szCs w:val="18"/>
                <w:lang w:val="en-CA" w:eastAsia="en-GB"/>
              </w:rPr>
              <w:t>Low</w:t>
            </w:r>
          </w:p>
        </w:tc>
      </w:tr>
      <w:tr w:rsidR="005F0A67" w:rsidRPr="005F0A67" w14:paraId="7683CCFF" w14:textId="77777777" w:rsidTr="005F0A67">
        <w:tc>
          <w:tcPr>
            <w:tcW w:w="1210" w:type="pct"/>
            <w:vMerge/>
            <w:tcMar>
              <w:top w:w="60" w:type="dxa"/>
              <w:left w:w="100" w:type="dxa"/>
              <w:bottom w:w="60" w:type="dxa"/>
              <w:right w:w="100" w:type="dxa"/>
            </w:tcMar>
          </w:tcPr>
          <w:p w14:paraId="1425DCF9"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0B9B01C5"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Industrial biotechnology and biomanufacturing</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549F96B7"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Moderate</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0965D482"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Medium</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22963387"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 xml:space="preserve">Competing against petrochemical-route incumbents where many major producers are headquartered outside CBD Party jurisdictions; even </w:t>
            </w:r>
            <w:r w:rsidRPr="005F0A67">
              <w:rPr>
                <w:rFonts w:asciiTheme="majorBidi" w:eastAsia="Times New Roman" w:hAnsiTheme="majorBidi" w:cstheme="majorBidi"/>
                <w:sz w:val="18"/>
                <w:szCs w:val="18"/>
                <w:lang w:val="en-CA" w:eastAsia="en-GB"/>
              </w:rPr>
              <w:lastRenderedPageBreak/>
              <w:t>small cost differentials affect competitiveness in commodity-adjacent markets (Kim et al., 2026). National implementation divergence (U8).</w:t>
            </w:r>
          </w:p>
        </w:tc>
        <w:tc>
          <w:tcPr>
            <w:tcW w:w="431" w:type="pct"/>
            <w:tcBorders>
              <w:top w:val="single" w:sz="1" w:space="0" w:color="AAAAAA"/>
              <w:left w:val="single" w:sz="1" w:space="0" w:color="AAAAAA"/>
              <w:right w:val="single" w:sz="1" w:space="0" w:color="AAAAAA"/>
            </w:tcBorders>
            <w:shd w:val="clear" w:color="auto" w:fill="FEF9CC"/>
            <w:tcMar>
              <w:top w:w="60" w:type="dxa"/>
              <w:left w:w="100" w:type="dxa"/>
              <w:bottom w:w="60" w:type="dxa"/>
              <w:right w:w="100" w:type="dxa"/>
            </w:tcMar>
            <w:vAlign w:val="center"/>
          </w:tcPr>
          <w:p w14:paraId="774393A3"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b/>
                <w:bCs/>
                <w:sz w:val="24"/>
                <w:szCs w:val="24"/>
                <w:lang w:val="en-CA" w:eastAsia="en-GB"/>
              </w:rPr>
            </w:pPr>
            <w:r w:rsidRPr="005F0A67">
              <w:rPr>
                <w:rFonts w:asciiTheme="majorBidi" w:eastAsia="Times New Roman" w:hAnsiTheme="majorBidi" w:cstheme="majorBidi"/>
                <w:b/>
                <w:bCs/>
                <w:sz w:val="18"/>
                <w:szCs w:val="18"/>
                <w:lang w:val="en-CA" w:eastAsia="en-GB"/>
              </w:rPr>
              <w:lastRenderedPageBreak/>
              <w:t>Moderate</w:t>
            </w:r>
          </w:p>
        </w:tc>
      </w:tr>
      <w:tr w:rsidR="005F0A67" w:rsidRPr="005F0A67" w14:paraId="496A6C98" w14:textId="77777777" w:rsidTr="005F0A67">
        <w:tc>
          <w:tcPr>
            <w:tcW w:w="1210" w:type="pct"/>
            <w:vMerge/>
            <w:tcMar>
              <w:top w:w="60" w:type="dxa"/>
              <w:left w:w="100" w:type="dxa"/>
              <w:bottom w:w="60" w:type="dxa"/>
              <w:right w:w="100" w:type="dxa"/>
            </w:tcMar>
          </w:tcPr>
          <w:p w14:paraId="395C4B59"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24C360C9"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R&amp;D service and platform organisations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7664D57C"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155EE76B"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74E0A09A"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Competitive advantage based on specialist expertise and contractual relationships rather than price; non-Party competitor presence less commercially significant. National implementation divergence (U8).</w:t>
            </w:r>
          </w:p>
        </w:tc>
        <w:tc>
          <w:tcPr>
            <w:tcW w:w="431" w:type="pct"/>
            <w:tcBorders>
              <w:top w:val="single" w:sz="1" w:space="0" w:color="AAAAAA"/>
              <w:left w:val="single" w:sz="1" w:space="0" w:color="AAAAAA"/>
              <w:right w:val="single" w:sz="1" w:space="0" w:color="AAAAAA"/>
            </w:tcBorders>
            <w:shd w:val="clear" w:color="auto" w:fill="D9F2D0"/>
            <w:tcMar>
              <w:top w:w="60" w:type="dxa"/>
              <w:left w:w="100" w:type="dxa"/>
              <w:bottom w:w="60" w:type="dxa"/>
              <w:right w:w="100" w:type="dxa"/>
            </w:tcMar>
            <w:vAlign w:val="center"/>
          </w:tcPr>
          <w:p w14:paraId="687E1EA4"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b/>
                <w:bCs/>
                <w:sz w:val="24"/>
                <w:szCs w:val="24"/>
                <w:lang w:val="en-CA" w:eastAsia="en-GB"/>
              </w:rPr>
            </w:pPr>
            <w:r w:rsidRPr="005F0A67">
              <w:rPr>
                <w:rFonts w:asciiTheme="majorBidi" w:eastAsia="Times New Roman" w:hAnsiTheme="majorBidi" w:cstheme="majorBidi"/>
                <w:b/>
                <w:bCs/>
                <w:sz w:val="18"/>
                <w:szCs w:val="18"/>
                <w:lang w:val="en-CA" w:eastAsia="en-GB"/>
              </w:rPr>
              <w:t>Low</w:t>
            </w:r>
          </w:p>
        </w:tc>
      </w:tr>
      <w:tr w:rsidR="005F0A67" w:rsidRPr="005F0A67" w14:paraId="42B86EFE" w14:textId="77777777" w:rsidTr="005F0A67">
        <w:tc>
          <w:tcPr>
            <w:tcW w:w="1210" w:type="pct"/>
            <w:vMerge w:val="restar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12D4D618"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b/>
                <w:bCs/>
                <w:sz w:val="18"/>
                <w:szCs w:val="18"/>
                <w:lang w:val="en-CA" w:eastAsia="en-GB"/>
              </w:rPr>
            </w:pPr>
            <w:r w:rsidRPr="005F0A67">
              <w:rPr>
                <w:rFonts w:asciiTheme="majorBidi" w:eastAsia="Times New Roman" w:hAnsiTheme="majorBidi" w:cstheme="majorBidi"/>
                <w:b/>
                <w:bCs/>
                <w:sz w:val="18"/>
                <w:szCs w:val="18"/>
                <w:lang w:val="en-CA" w:eastAsia="en-GB"/>
              </w:rPr>
              <w:t>Export competitiveness</w:t>
            </w:r>
          </w:p>
          <w:p w14:paraId="0A260627"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Effects on export competitiveness where contribution cost cannot be fully passed through to export customers facing non-Party competition. Most relevant for biopharmaceutical innovators and industrial biotech firms with significant cross-border activity; less relevant for molecular diagnostics and R&amp;D service firms with more locally contracted business.</w:t>
            </w: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6FC6B8D1"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Biopharmaceutical innovators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35AD2209"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4DFF93B4"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Medium</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60D23176"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Some pass-through capacity in regulated export markets; constrained by HTA and reference pricing in European CBD Party markets; US biologics market dominance limits pricing flexibility. National implementation divergence (U8); rate revision.</w:t>
            </w:r>
          </w:p>
        </w:tc>
        <w:tc>
          <w:tcPr>
            <w:tcW w:w="431" w:type="pct"/>
            <w:tcBorders>
              <w:top w:val="single" w:sz="1" w:space="0" w:color="AAAAAA"/>
              <w:left w:val="single" w:sz="1" w:space="0" w:color="AAAAAA"/>
              <w:right w:val="single" w:sz="1" w:space="0" w:color="AAAAAA"/>
            </w:tcBorders>
            <w:shd w:val="clear" w:color="auto" w:fill="D9F3D0"/>
            <w:tcMar>
              <w:top w:w="60" w:type="dxa"/>
              <w:left w:w="100" w:type="dxa"/>
              <w:bottom w:w="60" w:type="dxa"/>
              <w:right w:w="100" w:type="dxa"/>
            </w:tcMar>
            <w:vAlign w:val="center"/>
          </w:tcPr>
          <w:p w14:paraId="7AC06A3C"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b/>
                <w:bCs/>
                <w:sz w:val="24"/>
                <w:szCs w:val="24"/>
                <w:lang w:val="en-CA" w:eastAsia="en-GB"/>
              </w:rPr>
            </w:pPr>
            <w:r w:rsidRPr="005F0A67">
              <w:rPr>
                <w:rFonts w:asciiTheme="majorBidi" w:eastAsia="Times New Roman" w:hAnsiTheme="majorBidi" w:cstheme="majorBidi"/>
                <w:b/>
                <w:bCs/>
                <w:sz w:val="18"/>
                <w:szCs w:val="18"/>
                <w:lang w:val="en-CA" w:eastAsia="en-GB"/>
              </w:rPr>
              <w:t>Low</w:t>
            </w:r>
          </w:p>
        </w:tc>
      </w:tr>
      <w:tr w:rsidR="005F0A67" w:rsidRPr="005F0A67" w14:paraId="33AF37CF" w14:textId="77777777" w:rsidTr="005F0A67">
        <w:tc>
          <w:tcPr>
            <w:tcW w:w="1210" w:type="pct"/>
            <w:vMerge/>
            <w:tcMar>
              <w:top w:w="60" w:type="dxa"/>
              <w:left w:w="100" w:type="dxa"/>
              <w:bottom w:w="60" w:type="dxa"/>
              <w:right w:w="100" w:type="dxa"/>
            </w:tcMar>
          </w:tcPr>
          <w:p w14:paraId="3886CF08"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26C127B2"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Molecular diagnostics and clinical laboratory services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5B1C9D92"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73D5D5EF"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6D7D213D"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Predominantly domestic service delivery limits export competitiveness exposure. National implementation divergence (U8).</w:t>
            </w:r>
          </w:p>
        </w:tc>
        <w:tc>
          <w:tcPr>
            <w:tcW w:w="431" w:type="pct"/>
            <w:tcBorders>
              <w:top w:val="single" w:sz="1" w:space="0" w:color="AAAAAA"/>
              <w:left w:val="single" w:sz="1" w:space="0" w:color="AAAAAA"/>
              <w:right w:val="single" w:sz="1" w:space="0" w:color="AAAAAA"/>
            </w:tcBorders>
            <w:shd w:val="clear" w:color="auto" w:fill="D9F2D0"/>
            <w:tcMar>
              <w:top w:w="60" w:type="dxa"/>
              <w:left w:w="100" w:type="dxa"/>
              <w:bottom w:w="60" w:type="dxa"/>
              <w:right w:w="100" w:type="dxa"/>
            </w:tcMar>
            <w:vAlign w:val="center"/>
          </w:tcPr>
          <w:p w14:paraId="74712542"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b/>
                <w:bCs/>
                <w:sz w:val="24"/>
                <w:szCs w:val="24"/>
                <w:lang w:val="en-CA" w:eastAsia="en-GB"/>
              </w:rPr>
            </w:pPr>
            <w:r w:rsidRPr="005F0A67">
              <w:rPr>
                <w:rFonts w:asciiTheme="majorBidi" w:eastAsia="Times New Roman" w:hAnsiTheme="majorBidi" w:cstheme="majorBidi"/>
                <w:b/>
                <w:bCs/>
                <w:sz w:val="18"/>
                <w:szCs w:val="18"/>
                <w:lang w:val="en-CA" w:eastAsia="en-GB"/>
              </w:rPr>
              <w:t>Low</w:t>
            </w:r>
          </w:p>
        </w:tc>
      </w:tr>
      <w:tr w:rsidR="005F0A67" w:rsidRPr="005F0A67" w14:paraId="35FBA2AE" w14:textId="77777777" w:rsidTr="005F0A67">
        <w:tc>
          <w:tcPr>
            <w:tcW w:w="1210" w:type="pct"/>
            <w:vMerge/>
            <w:tcMar>
              <w:top w:w="60" w:type="dxa"/>
              <w:left w:w="100" w:type="dxa"/>
              <w:bottom w:w="60" w:type="dxa"/>
              <w:right w:w="100" w:type="dxa"/>
            </w:tcMar>
          </w:tcPr>
          <w:p w14:paraId="63FCCA27"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73E41EB8"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Industrial biotechnology and biomanufacturing</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117B6FE8"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Moderate</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4780E2E2"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Medium</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368CDC82"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Price-sensitive industrial buyers benchmarking against petrochemical alternatives in export markets; limited pass-through capacity (Kim et al., 2026); significant cross-border trade in bio-based chemicals and materials. National implementation divergence (U8); rate revision.</w:t>
            </w:r>
          </w:p>
        </w:tc>
        <w:tc>
          <w:tcPr>
            <w:tcW w:w="431" w:type="pct"/>
            <w:tcBorders>
              <w:top w:val="single" w:sz="1" w:space="0" w:color="AAAAAA"/>
              <w:left w:val="single" w:sz="1" w:space="0" w:color="AAAAAA"/>
              <w:right w:val="single" w:sz="1" w:space="0" w:color="AAAAAA"/>
            </w:tcBorders>
            <w:shd w:val="clear" w:color="auto" w:fill="FEF9CC"/>
            <w:tcMar>
              <w:top w:w="60" w:type="dxa"/>
              <w:left w:w="100" w:type="dxa"/>
              <w:bottom w:w="60" w:type="dxa"/>
              <w:right w:w="100" w:type="dxa"/>
            </w:tcMar>
            <w:vAlign w:val="center"/>
          </w:tcPr>
          <w:p w14:paraId="54F429FD"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b/>
                <w:bCs/>
                <w:sz w:val="24"/>
                <w:szCs w:val="24"/>
                <w:lang w:val="en-CA" w:eastAsia="en-GB"/>
              </w:rPr>
            </w:pPr>
            <w:r w:rsidRPr="005F0A67">
              <w:rPr>
                <w:rFonts w:asciiTheme="majorBidi" w:eastAsia="Times New Roman" w:hAnsiTheme="majorBidi" w:cstheme="majorBidi"/>
                <w:b/>
                <w:bCs/>
                <w:sz w:val="18"/>
                <w:szCs w:val="18"/>
                <w:lang w:val="en-CA" w:eastAsia="en-GB"/>
              </w:rPr>
              <w:t>Moderate</w:t>
            </w:r>
          </w:p>
        </w:tc>
      </w:tr>
      <w:tr w:rsidR="005F0A67" w:rsidRPr="005F0A67" w14:paraId="50B28E62" w14:textId="77777777" w:rsidTr="005F0A67">
        <w:tc>
          <w:tcPr>
            <w:tcW w:w="1210" w:type="pct"/>
            <w:vMerge/>
            <w:tcMar>
              <w:top w:w="60" w:type="dxa"/>
              <w:left w:w="100" w:type="dxa"/>
              <w:bottom w:w="60" w:type="dxa"/>
              <w:right w:w="100" w:type="dxa"/>
            </w:tcMar>
          </w:tcPr>
          <w:p w14:paraId="119CC9E7"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46FA4A7B"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R&amp;D service and platform organisations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0B0826EE"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52CA2E8F"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31690356"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Contract-based cross-border services; competitive advantage based on expertise limits price-driven export competitiveness concerns. National implementation divergence (U8).</w:t>
            </w:r>
          </w:p>
        </w:tc>
        <w:tc>
          <w:tcPr>
            <w:tcW w:w="431" w:type="pct"/>
            <w:tcBorders>
              <w:top w:val="single" w:sz="1" w:space="0" w:color="AAAAAA"/>
              <w:left w:val="single" w:sz="1" w:space="0" w:color="AAAAAA"/>
              <w:right w:val="single" w:sz="1" w:space="0" w:color="AAAAAA"/>
            </w:tcBorders>
            <w:shd w:val="clear" w:color="auto" w:fill="D9F2D0"/>
            <w:tcMar>
              <w:top w:w="60" w:type="dxa"/>
              <w:left w:w="100" w:type="dxa"/>
              <w:bottom w:w="60" w:type="dxa"/>
              <w:right w:w="100" w:type="dxa"/>
            </w:tcMar>
            <w:vAlign w:val="center"/>
          </w:tcPr>
          <w:p w14:paraId="24B1B67D"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b/>
                <w:bCs/>
                <w:sz w:val="24"/>
                <w:szCs w:val="24"/>
                <w:lang w:val="en-CA" w:eastAsia="en-GB"/>
              </w:rPr>
            </w:pPr>
            <w:r w:rsidRPr="005F0A67">
              <w:rPr>
                <w:rFonts w:asciiTheme="majorBidi" w:eastAsia="Times New Roman" w:hAnsiTheme="majorBidi" w:cstheme="majorBidi"/>
                <w:b/>
                <w:bCs/>
                <w:sz w:val="18"/>
                <w:szCs w:val="18"/>
                <w:lang w:val="en-CA" w:eastAsia="en-GB"/>
              </w:rPr>
              <w:t>Low</w:t>
            </w:r>
          </w:p>
        </w:tc>
      </w:tr>
      <w:tr w:rsidR="005F0A67" w:rsidRPr="005F0A67" w14:paraId="7CC81E0C" w14:textId="77777777" w:rsidTr="005F0A67">
        <w:tc>
          <w:tcPr>
            <w:tcW w:w="1210" w:type="pct"/>
            <w:vMerge w:val="restar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6D0D2F8C"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b/>
                <w:bCs/>
                <w:sz w:val="18"/>
                <w:szCs w:val="18"/>
                <w:lang w:val="en-CA" w:eastAsia="en-GB"/>
              </w:rPr>
            </w:pPr>
            <w:r w:rsidRPr="005F0A67">
              <w:rPr>
                <w:rFonts w:asciiTheme="majorBidi" w:eastAsia="Times New Roman" w:hAnsiTheme="majorBidi" w:cstheme="majorBidi"/>
                <w:b/>
                <w:bCs/>
                <w:sz w:val="18"/>
                <w:szCs w:val="18"/>
                <w:lang w:val="en-CA" w:eastAsia="en-GB"/>
              </w:rPr>
              <w:t>International standards and regulatory dialogues</w:t>
            </w:r>
          </w:p>
          <w:p w14:paraId="2DE607EB"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Divergence between the Cali Fund and other DSI-related instruments. Most significant for biopharmaceutical innovators given potential WHO PABS overlap for pathogen-adjacent activities. Industrial biotechnology, molecular diagnostics, and R&amp;D service firms have lower multi-framework exposure.</w:t>
            </w: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6CCA9829"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Biopharmaceutical innovators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333C5C46"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Moderate</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2DACBB2E"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Medium</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56958DB4"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Potential WHO PABS overlap for pathogen-adjacent biopharmaceutical activities (U7); certificate of contribution recognition across frameworks (U6); national implementation divergence (U8).</w:t>
            </w:r>
          </w:p>
        </w:tc>
        <w:tc>
          <w:tcPr>
            <w:tcW w:w="431" w:type="pct"/>
            <w:tcBorders>
              <w:top w:val="single" w:sz="1" w:space="0" w:color="AAAAAA"/>
              <w:left w:val="single" w:sz="1" w:space="0" w:color="AAAAAA"/>
              <w:right w:val="single" w:sz="1" w:space="0" w:color="AAAAAA"/>
            </w:tcBorders>
            <w:shd w:val="clear" w:color="auto" w:fill="FEF9CC"/>
            <w:tcMar>
              <w:top w:w="60" w:type="dxa"/>
              <w:left w:w="100" w:type="dxa"/>
              <w:bottom w:w="60" w:type="dxa"/>
              <w:right w:w="100" w:type="dxa"/>
            </w:tcMar>
            <w:vAlign w:val="center"/>
          </w:tcPr>
          <w:p w14:paraId="426A22DC"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b/>
                <w:bCs/>
                <w:sz w:val="24"/>
                <w:szCs w:val="24"/>
                <w:lang w:val="en-CA" w:eastAsia="en-GB"/>
              </w:rPr>
            </w:pPr>
            <w:r w:rsidRPr="005F0A67">
              <w:rPr>
                <w:rFonts w:asciiTheme="majorBidi" w:eastAsia="Times New Roman" w:hAnsiTheme="majorBidi" w:cstheme="majorBidi"/>
                <w:b/>
                <w:bCs/>
                <w:sz w:val="18"/>
                <w:szCs w:val="18"/>
                <w:lang w:val="en-CA" w:eastAsia="en-GB"/>
              </w:rPr>
              <w:t>Moderate</w:t>
            </w:r>
          </w:p>
        </w:tc>
      </w:tr>
      <w:tr w:rsidR="005F0A67" w:rsidRPr="005F0A67" w14:paraId="1C010FAE" w14:textId="77777777" w:rsidTr="005F0A67">
        <w:tc>
          <w:tcPr>
            <w:tcW w:w="1210" w:type="pct"/>
            <w:vMerge/>
            <w:tcMar>
              <w:top w:w="60" w:type="dxa"/>
              <w:left w:w="100" w:type="dxa"/>
              <w:bottom w:w="60" w:type="dxa"/>
              <w:right w:w="100" w:type="dxa"/>
            </w:tcMar>
          </w:tcPr>
          <w:p w14:paraId="2435A12E"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38752E10"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Molecular diagnostics and clinical laboratory services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0274F92D"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5C87F343"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668C28DB"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Limited multi-framework exposure; national implementation divergence (U8).</w:t>
            </w:r>
          </w:p>
        </w:tc>
        <w:tc>
          <w:tcPr>
            <w:tcW w:w="431" w:type="pct"/>
            <w:tcBorders>
              <w:top w:val="single" w:sz="1" w:space="0" w:color="AAAAAA"/>
              <w:left w:val="single" w:sz="1" w:space="0" w:color="AAAAAA"/>
              <w:right w:val="single" w:sz="1" w:space="0" w:color="AAAAAA"/>
            </w:tcBorders>
            <w:shd w:val="clear" w:color="auto" w:fill="D9F2D0"/>
            <w:tcMar>
              <w:top w:w="60" w:type="dxa"/>
              <w:left w:w="100" w:type="dxa"/>
              <w:bottom w:w="60" w:type="dxa"/>
              <w:right w:w="100" w:type="dxa"/>
            </w:tcMar>
            <w:vAlign w:val="center"/>
          </w:tcPr>
          <w:p w14:paraId="2A085066"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b/>
                <w:bCs/>
                <w:sz w:val="24"/>
                <w:szCs w:val="24"/>
                <w:lang w:val="en-CA" w:eastAsia="en-GB"/>
              </w:rPr>
            </w:pPr>
            <w:r w:rsidRPr="005F0A67">
              <w:rPr>
                <w:rFonts w:asciiTheme="majorBidi" w:eastAsia="Times New Roman" w:hAnsiTheme="majorBidi" w:cstheme="majorBidi"/>
                <w:b/>
                <w:bCs/>
                <w:sz w:val="18"/>
                <w:szCs w:val="18"/>
                <w:lang w:val="en-CA" w:eastAsia="en-GB"/>
              </w:rPr>
              <w:t>Low</w:t>
            </w:r>
          </w:p>
        </w:tc>
      </w:tr>
      <w:tr w:rsidR="005F0A67" w:rsidRPr="005F0A67" w14:paraId="38A436A2" w14:textId="77777777" w:rsidTr="005F0A67">
        <w:tc>
          <w:tcPr>
            <w:tcW w:w="1210" w:type="pct"/>
            <w:vMerge/>
            <w:tcMar>
              <w:top w:w="60" w:type="dxa"/>
              <w:left w:w="100" w:type="dxa"/>
              <w:bottom w:w="60" w:type="dxa"/>
              <w:right w:w="100" w:type="dxa"/>
            </w:tcMar>
          </w:tcPr>
          <w:p w14:paraId="6FC349A5"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31ED2B10"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Industrial biotechnology and biomanufacturing</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7299E2D8"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14A0771A"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6B05D305"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Limited multi-framework exposure; national implementation divergence (U8).</w:t>
            </w:r>
          </w:p>
        </w:tc>
        <w:tc>
          <w:tcPr>
            <w:tcW w:w="431" w:type="pct"/>
            <w:tcBorders>
              <w:top w:val="single" w:sz="1" w:space="0" w:color="AAAAAA"/>
              <w:left w:val="single" w:sz="1" w:space="0" w:color="AAAAAA"/>
              <w:right w:val="single" w:sz="1" w:space="0" w:color="AAAAAA"/>
            </w:tcBorders>
            <w:shd w:val="clear" w:color="auto" w:fill="D9F2D0"/>
            <w:tcMar>
              <w:top w:w="60" w:type="dxa"/>
              <w:left w:w="100" w:type="dxa"/>
              <w:bottom w:w="60" w:type="dxa"/>
              <w:right w:w="100" w:type="dxa"/>
            </w:tcMar>
            <w:vAlign w:val="center"/>
          </w:tcPr>
          <w:p w14:paraId="597D57F5"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b/>
                <w:bCs/>
                <w:sz w:val="24"/>
                <w:szCs w:val="24"/>
                <w:lang w:val="en-CA" w:eastAsia="en-GB"/>
              </w:rPr>
            </w:pPr>
            <w:r w:rsidRPr="005F0A67">
              <w:rPr>
                <w:rFonts w:asciiTheme="majorBidi" w:eastAsia="Times New Roman" w:hAnsiTheme="majorBidi" w:cstheme="majorBidi"/>
                <w:b/>
                <w:bCs/>
                <w:sz w:val="18"/>
                <w:szCs w:val="18"/>
                <w:lang w:val="en-CA" w:eastAsia="en-GB"/>
              </w:rPr>
              <w:t>Low</w:t>
            </w:r>
          </w:p>
        </w:tc>
      </w:tr>
      <w:tr w:rsidR="005F0A67" w:rsidRPr="005F0A67" w14:paraId="65C0B30D" w14:textId="77777777" w:rsidTr="005F0A67">
        <w:tc>
          <w:tcPr>
            <w:tcW w:w="1210" w:type="pct"/>
            <w:vMerge/>
            <w:tcMar>
              <w:top w:w="60" w:type="dxa"/>
              <w:left w:w="100" w:type="dxa"/>
              <w:bottom w:w="60" w:type="dxa"/>
              <w:right w:w="100" w:type="dxa"/>
            </w:tcMar>
          </w:tcPr>
          <w:p w14:paraId="0ED0BC85"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78DD01B8"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R&amp;D service and platform organisations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5197F404"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4D79272D"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3BE0CE80"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Limited multi-framework exposure; national implementation divergence (U8).</w:t>
            </w:r>
          </w:p>
        </w:tc>
        <w:tc>
          <w:tcPr>
            <w:tcW w:w="431" w:type="pct"/>
            <w:tcBorders>
              <w:top w:val="single" w:sz="1" w:space="0" w:color="AAAAAA"/>
              <w:left w:val="single" w:sz="1" w:space="0" w:color="AAAAAA"/>
              <w:right w:val="single" w:sz="1" w:space="0" w:color="AAAAAA"/>
            </w:tcBorders>
            <w:shd w:val="clear" w:color="auto" w:fill="D9F2D0"/>
            <w:tcMar>
              <w:top w:w="60" w:type="dxa"/>
              <w:left w:w="100" w:type="dxa"/>
              <w:bottom w:w="60" w:type="dxa"/>
              <w:right w:w="100" w:type="dxa"/>
            </w:tcMar>
            <w:vAlign w:val="center"/>
          </w:tcPr>
          <w:p w14:paraId="3A5EE695"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b/>
                <w:bCs/>
                <w:sz w:val="24"/>
                <w:szCs w:val="24"/>
                <w:lang w:val="en-CA" w:eastAsia="en-GB"/>
              </w:rPr>
            </w:pPr>
            <w:r w:rsidRPr="005F0A67">
              <w:rPr>
                <w:rFonts w:asciiTheme="majorBidi" w:eastAsia="Times New Roman" w:hAnsiTheme="majorBidi" w:cstheme="majorBidi"/>
                <w:b/>
                <w:bCs/>
                <w:sz w:val="18"/>
                <w:szCs w:val="18"/>
                <w:lang w:val="en-CA" w:eastAsia="en-GB"/>
              </w:rPr>
              <w:t>Low</w:t>
            </w:r>
          </w:p>
        </w:tc>
      </w:tr>
      <w:tr w:rsidR="005F0A67" w:rsidRPr="005F0A67" w14:paraId="18E36974" w14:textId="77777777" w:rsidTr="005F0A67">
        <w:tc>
          <w:tcPr>
            <w:tcW w:w="1210" w:type="pct"/>
            <w:vMerge w:val="restar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2CA1DA28"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b/>
                <w:bCs/>
                <w:sz w:val="18"/>
                <w:szCs w:val="18"/>
                <w:lang w:val="en-CA" w:eastAsia="en-GB"/>
              </w:rPr>
            </w:pPr>
            <w:r w:rsidRPr="005F0A67">
              <w:rPr>
                <w:rFonts w:asciiTheme="majorBidi" w:eastAsia="Times New Roman" w:hAnsiTheme="majorBidi" w:cstheme="majorBidi"/>
                <w:b/>
                <w:bCs/>
                <w:sz w:val="18"/>
                <w:szCs w:val="18"/>
                <w:lang w:val="en-CA" w:eastAsia="en-GB"/>
              </w:rPr>
              <w:t>FDI and relocation effects</w:t>
            </w:r>
          </w:p>
          <w:p w14:paraId="583B019A"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 xml:space="preserve">Effects on R&amp;D and investment location decisions. Primary firm response to a comparable profit burden is spending </w:t>
            </w:r>
            <w:r w:rsidRPr="005F0A67">
              <w:rPr>
                <w:rFonts w:asciiTheme="majorBidi" w:eastAsia="Times New Roman" w:hAnsiTheme="majorBidi" w:cstheme="majorBidi"/>
                <w:sz w:val="18"/>
                <w:szCs w:val="18"/>
                <w:lang w:val="en-CA" w:eastAsia="en-GB"/>
              </w:rPr>
              <w:lastRenderedPageBreak/>
              <w:t>reduction rather than relocation (Lichter et al., 2025). Manufacturing relocation implausible for industrial biotech given scale-up infrastructure requirements. R&amp;D location effects plausible only at the margin of new investment decisions for biopharmaceutical innovators.</w:t>
            </w: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6AB95F50"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lastRenderedPageBreak/>
              <w:t>Biopharmaceutical innovators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648A6F41"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2DDAFFBC"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45919115"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R&amp;D location effects plausible at margin of new facility investment for innovators with globally distributed discovery operations; primary response is spending reduction not relocation (Lichter et al., 2025). Rate revision.</w:t>
            </w:r>
          </w:p>
        </w:tc>
        <w:tc>
          <w:tcPr>
            <w:tcW w:w="431" w:type="pct"/>
            <w:tcBorders>
              <w:top w:val="single" w:sz="1" w:space="0" w:color="AAAAAA"/>
              <w:left w:val="single" w:sz="1" w:space="0" w:color="AAAAAA"/>
              <w:right w:val="single" w:sz="1" w:space="0" w:color="AAAAAA"/>
            </w:tcBorders>
            <w:shd w:val="clear" w:color="auto" w:fill="D9F2D0"/>
            <w:tcMar>
              <w:top w:w="60" w:type="dxa"/>
              <w:left w:w="100" w:type="dxa"/>
              <w:bottom w:w="60" w:type="dxa"/>
              <w:right w:w="100" w:type="dxa"/>
            </w:tcMar>
            <w:vAlign w:val="center"/>
          </w:tcPr>
          <w:p w14:paraId="7C77BEE6"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b/>
                <w:bCs/>
                <w:sz w:val="24"/>
                <w:szCs w:val="24"/>
                <w:lang w:val="en-CA" w:eastAsia="en-GB"/>
              </w:rPr>
            </w:pPr>
            <w:r w:rsidRPr="005F0A67">
              <w:rPr>
                <w:rFonts w:asciiTheme="majorBidi" w:eastAsia="Times New Roman" w:hAnsiTheme="majorBidi" w:cstheme="majorBidi"/>
                <w:b/>
                <w:bCs/>
                <w:sz w:val="18"/>
                <w:szCs w:val="18"/>
                <w:lang w:val="en-CA" w:eastAsia="en-GB"/>
              </w:rPr>
              <w:t>Low</w:t>
            </w:r>
          </w:p>
        </w:tc>
      </w:tr>
      <w:tr w:rsidR="005F0A67" w:rsidRPr="005F0A67" w14:paraId="15D04E29" w14:textId="77777777" w:rsidTr="005F0A67">
        <w:tc>
          <w:tcPr>
            <w:tcW w:w="1210" w:type="pct"/>
            <w:vMerge/>
            <w:tcMar>
              <w:top w:w="60" w:type="dxa"/>
              <w:left w:w="100" w:type="dxa"/>
              <w:bottom w:w="60" w:type="dxa"/>
              <w:right w:w="100" w:type="dxa"/>
            </w:tcMar>
          </w:tcPr>
          <w:p w14:paraId="67515032"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357E6BD3"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Molecular diagnostics and clinical laboratory services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4DFB5970"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3EA30B15"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0FED05F7"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Predominantly domestic service delivery limits relocation incentives. Rate revision.</w:t>
            </w:r>
          </w:p>
        </w:tc>
        <w:tc>
          <w:tcPr>
            <w:tcW w:w="431" w:type="pct"/>
            <w:tcBorders>
              <w:top w:val="single" w:sz="1" w:space="0" w:color="AAAAAA"/>
              <w:left w:val="single" w:sz="1" w:space="0" w:color="AAAAAA"/>
              <w:right w:val="single" w:sz="1" w:space="0" w:color="AAAAAA"/>
            </w:tcBorders>
            <w:shd w:val="clear" w:color="auto" w:fill="D9F2D0"/>
            <w:tcMar>
              <w:top w:w="60" w:type="dxa"/>
              <w:left w:w="100" w:type="dxa"/>
              <w:bottom w:w="60" w:type="dxa"/>
              <w:right w:w="100" w:type="dxa"/>
            </w:tcMar>
            <w:vAlign w:val="center"/>
          </w:tcPr>
          <w:p w14:paraId="130A8656"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b/>
                <w:bCs/>
                <w:sz w:val="24"/>
                <w:szCs w:val="24"/>
                <w:lang w:val="en-CA" w:eastAsia="en-GB"/>
              </w:rPr>
            </w:pPr>
            <w:r w:rsidRPr="005F0A67">
              <w:rPr>
                <w:rFonts w:asciiTheme="majorBidi" w:eastAsia="Times New Roman" w:hAnsiTheme="majorBidi" w:cstheme="majorBidi"/>
                <w:b/>
                <w:bCs/>
                <w:sz w:val="18"/>
                <w:szCs w:val="18"/>
                <w:lang w:val="en-CA" w:eastAsia="en-GB"/>
              </w:rPr>
              <w:t>Low</w:t>
            </w:r>
          </w:p>
        </w:tc>
      </w:tr>
      <w:tr w:rsidR="005F0A67" w:rsidRPr="005F0A67" w14:paraId="35928C2E" w14:textId="77777777" w:rsidTr="005F0A67">
        <w:tc>
          <w:tcPr>
            <w:tcW w:w="1210" w:type="pct"/>
            <w:vMerge/>
            <w:tcMar>
              <w:top w:w="60" w:type="dxa"/>
              <w:left w:w="100" w:type="dxa"/>
              <w:bottom w:w="60" w:type="dxa"/>
              <w:right w:w="100" w:type="dxa"/>
            </w:tcMar>
          </w:tcPr>
          <w:p w14:paraId="73534838"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5D067791"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Industrial biotechnology and biomanufacturing</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5C25CCD1"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312F5148"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7F4E0B72"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Manufacturing relocation implausible given scale-up infrastructure requirements (Clarke and Kitney, 2020); R&amp;D location effects limited. Rate revision.</w:t>
            </w:r>
          </w:p>
        </w:tc>
        <w:tc>
          <w:tcPr>
            <w:tcW w:w="431" w:type="pct"/>
            <w:tcBorders>
              <w:top w:val="single" w:sz="1" w:space="0" w:color="AAAAAA"/>
              <w:left w:val="single" w:sz="1" w:space="0" w:color="AAAAAA"/>
              <w:right w:val="single" w:sz="1" w:space="0" w:color="AAAAAA"/>
            </w:tcBorders>
            <w:shd w:val="clear" w:color="auto" w:fill="D9F2D0"/>
            <w:tcMar>
              <w:top w:w="60" w:type="dxa"/>
              <w:left w:w="100" w:type="dxa"/>
              <w:bottom w:w="60" w:type="dxa"/>
              <w:right w:w="100" w:type="dxa"/>
            </w:tcMar>
            <w:vAlign w:val="center"/>
          </w:tcPr>
          <w:p w14:paraId="701A21E0"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b/>
                <w:bCs/>
                <w:sz w:val="24"/>
                <w:szCs w:val="24"/>
                <w:lang w:val="en-CA" w:eastAsia="en-GB"/>
              </w:rPr>
            </w:pPr>
            <w:r w:rsidRPr="005F0A67">
              <w:rPr>
                <w:rFonts w:asciiTheme="majorBidi" w:eastAsia="Times New Roman" w:hAnsiTheme="majorBidi" w:cstheme="majorBidi"/>
                <w:b/>
                <w:bCs/>
                <w:sz w:val="18"/>
                <w:szCs w:val="18"/>
                <w:lang w:val="en-CA" w:eastAsia="en-GB"/>
              </w:rPr>
              <w:t>Low</w:t>
            </w:r>
          </w:p>
        </w:tc>
      </w:tr>
      <w:tr w:rsidR="005F0A67" w:rsidRPr="005F0A67" w14:paraId="1014BBD2" w14:textId="77777777" w:rsidTr="005F0A67">
        <w:tc>
          <w:tcPr>
            <w:tcW w:w="1210" w:type="pct"/>
            <w:vMerge/>
            <w:tcMar>
              <w:top w:w="60" w:type="dxa"/>
              <w:left w:w="100" w:type="dxa"/>
              <w:bottom w:w="60" w:type="dxa"/>
              <w:right w:w="100" w:type="dxa"/>
            </w:tcMar>
          </w:tcPr>
          <w:p w14:paraId="521899A6"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14CB6673"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R&amp;D service and platform organisations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5A2607E4"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0009A5ED"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0D2F1E63"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Contract-based model with locally embedded client relationships limits relocation incentives. Rate revision.</w:t>
            </w:r>
          </w:p>
        </w:tc>
        <w:tc>
          <w:tcPr>
            <w:tcW w:w="431" w:type="pct"/>
            <w:tcBorders>
              <w:top w:val="single" w:sz="1" w:space="0" w:color="AAAAAA"/>
              <w:left w:val="single" w:sz="1" w:space="0" w:color="AAAAAA"/>
              <w:right w:val="single" w:sz="1" w:space="0" w:color="AAAAAA"/>
            </w:tcBorders>
            <w:shd w:val="clear" w:color="auto" w:fill="D9F2D0"/>
            <w:tcMar>
              <w:top w:w="60" w:type="dxa"/>
              <w:left w:w="100" w:type="dxa"/>
              <w:bottom w:w="60" w:type="dxa"/>
              <w:right w:w="100" w:type="dxa"/>
            </w:tcMar>
            <w:vAlign w:val="center"/>
          </w:tcPr>
          <w:p w14:paraId="63AD72A9"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b/>
                <w:bCs/>
                <w:sz w:val="24"/>
                <w:szCs w:val="24"/>
                <w:lang w:val="en-CA" w:eastAsia="en-GB"/>
              </w:rPr>
            </w:pPr>
            <w:r w:rsidRPr="005F0A67">
              <w:rPr>
                <w:rFonts w:asciiTheme="majorBidi" w:eastAsia="Times New Roman" w:hAnsiTheme="majorBidi" w:cstheme="majorBidi"/>
                <w:b/>
                <w:bCs/>
                <w:sz w:val="18"/>
                <w:szCs w:val="18"/>
                <w:lang w:val="en-CA" w:eastAsia="en-GB"/>
              </w:rPr>
              <w:t>Low</w:t>
            </w:r>
          </w:p>
        </w:tc>
      </w:tr>
    </w:tbl>
    <w:p w14:paraId="0676234F"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sectPr w:rsidR="005F0A67" w:rsidRPr="005F0A67" w:rsidSect="005F0A67">
          <w:pgSz w:w="15840" w:h="12240" w:orient="landscape"/>
          <w:pgMar w:top="1260" w:right="1080" w:bottom="1260" w:left="1080" w:header="706" w:footer="706" w:gutter="0"/>
          <w:cols w:space="720"/>
          <w:docGrid w:linePitch="360"/>
        </w:sectPr>
      </w:pPr>
    </w:p>
    <w:p w14:paraId="7D355421" w14:textId="77777777" w:rsidR="005F0A67" w:rsidRPr="005F0A67" w:rsidRDefault="005F0A67" w:rsidP="005F0A67">
      <w:pPr>
        <w:numPr>
          <w:ilvl w:val="1"/>
          <w:numId w:val="12"/>
        </w:numPr>
        <w:tabs>
          <w:tab w:val="clear" w:pos="567"/>
          <w:tab w:val="clear" w:pos="1134"/>
          <w:tab w:val="clear" w:pos="1701"/>
          <w:tab w:val="clear" w:pos="2268"/>
        </w:tabs>
        <w:spacing w:before="320" w:after="160"/>
        <w:ind w:left="576" w:hanging="576"/>
        <w:jc w:val="left"/>
        <w:outlineLvl w:val="1"/>
        <w:rPr>
          <w:rFonts w:asciiTheme="majorBidi" w:eastAsia="Arial" w:hAnsiTheme="majorBidi" w:cstheme="majorBidi"/>
          <w:b/>
          <w:bCs/>
          <w:color w:val="1A1A1A"/>
          <w:sz w:val="23"/>
          <w:szCs w:val="23"/>
          <w:lang w:val="en-CA" w:eastAsia="en-GB"/>
        </w:rPr>
      </w:pPr>
      <w:bookmarkStart w:id="207" w:name="_Toc234579606"/>
      <w:r w:rsidRPr="005F0A67">
        <w:rPr>
          <w:rFonts w:asciiTheme="majorBidi" w:eastAsia="Arial" w:hAnsiTheme="majorBidi" w:cstheme="majorBidi"/>
          <w:b/>
          <w:bCs/>
          <w:color w:val="1A1A1A"/>
          <w:sz w:val="23"/>
          <w:szCs w:val="23"/>
          <w:lang w:val="en-CA" w:eastAsia="en-GB"/>
        </w:rPr>
        <w:lastRenderedPageBreak/>
        <w:t>Animal and plant breeding</w:t>
      </w:r>
      <w:bookmarkEnd w:id="207"/>
    </w:p>
    <w:p w14:paraId="01E96C4E" w14:textId="77777777" w:rsidR="005F0A67" w:rsidRPr="005F0A67" w:rsidRDefault="005F0A67" w:rsidP="00B009ED">
      <w:pPr>
        <w:tabs>
          <w:tab w:val="clear" w:pos="567"/>
          <w:tab w:val="clear" w:pos="1134"/>
          <w:tab w:val="clear" w:pos="1701"/>
          <w:tab w:val="clear" w:pos="2268"/>
        </w:tabs>
        <w:spacing w:before="320" w:after="160"/>
        <w:ind w:left="720"/>
        <w:jc w:val="left"/>
        <w:outlineLvl w:val="2"/>
        <w:rPr>
          <w:rFonts w:asciiTheme="majorBidi" w:eastAsia="Arial" w:hAnsiTheme="majorBidi" w:cstheme="majorBidi"/>
          <w:b/>
          <w:bCs/>
          <w:color w:val="7F7F7F"/>
          <w:sz w:val="23"/>
          <w:szCs w:val="23"/>
          <w:lang w:val="en-CA" w:eastAsia="en-GB"/>
        </w:rPr>
      </w:pPr>
      <w:bookmarkStart w:id="208" w:name="_Ref231770075"/>
      <w:bookmarkStart w:id="209" w:name="_Toc234579607"/>
      <w:r w:rsidRPr="005F0A67">
        <w:rPr>
          <w:rFonts w:asciiTheme="majorBidi" w:eastAsia="Arial" w:hAnsiTheme="majorBidi" w:cstheme="majorBidi"/>
          <w:b/>
          <w:bCs/>
          <w:color w:val="7F7F7F"/>
          <w:sz w:val="23"/>
          <w:szCs w:val="23"/>
          <w:lang w:val="en-CA" w:eastAsia="en-GB"/>
        </w:rPr>
        <w:t>Characterisation of affected firms (steps 1 &amp; 2)</w:t>
      </w:r>
      <w:bookmarkEnd w:id="208"/>
      <w:bookmarkEnd w:id="209"/>
    </w:p>
    <w:p w14:paraId="72EC989E"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The animal and plant breeding sector contains 4,256 eligible firms and accounts for 6.8% of estimated contributions, below its 10.7% share under full compliance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_Ref230090932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Table 12</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and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_Ref230109751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Figure 5</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This decline reflects the sector's lower participation calibration and DSI intensity adjustment, which together reduce the participating revenue base substantially relative to the full eligible population. With a median margin of 7% and the widest interquartile range (IQR) (0.5% to 17.8%), the sector shows the greatest within-sector financial heterogeneity of any Indicative Enclosure I sector, which means that aggregate figures are less representative of individual firm experience here than elsewhere.</w:t>
      </w:r>
    </w:p>
    <w:p w14:paraId="79A7CCA6" w14:textId="77777777" w:rsidR="005F0A67" w:rsidRPr="005F0A67" w:rsidRDefault="005F0A67" w:rsidP="00B009ED">
      <w:pPr>
        <w:tabs>
          <w:tab w:val="clear" w:pos="567"/>
          <w:tab w:val="clear" w:pos="1134"/>
          <w:tab w:val="clear" w:pos="1701"/>
          <w:tab w:val="clear" w:pos="2268"/>
        </w:tabs>
        <w:spacing w:after="120"/>
        <w:jc w:val="left"/>
        <w:outlineLvl w:val="3"/>
        <w:rPr>
          <w:rFonts w:asciiTheme="majorBidi" w:eastAsia="Georgia" w:hAnsiTheme="majorBidi" w:cstheme="majorBidi"/>
          <w:b/>
          <w:bCs/>
          <w:color w:val="0F4761"/>
          <w:lang w:eastAsia="en-GB"/>
        </w:rPr>
      </w:pPr>
      <w:r w:rsidRPr="005F0A67">
        <w:rPr>
          <w:rFonts w:asciiTheme="majorBidi" w:eastAsia="Georgia" w:hAnsiTheme="majorBidi" w:cstheme="majorBidi"/>
          <w:b/>
          <w:bCs/>
          <w:color w:val="0F4761"/>
          <w:lang w:eastAsia="en-GB"/>
        </w:rPr>
        <w:t>Sector and structural features</w:t>
      </w:r>
    </w:p>
    <w:p w14:paraId="3562F8C3"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The sector divides naturally into two top-level groups, plant breeders and animal breeders, each with internal distinctions that matter for the competitiveness assessment.</w:t>
      </w:r>
    </w:p>
    <w:p w14:paraId="30EE1F71" w14:textId="50EC5258"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bookmarkStart w:id="210" w:name="_Hlk231401548"/>
      <w:r w:rsidRPr="005F0A67">
        <w:rPr>
          <w:rFonts w:asciiTheme="majorBidi" w:eastAsia="Times New Roman" w:hAnsiTheme="majorBidi" w:cstheme="majorBidi"/>
          <w:b/>
          <w:bCs/>
          <w:lang w:val="en-CA" w:eastAsia="en-GB"/>
        </w:rPr>
        <w:t>Plant breeders</w:t>
      </w:r>
      <w:r w:rsidRPr="005F0A67">
        <w:rPr>
          <w:rFonts w:asciiTheme="majorBidi" w:eastAsia="Times New Roman" w:hAnsiTheme="majorBidi" w:cstheme="majorBidi"/>
          <w:lang w:val="en-CA" w:eastAsia="en-GB"/>
        </w:rPr>
        <w:t>, particularly those focused on broad-acre and field crops, operate in markets that are highly concentrated, shaped by large-scale private R&amp;D investment, strong intellectual property protection, and extensive trait licensing</w:t>
      </w:r>
      <w:r w:rsidRPr="005F0A67">
        <w:rPr>
          <w:rFonts w:asciiTheme="majorBidi" w:eastAsia="Times New Roman" w:hAnsiTheme="majorBidi" w:cstheme="majorBidi"/>
          <w:vertAlign w:val="superscript"/>
          <w:lang w:val="en-CA" w:eastAsia="en-GB"/>
        </w:rPr>
        <w:footnoteReference w:id="87"/>
      </w:r>
      <w:r w:rsidRPr="005F0A67">
        <w:rPr>
          <w:rFonts w:asciiTheme="majorBidi" w:eastAsia="Times New Roman" w:hAnsiTheme="majorBidi" w:cstheme="majorBidi"/>
          <w:lang w:val="en-CA" w:eastAsia="en-GB"/>
        </w:rPr>
        <w:t xml:space="preserve">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{"citationID":"K7R8Xp7F","properties":{"unsorted":false,"formattedCitation":"(Fuglie {\\i{}et al.}, 2011; Howard, 2015; Bonny, 2017; Clancy and Moschini, 2017)","plainCitation":"(Fuglie et al., 2011; Howard, 2015; Bonny, 2017; Clancy and Moschini, 2017)","noteIndex":0},"citationItems":[{"id":74,"uris":["http://zotero.org/users/14977742/items/SX2DM3J9"],"itemData":{"id":74,"type":"webpage","citation-key":"ResearchInvestmentsMarket","publisher":"Economic Research Service. U.S. Department of Agriculture","title":"Research Investments and Market Structure in the Food Processing, Agricultural Input, and Biofuel Industries Worldwide | Economic Research Service","URL":"https://www.ers.usda.gov/publications/pub-details?pubid=44954","author":[{"family":"Fuglie","given":"Keith"},{"family":"Heisey","given":"Paul"},{"family":"King","given":"John"},{"family":"Pray","given":"Carl E."},{"family":"Rubenstein","given":"Kelly Day"},{"family":"Schimmelpfennig","given":"David"},{"family":"Wang","given":"Sun Ling"},{"family":"Karmarkar-Deshmukh","given":"Rupa"}],"accessed":{"date-parts":[["2026",6,3]]},"issued":{"date-parts":[["2011",12]]}}},{"id":73,"uris":["http://zotero.org/users/14977742/items/LVYSAWUL"],"itemData":{"id":73,"type":"article-journal","abstract":"Intellectual property protections on seeds have increased dramatically in recent decades, from the granting of patent-like protections on certain types of seeds in 1970 to the enforcement of contract provisions for seeds beyond the first sale in 2013. During this same period, the seed industry has experienced rapid consolidation. Although as recently as the 1970s, it was characterized by thousands of small, mostly family-owned business, by 2011, just three agrochemical firms controlled more than half of the global proprietary seed market. These trends have resulted in rapidly increasing prices for commodity seeds and reduced farmers' ability to save seeds. Given these important negative impacts, why do these trends continue? Expanding intellectual property protections and reducing the number of competitors are strategies that the largest firms understandably employ to increase their power but government support has also been essential to their success. Policy changes have reduced the enforcement of antitrust laws and increased the enforcement of alleged intellectual property infringements. In addition, synergies between stronger intellectual property protections and consolidation have further reinforced the dominance of top firms at the expense of a freely competitive industry. A better understanding of these trends is unlikely to reverse them in the near term but may increase the effectiveness of creating alternatives to a seed oligopoly.","citation-key":"howardIntellectualPropertyConsolidation2015","container-title":"Crop Science","DOI":"10.2135/cropsci2014.09.0669","ISSN":"1435-0653","issue":"6","language":"en","license":"Copyright © by the Crop Science Society of America, Inc.","note":"_eprint: https://acsess.onlinelibrary.wiley.com/doi/pdf/10.2135/cropsci2014.09.0669","page":"2489-2495","source":"Wiley Online Library","title":"Intellectual Property and Consolidation in the Seed Industry","volume":"55","author":[{"family":"Howard","given":"Philip H."}],"issued":{"date-parts":[["2015"]]}}},{"id":70,"uris":["http://zotero.org/users/14977742/items/ES6H7CWN"],"itemData":{"id":70,"type":"article-journal","abstract":"In the past three decades, the seed sector has experienced, and is now again experiencing, corporate concentration trends. The fallout of this consolidation is the subject of numerous concerns. However, the seed sector is rather poorly understood. Thus, it is useful to understand it better and to investigate the potential impact on the agri-food chain of the trend toward increased corporate concentration. The first part of this paper presents the main characteristics of the global seed sector, its stakeholders, and its size in the agri-food chain. Next, the corporate consolidation trends of the seed industry over the past two years are examined. The technological evolution of the seed sector is also briefly presented. In the last part of this paper, the fallout of recent mergers and acquisitions in the seed industry are analyzed. Opposing views are expressed on the impact of these mergers and acquisitions in the agri-food chain: while certain stakeholders worry about the risk of food power by the biggest companies, some others expect useful innovations.","citation-key":"bonnyCorporateConcentrationTechnological2017","container-title":"Sustainability","DOI":"10.3390/su9091632","ISSN":"2071-1050","issue":"9","language":"en","license":"http://creativecommons.org/licenses/by/3.0/","page":"1632","publisher":"Multidisciplinary Digital Publishing Institute","source":"www.mdpi.com","title":"Corporate Concentration and Technological Change in the Global Seed Industry","volume":"9","author":[{"family":"Bonny","given":"Sylvie"}],"issued":{"date-parts":[["2017",9]]}}},{"id":72,"uris":["http://zotero.org/users/14977742/items/4B4HBDN5"],"itemData":{"id":72,"type":"article-journal","abstract":"Biological innovations in agriculture did not enjoy protection by formal intellectual property rights (IPRs) for a long time, but the recent trend has been one of considerable broadening and strengthening of these rights. We document the nature and evolution of these IPRs and provide an assessment of their impacts on innovation. We integrate elements of the institutional history of plant IPRs with a discussion of the relevant economic theory and a review of applicable empirical evidence. Throughout this review, we highlight how the experience of biological innovation mirrors or differs from the broader literature on IPRs and innovation. We conclude with some considerations on the relationship between IPRs, market structure, and the pricing of proprietary inputs in agriculture.","citation-key":"clancyIntellectualPropertyRights2017","container-title":"Annual Review of Resource Economics","DOI":"10.1146/annurev-resource-100516-053524","ISSN":"1941-1340, 1941-1359","issue":"Volume 9, 2017","language":"en","page":"53-74","publisher":"Annual Reviews","source":"www.annualreviews.org","title":"Intellectual Property Rights and the Ascent of Proprietary Innovation in Agriculture","volume":"9","author":[{"family":"Clancy","given":"Matthew S."},{"family":"Moschini","given":"GianCarlo"}],"issued":{"date-parts":[["2017",10,5]]}}}],"schema":"https://github.com/citation-style-language/schema/raw/master/csl-citation.json"}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Georgia" w:hAnsiTheme="majorBidi" w:cstheme="majorBidi"/>
          <w:lang w:val="en-CA" w:eastAsia="en-GB"/>
        </w:rPr>
        <w:t xml:space="preserve">(Fuglie </w:t>
      </w:r>
      <w:r w:rsidRPr="005F0A67">
        <w:rPr>
          <w:rFonts w:asciiTheme="majorBidi" w:eastAsia="Georgia" w:hAnsiTheme="majorBidi" w:cstheme="majorBidi"/>
          <w:i/>
          <w:iCs/>
          <w:lang w:val="en-CA" w:eastAsia="en-GB"/>
        </w:rPr>
        <w:t>et al.</w:t>
      </w:r>
      <w:r w:rsidRPr="005F0A67">
        <w:rPr>
          <w:rFonts w:asciiTheme="majorBidi" w:eastAsia="Georgia" w:hAnsiTheme="majorBidi" w:cstheme="majorBidi"/>
          <w:lang w:val="en-CA" w:eastAsia="en-GB"/>
        </w:rPr>
        <w:t>, 2011; Howard, 2015; Bonny, 2017; Clancy and Moschini, 2017)</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Recent evidence from the US seed industry confirms that royalties for genetically engineered traits contribute materially to firm markups, with licensing between competitors a significant feature of market structure in this sector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{"citationID":"eh0beQlx","properties":{"unsorted":false,"formattedCitation":"(Moschini and Perry, 2026)","plainCitation":"(Moschini and Perry, 2026)","noteIndex":0},"citationItems":[{"id":62,"uris":["http://zotero.org/users/14977742/items/JHAEIDJV"],"itemData":{"id":62,"type":"article-journal","abstract":"We provide a novel empirical analysis of the role of technology licensing, between competitors, for genetically engineered (GE) traits in the US seed industry. We extend the standard differentiated-product Bertrand pricing model to include trait licensing, which permits us to recover marginal costs and (otherwise unobserved) royalty rates. Estimation relies on a large dataset of farm-level seed purchases. We find that markups over marginal cost are sizeable, and royalties for GE traits contribute a non-trivial amount to these markups. Licensing GE traits to competitors benefits all seed sellers and, notwithstanding its strategic effect on pricing, also increases total market surplus.","citation-key":"moschiniInnovationLicensingCompetition","container-title":"The Journal of Industrial Economics","DOI":"10.1111/joie.70016","ISSN":"1467-6451","issue":"n/a","language":"en","license":"© 2026 The Author(s). The Journal of Industrial Economics published by The Editorial Board of The Journal of Industrial Economics and John Wiley &amp; Sons Ltd.","note":"_eprint: https://onlinelibrary.wiley.com/doi/pdf/10.1111/joie.70016","source":"Wiley Online Library","title":"Innovation, Licensing, and Competition: Evidence From Genetically Engineered Crops","title-short":"Innovation, Licensing, and Competition","URL":"https://onlinelibrary.wiley.com/doi/abs/10.1111/joie.70016","volume":"n/a","author":[{"family":"Moschini","given":"GianCarlo"},{"family":"Perry","given":"Edward D."}],"accessed":{"date-parts":[["2026",6,3]]},"issued":{"date-parts":[["2026",1]]}}}],"schema":"https://github.com/citation-style-language/schema/raw/master/csl-citation.json"}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noProof/>
          <w:lang w:val="en-CA" w:eastAsia="en-GB"/>
        </w:rPr>
        <w:t>(Moschini and Perry, 2026)</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Plant breeders working with crops and forages listed in Annex I of the ITPGRFA face a narrower version of this risk: potential obligation stacking arises specifically where a firm accesses both physical material under the ITPGRFA's Multilateral System and DSI relating to the same genetic resource under the Cali Fund, rather than as a general feature of operating in this sector (see Obligation stacking, Section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_Ref235460528 \r \h </w:instrText>
      </w:r>
      <w:r>
        <w:rPr>
          <w:rFonts w:asciiTheme="majorBidi" w:eastAsia="Times New Roman" w:hAnsiTheme="majorBidi" w:cstheme="majorBidi"/>
          <w:lang w:val="en-CA" w:eastAsia="en-GB"/>
        </w:rPr>
        <w:instrText xml:space="preserve">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4.2</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The level of concentration in seed markets varies substantially by crop and country, while markets for biotech traits tend to be even more concentrated due to their high fixed R&amp;D costs and the complementarities among seeds, traits, and crop-protection technologies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{"citationID":"hc4hyUX1","properties":{"unsorted":false,"formattedCitation":"(OECD, 2018; Deconinck, 2020)","plainCitation":"(OECD, 2018; Deconinck, 2020)","noteIndex":0},"citationItems":[{"id":66,"uris":["http://zotero.org/users/14977742/items/LZV6JV9V"],"itemData":{"id":66,"type":"report","citation-key":"oecdConcentrationSeedsMarkets2018","DOI":"10.1787/c13424a6-en","language":"en","source":"DOI.org (Crossref)","title":"Concentration in Seeds Markets","URL":"https://www.oecd.org/en/publications/concentration-in-seeds-markets_c13424a6-en.html","author":[{"literal":"OECD"}],"accessed":{"date-parts":[["2026",6,3]]},"issued":{"date-parts":[["2018",11,30]]}}},{"id":69,"uris":["http://zotero.org/users/14977742/items/4WNKPC9Y"],"itemData":{"id":69,"type":"article-journal","abstract":"The merger of Dow and DuPont, the acquisition of Syngenta by ChemChina, and the acquisition of Monsanto by Bayer have recently reshaped the global seed and biotech industry and caused concern about growing market concentration. This review documents market concentration in seed and agricultural biotech markets and discusses its causes and impacts. The available evidence suggests that concentration in seed markets varies strongly by crop and by country, while markets for biotech traits are considerably more concentrated. Complementarities between seed, biotech, and crop protection chemicals explain much of the observed structural changes in the industry, and new complementarities may be emerging with digital agriculture. Although growing concentration might in theory lead to higher prices and less innovation, evidence on this is currently limited; this tendency is also in part offset by the remedies imposed by competition authorities.","citation-key":"deconinckConcentrationSeedBiotech2020","container-title":"Annual Review of Resource Economics","DOI":"10.1146/annurev-resource-102319-100751","ISSN":"1941-1340, 1941-1359","issue":"Volume 12, 2020","language":"en","page":"129-147","publisher":"Annual Reviews","source":"www.annualreviews.org","title":"Concentration in Seed and Biotech Markets: Extent, Causes, and Impacts","title-short":"Concentration in Seed and Biotech Markets","volume":"12","author":[{"family":"Deconinck","given":"Koen"}],"issued":{"date-parts":[["2020",10,6]]}}}],"schema":"https://github.com/citation-style-language/schema/raw/master/csl-citation.json"}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Georgia" w:hAnsiTheme="majorBidi" w:cstheme="majorBidi"/>
          <w:lang w:val="en-CA" w:eastAsia="en-GB"/>
        </w:rPr>
        <w:t>(OECD, 2018; Deconinck, 2020)</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A small number of multinational firms accounts for the bulk of private R&amp;D and controls most of the global proprietary seed market, with concentration having increased markedly in recent decades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{"citationID":"oLRKohPG","properties":{"unsorted":false,"formattedCitation":"(Fuglie {\\i{}et al.}, 2011; Howard, 2015; Bonny, 2017)","plainCitation":"(Fuglie et al., 2011; Howard, 2015; Bonny, 2017)","noteIndex":0},"citationItems":[{"id":74,"uris":["http://zotero.org/users/14977742/items/SX2DM3J9"],"itemData":{"id":74,"type":"webpage","citation-key":"ResearchInvestmentsMarket","publisher":"Economic Research Service. U.S. Department of Agriculture","title":"Research Investments and Market Structure in the Food Processing, Agricultural Input, and Biofuel Industries Worldwide | Economic Research Service","URL":"https://www.ers.usda.gov/publications/pub-details?pubid=44954","author":[{"family":"Fuglie","given":"Keith"},{"family":"Heisey","given":"Paul"},{"family":"King","given":"John"},{"family":"Pray","given":"Carl E."},{"family":"Rubenstein","given":"Kelly Day"},{"family":"Schimmelpfennig","given":"David"},{"family":"Wang","given":"Sun Ling"},{"family":"Karmarkar-Deshmukh","given":"Rupa"}],"accessed":{"date-parts":[["2026",6,3]]},"issued":{"date-parts":[["2011",12]]}}},{"id":73,"uris":["http://zotero.org/users/14977742/items/LVYSAWUL"],"itemData":{"id":73,"type":"article-journal","abstract":"Intellectual property protections on seeds have increased dramatically in recent decades, from the granting of patent-like protections on certain types of seeds in 1970 to the enforcement of contract provisions for seeds beyond the first sale in 2013. During this same period, the seed industry has experienced rapid consolidation. Although as recently as the 1970s, it was characterized by thousands of small, mostly family-owned business, by 2011, just three agrochemical firms controlled more than half of the global proprietary seed market. These trends have resulted in rapidly increasing prices for commodity seeds and reduced farmers' ability to save seeds. Given these important negative impacts, why do these trends continue? Expanding intellectual property protections and reducing the number of competitors are strategies that the largest firms understandably employ to increase their power but government support has also been essential to their success. Policy changes have reduced the enforcement of antitrust laws and increased the enforcement of alleged intellectual property infringements. In addition, synergies between stronger intellectual property protections and consolidation have further reinforced the dominance of top firms at the expense of a freely competitive industry. A better understanding of these trends is unlikely to reverse them in the near term but may increase the effectiveness of creating alternatives to a seed oligopoly.","citation-key":"howardIntellectualPropertyConsolidation2015","container-title":"Crop Science","DOI":"10.2135/cropsci2014.09.0669","ISSN":"1435-0653","issue":"6","language":"en","license":"Copyright © by the Crop Science Society of America, Inc.","note":"_eprint: https://acsess.onlinelibrary.wiley.com/doi/pdf/10.2135/cropsci2014.09.0669","page":"2489-2495","source":"Wiley Online Library","title":"Intellectual Property and Consolidation in the Seed Industry","volume":"55","author":[{"family":"Howard","given":"Philip H."}],"issued":{"date-parts":[["2015"]]}}},{"id":70,"uris":["http://zotero.org/users/14977742/items/ES6H7CWN"],"itemData":{"id":70,"type":"article-journal","abstract":"In the past three decades, the seed sector has experienced, and is now again experiencing, corporate concentration trends. The fallout of this consolidation is the subject of numerous concerns. However, the seed sector is rather poorly understood. Thus, it is useful to understand it better and to investigate the potential impact on the agri-food chain of the trend toward increased corporate concentration. The first part of this paper presents the main characteristics of the global seed sector, its stakeholders, and its size in the agri-food chain. Next, the corporate consolidation trends of the seed industry over the past two years are examined. The technological evolution of the seed sector is also briefly presented. In the last part of this paper, the fallout of recent mergers and acquisitions in the seed industry are analyzed. Opposing views are expressed on the impact of these mergers and acquisitions in the agri-food chain: while certain stakeholders worry about the risk of food power by the biggest companies, some others expect useful innovations.","citation-key":"bonnyCorporateConcentrationTechnological2017","container-title":"Sustainability","DOI":"10.3390/su9091632","ISSN":"2071-1050","issue":"9","language":"en","license":"http://creativecommons.org/licenses/by/3.0/","page":"1632","publisher":"Multidisciplinary Digital Publishing Institute","source":"www.mdpi.com","title":"Corporate Concentration and Technological Change in the Global Seed Industry","volume":"9","author":[{"family":"Bonny","given":"Sylvie"}],"issued":{"date-parts":[["2017",9]]}}}],"schema":"https://github.com/citation-style-language/schema/raw/master/csl-citation.json"}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Georgia" w:hAnsiTheme="majorBidi" w:cstheme="majorBidi"/>
          <w:lang w:val="en-CA" w:eastAsia="en-GB"/>
        </w:rPr>
        <w:t xml:space="preserve">(Fuglie </w:t>
      </w:r>
      <w:r w:rsidRPr="005F0A67">
        <w:rPr>
          <w:rFonts w:asciiTheme="majorBidi" w:eastAsia="Georgia" w:hAnsiTheme="majorBidi" w:cstheme="majorBidi"/>
          <w:i/>
          <w:iCs/>
          <w:lang w:val="en-CA" w:eastAsia="en-GB"/>
        </w:rPr>
        <w:t>et al.</w:t>
      </w:r>
      <w:r w:rsidRPr="005F0A67">
        <w:rPr>
          <w:rFonts w:asciiTheme="majorBidi" w:eastAsia="Georgia" w:hAnsiTheme="majorBidi" w:cstheme="majorBidi"/>
          <w:lang w:val="en-CA" w:eastAsia="en-GB"/>
        </w:rPr>
        <w:t>, 2011; Howard, 2015; Bonny, 2017)</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The latest estimates from 2025 place the top five plant breeding companies as capturing 42.5% of the entire global market, with the United States being the dominating market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{"citationID":"NByr5vYv","properties":{"unsorted":false,"formattedCitation":"(Global Market Insights, 2026b)","plainCitation":"(Global Market Insights, 2026b)","noteIndex":0},"citationItems":[{"id":65,"uris":["http://zotero.org/users/14977742/items/CDXE43DZ"],"itemData":{"id":65,"type":"webpage","abstract":"The plant breeding market was estimated at USD 18.8 billion in 2025 and is expected to grow at a CAGR of 12.8% between 2026 and 2035, due to growing global food demand &amp; population growth.","citation-key":"PlantBreedingMarket","container-title":"Global Market Insights Inc.","language":"en","title":"Plant Breeding Market Size, Share &amp; Growth Trends, 2026-2035","URL":"https://www.gminsights.com/industry-analysis/plant-breeding-market","author":[{"literal":"Global Market Insights"}],"accessed":{"date-parts":[["2026",6,3]]},"issued":{"date-parts":[["2026",5]]}}}],"schema":"https://github.com/citation-style-language/schema/raw/master/csl-citation.json"}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noProof/>
          <w:lang w:val="en-CA" w:eastAsia="en-GB"/>
        </w:rPr>
        <w:t>(Global Market Insights, 2026b)</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This concentration extends beyond the largest firms: an independent analysis prepared for the ITPGRFA's Working Group to Enhance the Functioning of the Multilateral System found that the top 40 or so companies, classified as Tier 1 (over USD 500 million in sales) and Tier 2 (USD 100-500 million), together account for around 85% of the total seed market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{"citationID":"a26q5mf2vau","properties":{"unsorted":false,"formattedCitation":"\\uldash{(IHS Markit Agribusiness Consulting, 2019)}","plainCitation":"(IHS Markit Agribusiness Consulting, 2019)","noteIndex":0},"citationItems":[{"id":3080,"uris":["http://zotero.org/users/14977742/items/KSGCHLE9"],"itemData":{"id":3080,"type":"report","citation-key":"zotero-item-3080","title":"Analysis of sales and profitability within the seed sector","URL":"https://cdn.ihsmarkit.com/www/pdf/0320/202001-Seedsectorsale-Analysis-LD-Unknown-Version001-pdf.pdf","author":[{"literal":"IHS Markit Agribusiness Consulting"}],"issued":{"date-parts":[["2019",11]]}}}],"schema":"https://github.com/citation-style-language/schema/raw/master/csl-citation.json"}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Georgia" w:hAnsiTheme="majorBidi" w:cstheme="majorBidi"/>
          <w:u w:val="dash"/>
          <w:lang w:eastAsia="en-GB"/>
        </w:rPr>
        <w:t>(IHS Markit Agribusiness Consulting, 2019)</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Recent evidence suggests that private breeding remains focused primarily on widely cultivated, high-value crops, which helps clarify why commercial breeding efforts are most intensive in the major field-crop sectors rather than being spread evenly across plant breeding overall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{"citationID":"DIU6OoJS","properties":{"unsorted":false,"formattedCitation":"(Burris {\\i{}et al.}, 2025)","plainCitation":"(Burris et al., 2025)","noteIndex":0},"citationItems":[{"id":67,"uris":["http://zotero.org/users/14977742/items/QUFL5C7J"],"itemData":{"id":67,"type":"article-journal","abstract":"This study surveyed 583 plant scientists globally, 257 of whom were plant breeders, to understand the future divergence/convergence of public and private plant breeding. Both private and public plant breeders agreed that future research in the public sector should focus on climate change research. Potentially problematic is that private-sector plant breeders generally thought that the primary role of public breeders was to educate the next generation of breeders. Only 13% of private plant breeders believed that public sector breeding should focus on primary research. If this were to unfold, there would appear to be a research gap regarding breeding for climate change resiliency in the future. These results are troublesome as the public sector is the primary research component of many low-income countries battling a myriad of issues threatening food insecurity. However, the future of plant breeding should not be competition between sectors but rather finding complementary areas for collaboration.","citation-key":"burrisDivergencePublicPrivate2025","container-title":"npj Science of Plants","DOI":"10.1038/s44383-025-00013-5","ISSN":"3005-1401","issue":"1","journalAbbreviation":"npj Sci. Plants","language":"en","license":"2025 The Author(s)","page":"11","publisher":"Nature Publishing Group","source":"www.nature.com","title":"The divergence of the public and private plant breeding sectors with implications for climate change","volume":"1","author":[{"family":"Burris","given":"Lexie"},{"family":"Nalley","given":"Lawton Lanier"},{"family":"De Steur","given":"Hans"},{"family":"Durand-Morat","given":"Alvaro"},{"family":"Tack","given":"Jesse"},{"family":"Yang","given":"Wei"},{"family":"Lusk","given":"Jayson L."}],"issued":{"date-parts":[["2025",12,1]]}}}],"schema":"https://github.com/citation-style-language/schema/raw/master/csl-citation.json"}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Georgia" w:hAnsiTheme="majorBidi" w:cstheme="majorBidi"/>
          <w:lang w:val="en-CA" w:eastAsia="en-GB"/>
        </w:rPr>
        <w:t xml:space="preserve">(Burris </w:t>
      </w:r>
      <w:r w:rsidRPr="005F0A67">
        <w:rPr>
          <w:rFonts w:asciiTheme="majorBidi" w:eastAsia="Georgia" w:hAnsiTheme="majorBidi" w:cstheme="majorBidi"/>
          <w:i/>
          <w:iCs/>
          <w:lang w:val="en-CA" w:eastAsia="en-GB"/>
        </w:rPr>
        <w:t>et al.</w:t>
      </w:r>
      <w:r w:rsidRPr="005F0A67">
        <w:rPr>
          <w:rFonts w:asciiTheme="majorBidi" w:eastAsia="Georgia" w:hAnsiTheme="majorBidi" w:cstheme="majorBidi"/>
          <w:lang w:val="en-CA" w:eastAsia="en-GB"/>
        </w:rPr>
        <w:t>, 2025)</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By contrast, vegetable and horticultural seed markets are more segmented by crop, trait, and end use, and depend more heavily on local adaptation and consumer preferences; it is inferred that they are also often poorly served by regulatory frameworks originally </w:t>
      </w:r>
      <w:r w:rsidRPr="005F0A67">
        <w:rPr>
          <w:rFonts w:asciiTheme="majorBidi" w:eastAsia="Times New Roman" w:hAnsiTheme="majorBidi" w:cstheme="majorBidi"/>
          <w:lang w:val="en-CA" w:eastAsia="en-GB"/>
        </w:rPr>
        <w:lastRenderedPageBreak/>
        <w:t xml:space="preserve">designed for cereals or other field crops rather than vegetables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{"citationID":"eLx40cAw","properties":{"unsorted":false,"formattedCitation":"(Dias, 2014; Schreinemachers {\\i{}et al.}, 2021; Kuhlmann {\\i{}et al.}, 2023)","plainCitation":"(Dias, 2014; Schreinemachers et al., 2021; Kuhlmann et al., 2023)","noteIndex":0},"citationItems":[{"id":63,"uris":["http://zotero.org/users/14977742/items/P9BZBZK2"],"itemData":{"id":63,"type":"article-journal","abstract":"Vegetables are considered essential for well-balanced diets. The production and marketing of vegetables crops are undergoing continuous change globally. This is mainly due to the growing demands of consumers for safe and healthy vegetables, increased urbanisation of societies, and the growth in scale and influence of supermarkets chains. Horticultural science can respond to many of these challenges through research, breeding and innovation that can seek to gain more efficient methods of crop production, refined post-harvest storage and handling methods, newer and higher value vegetable cultivars and demonstration of their health benefits. Vegetable breeding has to address and satisfy the needs of both the consumer and the producer. Innovation in vegetable breeding depends on specific knowledge, the development and application of new technologies, access to genetic resources, and capital to utilise them. The driving force behind this innovation is acquiring or increasing market share. Access to technology, as well as biodiversity, is essential for the development of new vegetable cultivars. A few multinational corporations, whose vast economic power has effectively marginalized the role of public sector breeding as well as local, small/medium-scale seed companies, dominate the global vegetable seed trade. For most vegetable crops, only a few multinational seed corporations are controlling large part of the world market. This situation makes a growing part of the global vegetable supply dependent on a few seed providers. The multinational seed corporations ensued from merging some small or medium vegetable breeding programs to reduce costs. There may be fewer vegetable breeders in the future and growers will rely on seeds with a narrow genetic base. In order to meet future needs of vegetable breeders it is important that educational programs incorporate rapidly changing new technologies with classical content and methods. Active and positive connections between the private and public breeding sectors and large-scale gene banks are required to avoid a possible conflict involving breeders’ rights, gene preservation and erosion. Horticulturists will need to develop cultural practices and vegetable breeders to breed vegetables for a multifunctional horticulture (diversity, health promotion, post-harvest, year round suply, etc.) and to cope with harsher climate conditions and lower inputs than they have come to expect. Improved production systems that can cope with climate extremes must allow vegetables to produce under high temperatures, greater drought stress, increased soil salinity, and periodic flooding. This will involve a combination of improved vegetable cultivars and modified production systems.","citation-key":"diasGuidingStrategiesBreeding2014","container-title":"Agricultural Sciences","DOI":"10.4236/as.2014.51002","issue":"1","language":"en","license":"https://creativecommons.org/licenses/by/4.0/","page":"9-32","publisher":"Scientific Research Publishing","source":"www.scirp.org","title":"Guiding strategies for breeding vegetable cultivars","volume":"5","author":[{"family":"Dias","given":"João Carlos da Silva"}],"issued":{"date-parts":[["2014",1,9]]}}},{"id":64,"uris":["http://zotero.org/users/14977742/items/TFHQGE5F"],"itemData":{"id":64,"type":"article-journal","abstract":"Fostering better access to more nutritious foods across sub-Saharan Africa will be critical to ending hunger and malnutrition. In Asia, vegetable production and consumption have grown rapidly since the 1990s and the development of a dynamic vegetable seed industry, led by the private sector, played a pivotal role in this process. The availability of locally-bred and adapted varieties facilitated the rapid expansion of production and increased the supply of affordable vegetables to consumers. In contrast, the vegetable seed sector in sub-Saharan Africa has been slow to develop and has received little attention in the development agenda. Drawing from Asia’s experience, this paper outlines a four-point strategy to accelerate the vegetable seed sector in sub-Saharan Africa. First, there is a need to strengthen the technical capacity of African seed companies to allow them to develop varieties that are well-adapted to local conditions and consumer preferences. Second, seed regulations, originally designed with food grains in mind, should be reviewed and revised to facilitate domestic vegetable breeding research and seed production. Third, more farmer extension is needed to exploit improved varieties together with good management practices. Fourth, vegetable marketing systems should be strengthened to reduce risks to farmers and traders. Investment in these four areas will help energize private sector investment in the vegetable seed sector. Asian experience suggests that investment in locally adapted vegetable varieties is a critical step in improving productivity, availability and ultimately consumption of nutritious vegetables.","citation-key":"schreinemachersAfricasEvolvingVegetable2021","container-title":"Food Security","DOI":"10.1007/s12571-021-01146-y","ISSN":"1876-4525","issue":"3","journalAbbreviation":"Food Sec.","language":"en","page":"511-523","source":"Springer Link","title":"Africa’s evolving vegetable seed sector: status, policy options and lessons from Asia","title-short":"Africa’s evolving vegetable seed sector","volume":"13","author":[{"family":"Schreinemachers","given":"Pepijn"},{"family":"Howard","given":"Julie"},{"family":"Turner","given":"Michael"},{"family":"Groot","given":"Simon N."},{"family":"Dubey","given":"Bhupen"},{"family":"Mwadzingeni","given":"Learnmore"},{"family":"Chagomoka","given":"Takemore"},{"family":"Ngugi","given":"Michael"},{"family":"Afari-Sefa","given":"Victor"},{"family":"Hanson","given":"Peter"},{"family":"Wopereis","given":"Marco C. S."}],"issued":{"date-parts":[["2021",6,1]]}}},{"id":71,"uris":["http://zotero.org/users/14977742/items/CJG9KAMX"],"itemData":{"id":71,"type":"article-journal","abstract":"Farmers in sub-Saharan Africa do not have much choice of quality seed of vegetable cultivars adapted to local growing conditions and consumer demand. Only a handful of vegetable seed companies invest in local breeding research, while nearly all rely on seed imports. Our objective was to analyse to what extent existing seed laws and regulations enable or restrict the development of a research-based vegetable seed sector in Africa. Using a regulatory value chain approach, we analysed written laws and regulations for 13 countries and interviewed private and public sector stakeholders. We generally find that countries have taken a government-centred approach to seed quality control without recognizing that government agencies have little capacity to do this properly for vegetable crops. Mandatory Value for Cultivation and Use (VCU) trials and state-controlled seed certification are the two examples of regulatory approaches that may work for cereals but are not well suited for vegetables. No country has vegetable breeding as a goal in their national seed policy, and only four set out specific objectives for the vegetable seed sector. Tailoring seed policies, laws and regulations more specifically to vegetables could stimulate local variety development and seed production and benefit smallholder farmers and consumers at large.","citation-key":"kuhlmannLawsRegulationsEnabling2023","container-title":"International Journal of Agricultural Sustainability","DOI":"10.1080/14735903.2023.2210005","ISSN":"1473-5903","issue":"1","note":"_eprint: https://doi.org/10.1080/14735903.2023.2210005","page":"2210005","publisher":"Taylor &amp; Francis","source":"Taylor and Francis+NEJM","title":"Laws and regulations enabling and restricting Africa’s vegetable seed sector","volume":"21","author":[{"family":"Kuhlmann","given":"Katrin A."},{"family":"Francis","given":"Tara"},{"family":"Thomas","given":"Indulekha"},{"family":"Schreinemachers","given":"Pepijn"}],"issued":{"date-parts":[["2023",12,31]]}}}],"schema":"https://github.com/citation-style-language/schema/raw/master/csl-citation.json"}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Georgia" w:hAnsiTheme="majorBidi" w:cstheme="majorBidi"/>
          <w:lang w:val="en-CA" w:eastAsia="en-GB"/>
        </w:rPr>
        <w:t xml:space="preserve">(Dias, 2014; Schreinemachers </w:t>
      </w:r>
      <w:r w:rsidRPr="005F0A67">
        <w:rPr>
          <w:rFonts w:asciiTheme="majorBidi" w:eastAsia="Georgia" w:hAnsiTheme="majorBidi" w:cstheme="majorBidi"/>
          <w:i/>
          <w:iCs/>
          <w:lang w:val="en-CA" w:eastAsia="en-GB"/>
        </w:rPr>
        <w:t>et al.</w:t>
      </w:r>
      <w:r w:rsidRPr="005F0A67">
        <w:rPr>
          <w:rFonts w:asciiTheme="majorBidi" w:eastAsia="Georgia" w:hAnsiTheme="majorBidi" w:cstheme="majorBidi"/>
          <w:lang w:val="en-CA" w:eastAsia="en-GB"/>
        </w:rPr>
        <w:t xml:space="preserve">, 2021; Kuhlmann </w:t>
      </w:r>
      <w:r w:rsidRPr="005F0A67">
        <w:rPr>
          <w:rFonts w:asciiTheme="majorBidi" w:eastAsia="Georgia" w:hAnsiTheme="majorBidi" w:cstheme="majorBidi"/>
          <w:i/>
          <w:iCs/>
          <w:lang w:val="en-CA" w:eastAsia="en-GB"/>
        </w:rPr>
        <w:t>et al.</w:t>
      </w:r>
      <w:r w:rsidRPr="005F0A67">
        <w:rPr>
          <w:rFonts w:asciiTheme="majorBidi" w:eastAsia="Georgia" w:hAnsiTheme="majorBidi" w:cstheme="majorBidi"/>
          <w:lang w:val="en-CA" w:eastAsia="en-GB"/>
        </w:rPr>
        <w:t>, 2023)</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w:t>
      </w:r>
    </w:p>
    <w:p w14:paraId="3A38FA48"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b/>
          <w:bCs/>
          <w:lang w:val="en-CA" w:eastAsia="en-GB"/>
        </w:rPr>
        <w:t xml:space="preserve">Animal breeders </w:t>
      </w:r>
      <w:r w:rsidRPr="005F0A67">
        <w:rPr>
          <w:rFonts w:asciiTheme="majorBidi" w:eastAsia="Times New Roman" w:hAnsiTheme="majorBidi" w:cstheme="majorBidi"/>
          <w:lang w:val="en-CA" w:eastAsia="en-GB"/>
        </w:rPr>
        <w:t>use a different appropriation model from plant breeders. In poultry and, to a lesser extent, other intensive livestock sectors, a few companies run tightly structured breeding pyramids</w:t>
      </w:r>
      <w:r w:rsidRPr="005F0A67">
        <w:rPr>
          <w:rFonts w:asciiTheme="majorBidi" w:eastAsia="Times New Roman" w:hAnsiTheme="majorBidi" w:cstheme="majorBidi"/>
          <w:vertAlign w:val="superscript"/>
          <w:lang w:val="en-CA" w:eastAsia="en-GB"/>
        </w:rPr>
        <w:footnoteReference w:id="88"/>
      </w:r>
      <w:r w:rsidRPr="005F0A67">
        <w:rPr>
          <w:rFonts w:asciiTheme="majorBidi" w:eastAsia="Times New Roman" w:hAnsiTheme="majorBidi" w:cstheme="majorBidi"/>
          <w:lang w:val="en-CA" w:eastAsia="en-GB"/>
        </w:rPr>
        <w:t xml:space="preserve"> and distribute genetics via vertically managed multiplication chains</w:t>
      </w:r>
      <w:r w:rsidRPr="005F0A67">
        <w:rPr>
          <w:rFonts w:asciiTheme="majorBidi" w:eastAsia="Times New Roman" w:hAnsiTheme="majorBidi" w:cstheme="majorBidi"/>
          <w:vertAlign w:val="superscript"/>
          <w:lang w:val="en-CA" w:eastAsia="en-GB"/>
        </w:rPr>
        <w:footnoteReference w:id="89"/>
      </w:r>
      <w:r w:rsidRPr="005F0A67">
        <w:rPr>
          <w:rFonts w:asciiTheme="majorBidi" w:eastAsia="Times New Roman" w:hAnsiTheme="majorBidi" w:cstheme="majorBidi"/>
          <w:lang w:val="en-CA" w:eastAsia="en-GB"/>
        </w:rPr>
        <w:t xml:space="preserve">, rather than relying primarily on formal intellectual property rights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{"citationID":"V3s89Bti","properties":{"unsorted":false,"formattedCitation":"(Narrod and Fuglie, 2000; Neeteson {\\i{}et al.}, 2023b)","plainCitation":"(Narrod and Fuglie, 2000; Neeteson et al., 2023b)","noteIndex":0},"citationItems":[{"id":57,"uris":["http://zotero.org/users/14977742/items/IL85GHP4"],"itemData":{"id":57,"type":"article-journal","abstract":"The private sector is playing an increasingly important role in livestock genetic improvement. Specialized breeding firms now supply virtually all commercial poultry breeding stock and growing market shares of improved genetic material for swine, beef, and dairy cattle. This article examines how incentives for private investment in livestock breeding are affected by consumer demand, market structure, intellectual property protection, new technologies, and market globalization. Survey results collected by the authors provide new evidence on the extent of private spending on livestock breeding. Implications of the findings for public and private roles in research on animal genetic improvement are discussed. © 2000 John Wiley &amp; Sons, Inc.","citation-key":"narrodPrivateInvestmentLivestock2000","container-title":"Agribusiness","DOI":"10.1002/1520-6297(200023)16:4&lt;457::AID-AGR5&gt;3.0.CO;2-7","ISSN":"1520-6297","issue":"4","language":"en","license":"Copyright © 2000 John Wiley &amp; Sons, Inc.","note":"_eprint: https://onlinelibrary.wiley.com/doi/pdf/10.1002/1520-6297%28200023%2916%3A4%3C457%3A%3AAID-AGR5%3E3.0.CO%3B2-7","page":"457-470","source":"Wiley Online Library","title":"Private investment in livestock breeding with implications for public research policy","volume":"16","author":[{"family":"Narrod","given":"Clare A."},{"family":"Fuglie","given":"Keith O."}],"issued":{"date-parts":[["2000"]]}}},{"id":60,"uris":["http://zotero.org/users/14977742/items/EZ9UP57C"],"itemData":{"id":60,"type":"article-journal","abstract":"This paper provides a comprehensive overview of the history of commercial poultry breeding, from domestication to the development of science and commercial breeding structures. The development of breeding goals over time, from mainly focusing on production to broad goals, including bird welfare and health, robustness, environmental impact, biological efficiency and reproduction, is detailed. The paper outlines current breeding goals, including traits (e.g., on foot and leg health, contact dermatitis, gait, cardiovascular health, robustness and livability), recording techniques, their genetic basis and how trait these antagonisms, for example, between welfare and production, are managed. Novel areas like genomic selection and gut health research and their current and potential impact on breeding are highlighted. The environmental impact differences of various genotypes are explained. A future outlook shows that balanced, holistic breeding will continue to enable affordable lean animal protein to feed the world, with a focus on the welfare of the birds and a diversity of choice for the various preferences and cultures across the world.","citation-key":"neetesonEvolutionsCommercialMeat2023","container-title":"Animals","DOI":"10.3390/ani13193150","ISSN":"2076-2615","issue":"19","language":"en","license":"http://creativecommons.org/licenses/by/3.0/","page":"3150","publisher":"Multidisciplinary Digital Publishing Institute","source":"www.mdpi.com","title":"Evolutions in Commercial Meat Poultry Breeding","volume":"13","author":[{"family":"Neeteson","given":"Anne-Marie"},{"family":"Avendaño","given":"Santiago"},{"family":"Koerhuis","given":"Alfons"},{"family":"Duggan","given":"Brendan"},{"family":"Souza","given":"Eduardo"},{"family":"Mason","given":"James"},{"family":"Ralph","given":"John"},{"family":"Rohlf","given":"Paige"},{"family":"Burnside","given":"Tim"},{"family":"Kranis","given":"Andreas"},{"family":"Bailey","given":"Richard"}],"issued":{"date-parts":[["2023",1]]}}}],"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Georgia" w:hAnsiTheme="majorBidi" w:cstheme="majorBidi"/>
          <w:lang w:val="en-CA" w:eastAsia="en-GB"/>
        </w:rPr>
        <w:t xml:space="preserve">(Narrod and Fuglie, 2000; Neeteson </w:t>
      </w:r>
      <w:r w:rsidRPr="005F0A67">
        <w:rPr>
          <w:rFonts w:asciiTheme="majorBidi" w:eastAsia="Georgia" w:hAnsiTheme="majorBidi" w:cstheme="majorBidi"/>
          <w:i/>
          <w:iCs/>
          <w:lang w:val="en-CA" w:eastAsia="en-GB"/>
        </w:rPr>
        <w:t>et al.</w:t>
      </w:r>
      <w:r w:rsidRPr="005F0A67">
        <w:rPr>
          <w:rFonts w:asciiTheme="majorBidi" w:eastAsia="Georgia" w:hAnsiTheme="majorBidi" w:cstheme="majorBidi"/>
          <w:lang w:val="en-CA" w:eastAsia="en-GB"/>
        </w:rPr>
        <w:t>, 2023b)</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Their competitive strength comes from ownership of elite lines, control over multiplication, contractual marketing channels, and large stores of performance and genomic data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{"citationID":"EAi2JRAr","properties":{"unsorted":false,"formattedCitation":"(Narrod and Fuglie, 2000; Neeteson {\\i{}et al.}, 2023b)","plainCitation":"(Narrod and Fuglie, 2000; Neeteson et al., 2023b)","noteIndex":0},"citationItems":[{"id":57,"uris":["http://zotero.org/users/14977742/items/IL85GHP4"],"itemData":{"id":57,"type":"article-journal","abstract":"The private sector is playing an increasingly important role in livestock genetic improvement. Specialized breeding firms now supply virtually all commercial poultry breeding stock and growing market shares of improved genetic material for swine, beef, and dairy cattle. This article examines how incentives for private investment in livestock breeding are affected by consumer demand, market structure, intellectual property protection, new technologies, and market globalization. Survey results collected by the authors provide new evidence on the extent of private spending on livestock breeding. Implications of the findings for public and private roles in research on animal genetic improvement are discussed. © 2000 John Wiley &amp; Sons, Inc.","citation-key":"narrodPrivateInvestmentLivestock2000","container-title":"Agribusiness","DOI":"10.1002/1520-6297(200023)16:4&lt;457::AID-AGR5&gt;3.0.CO;2-7","ISSN":"1520-6297","issue":"4","language":"en","license":"Copyright © 2000 John Wiley &amp; Sons, Inc.","note":"_eprint: https://onlinelibrary.wiley.com/doi/pdf/10.1002/1520-6297%28200023%2916%3A4%3C457%3A%3AAID-AGR5%3E3.0.CO%3B2-7","page":"457-470","source":"Wiley Online Library","title":"Private investment in livestock breeding with implications for public research policy","volume":"16","author":[{"family":"Narrod","given":"Clare A."},{"family":"Fuglie","given":"Keith O."}],"issued":{"date-parts":[["2000"]]}}},{"id":60,"uris":["http://zotero.org/users/14977742/items/EZ9UP57C"],"itemData":{"id":60,"type":"article-journal","abstract":"This paper provides a comprehensive overview of the history of commercial poultry breeding, from domestication to the development of science and commercial breeding structures. The development of breeding goals over time, from mainly focusing on production to broad goals, including bird welfare and health, robustness, environmental impact, biological efficiency and reproduction, is detailed. The paper outlines current breeding goals, including traits (e.g., on foot and leg health, contact dermatitis, gait, cardiovascular health, robustness and livability), recording techniques, their genetic basis and how trait these antagonisms, for example, between welfare and production, are managed. Novel areas like genomic selection and gut health research and their current and potential impact on breeding are highlighted. The environmental impact differences of various genotypes are explained. A future outlook shows that balanced, holistic breeding will continue to enable affordable lean animal protein to feed the world, with a focus on the welfare of the birds and a diversity of choice for the various preferences and cultures across the world.","citation-key":"neetesonEvolutionsCommercialMeat2023","container-title":"Animals","DOI":"10.3390/ani13193150","ISSN":"2076-2615","issue":"19","language":"en","license":"http://creativecommons.org/licenses/by/3.0/","page":"3150","publisher":"Multidisciplinary Digital Publishing Institute","source":"www.mdpi.com","title":"Evolutions in Commercial Meat Poultry Breeding","volume":"13","author":[{"family":"Neeteson","given":"Anne-Marie"},{"family":"Avendaño","given":"Santiago"},{"family":"Koerhuis","given":"Alfons"},{"family":"Duggan","given":"Brendan"},{"family":"Souza","given":"Eduardo"},{"family":"Mason","given":"James"},{"family":"Ralph","given":"John"},{"family":"Rohlf","given":"Paige"},{"family":"Burnside","given":"Tim"},{"family":"Kranis","given":"Andreas"},{"family":"Bailey","given":"Richard"}],"issued":{"date-parts":[["2023",1]]}}}],"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Georgia" w:hAnsiTheme="majorBidi" w:cstheme="majorBidi"/>
          <w:lang w:val="en-CA" w:eastAsia="en-GB"/>
        </w:rPr>
        <w:t xml:space="preserve">(Narrod and Fuglie, 2000; Neeteson </w:t>
      </w:r>
      <w:r w:rsidRPr="005F0A67">
        <w:rPr>
          <w:rFonts w:asciiTheme="majorBidi" w:eastAsia="Georgia" w:hAnsiTheme="majorBidi" w:cstheme="majorBidi"/>
          <w:i/>
          <w:iCs/>
          <w:lang w:val="en-CA" w:eastAsia="en-GB"/>
        </w:rPr>
        <w:t>et al.</w:t>
      </w:r>
      <w:r w:rsidRPr="005F0A67">
        <w:rPr>
          <w:rFonts w:asciiTheme="majorBidi" w:eastAsia="Georgia" w:hAnsiTheme="majorBidi" w:cstheme="majorBidi"/>
          <w:lang w:val="en-CA" w:eastAsia="en-GB"/>
        </w:rPr>
        <w:t>, 2023b)</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By contrast, cattle AI and genomic systems follow a different commercial logic: they are characterised by a consolidated but less vertically integrated industry that revolves around semen collection and processing, cooperator herds, national genetic evaluation schemes, and export networks, with competitive advantage depending strongly on the size of reference populations and the associated evaluation datasets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{"citationID":"tAflrnsv","properties":{"unsorted":false,"formattedCitation":"(Funk, 2006; Fugeray-Scarbel {\\i{}et al.}, 2021; Van Eenennaam, 2025)","plainCitation":"(Funk, 2006; Fugeray-Scarbel et al., 2021; Van Eenennaam, 2025)","noteIndex":0},"citationItems":[{"id":59,"uris":["http://zotero.org/users/14977742/items/B5PS7395"],"itemData":{"id":59,"type":"article-journal","citation-key":"funkMajorAdvancesGlobalization2006","container-title":"Journal of Dairy Science","DOI":"10.3168/jds.S0022-0302(06)72203-2","ISSN":"0022-0302","issue":"4","journalAbbreviation":"Journal of Dairy Science","language":"English","page":"1362-1368","PMID":"16537967","publisher":"Elsevier","source":"www.journalofdairyscience.org","title":"Major Advances in Globalization and Consolidation of the Artificial Insemination Industry","volume":"89","author":[{"family":"Funk","given":"D. A."}],"issued":{"date-parts":[["2006",4,1]]}}},{"id":55,"uris":["http://zotero.org/users/14977742/items/QPVT9PM3"],"itemData":{"id":55,"type":"article-journal","abstract":"The present study is a transversal analysis of the interest in genomic selection for plant and animal species. It focuses on the arguments that may convince breeders to switch to genomic selection. The arguments are classified into three different “bricks”. The first brick considers the addition of genotyping to improve the accuracy of the prediction of breeding values. The second consists of saving costs and/or shortening the breeding cycle by replacing all or a portion of the phenotyping effort with genotyping. The third concerns population management to improve the choice of parents to either optimize crossbreeding or maintain genetic diversity. We analyse the relevance of these different bricks for a wide range of animal and plant species and sought to explain the differences between species according to their biological specificities and the organization of breeding programmes.","citation-key":"r2d2consortiumWhyHowSwitch2021","container-title":"Frontiers in Genetics","DOI":"10.3389/fgene.2021.629737","ISSN":"1664-8021","journalAbbreviation":"Front. Genet.","language":"English","publisher":"Frontiers","source":"Frontiers","title":"Why and How to Switch to Genomic Selection: Lessons From Plant and Animal Breeding Experience","title-short":"Why and How to Switch to Genomic Selection","URL":"https://www.frontiersin.org/journals/genetics/articles/10.3389/fgene.2021.629737/full","volume":"12","author":[{"family":"Fugeray-Scarbel","given":"Aline"},{"family":"Bastien","given":"Catherine"},{"family":"Dupont-Nivet","given":"Mathilde"},{"family":"Lemarié","given":"Stéphane"}],"accessed":{"date-parts":[["2026",6,3]]},"issued":{"date-parts":[["2021",7,9]]}}},{"id":61,"uris":["http://zotero.org/users/14977742/items/ANS79B9E"],"itemData":{"id":61,"type":"article-journal","citation-key":"vaneenennaamCurrentFutureUses2025","container-title":"Animal Frontiers","DOI":"10.1093/af/vfae042","ISSN":"2160-6056","issue":"1","journalAbbreviation":"Anim Fron","page":"80-90","source":"Silverchair","title":"Current and future uses of genetic improvement technologies in livestock breeding programs","volume":"15","author":[{"family":"Van Eenennaam","given":"Alison L"}],"issued":{"date-parts":[["2025",2,1]]}}}],"schema":"https://github.com/citation-style-language/schema/raw/master/csl-citation.json"}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Georgia" w:hAnsiTheme="majorBidi" w:cstheme="majorBidi"/>
          <w:lang w:val="en-CA" w:eastAsia="en-GB"/>
        </w:rPr>
        <w:t xml:space="preserve">(Funk, 2006; Fugeray-Scarbel </w:t>
      </w:r>
      <w:r w:rsidRPr="005F0A67">
        <w:rPr>
          <w:rFonts w:asciiTheme="majorBidi" w:eastAsia="Georgia" w:hAnsiTheme="majorBidi" w:cstheme="majorBidi"/>
          <w:i/>
          <w:iCs/>
          <w:lang w:val="en-CA" w:eastAsia="en-GB"/>
        </w:rPr>
        <w:t>et al.</w:t>
      </w:r>
      <w:r w:rsidRPr="005F0A67">
        <w:rPr>
          <w:rFonts w:asciiTheme="majorBidi" w:eastAsia="Georgia" w:hAnsiTheme="majorBidi" w:cstheme="majorBidi"/>
          <w:lang w:val="en-CA" w:eastAsia="en-GB"/>
        </w:rPr>
        <w:t>, 2021; Van Eenennaam, 2025)</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w:t>
      </w:r>
      <w:bookmarkStart w:id="211" w:name="_Hlk231404102"/>
      <w:r w:rsidRPr="005F0A67">
        <w:rPr>
          <w:rFonts w:asciiTheme="majorBidi" w:eastAsia="Times New Roman" w:hAnsiTheme="majorBidi" w:cstheme="majorBidi"/>
          <w:lang w:val="en-CA" w:eastAsia="en-GB"/>
        </w:rPr>
        <w:t xml:space="preserve">The global animal genetics market shows moderate concentration, with several multinational corporations dominating the global breeding stock supply across cattle, poultry and swine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{"citationID":"SmkEy4Tp","properties":{"unsorted":false,"formattedCitation":"(Grand View Research, 2026)","plainCitation":"(Grand View Research, 2026)","noteIndex":0},"citationItems":[{"id":54,"uris":["http://zotero.org/users/14977742/items/RKMGCBQW"],"itemData":{"id":54,"type":"post-weblog","abstract":"Animal genetics market size was estimated at $7.80 billion in 2025 and is projected to reach $13.35 billion by 2033, at a CAGR of 7.09% from 2026 to 2033","citation-key":"AnimalGeneticsMarket2026","language":"en","title":"Animal Genetics Market Size, Share | Industry Report, 2033","URL":"https://www.grandviewresearch.com/industry-analysis/animal-genetics-market","author":[{"literal":"Grand View Research"}],"accessed":{"date-parts":[["2026",6,3]]},"issued":{"date-parts":[["2026",5]]}}}],"schema":"https://github.com/citation-style-language/schema/raw/master/csl-citation.json"}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noProof/>
          <w:lang w:val="en-CA" w:eastAsia="en-GB"/>
        </w:rPr>
        <w:t>(Grand View Research, 2026)</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Because trade in elite livestock genetics is highly internationalised and North America accounts for the largest share of global supply, contributing firms are likely to face material competition from US-headquartered rivals not subject to equivalent obligations. This inference follows from the structure of global genetics trade rather than from direct empirical evidence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{"citationID":"YxzkkQNp","properties":{"unsorted":false,"formattedCitation":"(Funk, 2006; Martyniuk and Haska, 2021; Grand View Research, 2026)","plainCitation":"(Funk, 2006; Martyniuk and Haska, 2021; Grand View Research, 2026)","noteIndex":0},"citationItems":[{"id":59,"uris":["http://zotero.org/users/14977742/items/B5PS7395"],"itemData":{"id":59,"type":"article-journal","citation-key":"funkMajorAdvancesGlobalization2006","container-title":"Journal of Dairy Science","DOI":"10.3168/jds.S0022-0302(06)72203-2","ISSN":"0022-0302","issue":"4","journalAbbreviation":"Journal of Dairy Science","language":"English","page":"1362-1368","PMID":"16537967","publisher":"Elsevier","source":"www.journalofdairyscience.org","title":"Major Advances in Globalization and Consolidation of the Artificial Insemination Industry","volume":"89","author":[{"family":"Funk","given":"D. A."}],"issued":{"date-parts":[["2006",4,1]]}}},{"id":376,"uris":["http://zotero.org/users/14977742/items/C6XW6HBZ"],"itemData":{"id":376,"type":"article-journal","abstract":"The aim of the paper was to analyze impacts of seven years of implementation of the Nagoya Protocol on the livestock sector based on available sources of information and literature. Interim National Reports on implementation of the Nagoya Protocol provided by countries and other information available at the ABS Clearing House managed by the Secretariat of the Convention on Biological Diversity, especially Internationally Recognized Certificates of Compliance (IRCC), were analyzed. Moreover, trends in geneflow of breeding products in selected countries, based on the national reports provided to the UN COMATRADE database, have been compared. Analysis from these sources showed limited impact of the implementation of the Nagoya Protocol for livestock breeding and conservation, as out of 2370 IRCC issued by 31 May 2021, only 573 were granted for animal genetic/biological resources including 90 with livestock as the subject matter. Only one IRCC was granted to a foreign user; all other IRCC were issued for domestic users. The intent was to use livestock genetic/biological resources as bioresources for innovation, which should lead to establishment of the Intellectual Property Rights (IPR) with benefits to be shared through the National Competent Authority or for research purposes.","citation-key":"martyniukImplementationNagoyaProtocol2021","container-title":"Animals","DOI":"10.3390/ani11082354","ISSN":"2076-2615","issue":"8","language":"en","license":"http://creativecommons.org/licenses/by/3.0/","page":"2354","publisher":"Multidisciplinary Digital Publishing Institute","source":"www.mdpi.com","title":"Implementation of the Nagoya Protocol in Livestock Sector: What Have We Learnt So Far?","title-short":"Implementation of the Nagoya Protocol in Livestock Sector","volume":"11","author":[{"family":"Martyniuk","given":"Elzbieta"},{"family":"Haska","given":"Aleksandra"}],"issued":{"date-parts":[["2021",8]]}}},{"id":54,"uris":["http://zotero.org/users/14977742/items/RKMGCBQW"],"itemData":{"id":54,"type":"post-weblog","abstract":"Animal genetics market size was estimated at $7.80 billion in 2025 and is projected to reach $13.35 billion by 2033, at a CAGR of 7.09% from 2026 to 2033","citation-key":"AnimalGeneticsMarket2026","language":"en","title":"Animal Genetics Market Size, Share | Industry Report, 2033","URL":"https://www.grandviewresearch.com/industry-analysis/animal-genetics-market","author":[{"literal":"Grand View Research"}],"accessed":{"date-parts":[["2026",6,3]]},"issued":{"date-parts":[["2026",5]]}}}],"schema":"https://github.com/citation-style-language/schema/raw/master/csl-citation.json"}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noProof/>
          <w:lang w:val="en-CA" w:eastAsia="en-GB"/>
        </w:rPr>
        <w:t>(Funk, 2006; Martyniuk and Haska, 2021; Grand View Research, 2026)</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w:t>
      </w:r>
    </w:p>
    <w:p w14:paraId="36E679E4" w14:textId="77777777" w:rsidR="005F0A67" w:rsidRPr="005F0A67" w:rsidRDefault="005F0A67" w:rsidP="00B009ED">
      <w:pPr>
        <w:tabs>
          <w:tab w:val="clear" w:pos="567"/>
          <w:tab w:val="clear" w:pos="1134"/>
          <w:tab w:val="clear" w:pos="1701"/>
          <w:tab w:val="clear" w:pos="2268"/>
        </w:tabs>
        <w:spacing w:after="120"/>
        <w:jc w:val="left"/>
        <w:outlineLvl w:val="3"/>
        <w:rPr>
          <w:rFonts w:asciiTheme="majorBidi" w:eastAsia="Georgia" w:hAnsiTheme="majorBidi" w:cstheme="majorBidi"/>
          <w:b/>
          <w:bCs/>
          <w:color w:val="0F4761"/>
          <w:lang w:eastAsia="en-GB"/>
        </w:rPr>
      </w:pPr>
      <w:r w:rsidRPr="005F0A67">
        <w:rPr>
          <w:rFonts w:asciiTheme="majorBidi" w:eastAsia="Georgia" w:hAnsiTheme="majorBidi" w:cstheme="majorBidi"/>
          <w:b/>
          <w:bCs/>
          <w:color w:val="0F4761"/>
          <w:lang w:eastAsia="en-GB"/>
        </w:rPr>
        <w:t>Value chain position and DSI use intensity</w:t>
      </w:r>
    </w:p>
    <w:p w14:paraId="42DF0295"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nb-NO" w:eastAsia="en-GB"/>
        </w:rPr>
      </w:pPr>
      <w:r w:rsidRPr="005F0A67">
        <w:rPr>
          <w:rFonts w:asciiTheme="majorBidi" w:eastAsia="Times New Roman" w:hAnsiTheme="majorBidi" w:cstheme="majorBidi"/>
          <w:lang w:val="en-CA" w:eastAsia="en-GB"/>
        </w:rPr>
        <w:t xml:space="preserve">Plant and animal breeders are intensive, primary users of DSI. In plant breeding, sequence-derived data support genomic selection, genome-wide association studies, management of germplasm collections, and pre-breeding efforts in both field crops and horticulture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{"citationID":"JxsDauMt","properties":{"unsorted":false,"formattedCitation":"(Aubry, 2019; Fugeray-Scarbel {\\i{}et al.}, 2021)","plainCitation":"(Aubry, 2019; Fugeray-Scarbel et al., 2021)","noteIndex":0},"citationItems":[{"id":53,"uris":["http://zotero.org/users/14977742/items/3WWEVI44"],"itemData":{"id":53,"type":"article-journal","abstract":"Anyone familiar with modern biology may find peculiar the ongoing international debates on the legal status of “Digital Sequence Information” (DSI). Indeed, a large majority of recent advances in biology, medicine or agriculture were achieved by sharing and mining of freely accessible sequencing data. It is most probably because of the tremendous success of modern genomics and advances of synthetic biology that concerns were raised about possible fair and equitable ways of sharing data. The DSI concept is relatively new and all concerned parties agreed upon the need for a clear definition. For example, the extent to which DSI understanding is limited only to genetic sequence data has to be clarified. In this paper, I focus on a subset of DSI essential to humankind: the DSI originating from plant genetic resources for food and agriculture (PGRFA). Two international agreements shape the conservation and use of plant genetic resources: The Convention on Biodiversity and the International Treaty for Plant Genetic Resources for Food and Agriculture. I will describe how the increasing amount of genomic data, information and studies in particular for research, breeding and conservation interact with the existing legal framework at the global level. Using possible scenarios, I will emphasise the complexity of the issues surrounding DSI for PGRFA and try to provide potential ways forward for developing an inclusive governance and fair use of these genetic resources.","citation-key":"aubryFutureDigitalSequence2019","container-title":"Frontiers in Plant Science","DOI":"10.3389/fpls.2019.01046","ISSN":"1664-462X","journalAbbreviation":"Front. Plant Sci.","language":"English","publisher":"Frontiers","source":"Frontiers","title":"The Future of Digital Sequence Information for Plant Genetic Resources for Food and Agriculture","URL":"https://www.frontiersin.org/journals/plant-science/articles/10.3389/fpls.2019.01046/full","volume":"10","author":[{"family":"Aubry","given":"Sylvain"}],"accessed":{"date-parts":[["2026",6,3]]},"issued":{"date-parts":[["2019",8,30]]}}},{"id":55,"uris":["http://zotero.org/users/14977742/items/QPVT9PM3"],"itemData":{"id":55,"type":"article-journal","abstract":"The present study is a transversal analysis of the interest in genomic selection for plant and animal species. It focuses on the arguments that may convince breeders to switch to genomic selection. The arguments are classified into three different “bricks”. The first brick considers the addition of genotyping to improve the accuracy of the prediction of breeding values. The second consists of saving costs and/or shortening the breeding cycle by replacing all or a portion of the phenotyping effort with genotyping. The third concerns population management to improve the choice of parents to either optimize crossbreeding or maintain genetic diversity. We analyse the relevance of these different bricks for a wide range of animal and plant species and sought to explain the differences between species according to their biological specificities and the organization of breeding programmes.","citation-key":"r2d2consortiumWhyHowSwitch2021","container-title":"Frontiers in Genetics","DOI":"10.3389/fgene.2021.629737","ISSN":"1664-8021","journalAbbreviation":"Front. Genet.","language":"English","publisher":"Frontiers","source":"Frontiers","title":"Why and How to Switch to Genomic Selection: Lessons From Plant and Animal Breeding Experience","title-short":"Why and How to Switch to Genomic Selection","URL":"https://www.frontiersin.org/journals/genetics/articles/10.3389/fgene.2021.629737/full","volume":"12","author":[{"family":"Fugeray-Scarbel","given":"Aline"},{"family":"Bastien","given":"Catherine"},{"family":"Dupont-Nivet","given":"Mathilde"},{"family":"Lemarié","given":"Stéphane"}],"accessed":{"date-parts":[["2026",6,3]]},"issued":{"date-parts":[["2021",7,9]]}}}],"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Georgia" w:hAnsiTheme="majorBidi" w:cstheme="majorBidi"/>
          <w:lang w:val="en-CA" w:eastAsia="en-GB"/>
        </w:rPr>
        <w:t xml:space="preserve">(Aubry, 2019; Fugeray-Scarbel </w:t>
      </w:r>
      <w:r w:rsidRPr="005F0A67">
        <w:rPr>
          <w:rFonts w:asciiTheme="majorBidi" w:eastAsia="Georgia" w:hAnsiTheme="majorBidi" w:cstheme="majorBidi"/>
          <w:i/>
          <w:iCs/>
          <w:lang w:val="en-CA" w:eastAsia="en-GB"/>
        </w:rPr>
        <w:t>et al.</w:t>
      </w:r>
      <w:r w:rsidRPr="005F0A67">
        <w:rPr>
          <w:rFonts w:asciiTheme="majorBidi" w:eastAsia="Georgia" w:hAnsiTheme="majorBidi" w:cstheme="majorBidi"/>
          <w:lang w:val="en-CA" w:eastAsia="en-GB"/>
        </w:rPr>
        <w:t>, 2021)</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More specifically, DSI is combined with phenotypic data to identify genetic markers associated with traits of interest, which improves the precision of genomic selection and informs the choice of parent lines in developing new varieties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{"citationID":"a2d3hi4a85d","properties":{"unsorted":false,"formattedCitation":"\\uldash{(FAO, 2024)}","plainCitation":"(FAO, 2024)","noteIndex":0},"citationItems":[{"id":3081,"uris":["http://zotero.org/users/14977742/items/HTLR793J"],"itemData":{"id":3081,"type":"report","citation-key":"zotero-item-3081","title":"Policy brief on digital sequence information/genetic sequence data: Generation, Use and Sharing of Digital Sequence Information in Crop Improvement","author":[{"literal":"FAO"}],"issued":{"date-parts":[["2024"]]}}}],"schema":"https://github.com/citation-style-language/schema/raw/master/csl-citation.json"}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Georgia" w:hAnsiTheme="majorBidi" w:cstheme="majorBidi"/>
          <w:u w:val="dash"/>
          <w:lang w:eastAsia="en-GB"/>
        </w:rPr>
        <w:t>(FAO, 2024)</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In major commercial animal breeding systems, genomic selection is embedded in routine selection programmes and increases the value of large genotyped and </w:t>
      </w:r>
      <w:proofErr w:type="spellStart"/>
      <w:r w:rsidRPr="005F0A67">
        <w:rPr>
          <w:rFonts w:asciiTheme="majorBidi" w:eastAsia="Times New Roman" w:hAnsiTheme="majorBidi" w:cstheme="majorBidi"/>
          <w:lang w:val="en-CA" w:eastAsia="en-GB"/>
        </w:rPr>
        <w:t>phenotyped</w:t>
      </w:r>
      <w:proofErr w:type="spellEnd"/>
      <w:r w:rsidRPr="005F0A67">
        <w:rPr>
          <w:rFonts w:asciiTheme="majorBidi" w:eastAsia="Times New Roman" w:hAnsiTheme="majorBidi" w:cstheme="majorBidi"/>
          <w:lang w:val="en-CA" w:eastAsia="en-GB"/>
        </w:rPr>
        <w:t xml:space="preserve"> reference populations, especially in poultry and cattle breeding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{"citationID":"JXwZ1bBR","properties":{"unsorted":false,"formattedCitation":"(Fugeray-Scarbel {\\i{}et al.}, 2021; Neeteson {\\i{}et al.}, 2023b; Van Eenennaam, 2025)","plainCitation":"(Fugeray-Scarbel et al., 2021; Neeteson et al., 2023b; Van Eenennaam, 2025)","noteIndex":0},"citationItems":[{"id":55,"uris":["http://zotero.org/users/14977742/items/QPVT9PM3"],"itemData":{"id":55,"type":"article-journal","abstract":"The present study is a transversal analysis of the interest in genomic selection for plant and animal species. It focuses on the arguments that may convince breeders to switch to genomic selection. The arguments are classified into three different “bricks”. The first brick considers the addition of genotyping to improve the accuracy of the prediction of breeding values. The second consists of saving costs and/or shortening the breeding cycle by replacing all or a portion of the phenotyping effort with genotyping. The third concerns population management to improve the choice of parents to either optimize crossbreeding or maintain genetic diversity. We analyse the relevance of these different bricks for a wide range of animal and plant species and sought to explain the differences between species according to their biological specificities and the organization of breeding programmes.","citation-key":"r2d2consortiumWhyHowSwitch2021","container-title":"Frontiers in Genetics","DOI":"10.3389/fgene.2021.629737","ISSN":"1664-8021","journalAbbreviation":"Front. Genet.","language":"English","publisher":"Frontiers","source":"Frontiers","title":"Why and How to Switch to Genomic Selection: Lessons From Plant and Animal Breeding Experience","title-short":"Why and How to Switch to Genomic Selection","URL":"https://www.frontiersin.org/journals/genetics/articles/10.3389/fgene.2021.629737/full","volume":"12","author":[{"family":"Fugeray-Scarbel","given":"Aline"},{"family":"Bastien","given":"Catherine"},{"family":"Dupont-Nivet","given":"Mathilde"},{"family":"Lemarié","given":"Stéphane"}],"accessed":{"date-parts":[["2026",6,3]]},"issued":{"date-parts":[["2021",7,9]]}}},{"id":60,"uris":["http://zotero.org/users/14977742/items/EZ9UP57C"],"itemData":{"id":60,"type":"article-journal","abstract":"This paper provides a comprehensive overview of the history of commercial poultry breeding, from domestication to the development of science and commercial breeding structures. The development of breeding goals over time, from mainly focusing on production to broad goals, including bird welfare and health, robustness, environmental impact, biological efficiency and reproduction, is detailed. The paper outlines current breeding goals, including traits (e.g., on foot and leg health, contact dermatitis, gait, cardiovascular health, robustness and livability), recording techniques, their genetic basis and how trait these antagonisms, for example, between welfare and production, are managed. Novel areas like genomic selection and gut health research and their current and potential impact on breeding are highlighted. The environmental impact differences of various genotypes are explained. A future outlook shows that balanced, holistic breeding will continue to enable affordable lean animal protein to feed the world, with a focus on the welfare of the birds and a diversity of choice for the various preferences and cultures acro</w:instrText>
      </w:r>
      <w:r w:rsidRPr="005F0A67">
        <w:rPr>
          <w:rFonts w:asciiTheme="majorBidi" w:eastAsia="Times New Roman" w:hAnsiTheme="majorBidi" w:cstheme="majorBidi"/>
          <w:lang w:val="es-ES" w:eastAsia="en-GB"/>
        </w:rPr>
        <w:instrText xml:space="preserve">ss the world.","citation-key":"neetesonEvolutionsCommercialMeat2023","container-title":"Animals","DOI":"10.3390/ani13193150","ISSN":"2076-2615","issue":"19","language":"en","license":"http://creativecommons.org/licenses/by/3.0/","page":"3150","publisher":"Multidisciplinary Digital Publishing Institute","source":"www.mdpi.com","title":"Evolutions in Commercial Meat Poultry Breeding","volume":"13","author":[{"family":"Neeteson","given":"Anne-Marie"},{"family":"Avendaño","given":"Santiago"},{"family":"Koerhuis","given":"Alfons"},{"family":"Duggan","given":"Brendan"},{"family":"Souza","given":"Eduardo"},{"family":"Mason","given":"James"},{"family":"Ralph","given":"John"},{"family":"Rohlf","given":"Paige"},{"family":"Burnside","given":"Tim"},{"family":"Kranis","given":"Andreas"},{"family":"Bailey","given":"Richard"}],"issued":{"date-parts":[["2023",1]]}}},{"id":61,"uris":["http://zotero.org/users/14977742/items/ANS79B9E"],"itemData":{"id":61,"type":"article-journal","citation-key":"vaneenennaamCurrentFutureUses2025","container-title":"Animal Frontiers","DOI":"10.1093/af/vfae042","ISSN":"2160-6056","issue":"1","journalAbbreviation":"Anim Fron","page":"80-90","source":"Silverchair","title":"Current and future uses of genetic improvement technologies in livestock breeding programs","volume":"15","author":[{"family":"Van Eenennaam","given":"Alison L"}],"issued":{"date-parts":[["2025",2,1]]}}}],"schema":"https://github.com/citation-style-language/schema/raw/master/csl-citation.json"}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Georgia" w:hAnsiTheme="majorBidi" w:cstheme="majorBidi"/>
          <w:lang w:val="es-ES" w:eastAsia="en-GB"/>
        </w:rPr>
        <w:t xml:space="preserve">(Fugeray-Scarbel </w:t>
      </w:r>
      <w:r w:rsidRPr="005F0A67">
        <w:rPr>
          <w:rFonts w:asciiTheme="majorBidi" w:eastAsia="Georgia" w:hAnsiTheme="majorBidi" w:cstheme="majorBidi"/>
          <w:i/>
          <w:iCs/>
          <w:lang w:val="es-ES" w:eastAsia="en-GB"/>
        </w:rPr>
        <w:t>et al.</w:t>
      </w:r>
      <w:r w:rsidRPr="005F0A67">
        <w:rPr>
          <w:rFonts w:asciiTheme="majorBidi" w:eastAsia="Georgia" w:hAnsiTheme="majorBidi" w:cstheme="majorBidi"/>
          <w:lang w:val="es-ES" w:eastAsia="en-GB"/>
        </w:rPr>
        <w:t xml:space="preserve">, 2021; Neeteson </w:t>
      </w:r>
      <w:r w:rsidRPr="005F0A67">
        <w:rPr>
          <w:rFonts w:asciiTheme="majorBidi" w:eastAsia="Georgia" w:hAnsiTheme="majorBidi" w:cstheme="majorBidi"/>
          <w:i/>
          <w:iCs/>
          <w:lang w:val="es-ES" w:eastAsia="en-GB"/>
        </w:rPr>
        <w:t>et al.</w:t>
      </w:r>
      <w:r w:rsidRPr="005F0A67">
        <w:rPr>
          <w:rFonts w:asciiTheme="majorBidi" w:eastAsia="Georgia" w:hAnsiTheme="majorBidi" w:cstheme="majorBidi"/>
          <w:lang w:val="es-ES" w:eastAsia="en-GB"/>
        </w:rPr>
        <w:t>, 2023b; Van Eenennaam, 2025)</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s-ES" w:eastAsia="en-GB"/>
        </w:rPr>
        <w:t xml:space="preserve">. </w:t>
      </w:r>
    </w:p>
    <w:p w14:paraId="0072F768" w14:textId="77777777" w:rsidR="005F0A67" w:rsidRPr="005F0A67" w:rsidRDefault="005F0A67" w:rsidP="00B009ED">
      <w:pPr>
        <w:tabs>
          <w:tab w:val="clear" w:pos="567"/>
          <w:tab w:val="clear" w:pos="1134"/>
          <w:tab w:val="clear" w:pos="1701"/>
          <w:tab w:val="clear" w:pos="2268"/>
        </w:tabs>
        <w:spacing w:after="120"/>
        <w:jc w:val="left"/>
        <w:outlineLvl w:val="3"/>
        <w:rPr>
          <w:rFonts w:asciiTheme="majorBidi" w:eastAsia="Georgia" w:hAnsiTheme="majorBidi" w:cstheme="majorBidi"/>
          <w:b/>
          <w:bCs/>
          <w:color w:val="0F4761"/>
          <w:lang w:eastAsia="en-GB"/>
        </w:rPr>
      </w:pPr>
      <w:r w:rsidRPr="005F0A67">
        <w:rPr>
          <w:rFonts w:asciiTheme="majorBidi" w:eastAsia="Georgia" w:hAnsiTheme="majorBidi" w:cstheme="majorBidi"/>
          <w:b/>
          <w:bCs/>
          <w:color w:val="0F4761"/>
          <w:lang w:eastAsia="en-GB"/>
        </w:rPr>
        <w:t>Expected contribution base</w:t>
      </w:r>
    </w:p>
    <w:p w14:paraId="558A0C20"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With a sector median margin of 7% and a wide margin distribution, the contribution base varies considerably within the sector. Large seed multinationals and concentrated livestock breeding firms with margins above 10% pay on revenue; the majority of smaller breeders pay on profit. The wide profit margin range means the profit floor applies to a meaningful tail of firms with very thin margins, where the minimum-of-two rule provides partial protection.</w:t>
      </w:r>
    </w:p>
    <w:p w14:paraId="2BFFFC12"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The three asymmetries identified in Step 2 are reflected in the pillar assessments below: eligibility asymmetry is most significant for large seed multinationals given US dominance of the global seed market, where the top five companies capture 42.5% of global sales, and for animal breeders given North America's dominant share </w:t>
      </w:r>
      <w:r w:rsidRPr="005F0A67">
        <w:rPr>
          <w:rFonts w:asciiTheme="majorBidi" w:eastAsia="Times New Roman" w:hAnsiTheme="majorBidi" w:cstheme="majorBidi"/>
          <w:lang w:val="en-CA" w:eastAsia="en-GB"/>
        </w:rPr>
        <w:lastRenderedPageBreak/>
        <w:t>of global animal genetics supply; participation asymmetry operates through first-mover dynamics given the non-binding design, with large seed multinationals facing the strongest reputational incentives to participate early; and contribution base asymmetry is most relevant for vegetable and horticultural breeders and smaller animal breeders, which pay predominantly on profit given margins below the 10% indifference threshold, in markets with limited pass-through capacity relative to large seed multinationals paying on revenue.</w:t>
      </w:r>
    </w:p>
    <w:p w14:paraId="167618AE" w14:textId="77777777" w:rsidR="005F0A67" w:rsidRPr="005F0A67" w:rsidRDefault="005F0A67" w:rsidP="00B009ED">
      <w:pPr>
        <w:tabs>
          <w:tab w:val="clear" w:pos="567"/>
          <w:tab w:val="clear" w:pos="1134"/>
          <w:tab w:val="clear" w:pos="1701"/>
          <w:tab w:val="clear" w:pos="2268"/>
        </w:tabs>
        <w:spacing w:before="320" w:after="160"/>
        <w:ind w:left="720"/>
        <w:jc w:val="left"/>
        <w:outlineLvl w:val="2"/>
        <w:rPr>
          <w:rFonts w:asciiTheme="majorBidi" w:eastAsia="Arial" w:hAnsiTheme="majorBidi" w:cstheme="majorBidi"/>
          <w:b/>
          <w:bCs/>
          <w:color w:val="7F7F7F"/>
          <w:sz w:val="23"/>
          <w:szCs w:val="23"/>
          <w:lang w:val="en-CA" w:eastAsia="en-GB"/>
        </w:rPr>
      </w:pPr>
      <w:bookmarkStart w:id="212" w:name="_Toc234579608"/>
      <w:r w:rsidRPr="005F0A67">
        <w:rPr>
          <w:rFonts w:asciiTheme="majorBidi" w:eastAsia="Arial" w:hAnsiTheme="majorBidi" w:cstheme="majorBidi"/>
          <w:b/>
          <w:bCs/>
          <w:color w:val="7F7F7F"/>
          <w:sz w:val="23"/>
          <w:szCs w:val="23"/>
          <w:lang w:val="en-CA" w:eastAsia="en-GB"/>
        </w:rPr>
        <w:t>Pillar assessment (step 3)</w:t>
      </w:r>
      <w:bookmarkEnd w:id="212"/>
    </w:p>
    <w:p w14:paraId="4B9D9264"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_Ref231770017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Table 29</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_Ref231770019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Table 30</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and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_Ref231770021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Table 31</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present the materiality assessment for Pillars I, II and III respectively, drawing on the sector characterisation in Section 7.9, the broader empirical literature findings in Section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_Ref231121284 \r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7.4</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and the analytical framework in Section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_Ref230281726 \r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7.5</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w:t>
      </w:r>
    </w:p>
    <w:p w14:paraId="7705F598"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The animal and plant breeding sector presents a concentrated materiality profile, with most competitive impact categories assessed as Low and the principal risks focused on large seed multinationals facing structural asymmetry with US-headquartered rivals and multi-framework compliance uncertainty from potential ITPGRFA MLS obligation stacking. The High materiality finding for large seed multinationals on competitive position versus non-Party competitors reflects US dominance in the global seed market and the absence of equivalent obligations for US-headquartered competitors. Large seed multinationals face the most significant risks across Pillars II and III; vegetable and horticultural breeders and animal breeders are less exposed given more fragmented or locally oriented market structures, though animal breeders face Moderate competitive position risk given North American dominance of global animal genetics supply. The ABS literature identifies upstream governance effects, such as the fragmented germplasm access rules and traceability obligations, as a potentially more significant competitiveness concern for plant breeders than the contribution payment itself (Aubry, 2019; Ebert et al., 2023). The same difference in regulatory experience may cut the other way once any duplication risk with the ITPGRFA is resolved: plant breeders' familiarity with SMTA-style reporting and benefit-sharing procedures may make compliance under the Cali Fund smoother and faster, while animal breeders, who have no comparable ABS experience, may face a steeper learning curve regardless of their lower current exposure to stacking risk.</w:t>
      </w:r>
    </w:p>
    <w:p w14:paraId="3AABBE4E"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sectPr w:rsidR="005F0A67" w:rsidRPr="005F0A67" w:rsidSect="005F0A67">
          <w:pgSz w:w="12240" w:h="15840"/>
          <w:pgMar w:top="1080" w:right="1260" w:bottom="1080" w:left="1260" w:header="706" w:footer="706" w:gutter="0"/>
          <w:cols w:space="720"/>
          <w:docGrid w:linePitch="360"/>
        </w:sectPr>
      </w:pPr>
      <w:r w:rsidRPr="005F0A67">
        <w:rPr>
          <w:rFonts w:asciiTheme="majorBidi" w:eastAsia="Times New Roman" w:hAnsiTheme="majorBidi" w:cstheme="majorBidi"/>
          <w:lang w:val="en-CA" w:eastAsia="en-GB"/>
        </w:rPr>
        <w:t xml:space="preserve">Where competitive effects do materialise, their downstream implications would be most significant for plant breeders. For large seed multinationals, the primary theoretical concern is that margin compression and regulatory uncertainty could affect long-horizon development programmes at the margin; however, large seed multinationals are among the most well-capitalised firms in the eligible population and are least financially constrained at indicative contribution rates. A more distinctive concern for this sector is the potential interaction between the Cali Fund and ITPGRFA MLS obligations, particularly in the genomics-assisted management of germplasm collections, which could affect access to germplasm and DSI used in breeding programmes independently of the contribution payment itself. This effect would fall disproportionately on CBD Party-headquartered breeders relative to US competitors not subject to the Cali Fund contributions. The same potential interaction applies to vegetable and horticultural breeders where their crops are covered by ITPGRFA Annex I, or where </w:t>
      </w:r>
      <w:proofErr w:type="spellStart"/>
      <w:r w:rsidRPr="005F0A67">
        <w:rPr>
          <w:rFonts w:asciiTheme="majorBidi" w:eastAsia="Times New Roman" w:hAnsiTheme="majorBidi" w:cstheme="majorBidi"/>
          <w:lang w:val="en-CA" w:eastAsia="en-GB"/>
        </w:rPr>
        <w:t>genebanks</w:t>
      </w:r>
      <w:proofErr w:type="spellEnd"/>
      <w:r w:rsidRPr="005F0A67">
        <w:rPr>
          <w:rFonts w:asciiTheme="majorBidi" w:eastAsia="Times New Roman" w:hAnsiTheme="majorBidi" w:cstheme="majorBidi"/>
          <w:lang w:val="en-CA" w:eastAsia="en-GB"/>
        </w:rPr>
        <w:t xml:space="preserve"> voluntarily share material through the SMTA regardless of formal Annex I status, which is a widespread practice for vegetable germplasm; this risk is not confined to field-crop breeders. For animal breeders and vegetable and horticultural breeders, cost absorption is the most likely firm-level response given limited pass-through capacity in price-sensitive agricultural markets; the non-binding design provides an important safeguard for the most margin-constrained firms in this sector.</w:t>
      </w:r>
    </w:p>
    <w:p w14:paraId="69B09A5D" w14:textId="77777777" w:rsidR="005F0A67" w:rsidRPr="005F0A67" w:rsidRDefault="005F0A67" w:rsidP="005F0A67">
      <w:pPr>
        <w:tabs>
          <w:tab w:val="clear" w:pos="567"/>
          <w:tab w:val="clear" w:pos="1134"/>
          <w:tab w:val="clear" w:pos="1701"/>
          <w:tab w:val="clear" w:pos="2268"/>
        </w:tabs>
        <w:spacing w:after="200" w:line="312" w:lineRule="auto"/>
        <w:contextualSpacing/>
        <w:rPr>
          <w:rFonts w:asciiTheme="majorBidi" w:eastAsia="Georgia" w:hAnsiTheme="majorBidi" w:cstheme="majorBidi"/>
          <w:b/>
          <w:bCs/>
          <w:color w:val="419844"/>
          <w:lang w:eastAsia="en-GB"/>
        </w:rPr>
      </w:pPr>
      <w:bookmarkStart w:id="213" w:name="_Ref231770017"/>
      <w:r w:rsidRPr="005F0A67">
        <w:rPr>
          <w:rFonts w:asciiTheme="majorBidi" w:eastAsia="Georgia" w:hAnsiTheme="majorBidi" w:cstheme="majorBidi"/>
          <w:b/>
          <w:bCs/>
          <w:color w:val="419844"/>
          <w:lang w:val="en-US" w:eastAsia="ja-JP"/>
        </w:rPr>
        <w:lastRenderedPageBreak/>
        <w:t xml:space="preserve">Table </w:t>
      </w:r>
      <w:r w:rsidRPr="005F0A67">
        <w:rPr>
          <w:rFonts w:asciiTheme="majorBidi" w:eastAsia="Georgia" w:hAnsiTheme="majorBidi" w:cstheme="majorBidi"/>
          <w:b/>
          <w:bCs/>
          <w:color w:val="419844"/>
          <w:lang w:eastAsia="en-GB"/>
        </w:rPr>
        <w:fldChar w:fldCharType="begin"/>
      </w:r>
      <w:r w:rsidRPr="005F0A67">
        <w:rPr>
          <w:rFonts w:asciiTheme="majorBidi" w:eastAsia="Georgia" w:hAnsiTheme="majorBidi" w:cstheme="majorBidi"/>
          <w:b/>
          <w:bCs/>
          <w:color w:val="419844"/>
          <w:lang w:eastAsia="en-GB"/>
        </w:rPr>
        <w:instrText xml:space="preserve"> SEQ Table \* ARABIC </w:instrText>
      </w:r>
      <w:r w:rsidRPr="005F0A67">
        <w:rPr>
          <w:rFonts w:asciiTheme="majorBidi" w:eastAsia="Georgia" w:hAnsiTheme="majorBidi" w:cstheme="majorBidi"/>
          <w:b/>
          <w:bCs/>
          <w:color w:val="419844"/>
          <w:lang w:eastAsia="en-GB"/>
        </w:rPr>
        <w:fldChar w:fldCharType="separate"/>
      </w:r>
      <w:r w:rsidRPr="005F0A67">
        <w:rPr>
          <w:rFonts w:asciiTheme="majorBidi" w:eastAsia="Georgia" w:hAnsiTheme="majorBidi" w:cstheme="majorBidi"/>
          <w:b/>
          <w:bCs/>
          <w:noProof/>
          <w:color w:val="419844"/>
          <w:lang w:eastAsia="en-GB"/>
        </w:rPr>
        <w:t>29</w:t>
      </w:r>
      <w:r w:rsidRPr="005F0A67">
        <w:rPr>
          <w:rFonts w:asciiTheme="majorBidi" w:eastAsia="Georgia" w:hAnsiTheme="majorBidi" w:cstheme="majorBidi"/>
          <w:b/>
          <w:bCs/>
          <w:color w:val="419844"/>
          <w:lang w:eastAsia="en-GB"/>
        </w:rPr>
        <w:fldChar w:fldCharType="end"/>
      </w:r>
      <w:bookmarkEnd w:id="213"/>
      <w:r w:rsidRPr="005F0A67">
        <w:rPr>
          <w:rFonts w:asciiTheme="majorBidi" w:eastAsia="Georgia" w:hAnsiTheme="majorBidi" w:cstheme="majorBidi"/>
          <w:b/>
          <w:bCs/>
          <w:color w:val="419844"/>
          <w:lang w:val="en-US" w:eastAsia="ja-JP"/>
        </w:rPr>
        <w:t xml:space="preserve"> Pillar I: costs and price competitiveness impacts materiality assessment – Animal and plant breeding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09"/>
        <w:gridCol w:w="1483"/>
        <w:gridCol w:w="1163"/>
        <w:gridCol w:w="1185"/>
        <w:gridCol w:w="5359"/>
        <w:gridCol w:w="1179"/>
      </w:tblGrid>
      <w:tr w:rsidR="005F0A67" w:rsidRPr="005F0A67" w14:paraId="2DBDC1A4" w14:textId="77777777" w:rsidTr="00FB671B">
        <w:tc>
          <w:tcPr>
            <w:tcW w:w="1210" w:type="pct"/>
            <w:tcBorders>
              <w:top w:val="single" w:sz="1" w:space="0" w:color="AAAAAA"/>
              <w:left w:val="single" w:sz="1" w:space="0" w:color="AAAAAA"/>
              <w:right w:val="single" w:sz="1" w:space="0" w:color="AAAAAA"/>
            </w:tcBorders>
            <w:shd w:val="clear" w:color="auto" w:fill="1F4E6B"/>
            <w:tcMar>
              <w:top w:w="60" w:type="dxa"/>
              <w:left w:w="100" w:type="dxa"/>
              <w:bottom w:w="60" w:type="dxa"/>
              <w:right w:w="100" w:type="dxa"/>
            </w:tcMar>
          </w:tcPr>
          <w:p w14:paraId="371ECE6F"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color w:val="FFFFFF"/>
                <w:sz w:val="18"/>
                <w:szCs w:val="18"/>
                <w:lang w:val="en-CA" w:eastAsia="en-GB"/>
              </w:rPr>
              <w:t>Impact</w:t>
            </w:r>
          </w:p>
        </w:tc>
        <w:tc>
          <w:tcPr>
            <w:tcW w:w="542" w:type="pct"/>
            <w:tcBorders>
              <w:top w:val="single" w:sz="1" w:space="0" w:color="AAAAAA"/>
              <w:left w:val="single" w:sz="1" w:space="0" w:color="AAAAAA"/>
              <w:right w:val="single" w:sz="1" w:space="0" w:color="AAAAAA"/>
            </w:tcBorders>
            <w:shd w:val="clear" w:color="auto" w:fill="1F4E6B"/>
            <w:tcMar>
              <w:top w:w="60" w:type="dxa"/>
              <w:left w:w="100" w:type="dxa"/>
              <w:bottom w:w="60" w:type="dxa"/>
              <w:right w:w="100" w:type="dxa"/>
            </w:tcMar>
          </w:tcPr>
          <w:p w14:paraId="33E23A56"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color w:val="FFFFFF"/>
                <w:sz w:val="18"/>
                <w:szCs w:val="18"/>
                <w:lang w:val="en-CA" w:eastAsia="en-GB"/>
              </w:rPr>
              <w:t>Firm type</w:t>
            </w:r>
          </w:p>
        </w:tc>
        <w:tc>
          <w:tcPr>
            <w:tcW w:w="425" w:type="pct"/>
            <w:tcBorders>
              <w:top w:val="single" w:sz="1" w:space="0" w:color="AAAAAA"/>
              <w:left w:val="single" w:sz="1" w:space="0" w:color="AAAAAA"/>
              <w:right w:val="single" w:sz="1" w:space="0" w:color="AAAAAA"/>
            </w:tcBorders>
            <w:shd w:val="clear" w:color="auto" w:fill="1F4E6B"/>
            <w:tcMar>
              <w:top w:w="60" w:type="dxa"/>
              <w:left w:w="100" w:type="dxa"/>
              <w:bottom w:w="60" w:type="dxa"/>
              <w:right w:w="100" w:type="dxa"/>
            </w:tcMar>
          </w:tcPr>
          <w:p w14:paraId="08E4D00F"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color w:val="FFFFFF"/>
                <w:sz w:val="18"/>
                <w:szCs w:val="18"/>
                <w:lang w:val="en-CA" w:eastAsia="en-GB"/>
              </w:rPr>
              <w:t>Magnitude</w:t>
            </w:r>
          </w:p>
        </w:tc>
        <w:tc>
          <w:tcPr>
            <w:tcW w:w="433" w:type="pct"/>
            <w:tcBorders>
              <w:top w:val="single" w:sz="1" w:space="0" w:color="AAAAAA"/>
              <w:left w:val="single" w:sz="1" w:space="0" w:color="AAAAAA"/>
              <w:right w:val="single" w:sz="1" w:space="0" w:color="AAAAAA"/>
            </w:tcBorders>
            <w:shd w:val="clear" w:color="auto" w:fill="1F4E6B"/>
            <w:tcMar>
              <w:top w:w="60" w:type="dxa"/>
              <w:left w:w="100" w:type="dxa"/>
              <w:bottom w:w="60" w:type="dxa"/>
              <w:right w:w="100" w:type="dxa"/>
            </w:tcMar>
          </w:tcPr>
          <w:p w14:paraId="4D0E889E"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color w:val="FFFFFF"/>
                <w:sz w:val="18"/>
                <w:szCs w:val="18"/>
                <w:lang w:val="en-CA" w:eastAsia="en-GB"/>
              </w:rPr>
              <w:t>Probability</w:t>
            </w:r>
          </w:p>
        </w:tc>
        <w:tc>
          <w:tcPr>
            <w:tcW w:w="1959" w:type="pct"/>
            <w:tcBorders>
              <w:top w:val="single" w:sz="1" w:space="0" w:color="AAAAAA"/>
              <w:left w:val="single" w:sz="1" w:space="0" w:color="AAAAAA"/>
              <w:right w:val="single" w:sz="1" w:space="0" w:color="AAAAAA"/>
            </w:tcBorders>
            <w:shd w:val="clear" w:color="auto" w:fill="1F4E6B"/>
            <w:tcMar>
              <w:top w:w="60" w:type="dxa"/>
              <w:left w:w="100" w:type="dxa"/>
              <w:bottom w:w="60" w:type="dxa"/>
              <w:right w:w="100" w:type="dxa"/>
            </w:tcMar>
          </w:tcPr>
          <w:p w14:paraId="419C05F1"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color w:val="FFFFFF"/>
                <w:sz w:val="18"/>
                <w:szCs w:val="18"/>
                <w:lang w:val="en-CA" w:eastAsia="en-GB"/>
              </w:rPr>
              <w:t>Key conditions</w:t>
            </w:r>
          </w:p>
        </w:tc>
        <w:tc>
          <w:tcPr>
            <w:tcW w:w="431" w:type="pct"/>
            <w:tcBorders>
              <w:top w:val="single" w:sz="1" w:space="0" w:color="AAAAAA"/>
              <w:left w:val="single" w:sz="1" w:space="0" w:color="AAAAAA"/>
              <w:right w:val="single" w:sz="1" w:space="0" w:color="AAAAAA"/>
            </w:tcBorders>
            <w:shd w:val="clear" w:color="auto" w:fill="1F4E6B"/>
            <w:tcMar>
              <w:top w:w="60" w:type="dxa"/>
              <w:left w:w="100" w:type="dxa"/>
              <w:bottom w:w="60" w:type="dxa"/>
              <w:right w:w="100" w:type="dxa"/>
            </w:tcMar>
          </w:tcPr>
          <w:p w14:paraId="199CC1A6"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color w:val="FFFFFF"/>
                <w:sz w:val="18"/>
                <w:szCs w:val="18"/>
                <w:lang w:val="en-CA" w:eastAsia="en-GB"/>
              </w:rPr>
              <w:t>Materiality</w:t>
            </w:r>
          </w:p>
        </w:tc>
      </w:tr>
      <w:tr w:rsidR="005F0A67" w:rsidRPr="005F0A67" w14:paraId="56ADAAB7" w14:textId="77777777" w:rsidTr="005F0A67">
        <w:tc>
          <w:tcPr>
            <w:tcW w:w="1210" w:type="pct"/>
            <w:vMerge w:val="restar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63BA7D3A"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b/>
                <w:bCs/>
                <w:sz w:val="18"/>
                <w:szCs w:val="18"/>
                <w:lang w:val="en-CA" w:eastAsia="en-GB"/>
              </w:rPr>
            </w:pPr>
            <w:r w:rsidRPr="005F0A67">
              <w:rPr>
                <w:rFonts w:asciiTheme="majorBidi" w:eastAsia="Times New Roman" w:hAnsiTheme="majorBidi" w:cstheme="majorBidi"/>
                <w:b/>
                <w:bCs/>
                <w:sz w:val="18"/>
                <w:szCs w:val="18"/>
                <w:lang w:val="en-CA" w:eastAsia="en-GB"/>
              </w:rPr>
              <w:t>Administrative burden</w:t>
            </w:r>
          </w:p>
          <w:p w14:paraId="0463134F"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 xml:space="preserve">Costs of calculating, reporting, and documenting the contribution. Low under current revenue/profit design. Significance rises substantially if scope shifts to product- or use-based attribution. Germplasm collection managers, already subject to the ITPGRFA </w:t>
            </w:r>
            <w:r w:rsidRPr="005F0A67">
              <w:rPr>
                <w:rFonts w:asciiTheme="majorBidi" w:eastAsia="Times New Roman" w:hAnsiTheme="majorBidi" w:cstheme="majorBidi"/>
                <w:sz w:val="24"/>
                <w:szCs w:val="24"/>
                <w:lang w:val="en-CA" w:eastAsia="en-GB"/>
              </w:rPr>
              <w:t>MLS</w:t>
            </w:r>
            <w:r w:rsidRPr="005F0A67">
              <w:rPr>
                <w:rFonts w:asciiTheme="majorBidi" w:eastAsia="Times New Roman" w:hAnsiTheme="majorBidi" w:cstheme="majorBidi"/>
                <w:sz w:val="18"/>
                <w:szCs w:val="18"/>
                <w:lang w:val="en-CA" w:eastAsia="en-GB"/>
              </w:rPr>
              <w:t xml:space="preserve">, could face an additional complexity in their use of DSI </w:t>
            </w: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67E86D20"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Plant breeders (large seed multinationals)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5AAF6400"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159C4C1D"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2820AE88"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Potential obligation stacking with ITPGRFA MLS (U7): While the ITPGRFA MLS covers physical accessions, the now-routine use of genetic-based tools to manage germplasm collections could create some potential overlap for them in complying with the Multilateral Mechanism as well as the International Treaty. (Section 4.2) Potential obligation stacking with the MLS of the ITPGRFA can also occur for Non-Annex-I crops including vegetables, which are included in the MLS, e.g. materials from Article-15 collections (CGIAR and others); contribution base definition (U12). Upstream governance effects from fragmented access rules may raise transaction costs independent of the contribution (Aubry, 2019; Ebert et al., 2023).</w:t>
            </w:r>
          </w:p>
        </w:tc>
        <w:tc>
          <w:tcPr>
            <w:tcW w:w="431" w:type="pct"/>
            <w:tcBorders>
              <w:top w:val="single" w:sz="1" w:space="0" w:color="AAAAAA"/>
              <w:left w:val="single" w:sz="1" w:space="0" w:color="AAAAAA"/>
              <w:right w:val="single" w:sz="1" w:space="0" w:color="AAAAAA"/>
            </w:tcBorders>
            <w:shd w:val="clear" w:color="auto" w:fill="D9F2D0"/>
            <w:tcMar>
              <w:top w:w="60" w:type="dxa"/>
              <w:left w:w="100" w:type="dxa"/>
              <w:bottom w:w="60" w:type="dxa"/>
              <w:right w:w="100" w:type="dxa"/>
            </w:tcMar>
          </w:tcPr>
          <w:p w14:paraId="08D46184"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r>
      <w:tr w:rsidR="005F0A67" w:rsidRPr="005F0A67" w14:paraId="3EE5A380" w14:textId="77777777" w:rsidTr="005F0A67">
        <w:tc>
          <w:tcPr>
            <w:tcW w:w="1210" w:type="pct"/>
            <w:vMerge/>
            <w:tcMar>
              <w:top w:w="60" w:type="dxa"/>
              <w:left w:w="100" w:type="dxa"/>
              <w:bottom w:w="60" w:type="dxa"/>
              <w:right w:w="100" w:type="dxa"/>
            </w:tcMar>
          </w:tcPr>
          <w:p w14:paraId="5F7B1D4C"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111FDF41"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Plant breeders (vegetable and horticultural)</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0EC470A5"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21222DFA"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374AA6F6"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Contribution base definition (U12); ITPGRFA MLS overlap less material for horticultural varieties not covered by Annex I; lower multi-framework exposure than field crop breeders.</w:t>
            </w:r>
          </w:p>
        </w:tc>
        <w:tc>
          <w:tcPr>
            <w:tcW w:w="431" w:type="pct"/>
            <w:tcBorders>
              <w:top w:val="single" w:sz="1" w:space="0" w:color="AAAAAA"/>
              <w:left w:val="single" w:sz="1" w:space="0" w:color="AAAAAA"/>
              <w:right w:val="single" w:sz="1" w:space="0" w:color="AAAAAA"/>
            </w:tcBorders>
            <w:shd w:val="clear" w:color="auto" w:fill="D9F2D0"/>
            <w:tcMar>
              <w:top w:w="60" w:type="dxa"/>
              <w:left w:w="100" w:type="dxa"/>
              <w:bottom w:w="60" w:type="dxa"/>
              <w:right w:w="100" w:type="dxa"/>
            </w:tcMar>
          </w:tcPr>
          <w:p w14:paraId="45F40EB9"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r>
      <w:tr w:rsidR="005F0A67" w:rsidRPr="005F0A67" w14:paraId="0FB02CF9" w14:textId="77777777" w:rsidTr="005F0A67">
        <w:tc>
          <w:tcPr>
            <w:tcW w:w="1210" w:type="pct"/>
            <w:vMerge/>
            <w:tcMar>
              <w:top w:w="60" w:type="dxa"/>
              <w:left w:w="100" w:type="dxa"/>
              <w:bottom w:w="60" w:type="dxa"/>
              <w:right w:w="100" w:type="dxa"/>
            </w:tcMar>
          </w:tcPr>
          <w:p w14:paraId="0ABE4C9B"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418D8763"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 xml:space="preserve">Animal breeders </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6D8FB9D4"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3DD8E431"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44B6EE1D"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Lower multi-framework exposure than plant breeders; no ITPGRFA MLS overlap; contribution base definition (U12).</w:t>
            </w:r>
          </w:p>
        </w:tc>
        <w:tc>
          <w:tcPr>
            <w:tcW w:w="431" w:type="pct"/>
            <w:tcBorders>
              <w:top w:val="single" w:sz="1" w:space="0" w:color="AAAAAA"/>
              <w:left w:val="single" w:sz="1" w:space="0" w:color="AAAAAA"/>
              <w:right w:val="single" w:sz="1" w:space="0" w:color="AAAAAA"/>
            </w:tcBorders>
            <w:shd w:val="clear" w:color="auto" w:fill="D9F2D0"/>
            <w:tcMar>
              <w:top w:w="60" w:type="dxa"/>
              <w:left w:w="100" w:type="dxa"/>
              <w:bottom w:w="60" w:type="dxa"/>
              <w:right w:w="100" w:type="dxa"/>
            </w:tcMar>
          </w:tcPr>
          <w:p w14:paraId="38D99EDC"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r>
      <w:tr w:rsidR="005F0A67" w:rsidRPr="005F0A67" w14:paraId="0EDA5E15" w14:textId="77777777" w:rsidTr="005F0A67">
        <w:tc>
          <w:tcPr>
            <w:tcW w:w="1210" w:type="pct"/>
            <w:vMerge w:val="restar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74BA1822"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b/>
                <w:bCs/>
                <w:sz w:val="18"/>
                <w:szCs w:val="18"/>
                <w:lang w:val="en-CA" w:eastAsia="en-GB"/>
              </w:rPr>
            </w:pPr>
            <w:r w:rsidRPr="005F0A67">
              <w:rPr>
                <w:rFonts w:asciiTheme="majorBidi" w:eastAsia="Times New Roman" w:hAnsiTheme="majorBidi" w:cstheme="majorBidi"/>
                <w:b/>
                <w:bCs/>
                <w:sz w:val="18"/>
                <w:szCs w:val="18"/>
                <w:lang w:val="en-CA" w:eastAsia="en-GB"/>
              </w:rPr>
              <w:t>Substantive compliance costs</w:t>
            </w:r>
          </w:p>
          <w:p w14:paraId="223CBBBA"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The contribution payment itself as a direct cost burden. The sector has a median margin of 7% and the widest interquartile range of any sector (0.5% to 17.8%), meaning aggregate figures are less representative of individual firm experience than elsewhere. Large seed multinationals with margins above 10% pay on revenue; the majority of smaller breeders pay on profit. The effective contribution rate is 0.038% of participating revenue, the lowest of any Indicative Enclosure I sector (Table 20).</w:t>
            </w: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0EFA8D4A"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Plant breeders (large seed multinationals)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3D0B04A2"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6ABD8FE5"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Medium</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05462441"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Large seed multinationals with higher margins pay on revenue; burden modest relative to revenues. Potential obligation stacking with ITPGRFA MLS (U7) elevates effective burden; US non-Party dominance in seed market (top five companies: 42.5% global market share, Global Market Insights, 2026b) creates eligibility asymmetry; rate revision; entity definition (U3).</w:t>
            </w:r>
          </w:p>
        </w:tc>
        <w:tc>
          <w:tcPr>
            <w:tcW w:w="431" w:type="pct"/>
            <w:tcBorders>
              <w:top w:val="single" w:sz="1" w:space="0" w:color="AAAAAA"/>
              <w:left w:val="single" w:sz="1" w:space="0" w:color="AAAAAA"/>
              <w:right w:val="single" w:sz="1" w:space="0" w:color="AAAAAA"/>
            </w:tcBorders>
            <w:shd w:val="clear" w:color="auto" w:fill="D9F3D0"/>
            <w:tcMar>
              <w:top w:w="60" w:type="dxa"/>
              <w:left w:w="100" w:type="dxa"/>
              <w:bottom w:w="60" w:type="dxa"/>
              <w:right w:w="100" w:type="dxa"/>
            </w:tcMar>
          </w:tcPr>
          <w:p w14:paraId="6EE97FD7"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r>
      <w:tr w:rsidR="005F0A67" w:rsidRPr="005F0A67" w14:paraId="1BCB0A0B" w14:textId="77777777" w:rsidTr="005F0A67">
        <w:tc>
          <w:tcPr>
            <w:tcW w:w="1210" w:type="pct"/>
            <w:vMerge/>
            <w:tcMar>
              <w:top w:w="60" w:type="dxa"/>
              <w:left w:w="100" w:type="dxa"/>
              <w:bottom w:w="60" w:type="dxa"/>
              <w:right w:w="100" w:type="dxa"/>
            </w:tcMar>
          </w:tcPr>
          <w:p w14:paraId="6A581295"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4FCDDEDB"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Plant breeders (vegetable and horticultural)</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27EB53A6"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09F4C3DA"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Medium</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0E0A2CAF"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Potential ITPGRFA MLS obligation stacking (U7); more fragmented, lower-margin market with price-sensitive customers; profit-base payers more common; proportionality concern from all-in contribution base given variable DSI intensity across crop types (U12). Rate revision.</w:t>
            </w:r>
          </w:p>
        </w:tc>
        <w:tc>
          <w:tcPr>
            <w:tcW w:w="431" w:type="pct"/>
            <w:tcBorders>
              <w:top w:val="single" w:sz="1" w:space="0" w:color="AAAAAA"/>
              <w:left w:val="single" w:sz="1" w:space="0" w:color="AAAAAA"/>
              <w:right w:val="single" w:sz="1" w:space="0" w:color="AAAAAA"/>
            </w:tcBorders>
            <w:shd w:val="clear" w:color="auto" w:fill="D9F3D0"/>
            <w:tcMar>
              <w:top w:w="60" w:type="dxa"/>
              <w:left w:w="100" w:type="dxa"/>
              <w:bottom w:w="60" w:type="dxa"/>
              <w:right w:w="100" w:type="dxa"/>
            </w:tcMar>
          </w:tcPr>
          <w:p w14:paraId="3760E8AD"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r>
      <w:tr w:rsidR="005F0A67" w:rsidRPr="005F0A67" w14:paraId="2554D09D" w14:textId="77777777" w:rsidTr="005F0A67">
        <w:tc>
          <w:tcPr>
            <w:tcW w:w="1210" w:type="pct"/>
            <w:vMerge/>
            <w:tcMar>
              <w:top w:w="60" w:type="dxa"/>
              <w:left w:w="100" w:type="dxa"/>
              <w:bottom w:w="60" w:type="dxa"/>
              <w:right w:w="100" w:type="dxa"/>
            </w:tcMar>
          </w:tcPr>
          <w:p w14:paraId="574D0FA0"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425D5FD7"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Animal breeders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13329878"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170FF383"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Medium</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59FD99BE"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Wide margin range across poultry, swine, and cattle breeding; large multinationals dominating genetics supply better placed to absorb burden; smaller breeders more exposed. North America accounts for largest share of global animal genetics supply (Grand View Research, 2026). Rate revision; entity definition (U3).</w:t>
            </w:r>
          </w:p>
        </w:tc>
        <w:tc>
          <w:tcPr>
            <w:tcW w:w="431" w:type="pct"/>
            <w:tcBorders>
              <w:top w:val="single" w:sz="1" w:space="0" w:color="AAAAAA"/>
              <w:left w:val="single" w:sz="1" w:space="0" w:color="AAAAAA"/>
              <w:right w:val="single" w:sz="1" w:space="0" w:color="AAAAAA"/>
            </w:tcBorders>
            <w:shd w:val="clear" w:color="auto" w:fill="D9F3D0"/>
            <w:tcMar>
              <w:top w:w="60" w:type="dxa"/>
              <w:left w:w="100" w:type="dxa"/>
              <w:bottom w:w="60" w:type="dxa"/>
              <w:right w:w="100" w:type="dxa"/>
            </w:tcMar>
          </w:tcPr>
          <w:p w14:paraId="70FFEDDB"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r>
      <w:tr w:rsidR="005F0A67" w:rsidRPr="005F0A67" w14:paraId="2F6CDAD6" w14:textId="77777777" w:rsidTr="005F0A67">
        <w:tc>
          <w:tcPr>
            <w:tcW w:w="1210" w:type="pct"/>
            <w:vMerge w:val="restar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41D3D9CC"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b/>
                <w:bCs/>
                <w:sz w:val="18"/>
                <w:szCs w:val="18"/>
                <w:lang w:val="en-CA" w:eastAsia="en-GB"/>
              </w:rPr>
            </w:pPr>
            <w:r w:rsidRPr="005F0A67">
              <w:rPr>
                <w:rFonts w:asciiTheme="majorBidi" w:eastAsia="Times New Roman" w:hAnsiTheme="majorBidi" w:cstheme="majorBidi"/>
                <w:b/>
                <w:bCs/>
                <w:sz w:val="18"/>
                <w:szCs w:val="18"/>
                <w:lang w:val="en-CA" w:eastAsia="en-GB"/>
              </w:rPr>
              <w:t>Cost of capital</w:t>
            </w:r>
          </w:p>
          <w:p w14:paraId="77573AE0"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 xml:space="preserve">Changes in cost or availability of financing from margin compression. Large well-capitalised firms are least responsive to profit-burden changes of higher magnitude (see Section 7.4). </w:t>
            </w:r>
            <w:bookmarkStart w:id="214" w:name="_Int_qrcihgiG"/>
            <w:r w:rsidRPr="005F0A67">
              <w:rPr>
                <w:rFonts w:asciiTheme="majorBidi" w:eastAsia="Times New Roman" w:hAnsiTheme="majorBidi" w:cstheme="majorBidi"/>
                <w:sz w:val="18"/>
                <w:szCs w:val="18"/>
                <w:lang w:val="en-CA" w:eastAsia="en-GB"/>
              </w:rPr>
              <w:t>Voluntary</w:t>
            </w:r>
            <w:bookmarkEnd w:id="214"/>
            <w:r w:rsidRPr="005F0A67">
              <w:rPr>
                <w:rFonts w:asciiTheme="majorBidi" w:eastAsia="Times New Roman" w:hAnsiTheme="majorBidi" w:cstheme="majorBidi"/>
                <w:sz w:val="18"/>
                <w:szCs w:val="18"/>
                <w:lang w:val="en-CA" w:eastAsia="en-GB"/>
              </w:rPr>
              <w:t xml:space="preserve"> </w:t>
            </w:r>
            <w:r w:rsidRPr="005F0A67">
              <w:rPr>
                <w:rFonts w:asciiTheme="majorBidi" w:eastAsia="Times New Roman" w:hAnsiTheme="majorBidi" w:cstheme="majorBidi"/>
                <w:sz w:val="18"/>
                <w:szCs w:val="18"/>
                <w:lang w:val="en-CA" w:eastAsia="en-GB"/>
              </w:rPr>
              <w:lastRenderedPageBreak/>
              <w:t>opt-out constrains severe outcomes. The P25 margin of 0.5% indicates a meaningful tail of firms with very thin margins.</w:t>
            </w: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687AA66C"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lastRenderedPageBreak/>
              <w:t>Plant breeders (large seed multinationals)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444F7199"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36C5D7CB"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5EF45F16"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Large seed multinationals with strong IP portfolios and licensing revenues least exposed. Rate revision.</w:t>
            </w:r>
          </w:p>
        </w:tc>
        <w:tc>
          <w:tcPr>
            <w:tcW w:w="431" w:type="pct"/>
            <w:tcBorders>
              <w:top w:val="single" w:sz="1" w:space="0" w:color="AAAAAA"/>
              <w:left w:val="single" w:sz="1" w:space="0" w:color="AAAAAA"/>
              <w:right w:val="single" w:sz="1" w:space="0" w:color="AAAAAA"/>
            </w:tcBorders>
            <w:shd w:val="clear" w:color="auto" w:fill="D9F2D0"/>
            <w:tcMar>
              <w:top w:w="60" w:type="dxa"/>
              <w:left w:w="100" w:type="dxa"/>
              <w:bottom w:w="60" w:type="dxa"/>
              <w:right w:w="100" w:type="dxa"/>
            </w:tcMar>
          </w:tcPr>
          <w:p w14:paraId="5FF0AEC0"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r>
      <w:tr w:rsidR="005F0A67" w:rsidRPr="005F0A67" w14:paraId="5B316BC7" w14:textId="77777777" w:rsidTr="005F0A67">
        <w:tc>
          <w:tcPr>
            <w:tcW w:w="1210" w:type="pct"/>
            <w:vMerge/>
            <w:tcMar>
              <w:top w:w="60" w:type="dxa"/>
              <w:left w:w="100" w:type="dxa"/>
              <w:bottom w:w="60" w:type="dxa"/>
              <w:right w:w="100" w:type="dxa"/>
            </w:tcMar>
          </w:tcPr>
          <w:p w14:paraId="7E140A79"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61E2AFC7"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Plant breeders (vegetable and horticultural)</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507E4DD1"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187C33AE"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6FD74B23"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 xml:space="preserve">Smaller breeders and firms with constrained access to capital face somewhat higher exposure within this Low assessment; voluntary opt-out </w:t>
            </w:r>
            <w:bookmarkStart w:id="215" w:name="_Int_irww0gSp"/>
            <w:r w:rsidRPr="005F0A67">
              <w:rPr>
                <w:rFonts w:asciiTheme="majorBidi" w:eastAsia="Times New Roman" w:hAnsiTheme="majorBidi" w:cstheme="majorBidi"/>
                <w:sz w:val="18"/>
                <w:szCs w:val="18"/>
                <w:lang w:val="en-CA" w:eastAsia="en-GB"/>
              </w:rPr>
              <w:t>limits</w:t>
            </w:r>
            <w:bookmarkEnd w:id="215"/>
            <w:r w:rsidRPr="005F0A67">
              <w:rPr>
                <w:rFonts w:asciiTheme="majorBidi" w:eastAsia="Times New Roman" w:hAnsiTheme="majorBidi" w:cstheme="majorBidi"/>
                <w:sz w:val="18"/>
                <w:szCs w:val="18"/>
                <w:lang w:val="en-CA" w:eastAsia="en-GB"/>
              </w:rPr>
              <w:t xml:space="preserve"> severe outcomes. Rate revision.</w:t>
            </w:r>
          </w:p>
        </w:tc>
        <w:tc>
          <w:tcPr>
            <w:tcW w:w="431" w:type="pct"/>
            <w:tcBorders>
              <w:top w:val="single" w:sz="1" w:space="0" w:color="AAAAAA"/>
              <w:left w:val="single" w:sz="1" w:space="0" w:color="AAAAAA"/>
              <w:right w:val="single" w:sz="1" w:space="0" w:color="AAAAAA"/>
            </w:tcBorders>
            <w:shd w:val="clear" w:color="auto" w:fill="D9F2D0"/>
            <w:tcMar>
              <w:top w:w="60" w:type="dxa"/>
              <w:left w:w="100" w:type="dxa"/>
              <w:bottom w:w="60" w:type="dxa"/>
              <w:right w:w="100" w:type="dxa"/>
            </w:tcMar>
          </w:tcPr>
          <w:p w14:paraId="316A6F02"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r>
      <w:tr w:rsidR="005F0A67" w:rsidRPr="005F0A67" w14:paraId="27BE9B73" w14:textId="77777777" w:rsidTr="005F0A67">
        <w:tc>
          <w:tcPr>
            <w:tcW w:w="1210" w:type="pct"/>
            <w:vMerge/>
            <w:tcMar>
              <w:top w:w="60" w:type="dxa"/>
              <w:left w:w="100" w:type="dxa"/>
              <w:bottom w:w="60" w:type="dxa"/>
              <w:right w:w="100" w:type="dxa"/>
            </w:tcMar>
          </w:tcPr>
          <w:p w14:paraId="12009926"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3BFFF0D7"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Animal breeders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64C73E1F"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4AA7192E"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077DE576"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Smaller aquaculture and cattle AI firms with more constrained access to capital face somewhat higher conditional exposure. Rate revision.</w:t>
            </w:r>
          </w:p>
        </w:tc>
        <w:tc>
          <w:tcPr>
            <w:tcW w:w="431" w:type="pct"/>
            <w:tcBorders>
              <w:top w:val="single" w:sz="1" w:space="0" w:color="AAAAAA"/>
              <w:left w:val="single" w:sz="1" w:space="0" w:color="AAAAAA"/>
              <w:right w:val="single" w:sz="1" w:space="0" w:color="AAAAAA"/>
            </w:tcBorders>
            <w:shd w:val="clear" w:color="auto" w:fill="D9F2D0"/>
            <w:tcMar>
              <w:top w:w="60" w:type="dxa"/>
              <w:left w:w="100" w:type="dxa"/>
              <w:bottom w:w="60" w:type="dxa"/>
              <w:right w:w="100" w:type="dxa"/>
            </w:tcMar>
          </w:tcPr>
          <w:p w14:paraId="03D89AFD"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r>
      <w:tr w:rsidR="005F0A67" w:rsidRPr="005F0A67" w14:paraId="2F798E5A" w14:textId="77777777" w:rsidTr="005F0A67">
        <w:tc>
          <w:tcPr>
            <w:tcW w:w="1210" w:type="pct"/>
            <w:vMerge w:val="restar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565E65D0"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sz w:val="18"/>
                <w:szCs w:val="18"/>
                <w:lang w:val="en-CA" w:eastAsia="en-GB"/>
              </w:rPr>
              <w:t>Cost of intermediate consumption</w:t>
            </w:r>
            <w:r w:rsidRPr="005F0A67">
              <w:rPr>
                <w:rFonts w:asciiTheme="majorBidi" w:eastAsia="Times New Roman" w:hAnsiTheme="majorBidi" w:cstheme="majorBidi"/>
                <w:sz w:val="18"/>
                <w:szCs w:val="18"/>
                <w:lang w:val="en-CA" w:eastAsia="en-GB"/>
              </w:rPr>
              <w:t xml:space="preserve"> Indirect cost increase if laboratory equipment firms pass Cali Fund contributions forward via input pricing. Plant and animal breeders use sequencing services and reagents extensively in genomic selection programmes, making this channel relevant.</w:t>
            </w: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7E74D0FF"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Plant breeders (large seed multinationals)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6282D12D"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4F9FA601"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Medium</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3AB05B77"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Plant breeders using sequencing services and reagents in genomic selection face indirect cost exposure if laboratory equipment firms participate and pass costs forward; direct vs indirect use boundary (U4).</w:t>
            </w:r>
          </w:p>
        </w:tc>
        <w:tc>
          <w:tcPr>
            <w:tcW w:w="431" w:type="pct"/>
            <w:tcBorders>
              <w:top w:val="single" w:sz="1" w:space="0" w:color="AAAAAA"/>
              <w:left w:val="single" w:sz="1" w:space="0" w:color="AAAAAA"/>
              <w:right w:val="single" w:sz="1" w:space="0" w:color="AAAAAA"/>
            </w:tcBorders>
            <w:shd w:val="clear" w:color="auto" w:fill="D9F2D0"/>
            <w:tcMar>
              <w:top w:w="60" w:type="dxa"/>
              <w:left w:w="100" w:type="dxa"/>
              <w:bottom w:w="60" w:type="dxa"/>
              <w:right w:w="100" w:type="dxa"/>
            </w:tcMar>
          </w:tcPr>
          <w:p w14:paraId="1AB1BBAD"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r>
      <w:tr w:rsidR="005F0A67" w:rsidRPr="005F0A67" w14:paraId="66D7C436" w14:textId="77777777" w:rsidTr="005F0A67">
        <w:tc>
          <w:tcPr>
            <w:tcW w:w="1210" w:type="pct"/>
            <w:vMerge/>
            <w:tcMar>
              <w:top w:w="60" w:type="dxa"/>
              <w:left w:w="100" w:type="dxa"/>
              <w:bottom w:w="60" w:type="dxa"/>
              <w:right w:w="100" w:type="dxa"/>
            </w:tcMar>
          </w:tcPr>
          <w:p w14:paraId="6556D681"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4F6FFB76"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Plant breeders (vegetable and horticultural)</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160ECD97"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50F1C6A9"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665F330F"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 xml:space="preserve">Lower genomic intensity than large field crop </w:t>
            </w:r>
            <w:bookmarkStart w:id="216" w:name="_Int_i8oO3siH"/>
            <w:r w:rsidRPr="005F0A67">
              <w:rPr>
                <w:rFonts w:asciiTheme="majorBidi" w:eastAsia="Times New Roman" w:hAnsiTheme="majorBidi" w:cstheme="majorBidi"/>
                <w:sz w:val="18"/>
                <w:szCs w:val="18"/>
                <w:lang w:val="en-CA" w:eastAsia="en-GB"/>
              </w:rPr>
              <w:t>breeders</w:t>
            </w:r>
            <w:bookmarkEnd w:id="216"/>
            <w:r w:rsidRPr="005F0A67">
              <w:rPr>
                <w:rFonts w:asciiTheme="majorBidi" w:eastAsia="Times New Roman" w:hAnsiTheme="majorBidi" w:cstheme="majorBidi"/>
                <w:sz w:val="18"/>
                <w:szCs w:val="18"/>
                <w:lang w:val="en-CA" w:eastAsia="en-GB"/>
              </w:rPr>
              <w:t xml:space="preserve"> limits exposure; direct vs indirect use boundary (U4).</w:t>
            </w:r>
          </w:p>
        </w:tc>
        <w:tc>
          <w:tcPr>
            <w:tcW w:w="431" w:type="pct"/>
            <w:tcBorders>
              <w:top w:val="single" w:sz="1" w:space="0" w:color="AAAAAA"/>
              <w:left w:val="single" w:sz="1" w:space="0" w:color="AAAAAA"/>
              <w:right w:val="single" w:sz="1" w:space="0" w:color="AAAAAA"/>
            </w:tcBorders>
            <w:shd w:val="clear" w:color="auto" w:fill="D9F2D0"/>
            <w:tcMar>
              <w:top w:w="60" w:type="dxa"/>
              <w:left w:w="100" w:type="dxa"/>
              <w:bottom w:w="60" w:type="dxa"/>
              <w:right w:w="100" w:type="dxa"/>
            </w:tcMar>
          </w:tcPr>
          <w:p w14:paraId="6D36B557"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r>
      <w:tr w:rsidR="005F0A67" w:rsidRPr="005F0A67" w14:paraId="2AACAF0C" w14:textId="77777777" w:rsidTr="005F0A67">
        <w:tc>
          <w:tcPr>
            <w:tcW w:w="1210" w:type="pct"/>
            <w:vMerge/>
            <w:tcMar>
              <w:top w:w="60" w:type="dxa"/>
              <w:left w:w="100" w:type="dxa"/>
              <w:bottom w:w="60" w:type="dxa"/>
              <w:right w:w="100" w:type="dxa"/>
            </w:tcMar>
          </w:tcPr>
          <w:p w14:paraId="7E8F4453"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593D15E4"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Animal breeders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177DC1D8"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4E82322A"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Medium</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73CB6606"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Genomic selection embedded in routine selection programmes (Van Eenennaam, 2025) creates dependence on sequencing services; direct vs indirect use boundary (U4).</w:t>
            </w:r>
          </w:p>
        </w:tc>
        <w:tc>
          <w:tcPr>
            <w:tcW w:w="431" w:type="pct"/>
            <w:tcBorders>
              <w:top w:val="single" w:sz="1" w:space="0" w:color="AAAAAA"/>
              <w:left w:val="single" w:sz="1" w:space="0" w:color="AAAAAA"/>
              <w:right w:val="single" w:sz="1" w:space="0" w:color="AAAAAA"/>
            </w:tcBorders>
            <w:shd w:val="clear" w:color="auto" w:fill="D9F2D0"/>
            <w:tcMar>
              <w:top w:w="60" w:type="dxa"/>
              <w:left w:w="100" w:type="dxa"/>
              <w:bottom w:w="60" w:type="dxa"/>
              <w:right w:w="100" w:type="dxa"/>
            </w:tcMar>
          </w:tcPr>
          <w:p w14:paraId="5D15DC2E"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r>
      <w:tr w:rsidR="005F0A67" w:rsidRPr="005F0A67" w14:paraId="0853DAF9" w14:textId="77777777" w:rsidTr="005F0A67">
        <w:tc>
          <w:tcPr>
            <w:tcW w:w="1210" w:type="pct"/>
            <w:vMerge w:val="restar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3DC42D23"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b/>
                <w:bCs/>
                <w:sz w:val="18"/>
                <w:szCs w:val="18"/>
                <w:lang w:val="en-CA" w:eastAsia="en-GB"/>
              </w:rPr>
            </w:pPr>
            <w:r w:rsidRPr="005F0A67">
              <w:rPr>
                <w:rFonts w:asciiTheme="majorBidi" w:eastAsia="Times New Roman" w:hAnsiTheme="majorBidi" w:cstheme="majorBidi"/>
                <w:b/>
                <w:bCs/>
                <w:sz w:val="18"/>
                <w:szCs w:val="18"/>
                <w:lang w:val="en-CA" w:eastAsia="en-GB"/>
              </w:rPr>
              <w:t>Pass-through to consumers</w:t>
            </w:r>
          </w:p>
          <w:p w14:paraId="2A046006"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Extent to which contribution cost is transferred to customers via output pricing. Agricultural producer customers are price-sensitive; procurement design limits pass-through for both plant and animal breeders. Seed and genetics markets involve some degree of pricing power for major trait licensors, but farmer price sensitivity constrains the extent of pass-through.</w:t>
            </w: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04E48486"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Plant breeders (large seed multinationals)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4DBCC0F3"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5D4313ED"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Medium</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71604948"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Some pricing power through trait licensing and IP protection in concentrated seed markets (Moschini and Perry, 2026), but farmer price sensitivity constrains pass-through; royalty structures provide partial insulation. National implementation divergence (U8).</w:t>
            </w:r>
          </w:p>
        </w:tc>
        <w:tc>
          <w:tcPr>
            <w:tcW w:w="431" w:type="pct"/>
            <w:tcBorders>
              <w:top w:val="single" w:sz="1" w:space="0" w:color="AAAAAA"/>
              <w:left w:val="single" w:sz="1" w:space="0" w:color="AAAAAA"/>
              <w:right w:val="single" w:sz="1" w:space="0" w:color="AAAAAA"/>
            </w:tcBorders>
            <w:shd w:val="clear" w:color="auto" w:fill="D9F3D0"/>
            <w:tcMar>
              <w:top w:w="60" w:type="dxa"/>
              <w:left w:w="100" w:type="dxa"/>
              <w:bottom w:w="60" w:type="dxa"/>
              <w:right w:w="100" w:type="dxa"/>
            </w:tcMar>
          </w:tcPr>
          <w:p w14:paraId="15E8355D"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r>
      <w:tr w:rsidR="005F0A67" w:rsidRPr="005F0A67" w14:paraId="2B9BCDDF" w14:textId="77777777" w:rsidTr="005F0A67">
        <w:tc>
          <w:tcPr>
            <w:tcW w:w="1210" w:type="pct"/>
            <w:vMerge/>
            <w:tcMar>
              <w:top w:w="60" w:type="dxa"/>
              <w:left w:w="100" w:type="dxa"/>
              <w:bottom w:w="60" w:type="dxa"/>
              <w:right w:w="100" w:type="dxa"/>
            </w:tcMar>
          </w:tcPr>
          <w:p w14:paraId="1404400D"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0219F20B"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Plant breeders (vegetable and horticultural)</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38672FC4"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69A04CA4"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45A929A3"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More competitive, fragmented markets with price-sensitive customers; limited pass-through capacity. National implementation divergence (U8).</w:t>
            </w:r>
          </w:p>
        </w:tc>
        <w:tc>
          <w:tcPr>
            <w:tcW w:w="431" w:type="pct"/>
            <w:tcBorders>
              <w:top w:val="single" w:sz="1" w:space="0" w:color="AAAAAA"/>
              <w:left w:val="single" w:sz="1" w:space="0" w:color="AAAAAA"/>
              <w:right w:val="single" w:sz="1" w:space="0" w:color="AAAAAA"/>
            </w:tcBorders>
            <w:shd w:val="clear" w:color="auto" w:fill="D9F2D0"/>
            <w:tcMar>
              <w:top w:w="60" w:type="dxa"/>
              <w:left w:w="100" w:type="dxa"/>
              <w:bottom w:w="60" w:type="dxa"/>
              <w:right w:w="100" w:type="dxa"/>
            </w:tcMar>
          </w:tcPr>
          <w:p w14:paraId="05AF27F0"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r>
      <w:tr w:rsidR="005F0A67" w:rsidRPr="005F0A67" w14:paraId="1549EA5A" w14:textId="77777777" w:rsidTr="005F0A67">
        <w:tc>
          <w:tcPr>
            <w:tcW w:w="1210" w:type="pct"/>
            <w:vMerge/>
            <w:tcMar>
              <w:top w:w="60" w:type="dxa"/>
              <w:left w:w="100" w:type="dxa"/>
              <w:bottom w:w="60" w:type="dxa"/>
              <w:right w:w="100" w:type="dxa"/>
            </w:tcMar>
          </w:tcPr>
          <w:p w14:paraId="1335B9E2"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0F28CCBA"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Animal breeders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2B42A2D6"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366DA61D"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278A6D1F"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Genetics supplied through vertically managed multiplication chains (</w:t>
            </w:r>
            <w:proofErr w:type="spellStart"/>
            <w:r w:rsidRPr="005F0A67">
              <w:rPr>
                <w:rFonts w:asciiTheme="majorBidi" w:eastAsia="Times New Roman" w:hAnsiTheme="majorBidi" w:cstheme="majorBidi"/>
                <w:sz w:val="18"/>
                <w:szCs w:val="18"/>
                <w:lang w:val="en-CA" w:eastAsia="en-GB"/>
              </w:rPr>
              <w:t>Neeteson</w:t>
            </w:r>
            <w:proofErr w:type="spellEnd"/>
            <w:r w:rsidRPr="005F0A67">
              <w:rPr>
                <w:rFonts w:asciiTheme="majorBidi" w:eastAsia="Times New Roman" w:hAnsiTheme="majorBidi" w:cstheme="majorBidi"/>
                <w:sz w:val="18"/>
                <w:szCs w:val="18"/>
                <w:lang w:val="en-CA" w:eastAsia="en-GB"/>
              </w:rPr>
              <w:t xml:space="preserve"> et al., 2023b) with price-sensitive downstream customers; limited pass-through capacity. National implementation divergence (U8).</w:t>
            </w:r>
          </w:p>
        </w:tc>
        <w:tc>
          <w:tcPr>
            <w:tcW w:w="431" w:type="pct"/>
            <w:tcBorders>
              <w:top w:val="single" w:sz="1" w:space="0" w:color="AAAAAA"/>
              <w:left w:val="single" w:sz="1" w:space="0" w:color="AAAAAA"/>
              <w:right w:val="single" w:sz="1" w:space="0" w:color="AAAAAA"/>
            </w:tcBorders>
            <w:shd w:val="clear" w:color="auto" w:fill="D9F2D0"/>
            <w:tcMar>
              <w:top w:w="60" w:type="dxa"/>
              <w:left w:w="100" w:type="dxa"/>
              <w:bottom w:w="60" w:type="dxa"/>
              <w:right w:w="100" w:type="dxa"/>
            </w:tcMar>
          </w:tcPr>
          <w:p w14:paraId="0488F5CA"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r>
    </w:tbl>
    <w:p w14:paraId="4FB0395D"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p>
    <w:p w14:paraId="50286E72" w14:textId="77777777" w:rsidR="00B009ED" w:rsidRDefault="00B009ED" w:rsidP="005F0A67">
      <w:pPr>
        <w:tabs>
          <w:tab w:val="clear" w:pos="567"/>
          <w:tab w:val="clear" w:pos="1134"/>
          <w:tab w:val="clear" w:pos="1701"/>
          <w:tab w:val="clear" w:pos="2268"/>
        </w:tabs>
        <w:spacing w:after="200" w:line="312" w:lineRule="auto"/>
        <w:contextualSpacing/>
        <w:rPr>
          <w:rFonts w:asciiTheme="majorBidi" w:eastAsia="Georgia" w:hAnsiTheme="majorBidi" w:cstheme="majorBidi"/>
          <w:b/>
          <w:bCs/>
          <w:color w:val="419844"/>
          <w:lang w:val="en-US" w:eastAsia="ja-JP"/>
        </w:rPr>
      </w:pPr>
      <w:bookmarkStart w:id="217" w:name="_Ref231770019"/>
    </w:p>
    <w:p w14:paraId="47238B9A" w14:textId="77777777" w:rsidR="00B009ED" w:rsidRDefault="00B009ED" w:rsidP="005F0A67">
      <w:pPr>
        <w:tabs>
          <w:tab w:val="clear" w:pos="567"/>
          <w:tab w:val="clear" w:pos="1134"/>
          <w:tab w:val="clear" w:pos="1701"/>
          <w:tab w:val="clear" w:pos="2268"/>
        </w:tabs>
        <w:spacing w:after="200" w:line="312" w:lineRule="auto"/>
        <w:contextualSpacing/>
        <w:rPr>
          <w:rFonts w:asciiTheme="majorBidi" w:eastAsia="Georgia" w:hAnsiTheme="majorBidi" w:cstheme="majorBidi"/>
          <w:b/>
          <w:bCs/>
          <w:color w:val="419844"/>
          <w:lang w:val="en-US" w:eastAsia="ja-JP"/>
        </w:rPr>
      </w:pPr>
    </w:p>
    <w:p w14:paraId="109DE2BD" w14:textId="77777777" w:rsidR="00B009ED" w:rsidRDefault="00B009ED" w:rsidP="005F0A67">
      <w:pPr>
        <w:tabs>
          <w:tab w:val="clear" w:pos="567"/>
          <w:tab w:val="clear" w:pos="1134"/>
          <w:tab w:val="clear" w:pos="1701"/>
          <w:tab w:val="clear" w:pos="2268"/>
        </w:tabs>
        <w:spacing w:after="200" w:line="312" w:lineRule="auto"/>
        <w:contextualSpacing/>
        <w:rPr>
          <w:rFonts w:asciiTheme="majorBidi" w:eastAsia="Georgia" w:hAnsiTheme="majorBidi" w:cstheme="majorBidi"/>
          <w:b/>
          <w:bCs/>
          <w:color w:val="419844"/>
          <w:lang w:val="en-US" w:eastAsia="ja-JP"/>
        </w:rPr>
      </w:pPr>
    </w:p>
    <w:p w14:paraId="4AFDCA20" w14:textId="77777777" w:rsidR="00B009ED" w:rsidRDefault="00B009ED" w:rsidP="005F0A67">
      <w:pPr>
        <w:tabs>
          <w:tab w:val="clear" w:pos="567"/>
          <w:tab w:val="clear" w:pos="1134"/>
          <w:tab w:val="clear" w:pos="1701"/>
          <w:tab w:val="clear" w:pos="2268"/>
        </w:tabs>
        <w:spacing w:after="200" w:line="312" w:lineRule="auto"/>
        <w:contextualSpacing/>
        <w:rPr>
          <w:rFonts w:asciiTheme="majorBidi" w:eastAsia="Georgia" w:hAnsiTheme="majorBidi" w:cstheme="majorBidi"/>
          <w:b/>
          <w:bCs/>
          <w:color w:val="419844"/>
          <w:lang w:val="en-US" w:eastAsia="ja-JP"/>
        </w:rPr>
      </w:pPr>
    </w:p>
    <w:p w14:paraId="52C77A32" w14:textId="77777777" w:rsidR="00B009ED" w:rsidRDefault="00B009ED" w:rsidP="005F0A67">
      <w:pPr>
        <w:tabs>
          <w:tab w:val="clear" w:pos="567"/>
          <w:tab w:val="clear" w:pos="1134"/>
          <w:tab w:val="clear" w:pos="1701"/>
          <w:tab w:val="clear" w:pos="2268"/>
        </w:tabs>
        <w:spacing w:after="200" w:line="312" w:lineRule="auto"/>
        <w:contextualSpacing/>
        <w:rPr>
          <w:rFonts w:asciiTheme="majorBidi" w:eastAsia="Georgia" w:hAnsiTheme="majorBidi" w:cstheme="majorBidi"/>
          <w:b/>
          <w:bCs/>
          <w:color w:val="419844"/>
          <w:lang w:val="en-US" w:eastAsia="ja-JP"/>
        </w:rPr>
      </w:pPr>
    </w:p>
    <w:p w14:paraId="14DFA77C" w14:textId="77777777" w:rsidR="00B009ED" w:rsidRDefault="00B009ED" w:rsidP="005F0A67">
      <w:pPr>
        <w:tabs>
          <w:tab w:val="clear" w:pos="567"/>
          <w:tab w:val="clear" w:pos="1134"/>
          <w:tab w:val="clear" w:pos="1701"/>
          <w:tab w:val="clear" w:pos="2268"/>
        </w:tabs>
        <w:spacing w:after="200" w:line="312" w:lineRule="auto"/>
        <w:contextualSpacing/>
        <w:rPr>
          <w:rFonts w:asciiTheme="majorBidi" w:eastAsia="Georgia" w:hAnsiTheme="majorBidi" w:cstheme="majorBidi"/>
          <w:b/>
          <w:bCs/>
          <w:color w:val="419844"/>
          <w:lang w:val="en-US" w:eastAsia="ja-JP"/>
        </w:rPr>
      </w:pPr>
    </w:p>
    <w:p w14:paraId="42E13CA5" w14:textId="77777777" w:rsidR="00B009ED" w:rsidRDefault="00B009ED" w:rsidP="005F0A67">
      <w:pPr>
        <w:tabs>
          <w:tab w:val="clear" w:pos="567"/>
          <w:tab w:val="clear" w:pos="1134"/>
          <w:tab w:val="clear" w:pos="1701"/>
          <w:tab w:val="clear" w:pos="2268"/>
        </w:tabs>
        <w:spacing w:after="200" w:line="312" w:lineRule="auto"/>
        <w:contextualSpacing/>
        <w:rPr>
          <w:rFonts w:asciiTheme="majorBidi" w:eastAsia="Georgia" w:hAnsiTheme="majorBidi" w:cstheme="majorBidi"/>
          <w:b/>
          <w:bCs/>
          <w:color w:val="419844"/>
          <w:lang w:val="en-US" w:eastAsia="ja-JP"/>
        </w:rPr>
      </w:pPr>
    </w:p>
    <w:p w14:paraId="7FBF9F7C" w14:textId="77777777" w:rsidR="00B009ED" w:rsidRDefault="00B009ED" w:rsidP="005F0A67">
      <w:pPr>
        <w:tabs>
          <w:tab w:val="clear" w:pos="567"/>
          <w:tab w:val="clear" w:pos="1134"/>
          <w:tab w:val="clear" w:pos="1701"/>
          <w:tab w:val="clear" w:pos="2268"/>
        </w:tabs>
        <w:spacing w:after="200" w:line="312" w:lineRule="auto"/>
        <w:contextualSpacing/>
        <w:rPr>
          <w:rFonts w:asciiTheme="majorBidi" w:eastAsia="Georgia" w:hAnsiTheme="majorBidi" w:cstheme="majorBidi"/>
          <w:b/>
          <w:bCs/>
          <w:color w:val="419844"/>
          <w:lang w:val="en-US" w:eastAsia="ja-JP"/>
        </w:rPr>
      </w:pPr>
    </w:p>
    <w:p w14:paraId="01B94B85" w14:textId="77777777" w:rsidR="00B009ED" w:rsidRDefault="00B009ED" w:rsidP="005F0A67">
      <w:pPr>
        <w:tabs>
          <w:tab w:val="clear" w:pos="567"/>
          <w:tab w:val="clear" w:pos="1134"/>
          <w:tab w:val="clear" w:pos="1701"/>
          <w:tab w:val="clear" w:pos="2268"/>
        </w:tabs>
        <w:spacing w:after="200" w:line="312" w:lineRule="auto"/>
        <w:contextualSpacing/>
        <w:rPr>
          <w:rFonts w:asciiTheme="majorBidi" w:eastAsia="Georgia" w:hAnsiTheme="majorBidi" w:cstheme="majorBidi"/>
          <w:b/>
          <w:bCs/>
          <w:color w:val="419844"/>
          <w:lang w:val="en-US" w:eastAsia="ja-JP"/>
        </w:rPr>
      </w:pPr>
    </w:p>
    <w:p w14:paraId="62C06D64" w14:textId="77777777" w:rsidR="00B009ED" w:rsidRDefault="00B009ED" w:rsidP="005F0A67">
      <w:pPr>
        <w:tabs>
          <w:tab w:val="clear" w:pos="567"/>
          <w:tab w:val="clear" w:pos="1134"/>
          <w:tab w:val="clear" w:pos="1701"/>
          <w:tab w:val="clear" w:pos="2268"/>
        </w:tabs>
        <w:spacing w:after="200" w:line="312" w:lineRule="auto"/>
        <w:contextualSpacing/>
        <w:rPr>
          <w:rFonts w:asciiTheme="majorBidi" w:eastAsia="Georgia" w:hAnsiTheme="majorBidi" w:cstheme="majorBidi"/>
          <w:b/>
          <w:bCs/>
          <w:color w:val="419844"/>
          <w:lang w:val="en-US" w:eastAsia="ja-JP"/>
        </w:rPr>
      </w:pPr>
    </w:p>
    <w:p w14:paraId="3695873E" w14:textId="48CFB0DA" w:rsidR="005F0A67" w:rsidRPr="005F0A67" w:rsidRDefault="005F0A67" w:rsidP="005F0A67">
      <w:pPr>
        <w:tabs>
          <w:tab w:val="clear" w:pos="567"/>
          <w:tab w:val="clear" w:pos="1134"/>
          <w:tab w:val="clear" w:pos="1701"/>
          <w:tab w:val="clear" w:pos="2268"/>
        </w:tabs>
        <w:spacing w:after="200" w:line="312" w:lineRule="auto"/>
        <w:contextualSpacing/>
        <w:rPr>
          <w:rFonts w:asciiTheme="majorBidi" w:eastAsia="Georgia" w:hAnsiTheme="majorBidi" w:cstheme="majorBidi"/>
          <w:b/>
          <w:bCs/>
          <w:color w:val="419844"/>
          <w:lang w:eastAsia="en-GB"/>
        </w:rPr>
      </w:pPr>
      <w:r w:rsidRPr="005F0A67">
        <w:rPr>
          <w:rFonts w:asciiTheme="majorBidi" w:eastAsia="Georgia" w:hAnsiTheme="majorBidi" w:cstheme="majorBidi"/>
          <w:b/>
          <w:bCs/>
          <w:color w:val="419844"/>
          <w:lang w:val="en-US" w:eastAsia="ja-JP"/>
        </w:rPr>
        <w:lastRenderedPageBreak/>
        <w:t xml:space="preserve">Table </w:t>
      </w:r>
      <w:r w:rsidRPr="005F0A67">
        <w:rPr>
          <w:rFonts w:asciiTheme="majorBidi" w:eastAsia="Georgia" w:hAnsiTheme="majorBidi" w:cstheme="majorBidi"/>
          <w:b/>
          <w:bCs/>
          <w:color w:val="419844"/>
          <w:lang w:eastAsia="en-GB"/>
        </w:rPr>
        <w:fldChar w:fldCharType="begin"/>
      </w:r>
      <w:r w:rsidRPr="005F0A67">
        <w:rPr>
          <w:rFonts w:asciiTheme="majorBidi" w:eastAsia="Georgia" w:hAnsiTheme="majorBidi" w:cstheme="majorBidi"/>
          <w:b/>
          <w:bCs/>
          <w:color w:val="419844"/>
          <w:lang w:eastAsia="en-GB"/>
        </w:rPr>
        <w:instrText xml:space="preserve"> SEQ Table \* ARABIC </w:instrText>
      </w:r>
      <w:r w:rsidRPr="005F0A67">
        <w:rPr>
          <w:rFonts w:asciiTheme="majorBidi" w:eastAsia="Georgia" w:hAnsiTheme="majorBidi" w:cstheme="majorBidi"/>
          <w:b/>
          <w:bCs/>
          <w:color w:val="419844"/>
          <w:lang w:eastAsia="en-GB"/>
        </w:rPr>
        <w:fldChar w:fldCharType="separate"/>
      </w:r>
      <w:r w:rsidRPr="005F0A67">
        <w:rPr>
          <w:rFonts w:asciiTheme="majorBidi" w:eastAsia="Georgia" w:hAnsiTheme="majorBidi" w:cstheme="majorBidi"/>
          <w:b/>
          <w:bCs/>
          <w:noProof/>
          <w:color w:val="419844"/>
          <w:lang w:eastAsia="en-GB"/>
        </w:rPr>
        <w:t>30</w:t>
      </w:r>
      <w:r w:rsidRPr="005F0A67">
        <w:rPr>
          <w:rFonts w:asciiTheme="majorBidi" w:eastAsia="Georgia" w:hAnsiTheme="majorBidi" w:cstheme="majorBidi"/>
          <w:b/>
          <w:bCs/>
          <w:color w:val="419844"/>
          <w:lang w:eastAsia="en-GB"/>
        </w:rPr>
        <w:fldChar w:fldCharType="end"/>
      </w:r>
      <w:bookmarkEnd w:id="217"/>
      <w:r w:rsidRPr="005F0A67">
        <w:rPr>
          <w:rFonts w:asciiTheme="majorBidi" w:eastAsia="Georgia" w:hAnsiTheme="majorBidi" w:cstheme="majorBidi"/>
          <w:b/>
          <w:bCs/>
          <w:color w:val="419844"/>
          <w:lang w:val="en-US" w:eastAsia="ja-JP"/>
        </w:rPr>
        <w:t xml:space="preserve"> Pillar II: capacity to innovate impacts materiality assessment - Animal and plant breeding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09"/>
        <w:gridCol w:w="1483"/>
        <w:gridCol w:w="1163"/>
        <w:gridCol w:w="1185"/>
        <w:gridCol w:w="5359"/>
        <w:gridCol w:w="1179"/>
      </w:tblGrid>
      <w:tr w:rsidR="005F0A67" w:rsidRPr="005F0A67" w14:paraId="1E547E90" w14:textId="77777777" w:rsidTr="00FB671B">
        <w:tc>
          <w:tcPr>
            <w:tcW w:w="1210" w:type="pct"/>
            <w:tcBorders>
              <w:top w:val="single" w:sz="1" w:space="0" w:color="AAAAAA"/>
              <w:left w:val="single" w:sz="1" w:space="0" w:color="AAAAAA"/>
              <w:right w:val="single" w:sz="1" w:space="0" w:color="AAAAAA"/>
            </w:tcBorders>
            <w:shd w:val="clear" w:color="auto" w:fill="1F4E6B"/>
            <w:tcMar>
              <w:top w:w="60" w:type="dxa"/>
              <w:left w:w="100" w:type="dxa"/>
              <w:bottom w:w="60" w:type="dxa"/>
              <w:right w:w="100" w:type="dxa"/>
            </w:tcMar>
          </w:tcPr>
          <w:p w14:paraId="217222ED"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color w:val="FFFFFF"/>
                <w:sz w:val="18"/>
                <w:szCs w:val="18"/>
                <w:lang w:val="en-CA" w:eastAsia="en-GB"/>
              </w:rPr>
              <w:t>Impact</w:t>
            </w:r>
          </w:p>
        </w:tc>
        <w:tc>
          <w:tcPr>
            <w:tcW w:w="542" w:type="pct"/>
            <w:tcBorders>
              <w:top w:val="single" w:sz="1" w:space="0" w:color="AAAAAA"/>
              <w:left w:val="single" w:sz="1" w:space="0" w:color="AAAAAA"/>
              <w:right w:val="single" w:sz="1" w:space="0" w:color="AAAAAA"/>
            </w:tcBorders>
            <w:shd w:val="clear" w:color="auto" w:fill="1F4E6B"/>
            <w:tcMar>
              <w:top w:w="60" w:type="dxa"/>
              <w:left w:w="100" w:type="dxa"/>
              <w:bottom w:w="60" w:type="dxa"/>
              <w:right w:w="100" w:type="dxa"/>
            </w:tcMar>
          </w:tcPr>
          <w:p w14:paraId="32B2A9ED"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color w:val="FFFFFF"/>
                <w:sz w:val="18"/>
                <w:szCs w:val="18"/>
                <w:lang w:val="en-CA" w:eastAsia="en-GB"/>
              </w:rPr>
              <w:t>Firm type</w:t>
            </w:r>
          </w:p>
        </w:tc>
        <w:tc>
          <w:tcPr>
            <w:tcW w:w="425" w:type="pct"/>
            <w:tcBorders>
              <w:top w:val="single" w:sz="1" w:space="0" w:color="AAAAAA"/>
              <w:left w:val="single" w:sz="1" w:space="0" w:color="AAAAAA"/>
              <w:right w:val="single" w:sz="1" w:space="0" w:color="AAAAAA"/>
            </w:tcBorders>
            <w:shd w:val="clear" w:color="auto" w:fill="1F4E6B"/>
            <w:tcMar>
              <w:top w:w="60" w:type="dxa"/>
              <w:left w:w="100" w:type="dxa"/>
              <w:bottom w:w="60" w:type="dxa"/>
              <w:right w:w="100" w:type="dxa"/>
            </w:tcMar>
          </w:tcPr>
          <w:p w14:paraId="0B2DBC0C"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color w:val="FFFFFF"/>
                <w:sz w:val="18"/>
                <w:szCs w:val="18"/>
                <w:lang w:val="en-CA" w:eastAsia="en-GB"/>
              </w:rPr>
              <w:t>Magnitude</w:t>
            </w:r>
          </w:p>
        </w:tc>
        <w:tc>
          <w:tcPr>
            <w:tcW w:w="433" w:type="pct"/>
            <w:tcBorders>
              <w:top w:val="single" w:sz="1" w:space="0" w:color="AAAAAA"/>
              <w:left w:val="single" w:sz="1" w:space="0" w:color="AAAAAA"/>
              <w:right w:val="single" w:sz="1" w:space="0" w:color="AAAAAA"/>
            </w:tcBorders>
            <w:shd w:val="clear" w:color="auto" w:fill="1F4E6B"/>
            <w:tcMar>
              <w:top w:w="60" w:type="dxa"/>
              <w:left w:w="100" w:type="dxa"/>
              <w:bottom w:w="60" w:type="dxa"/>
              <w:right w:w="100" w:type="dxa"/>
            </w:tcMar>
          </w:tcPr>
          <w:p w14:paraId="7493CEC1"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color w:val="FFFFFF"/>
                <w:sz w:val="18"/>
                <w:szCs w:val="18"/>
                <w:lang w:val="en-CA" w:eastAsia="en-GB"/>
              </w:rPr>
              <w:t>Probability</w:t>
            </w:r>
          </w:p>
        </w:tc>
        <w:tc>
          <w:tcPr>
            <w:tcW w:w="1959" w:type="pct"/>
            <w:tcBorders>
              <w:top w:val="single" w:sz="1" w:space="0" w:color="AAAAAA"/>
              <w:left w:val="single" w:sz="1" w:space="0" w:color="AAAAAA"/>
              <w:right w:val="single" w:sz="1" w:space="0" w:color="AAAAAA"/>
            </w:tcBorders>
            <w:shd w:val="clear" w:color="auto" w:fill="1F4E6B"/>
            <w:tcMar>
              <w:top w:w="60" w:type="dxa"/>
              <w:left w:w="100" w:type="dxa"/>
              <w:bottom w:w="60" w:type="dxa"/>
              <w:right w:w="100" w:type="dxa"/>
            </w:tcMar>
          </w:tcPr>
          <w:p w14:paraId="656FBD5E"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color w:val="FFFFFF"/>
                <w:sz w:val="18"/>
                <w:szCs w:val="18"/>
                <w:lang w:val="en-CA" w:eastAsia="en-GB"/>
              </w:rPr>
              <w:t>Key conditions</w:t>
            </w:r>
          </w:p>
        </w:tc>
        <w:tc>
          <w:tcPr>
            <w:tcW w:w="431" w:type="pct"/>
            <w:tcBorders>
              <w:top w:val="single" w:sz="1" w:space="0" w:color="AAAAAA"/>
              <w:left w:val="single" w:sz="1" w:space="0" w:color="AAAAAA"/>
              <w:right w:val="single" w:sz="1" w:space="0" w:color="AAAAAA"/>
            </w:tcBorders>
            <w:shd w:val="clear" w:color="auto" w:fill="1F4E6B"/>
            <w:tcMar>
              <w:top w:w="60" w:type="dxa"/>
              <w:left w:w="100" w:type="dxa"/>
              <w:bottom w:w="60" w:type="dxa"/>
              <w:right w:w="100" w:type="dxa"/>
            </w:tcMar>
          </w:tcPr>
          <w:p w14:paraId="0AC0B7B6"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color w:val="FFFFFF"/>
                <w:sz w:val="18"/>
                <w:szCs w:val="18"/>
                <w:lang w:val="en-CA" w:eastAsia="en-GB"/>
              </w:rPr>
              <w:t>Materiality</w:t>
            </w:r>
          </w:p>
        </w:tc>
      </w:tr>
      <w:tr w:rsidR="005F0A67" w:rsidRPr="005F0A67" w14:paraId="0A005C99" w14:textId="77777777" w:rsidTr="005F0A67">
        <w:tc>
          <w:tcPr>
            <w:tcW w:w="1210" w:type="pct"/>
            <w:vMerge w:val="restar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2A880BB1"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sz w:val="18"/>
                <w:szCs w:val="18"/>
                <w:lang w:val="en-CA" w:eastAsia="en-GB"/>
              </w:rPr>
              <w:t>R&amp;D investment capacity</w:t>
            </w:r>
            <w:r w:rsidRPr="005F0A67">
              <w:rPr>
                <w:rFonts w:asciiTheme="majorBidi" w:eastAsia="Times New Roman" w:hAnsiTheme="majorBidi" w:cstheme="majorBidi"/>
                <w:sz w:val="18"/>
                <w:szCs w:val="18"/>
                <w:lang w:val="en-CA" w:eastAsia="en-GB"/>
              </w:rPr>
              <w:t xml:space="preserve"> Reduction in capital available for R&amp;D through margin compression or reduced free cash flow. A comparable 1pp profit tax burden reduces R&amp;D by ~6-7% over eight years, with effects concentrated in financially constrained firms (Lichter et al., 2025). Plant breeding has long programme horizons and high genomic R&amp;D intensity; animal breeders have shorter selection cycles.</w:t>
            </w: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403553AD"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Plant breeders (large seed multinationals)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58D7ED89"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Moderate</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6EC08ADE"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Medium</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6B9C4847"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Long variety development timelines (often 10+ years for field crops); high genomic R&amp;D intensity; potential ITPGRFA MLS obligation stacking raises effective burden (U7); large seed multinationals least financially constrained but long pipeline commitments increase sensitivity; rate revision.</w:t>
            </w:r>
          </w:p>
        </w:tc>
        <w:tc>
          <w:tcPr>
            <w:tcW w:w="431" w:type="pct"/>
            <w:tcBorders>
              <w:top w:val="single" w:sz="1" w:space="0" w:color="AAAAAA"/>
              <w:left w:val="single" w:sz="1" w:space="0" w:color="AAAAAA"/>
              <w:right w:val="single" w:sz="1" w:space="0" w:color="AAAAAA"/>
            </w:tcBorders>
            <w:shd w:val="clear" w:color="auto" w:fill="FEF9CC"/>
            <w:tcMar>
              <w:top w:w="60" w:type="dxa"/>
              <w:left w:w="100" w:type="dxa"/>
              <w:bottom w:w="60" w:type="dxa"/>
              <w:right w:w="100" w:type="dxa"/>
            </w:tcMar>
          </w:tcPr>
          <w:p w14:paraId="658DBFB4"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Moderate</w:t>
            </w:r>
          </w:p>
        </w:tc>
      </w:tr>
      <w:tr w:rsidR="005F0A67" w:rsidRPr="005F0A67" w14:paraId="2AFBAA4F" w14:textId="77777777" w:rsidTr="005F0A67">
        <w:tc>
          <w:tcPr>
            <w:tcW w:w="1210" w:type="pct"/>
            <w:vMerge/>
            <w:tcMar>
              <w:top w:w="60" w:type="dxa"/>
              <w:left w:w="100" w:type="dxa"/>
              <w:bottom w:w="60" w:type="dxa"/>
              <w:right w:w="100" w:type="dxa"/>
            </w:tcMar>
          </w:tcPr>
          <w:p w14:paraId="4AED04E4"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01E17839"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Plant breeders (vegetable and horticultural)</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41CDCA92"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0EE10ECC"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6B0164B9"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Shorter development cycles for vegetable varieties; lower R&amp;D intensity than field crop majors; financially constrained smaller breeders more at risk but often below eligibility threshold. Rate revision; potential ITPGRFA obligation stacking (U7).</w:t>
            </w:r>
          </w:p>
        </w:tc>
        <w:tc>
          <w:tcPr>
            <w:tcW w:w="431" w:type="pct"/>
            <w:tcBorders>
              <w:top w:val="single" w:sz="1" w:space="0" w:color="AAAAAA"/>
              <w:left w:val="single" w:sz="1" w:space="0" w:color="AAAAAA"/>
              <w:right w:val="single" w:sz="1" w:space="0" w:color="AAAAAA"/>
            </w:tcBorders>
            <w:shd w:val="clear" w:color="auto" w:fill="D9F2D0"/>
            <w:tcMar>
              <w:top w:w="60" w:type="dxa"/>
              <w:left w:w="100" w:type="dxa"/>
              <w:bottom w:w="60" w:type="dxa"/>
              <w:right w:w="100" w:type="dxa"/>
            </w:tcMar>
          </w:tcPr>
          <w:p w14:paraId="2F820B63"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r>
      <w:tr w:rsidR="005F0A67" w:rsidRPr="005F0A67" w14:paraId="58E04EA9" w14:textId="77777777" w:rsidTr="005F0A67">
        <w:tc>
          <w:tcPr>
            <w:tcW w:w="1210" w:type="pct"/>
            <w:vMerge/>
            <w:tcMar>
              <w:top w:w="60" w:type="dxa"/>
              <w:left w:w="100" w:type="dxa"/>
              <w:bottom w:w="60" w:type="dxa"/>
              <w:right w:w="100" w:type="dxa"/>
            </w:tcMar>
          </w:tcPr>
          <w:p w14:paraId="13C16E45"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7EB0112C"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Animal breeders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438FC975"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7E306CBC"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22C86355"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Shorter selection cycles than plant breeding; genomic selection embedded in routine programmes rather than long-horizon R&amp;D pipelines; large multinationals least financially constrained. Rate revision.</w:t>
            </w:r>
          </w:p>
        </w:tc>
        <w:tc>
          <w:tcPr>
            <w:tcW w:w="431" w:type="pct"/>
            <w:tcBorders>
              <w:top w:val="single" w:sz="1" w:space="0" w:color="AAAAAA"/>
              <w:left w:val="single" w:sz="1" w:space="0" w:color="AAAAAA"/>
              <w:right w:val="single" w:sz="1" w:space="0" w:color="AAAAAA"/>
            </w:tcBorders>
            <w:shd w:val="clear" w:color="auto" w:fill="D9F2D0"/>
            <w:tcMar>
              <w:top w:w="60" w:type="dxa"/>
              <w:left w:w="100" w:type="dxa"/>
              <w:bottom w:w="60" w:type="dxa"/>
              <w:right w:w="100" w:type="dxa"/>
            </w:tcMar>
          </w:tcPr>
          <w:p w14:paraId="7C97713E"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r>
      <w:tr w:rsidR="005F0A67" w:rsidRPr="005F0A67" w14:paraId="022A8A48" w14:textId="77777777" w:rsidTr="005F0A67">
        <w:tc>
          <w:tcPr>
            <w:tcW w:w="1210" w:type="pct"/>
            <w:vMerge w:val="restar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30367C0B"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sz w:val="18"/>
                <w:szCs w:val="18"/>
                <w:lang w:val="en-CA" w:eastAsia="en-GB"/>
              </w:rPr>
              <w:t>Product innovation capacity</w:t>
            </w:r>
            <w:r w:rsidRPr="005F0A67">
              <w:rPr>
                <w:rFonts w:asciiTheme="majorBidi" w:eastAsia="Times New Roman" w:hAnsiTheme="majorBidi" w:cstheme="majorBidi"/>
                <w:sz w:val="18"/>
                <w:szCs w:val="18"/>
                <w:lang w:val="en-CA" w:eastAsia="en-GB"/>
              </w:rPr>
              <w:t xml:space="preserve"> Reduction in capital for development and commercialisation of new varieties and genetics. Most significant for firms with long breeding programme commitments and high genomic investment. Innovation effects most pronounced for financially constrained firms (Atanassov and Liu, 2020; Lichter et al., 2025).</w:t>
            </w: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354172E3"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Plant breeders (large seed multinationals)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2AE12D7B"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Moderate</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1B9A984F"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Medium</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14D1D343"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Long variety development timelines and high commercialisation costs; large seed multinationals least financially constrained; potential ITPGRFA MLS obligation stacking (U7); rate revision.</w:t>
            </w:r>
          </w:p>
        </w:tc>
        <w:tc>
          <w:tcPr>
            <w:tcW w:w="431" w:type="pct"/>
            <w:tcBorders>
              <w:top w:val="single" w:sz="1" w:space="0" w:color="AAAAAA"/>
              <w:left w:val="single" w:sz="1" w:space="0" w:color="AAAAAA"/>
              <w:right w:val="single" w:sz="1" w:space="0" w:color="AAAAAA"/>
            </w:tcBorders>
            <w:shd w:val="clear" w:color="auto" w:fill="FEF9CC"/>
            <w:tcMar>
              <w:top w:w="60" w:type="dxa"/>
              <w:left w:w="100" w:type="dxa"/>
              <w:bottom w:w="60" w:type="dxa"/>
              <w:right w:w="100" w:type="dxa"/>
            </w:tcMar>
          </w:tcPr>
          <w:p w14:paraId="50A26C88"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Moderate</w:t>
            </w:r>
          </w:p>
        </w:tc>
      </w:tr>
      <w:tr w:rsidR="005F0A67" w:rsidRPr="005F0A67" w14:paraId="46C92D61" w14:textId="77777777" w:rsidTr="005F0A67">
        <w:tc>
          <w:tcPr>
            <w:tcW w:w="1210" w:type="pct"/>
            <w:vMerge/>
            <w:tcMar>
              <w:top w:w="60" w:type="dxa"/>
              <w:left w:w="100" w:type="dxa"/>
              <w:bottom w:w="60" w:type="dxa"/>
              <w:right w:w="100" w:type="dxa"/>
            </w:tcMar>
          </w:tcPr>
          <w:p w14:paraId="35079CB6"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0013C093"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Plant breeders (vegetable and horticultural)</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10CF7257"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01622A29"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2DF80AA8"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Shorter development cycles; product innovation more locally driven and less capital-intensive than field crop breeding. Rate revision; potential ITPGRFA MLS obligation stacking (U7)</w:t>
            </w:r>
          </w:p>
        </w:tc>
        <w:tc>
          <w:tcPr>
            <w:tcW w:w="431" w:type="pct"/>
            <w:tcBorders>
              <w:top w:val="single" w:sz="1" w:space="0" w:color="AAAAAA"/>
              <w:left w:val="single" w:sz="1" w:space="0" w:color="AAAAAA"/>
              <w:right w:val="single" w:sz="1" w:space="0" w:color="AAAAAA"/>
            </w:tcBorders>
            <w:shd w:val="clear" w:color="auto" w:fill="D9F2D0"/>
            <w:tcMar>
              <w:top w:w="60" w:type="dxa"/>
              <w:left w:w="100" w:type="dxa"/>
              <w:bottom w:w="60" w:type="dxa"/>
              <w:right w:w="100" w:type="dxa"/>
            </w:tcMar>
          </w:tcPr>
          <w:p w14:paraId="1FBD9350"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r>
      <w:tr w:rsidR="005F0A67" w:rsidRPr="005F0A67" w14:paraId="29D8F75C" w14:textId="77777777" w:rsidTr="005F0A67">
        <w:tc>
          <w:tcPr>
            <w:tcW w:w="1210" w:type="pct"/>
            <w:vMerge/>
            <w:tcMar>
              <w:top w:w="60" w:type="dxa"/>
              <w:left w:w="100" w:type="dxa"/>
              <w:bottom w:w="60" w:type="dxa"/>
              <w:right w:w="100" w:type="dxa"/>
            </w:tcMar>
          </w:tcPr>
          <w:p w14:paraId="2EDEC51C"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333C7D51"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Animal breeders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32A06478"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4E3B137A"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4B671EE3"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Genetic improvement cycles shorter than plant variety development; competitive advantage based more on data and elite line ownership than long-horizon product pipelines. Rate revision.</w:t>
            </w:r>
          </w:p>
        </w:tc>
        <w:tc>
          <w:tcPr>
            <w:tcW w:w="431" w:type="pct"/>
            <w:tcBorders>
              <w:top w:val="single" w:sz="1" w:space="0" w:color="AAAAAA"/>
              <w:left w:val="single" w:sz="1" w:space="0" w:color="AAAAAA"/>
              <w:right w:val="single" w:sz="1" w:space="0" w:color="AAAAAA"/>
            </w:tcBorders>
            <w:shd w:val="clear" w:color="auto" w:fill="D9F2D0"/>
            <w:tcMar>
              <w:top w:w="60" w:type="dxa"/>
              <w:left w:w="100" w:type="dxa"/>
              <w:bottom w:w="60" w:type="dxa"/>
              <w:right w:w="100" w:type="dxa"/>
            </w:tcMar>
          </w:tcPr>
          <w:p w14:paraId="4E18D610"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r>
      <w:tr w:rsidR="005F0A67" w:rsidRPr="005F0A67" w14:paraId="426732A1" w14:textId="77777777" w:rsidTr="005F0A67">
        <w:tc>
          <w:tcPr>
            <w:tcW w:w="1210" w:type="pct"/>
            <w:vMerge w:val="restar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03964C35"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b/>
                <w:bCs/>
                <w:sz w:val="18"/>
                <w:szCs w:val="18"/>
                <w:lang w:val="en-CA" w:eastAsia="en-GB"/>
              </w:rPr>
              <w:t>Access to risk capital</w:t>
            </w:r>
            <w:r w:rsidRPr="005F0A67">
              <w:rPr>
                <w:rFonts w:asciiTheme="majorBidi" w:eastAsia="Times New Roman" w:hAnsiTheme="majorBidi" w:cstheme="majorBidi"/>
                <w:sz w:val="18"/>
                <w:szCs w:val="18"/>
                <w:lang w:val="en-CA" w:eastAsia="en-GB"/>
              </w:rPr>
              <w:t xml:space="preserve"> </w:t>
            </w:r>
          </w:p>
          <w:p w14:paraId="37F6412E"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 xml:space="preserve">Effect on ability to attract external financing for innovation where margin compression reduces perceived returns. Large well-capitalised firms are least exposed (Coles et al., 2022). </w:t>
            </w:r>
            <w:bookmarkStart w:id="218" w:name="_Int_KPRWZInh"/>
            <w:r w:rsidRPr="005F0A67">
              <w:rPr>
                <w:rFonts w:asciiTheme="majorBidi" w:eastAsia="Times New Roman" w:hAnsiTheme="majorBidi" w:cstheme="majorBidi"/>
                <w:sz w:val="18"/>
                <w:szCs w:val="18"/>
                <w:lang w:val="en-CA" w:eastAsia="en-GB"/>
              </w:rPr>
              <w:t>Voluntary</w:t>
            </w:r>
            <w:bookmarkEnd w:id="218"/>
            <w:r w:rsidRPr="005F0A67">
              <w:rPr>
                <w:rFonts w:asciiTheme="majorBidi" w:eastAsia="Times New Roman" w:hAnsiTheme="majorBidi" w:cstheme="majorBidi"/>
                <w:sz w:val="18"/>
                <w:szCs w:val="18"/>
                <w:lang w:val="en-CA" w:eastAsia="en-GB"/>
              </w:rPr>
              <w:t xml:space="preserve"> opt-out constrains severe outcomes.</w:t>
            </w: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7D2F56D3"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Plant breeders (large seed multinationals)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1C22EA0B"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0279788C"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09125074"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Large seed multinationals with strong IP portfolios and licensing revenues least exposed. Rate revision.</w:t>
            </w:r>
          </w:p>
        </w:tc>
        <w:tc>
          <w:tcPr>
            <w:tcW w:w="431" w:type="pct"/>
            <w:tcBorders>
              <w:top w:val="single" w:sz="1" w:space="0" w:color="AAAAAA"/>
              <w:left w:val="single" w:sz="1" w:space="0" w:color="AAAAAA"/>
              <w:right w:val="single" w:sz="1" w:space="0" w:color="AAAAAA"/>
            </w:tcBorders>
            <w:shd w:val="clear" w:color="auto" w:fill="D9F2D0"/>
            <w:tcMar>
              <w:top w:w="60" w:type="dxa"/>
              <w:left w:w="100" w:type="dxa"/>
              <w:bottom w:w="60" w:type="dxa"/>
              <w:right w:w="100" w:type="dxa"/>
            </w:tcMar>
          </w:tcPr>
          <w:p w14:paraId="1EA53176"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r>
      <w:tr w:rsidR="005F0A67" w:rsidRPr="005F0A67" w14:paraId="48EB93F8" w14:textId="77777777" w:rsidTr="005F0A67">
        <w:tc>
          <w:tcPr>
            <w:tcW w:w="1210" w:type="pct"/>
            <w:vMerge/>
            <w:tcMar>
              <w:top w:w="60" w:type="dxa"/>
              <w:left w:w="100" w:type="dxa"/>
              <w:bottom w:w="60" w:type="dxa"/>
              <w:right w:w="100" w:type="dxa"/>
            </w:tcMar>
          </w:tcPr>
          <w:p w14:paraId="0C0E32FB"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17C672F2"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Plant breeders (vegetable and horticultural)</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33346463"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7BFC05D3"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0E786405"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 xml:space="preserve">Smaller breeders with constrained access to capital face somewhat higher exposure within this Low assessment; voluntary opt-out </w:t>
            </w:r>
            <w:bookmarkStart w:id="219" w:name="_Int_MbItGoPh"/>
            <w:r w:rsidRPr="005F0A67">
              <w:rPr>
                <w:rFonts w:asciiTheme="majorBidi" w:eastAsia="Times New Roman" w:hAnsiTheme="majorBidi" w:cstheme="majorBidi"/>
                <w:sz w:val="18"/>
                <w:szCs w:val="18"/>
                <w:lang w:val="en-CA" w:eastAsia="en-GB"/>
              </w:rPr>
              <w:t>limits</w:t>
            </w:r>
            <w:bookmarkEnd w:id="219"/>
            <w:r w:rsidRPr="005F0A67">
              <w:rPr>
                <w:rFonts w:asciiTheme="majorBidi" w:eastAsia="Times New Roman" w:hAnsiTheme="majorBidi" w:cstheme="majorBidi"/>
                <w:sz w:val="18"/>
                <w:szCs w:val="18"/>
                <w:lang w:val="en-CA" w:eastAsia="en-GB"/>
              </w:rPr>
              <w:t xml:space="preserve"> severe outcomes. Rate revision.</w:t>
            </w:r>
          </w:p>
        </w:tc>
        <w:tc>
          <w:tcPr>
            <w:tcW w:w="431" w:type="pct"/>
            <w:tcBorders>
              <w:top w:val="single" w:sz="1" w:space="0" w:color="AAAAAA"/>
              <w:left w:val="single" w:sz="1" w:space="0" w:color="AAAAAA"/>
              <w:right w:val="single" w:sz="1" w:space="0" w:color="AAAAAA"/>
            </w:tcBorders>
            <w:shd w:val="clear" w:color="auto" w:fill="D9F2D0"/>
            <w:tcMar>
              <w:top w:w="60" w:type="dxa"/>
              <w:left w:w="100" w:type="dxa"/>
              <w:bottom w:w="60" w:type="dxa"/>
              <w:right w:w="100" w:type="dxa"/>
            </w:tcMar>
          </w:tcPr>
          <w:p w14:paraId="3BA1CABD"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r>
      <w:tr w:rsidR="005F0A67" w:rsidRPr="005F0A67" w14:paraId="2DB4AD4B" w14:textId="77777777" w:rsidTr="005F0A67">
        <w:tc>
          <w:tcPr>
            <w:tcW w:w="1210" w:type="pct"/>
            <w:vMerge/>
            <w:tcMar>
              <w:top w:w="60" w:type="dxa"/>
              <w:left w:w="100" w:type="dxa"/>
              <w:bottom w:w="60" w:type="dxa"/>
              <w:right w:w="100" w:type="dxa"/>
            </w:tcMar>
          </w:tcPr>
          <w:p w14:paraId="10986CBC"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42902164"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Animal breeders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2E5DE2E7"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62D68F22"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5C3DF5AC"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Smaller aquaculture and cattle AI firms with constrained capital access face somewhat higher conditional exposure. Rate revision.</w:t>
            </w:r>
          </w:p>
        </w:tc>
        <w:tc>
          <w:tcPr>
            <w:tcW w:w="431" w:type="pct"/>
            <w:tcBorders>
              <w:top w:val="single" w:sz="1" w:space="0" w:color="AAAAAA"/>
              <w:left w:val="single" w:sz="1" w:space="0" w:color="AAAAAA"/>
              <w:right w:val="single" w:sz="1" w:space="0" w:color="AAAAAA"/>
            </w:tcBorders>
            <w:shd w:val="clear" w:color="auto" w:fill="D9F2D0"/>
            <w:tcMar>
              <w:top w:w="60" w:type="dxa"/>
              <w:left w:w="100" w:type="dxa"/>
              <w:bottom w:w="60" w:type="dxa"/>
              <w:right w:w="100" w:type="dxa"/>
            </w:tcMar>
          </w:tcPr>
          <w:p w14:paraId="5006BE05"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r>
      <w:tr w:rsidR="005F0A67" w:rsidRPr="005F0A67" w14:paraId="3ECF2C28" w14:textId="77777777" w:rsidTr="005F0A67">
        <w:tc>
          <w:tcPr>
            <w:tcW w:w="1210" w:type="pct"/>
            <w:vMerge w:val="restar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0768EA2B"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b/>
                <w:bCs/>
                <w:sz w:val="18"/>
                <w:szCs w:val="18"/>
                <w:lang w:val="en-CA" w:eastAsia="en-GB"/>
              </w:rPr>
              <w:t>Certainty and predictability</w:t>
            </w:r>
            <w:r w:rsidRPr="005F0A67">
              <w:rPr>
                <w:rFonts w:asciiTheme="majorBidi" w:eastAsia="Times New Roman" w:hAnsiTheme="majorBidi" w:cstheme="majorBidi"/>
                <w:sz w:val="18"/>
                <w:szCs w:val="18"/>
                <w:lang w:val="en-CA" w:eastAsia="en-GB"/>
              </w:rPr>
              <w:t xml:space="preserve"> </w:t>
            </w:r>
          </w:p>
          <w:p w14:paraId="5EEC37E1"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 xml:space="preserve">Effect of unresolved Decision 16/2 design parameters on willingness to commit to long-term breeding programme </w:t>
            </w:r>
            <w:r w:rsidRPr="005F0A67">
              <w:rPr>
                <w:rFonts w:asciiTheme="majorBidi" w:eastAsia="Times New Roman" w:hAnsiTheme="majorBidi" w:cstheme="majorBidi"/>
                <w:sz w:val="18"/>
                <w:szCs w:val="18"/>
                <w:lang w:val="en-CA" w:eastAsia="en-GB"/>
              </w:rPr>
              <w:lastRenderedPageBreak/>
              <w:t>investments. Non-binding design means uncertainty primarily deters participation rather than investment. Significant for large seed multinationals with long programme commitments and ITPGRFA stacking uncertainty.</w:t>
            </w: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27289EC9"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lastRenderedPageBreak/>
              <w:t>Plant breeders (large seed multinationals)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5C605C03"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Moderate</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77B6B481"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Medium</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3737BBC4"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Long breeding programme commitments where DSI access uncertainty and ITPGRFA MLS stacking resolution (U7) affect pipeline decisions; certificate of contribution legal value (U6); potential rate revision trajectory ahead of COP17.</w:t>
            </w:r>
          </w:p>
        </w:tc>
        <w:tc>
          <w:tcPr>
            <w:tcW w:w="431" w:type="pct"/>
            <w:tcBorders>
              <w:top w:val="single" w:sz="1" w:space="0" w:color="AAAAAA"/>
              <w:left w:val="single" w:sz="1" w:space="0" w:color="AAAAAA"/>
              <w:right w:val="single" w:sz="1" w:space="0" w:color="AAAAAA"/>
            </w:tcBorders>
            <w:shd w:val="clear" w:color="auto" w:fill="FEF9CC"/>
            <w:tcMar>
              <w:top w:w="60" w:type="dxa"/>
              <w:left w:w="100" w:type="dxa"/>
              <w:bottom w:w="60" w:type="dxa"/>
              <w:right w:w="100" w:type="dxa"/>
            </w:tcMar>
          </w:tcPr>
          <w:p w14:paraId="702B0E44"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Moderate</w:t>
            </w:r>
          </w:p>
        </w:tc>
      </w:tr>
      <w:tr w:rsidR="005F0A67" w:rsidRPr="005F0A67" w14:paraId="5D1FF159" w14:textId="77777777" w:rsidTr="005F0A67">
        <w:tc>
          <w:tcPr>
            <w:tcW w:w="1210" w:type="pct"/>
            <w:vMerge/>
            <w:tcMar>
              <w:top w:w="60" w:type="dxa"/>
              <w:left w:w="100" w:type="dxa"/>
              <w:bottom w:w="60" w:type="dxa"/>
              <w:right w:w="100" w:type="dxa"/>
            </w:tcMar>
          </w:tcPr>
          <w:p w14:paraId="2CDDD246"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54D895CE"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Plant breeders (vegetable and horticultural)</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13F7D987"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2660D3C8"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6BA95AEC"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Shorter development horizons reduce sensitivity to long-run regulatory uncertainty; ITPGRFA MLS stacking exposure. Certificate legal value (U6); rate revision.</w:t>
            </w:r>
          </w:p>
        </w:tc>
        <w:tc>
          <w:tcPr>
            <w:tcW w:w="431" w:type="pct"/>
            <w:tcBorders>
              <w:top w:val="single" w:sz="1" w:space="0" w:color="AAAAAA"/>
              <w:left w:val="single" w:sz="1" w:space="0" w:color="AAAAAA"/>
              <w:right w:val="single" w:sz="1" w:space="0" w:color="AAAAAA"/>
            </w:tcBorders>
            <w:shd w:val="clear" w:color="auto" w:fill="D9F2D0"/>
            <w:tcMar>
              <w:top w:w="60" w:type="dxa"/>
              <w:left w:w="100" w:type="dxa"/>
              <w:bottom w:w="60" w:type="dxa"/>
              <w:right w:w="100" w:type="dxa"/>
            </w:tcMar>
          </w:tcPr>
          <w:p w14:paraId="5B120392"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r>
      <w:tr w:rsidR="005F0A67" w:rsidRPr="005F0A67" w14:paraId="5CCEF175" w14:textId="77777777" w:rsidTr="005F0A67">
        <w:tc>
          <w:tcPr>
            <w:tcW w:w="1210" w:type="pct"/>
            <w:vMerge/>
            <w:tcMar>
              <w:top w:w="60" w:type="dxa"/>
              <w:left w:w="100" w:type="dxa"/>
              <w:bottom w:w="60" w:type="dxa"/>
              <w:right w:w="100" w:type="dxa"/>
            </w:tcMar>
          </w:tcPr>
          <w:p w14:paraId="2D7AC018"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59282D9C"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Animal breeders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756AB227"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1941855F"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01A64317"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Shorter selection cycles limit sensitivity to long-run regulatory uncertainty; no ITPGRFA stacking exposure. Certificate legal value (U6); rate revision.</w:t>
            </w:r>
          </w:p>
        </w:tc>
        <w:tc>
          <w:tcPr>
            <w:tcW w:w="431" w:type="pct"/>
            <w:tcBorders>
              <w:top w:val="single" w:sz="1" w:space="0" w:color="AAAAAA"/>
              <w:left w:val="single" w:sz="1" w:space="0" w:color="AAAAAA"/>
              <w:right w:val="single" w:sz="1" w:space="0" w:color="AAAAAA"/>
            </w:tcBorders>
            <w:shd w:val="clear" w:color="auto" w:fill="D9F2D0"/>
            <w:tcMar>
              <w:top w:w="60" w:type="dxa"/>
              <w:left w:w="100" w:type="dxa"/>
              <w:bottom w:w="60" w:type="dxa"/>
              <w:right w:w="100" w:type="dxa"/>
            </w:tcMar>
          </w:tcPr>
          <w:p w14:paraId="626877F6"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r>
    </w:tbl>
    <w:p w14:paraId="0A11F9B0"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p>
    <w:p w14:paraId="0814AA69" w14:textId="77777777" w:rsidR="00B009ED" w:rsidRDefault="00B009ED" w:rsidP="005F0A67">
      <w:pPr>
        <w:tabs>
          <w:tab w:val="clear" w:pos="567"/>
          <w:tab w:val="clear" w:pos="1134"/>
          <w:tab w:val="clear" w:pos="1701"/>
          <w:tab w:val="clear" w:pos="2268"/>
        </w:tabs>
        <w:spacing w:after="180" w:line="292" w:lineRule="auto"/>
        <w:rPr>
          <w:rFonts w:asciiTheme="majorBidi" w:eastAsia="Georgia" w:hAnsiTheme="majorBidi" w:cstheme="majorBidi"/>
          <w:b/>
          <w:bCs/>
          <w:color w:val="419844"/>
          <w:lang w:val="en-CA" w:eastAsia="en-GB"/>
        </w:rPr>
      </w:pPr>
      <w:bookmarkStart w:id="220" w:name="_Ref231770021"/>
    </w:p>
    <w:p w14:paraId="7DF167B4" w14:textId="77777777" w:rsidR="00B009ED" w:rsidRDefault="00B009ED" w:rsidP="005F0A67">
      <w:pPr>
        <w:tabs>
          <w:tab w:val="clear" w:pos="567"/>
          <w:tab w:val="clear" w:pos="1134"/>
          <w:tab w:val="clear" w:pos="1701"/>
          <w:tab w:val="clear" w:pos="2268"/>
        </w:tabs>
        <w:spacing w:after="180" w:line="292" w:lineRule="auto"/>
        <w:rPr>
          <w:rFonts w:asciiTheme="majorBidi" w:eastAsia="Georgia" w:hAnsiTheme="majorBidi" w:cstheme="majorBidi"/>
          <w:b/>
          <w:bCs/>
          <w:color w:val="419844"/>
          <w:lang w:val="en-CA" w:eastAsia="en-GB"/>
        </w:rPr>
      </w:pPr>
    </w:p>
    <w:p w14:paraId="5A8D5FE6" w14:textId="77777777" w:rsidR="00B009ED" w:rsidRDefault="00B009ED" w:rsidP="005F0A67">
      <w:pPr>
        <w:tabs>
          <w:tab w:val="clear" w:pos="567"/>
          <w:tab w:val="clear" w:pos="1134"/>
          <w:tab w:val="clear" w:pos="1701"/>
          <w:tab w:val="clear" w:pos="2268"/>
        </w:tabs>
        <w:spacing w:after="180" w:line="292" w:lineRule="auto"/>
        <w:rPr>
          <w:rFonts w:asciiTheme="majorBidi" w:eastAsia="Georgia" w:hAnsiTheme="majorBidi" w:cstheme="majorBidi"/>
          <w:b/>
          <w:bCs/>
          <w:color w:val="419844"/>
          <w:lang w:val="en-CA" w:eastAsia="en-GB"/>
        </w:rPr>
      </w:pPr>
    </w:p>
    <w:p w14:paraId="5EEFE4C3" w14:textId="77777777" w:rsidR="00B009ED" w:rsidRDefault="00B009ED" w:rsidP="005F0A67">
      <w:pPr>
        <w:tabs>
          <w:tab w:val="clear" w:pos="567"/>
          <w:tab w:val="clear" w:pos="1134"/>
          <w:tab w:val="clear" w:pos="1701"/>
          <w:tab w:val="clear" w:pos="2268"/>
        </w:tabs>
        <w:spacing w:after="180" w:line="292" w:lineRule="auto"/>
        <w:rPr>
          <w:rFonts w:asciiTheme="majorBidi" w:eastAsia="Georgia" w:hAnsiTheme="majorBidi" w:cstheme="majorBidi"/>
          <w:b/>
          <w:bCs/>
          <w:color w:val="419844"/>
          <w:lang w:val="en-CA" w:eastAsia="en-GB"/>
        </w:rPr>
      </w:pPr>
    </w:p>
    <w:p w14:paraId="7A872A58" w14:textId="77777777" w:rsidR="00B009ED" w:rsidRDefault="00B009ED" w:rsidP="005F0A67">
      <w:pPr>
        <w:tabs>
          <w:tab w:val="clear" w:pos="567"/>
          <w:tab w:val="clear" w:pos="1134"/>
          <w:tab w:val="clear" w:pos="1701"/>
          <w:tab w:val="clear" w:pos="2268"/>
        </w:tabs>
        <w:spacing w:after="180" w:line="292" w:lineRule="auto"/>
        <w:rPr>
          <w:rFonts w:asciiTheme="majorBidi" w:eastAsia="Georgia" w:hAnsiTheme="majorBidi" w:cstheme="majorBidi"/>
          <w:b/>
          <w:bCs/>
          <w:color w:val="419844"/>
          <w:lang w:val="en-CA" w:eastAsia="en-GB"/>
        </w:rPr>
      </w:pPr>
    </w:p>
    <w:p w14:paraId="2A435A75" w14:textId="77777777" w:rsidR="00B009ED" w:rsidRDefault="00B009ED" w:rsidP="005F0A67">
      <w:pPr>
        <w:tabs>
          <w:tab w:val="clear" w:pos="567"/>
          <w:tab w:val="clear" w:pos="1134"/>
          <w:tab w:val="clear" w:pos="1701"/>
          <w:tab w:val="clear" w:pos="2268"/>
        </w:tabs>
        <w:spacing w:after="180" w:line="292" w:lineRule="auto"/>
        <w:rPr>
          <w:rFonts w:asciiTheme="majorBidi" w:eastAsia="Georgia" w:hAnsiTheme="majorBidi" w:cstheme="majorBidi"/>
          <w:b/>
          <w:bCs/>
          <w:color w:val="419844"/>
          <w:lang w:val="en-CA" w:eastAsia="en-GB"/>
        </w:rPr>
      </w:pPr>
    </w:p>
    <w:p w14:paraId="049BF5CF" w14:textId="77777777" w:rsidR="00B009ED" w:rsidRDefault="00B009ED" w:rsidP="005F0A67">
      <w:pPr>
        <w:tabs>
          <w:tab w:val="clear" w:pos="567"/>
          <w:tab w:val="clear" w:pos="1134"/>
          <w:tab w:val="clear" w:pos="1701"/>
          <w:tab w:val="clear" w:pos="2268"/>
        </w:tabs>
        <w:spacing w:after="180" w:line="292" w:lineRule="auto"/>
        <w:rPr>
          <w:rFonts w:asciiTheme="majorBidi" w:eastAsia="Georgia" w:hAnsiTheme="majorBidi" w:cstheme="majorBidi"/>
          <w:b/>
          <w:bCs/>
          <w:color w:val="419844"/>
          <w:lang w:val="en-CA" w:eastAsia="en-GB"/>
        </w:rPr>
      </w:pPr>
    </w:p>
    <w:p w14:paraId="071417D9" w14:textId="77777777" w:rsidR="00B009ED" w:rsidRDefault="00B009ED" w:rsidP="005F0A67">
      <w:pPr>
        <w:tabs>
          <w:tab w:val="clear" w:pos="567"/>
          <w:tab w:val="clear" w:pos="1134"/>
          <w:tab w:val="clear" w:pos="1701"/>
          <w:tab w:val="clear" w:pos="2268"/>
        </w:tabs>
        <w:spacing w:after="180" w:line="292" w:lineRule="auto"/>
        <w:rPr>
          <w:rFonts w:asciiTheme="majorBidi" w:eastAsia="Georgia" w:hAnsiTheme="majorBidi" w:cstheme="majorBidi"/>
          <w:b/>
          <w:bCs/>
          <w:color w:val="419844"/>
          <w:lang w:val="en-CA" w:eastAsia="en-GB"/>
        </w:rPr>
      </w:pPr>
    </w:p>
    <w:p w14:paraId="3D970F5F" w14:textId="77777777" w:rsidR="00B009ED" w:rsidRDefault="00B009ED" w:rsidP="005F0A67">
      <w:pPr>
        <w:tabs>
          <w:tab w:val="clear" w:pos="567"/>
          <w:tab w:val="clear" w:pos="1134"/>
          <w:tab w:val="clear" w:pos="1701"/>
          <w:tab w:val="clear" w:pos="2268"/>
        </w:tabs>
        <w:spacing w:after="180" w:line="292" w:lineRule="auto"/>
        <w:rPr>
          <w:rFonts w:asciiTheme="majorBidi" w:eastAsia="Georgia" w:hAnsiTheme="majorBidi" w:cstheme="majorBidi"/>
          <w:b/>
          <w:bCs/>
          <w:color w:val="419844"/>
          <w:lang w:val="en-CA" w:eastAsia="en-GB"/>
        </w:rPr>
      </w:pPr>
    </w:p>
    <w:p w14:paraId="0BD1D426" w14:textId="77777777" w:rsidR="00B009ED" w:rsidRDefault="00B009ED" w:rsidP="005F0A67">
      <w:pPr>
        <w:tabs>
          <w:tab w:val="clear" w:pos="567"/>
          <w:tab w:val="clear" w:pos="1134"/>
          <w:tab w:val="clear" w:pos="1701"/>
          <w:tab w:val="clear" w:pos="2268"/>
        </w:tabs>
        <w:spacing w:after="180" w:line="292" w:lineRule="auto"/>
        <w:rPr>
          <w:rFonts w:asciiTheme="majorBidi" w:eastAsia="Georgia" w:hAnsiTheme="majorBidi" w:cstheme="majorBidi"/>
          <w:b/>
          <w:bCs/>
          <w:color w:val="419844"/>
          <w:lang w:val="en-CA" w:eastAsia="en-GB"/>
        </w:rPr>
      </w:pPr>
    </w:p>
    <w:p w14:paraId="3D90A3E3" w14:textId="77777777" w:rsidR="00B009ED" w:rsidRDefault="00B009ED" w:rsidP="005F0A67">
      <w:pPr>
        <w:tabs>
          <w:tab w:val="clear" w:pos="567"/>
          <w:tab w:val="clear" w:pos="1134"/>
          <w:tab w:val="clear" w:pos="1701"/>
          <w:tab w:val="clear" w:pos="2268"/>
        </w:tabs>
        <w:spacing w:after="180" w:line="292" w:lineRule="auto"/>
        <w:rPr>
          <w:rFonts w:asciiTheme="majorBidi" w:eastAsia="Georgia" w:hAnsiTheme="majorBidi" w:cstheme="majorBidi"/>
          <w:b/>
          <w:bCs/>
          <w:color w:val="419844"/>
          <w:lang w:val="en-CA" w:eastAsia="en-GB"/>
        </w:rPr>
      </w:pPr>
    </w:p>
    <w:p w14:paraId="7A0CCA82" w14:textId="77777777" w:rsidR="00B009ED" w:rsidRDefault="00B009ED" w:rsidP="005F0A67">
      <w:pPr>
        <w:tabs>
          <w:tab w:val="clear" w:pos="567"/>
          <w:tab w:val="clear" w:pos="1134"/>
          <w:tab w:val="clear" w:pos="1701"/>
          <w:tab w:val="clear" w:pos="2268"/>
        </w:tabs>
        <w:spacing w:after="180" w:line="292" w:lineRule="auto"/>
        <w:rPr>
          <w:rFonts w:asciiTheme="majorBidi" w:eastAsia="Georgia" w:hAnsiTheme="majorBidi" w:cstheme="majorBidi"/>
          <w:b/>
          <w:bCs/>
          <w:color w:val="419844"/>
          <w:lang w:val="en-CA" w:eastAsia="en-GB"/>
        </w:rPr>
      </w:pPr>
    </w:p>
    <w:p w14:paraId="30861AD1" w14:textId="77777777" w:rsidR="00B009ED" w:rsidRDefault="00B009ED" w:rsidP="005F0A67">
      <w:pPr>
        <w:tabs>
          <w:tab w:val="clear" w:pos="567"/>
          <w:tab w:val="clear" w:pos="1134"/>
          <w:tab w:val="clear" w:pos="1701"/>
          <w:tab w:val="clear" w:pos="2268"/>
        </w:tabs>
        <w:spacing w:after="180" w:line="292" w:lineRule="auto"/>
        <w:rPr>
          <w:rFonts w:asciiTheme="majorBidi" w:eastAsia="Georgia" w:hAnsiTheme="majorBidi" w:cstheme="majorBidi"/>
          <w:b/>
          <w:bCs/>
          <w:color w:val="419844"/>
          <w:lang w:val="en-CA" w:eastAsia="en-GB"/>
        </w:rPr>
      </w:pPr>
    </w:p>
    <w:p w14:paraId="6C6A60F6" w14:textId="77777777" w:rsidR="00B009ED" w:rsidRDefault="00B009ED" w:rsidP="005F0A67">
      <w:pPr>
        <w:tabs>
          <w:tab w:val="clear" w:pos="567"/>
          <w:tab w:val="clear" w:pos="1134"/>
          <w:tab w:val="clear" w:pos="1701"/>
          <w:tab w:val="clear" w:pos="2268"/>
        </w:tabs>
        <w:spacing w:after="180" w:line="292" w:lineRule="auto"/>
        <w:rPr>
          <w:rFonts w:asciiTheme="majorBidi" w:eastAsia="Georgia" w:hAnsiTheme="majorBidi" w:cstheme="majorBidi"/>
          <w:b/>
          <w:bCs/>
          <w:color w:val="419844"/>
          <w:lang w:val="en-CA" w:eastAsia="en-GB"/>
        </w:rPr>
      </w:pPr>
    </w:p>
    <w:p w14:paraId="46BA0155" w14:textId="77777777" w:rsidR="00B009ED" w:rsidRDefault="00B009ED" w:rsidP="005F0A67">
      <w:pPr>
        <w:tabs>
          <w:tab w:val="clear" w:pos="567"/>
          <w:tab w:val="clear" w:pos="1134"/>
          <w:tab w:val="clear" w:pos="1701"/>
          <w:tab w:val="clear" w:pos="2268"/>
        </w:tabs>
        <w:spacing w:after="180" w:line="292" w:lineRule="auto"/>
        <w:rPr>
          <w:rFonts w:asciiTheme="majorBidi" w:eastAsia="Georgia" w:hAnsiTheme="majorBidi" w:cstheme="majorBidi"/>
          <w:b/>
          <w:bCs/>
          <w:color w:val="419844"/>
          <w:lang w:val="en-CA" w:eastAsia="en-GB"/>
        </w:rPr>
      </w:pPr>
    </w:p>
    <w:p w14:paraId="1E90C0AF" w14:textId="77777777" w:rsidR="00B009ED" w:rsidRDefault="00B009ED" w:rsidP="005F0A67">
      <w:pPr>
        <w:tabs>
          <w:tab w:val="clear" w:pos="567"/>
          <w:tab w:val="clear" w:pos="1134"/>
          <w:tab w:val="clear" w:pos="1701"/>
          <w:tab w:val="clear" w:pos="2268"/>
        </w:tabs>
        <w:spacing w:after="180" w:line="292" w:lineRule="auto"/>
        <w:rPr>
          <w:rFonts w:asciiTheme="majorBidi" w:eastAsia="Georgia" w:hAnsiTheme="majorBidi" w:cstheme="majorBidi"/>
          <w:b/>
          <w:bCs/>
          <w:color w:val="419844"/>
          <w:lang w:val="en-CA" w:eastAsia="en-GB"/>
        </w:rPr>
      </w:pPr>
    </w:p>
    <w:p w14:paraId="6EA482CB" w14:textId="5460BF1E" w:rsidR="005F0A67" w:rsidRPr="005F0A67" w:rsidRDefault="005F0A67" w:rsidP="005F0A67">
      <w:pPr>
        <w:tabs>
          <w:tab w:val="clear" w:pos="567"/>
          <w:tab w:val="clear" w:pos="1134"/>
          <w:tab w:val="clear" w:pos="1701"/>
          <w:tab w:val="clear" w:pos="2268"/>
        </w:tabs>
        <w:spacing w:after="180" w:line="292" w:lineRule="auto"/>
        <w:rPr>
          <w:rFonts w:asciiTheme="majorBidi" w:eastAsia="Georgia" w:hAnsiTheme="majorBidi" w:cstheme="majorBidi"/>
          <w:b/>
          <w:bCs/>
          <w:color w:val="419844"/>
          <w:lang w:val="en-CA" w:eastAsia="en-GB"/>
        </w:rPr>
      </w:pPr>
      <w:r w:rsidRPr="005F0A67">
        <w:rPr>
          <w:rFonts w:asciiTheme="majorBidi" w:eastAsia="Georgia" w:hAnsiTheme="majorBidi" w:cstheme="majorBidi"/>
          <w:b/>
          <w:bCs/>
          <w:color w:val="419844"/>
          <w:lang w:val="en-CA" w:eastAsia="en-GB"/>
        </w:rPr>
        <w:lastRenderedPageBreak/>
        <w:t xml:space="preserve">Table </w:t>
      </w:r>
      <w:r w:rsidRPr="005F0A67">
        <w:rPr>
          <w:rFonts w:asciiTheme="majorBidi" w:eastAsia="Georgia" w:hAnsiTheme="majorBidi" w:cstheme="majorBidi"/>
          <w:b/>
          <w:bCs/>
          <w:i/>
          <w:iCs/>
          <w:color w:val="419844"/>
          <w:lang w:eastAsia="en-GB"/>
        </w:rPr>
        <w:fldChar w:fldCharType="begin"/>
      </w:r>
      <w:r w:rsidRPr="005F0A67">
        <w:rPr>
          <w:rFonts w:asciiTheme="majorBidi" w:eastAsia="Georgia" w:hAnsiTheme="majorBidi" w:cstheme="majorBidi"/>
          <w:b/>
          <w:bCs/>
          <w:color w:val="419844"/>
          <w:lang w:eastAsia="en-GB"/>
        </w:rPr>
        <w:instrText xml:space="preserve"> SEQ Table \* ARABIC </w:instrText>
      </w:r>
      <w:r w:rsidRPr="005F0A67">
        <w:rPr>
          <w:rFonts w:asciiTheme="majorBidi" w:eastAsia="Georgia" w:hAnsiTheme="majorBidi" w:cstheme="majorBidi"/>
          <w:b/>
          <w:bCs/>
          <w:i/>
          <w:iCs/>
          <w:color w:val="419844"/>
          <w:lang w:eastAsia="en-GB"/>
        </w:rPr>
        <w:fldChar w:fldCharType="separate"/>
      </w:r>
      <w:r w:rsidRPr="005F0A67">
        <w:rPr>
          <w:rFonts w:asciiTheme="majorBidi" w:eastAsia="Georgia" w:hAnsiTheme="majorBidi" w:cstheme="majorBidi"/>
          <w:b/>
          <w:bCs/>
          <w:noProof/>
          <w:color w:val="419844"/>
          <w:lang w:eastAsia="en-GB"/>
        </w:rPr>
        <w:t>32</w:t>
      </w:r>
      <w:r w:rsidRPr="005F0A67">
        <w:rPr>
          <w:rFonts w:asciiTheme="majorBidi" w:eastAsia="Georgia" w:hAnsiTheme="majorBidi" w:cstheme="majorBidi"/>
          <w:b/>
          <w:bCs/>
          <w:i/>
          <w:iCs/>
          <w:color w:val="419844"/>
          <w:lang w:eastAsia="en-GB"/>
        </w:rPr>
        <w:fldChar w:fldCharType="end"/>
      </w:r>
      <w:r w:rsidRPr="005F0A67">
        <w:rPr>
          <w:rFonts w:asciiTheme="majorBidi" w:eastAsia="Georgia" w:hAnsiTheme="majorBidi" w:cstheme="majorBidi"/>
          <w:b/>
          <w:bCs/>
          <w:i/>
          <w:iCs/>
          <w:color w:val="419844"/>
          <w:lang w:eastAsia="en-GB"/>
        </w:rPr>
        <w:t xml:space="preserve"> </w:t>
      </w:r>
      <w:bookmarkEnd w:id="220"/>
      <w:r w:rsidRPr="005F0A67">
        <w:rPr>
          <w:rFonts w:asciiTheme="majorBidi" w:eastAsia="Georgia" w:hAnsiTheme="majorBidi" w:cstheme="majorBidi"/>
          <w:b/>
          <w:bCs/>
          <w:color w:val="419844"/>
          <w:lang w:val="en-CA" w:eastAsia="en-GB"/>
        </w:rPr>
        <w:t>Pillar III: international competitiveness impacts materiality assessment - Animal and plant breeding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09"/>
        <w:gridCol w:w="1483"/>
        <w:gridCol w:w="1163"/>
        <w:gridCol w:w="1185"/>
        <w:gridCol w:w="5359"/>
        <w:gridCol w:w="1179"/>
      </w:tblGrid>
      <w:tr w:rsidR="005F0A67" w:rsidRPr="005F0A67" w14:paraId="1B9D17AB" w14:textId="77777777" w:rsidTr="00FB671B">
        <w:tc>
          <w:tcPr>
            <w:tcW w:w="1210" w:type="pct"/>
            <w:tcBorders>
              <w:top w:val="single" w:sz="1" w:space="0" w:color="AAAAAA"/>
              <w:left w:val="single" w:sz="1" w:space="0" w:color="AAAAAA"/>
              <w:right w:val="single" w:sz="1" w:space="0" w:color="AAAAAA"/>
            </w:tcBorders>
            <w:shd w:val="clear" w:color="auto" w:fill="1F4E6B"/>
            <w:tcMar>
              <w:top w:w="60" w:type="dxa"/>
              <w:left w:w="100" w:type="dxa"/>
              <w:bottom w:w="60" w:type="dxa"/>
              <w:right w:w="100" w:type="dxa"/>
            </w:tcMar>
          </w:tcPr>
          <w:p w14:paraId="383A85E1"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color w:val="FFFFFF"/>
                <w:sz w:val="18"/>
                <w:szCs w:val="18"/>
                <w:lang w:val="en-CA" w:eastAsia="en-GB"/>
              </w:rPr>
              <w:t>Impact</w:t>
            </w:r>
          </w:p>
        </w:tc>
        <w:tc>
          <w:tcPr>
            <w:tcW w:w="542" w:type="pct"/>
            <w:tcBorders>
              <w:top w:val="single" w:sz="1" w:space="0" w:color="AAAAAA"/>
              <w:left w:val="single" w:sz="1" w:space="0" w:color="AAAAAA"/>
              <w:right w:val="single" w:sz="1" w:space="0" w:color="AAAAAA"/>
            </w:tcBorders>
            <w:shd w:val="clear" w:color="auto" w:fill="1F4E6B"/>
            <w:tcMar>
              <w:top w:w="60" w:type="dxa"/>
              <w:left w:w="100" w:type="dxa"/>
              <w:bottom w:w="60" w:type="dxa"/>
              <w:right w:w="100" w:type="dxa"/>
            </w:tcMar>
          </w:tcPr>
          <w:p w14:paraId="382EE460"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color w:val="FFFFFF"/>
                <w:sz w:val="18"/>
                <w:szCs w:val="18"/>
                <w:lang w:val="en-CA" w:eastAsia="en-GB"/>
              </w:rPr>
              <w:t>Firm type</w:t>
            </w:r>
          </w:p>
        </w:tc>
        <w:tc>
          <w:tcPr>
            <w:tcW w:w="425" w:type="pct"/>
            <w:tcBorders>
              <w:top w:val="single" w:sz="1" w:space="0" w:color="AAAAAA"/>
              <w:left w:val="single" w:sz="1" w:space="0" w:color="AAAAAA"/>
              <w:right w:val="single" w:sz="1" w:space="0" w:color="AAAAAA"/>
            </w:tcBorders>
            <w:shd w:val="clear" w:color="auto" w:fill="1F4E6B"/>
            <w:tcMar>
              <w:top w:w="60" w:type="dxa"/>
              <w:left w:w="100" w:type="dxa"/>
              <w:bottom w:w="60" w:type="dxa"/>
              <w:right w:w="100" w:type="dxa"/>
            </w:tcMar>
          </w:tcPr>
          <w:p w14:paraId="79FC1655"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color w:val="FFFFFF"/>
                <w:sz w:val="18"/>
                <w:szCs w:val="18"/>
                <w:lang w:val="en-CA" w:eastAsia="en-GB"/>
              </w:rPr>
              <w:t>Magnitude</w:t>
            </w:r>
          </w:p>
        </w:tc>
        <w:tc>
          <w:tcPr>
            <w:tcW w:w="433" w:type="pct"/>
            <w:tcBorders>
              <w:top w:val="single" w:sz="1" w:space="0" w:color="AAAAAA"/>
              <w:left w:val="single" w:sz="1" w:space="0" w:color="AAAAAA"/>
              <w:right w:val="single" w:sz="1" w:space="0" w:color="AAAAAA"/>
            </w:tcBorders>
            <w:shd w:val="clear" w:color="auto" w:fill="1F4E6B"/>
            <w:tcMar>
              <w:top w:w="60" w:type="dxa"/>
              <w:left w:w="100" w:type="dxa"/>
              <w:bottom w:w="60" w:type="dxa"/>
              <w:right w:w="100" w:type="dxa"/>
            </w:tcMar>
          </w:tcPr>
          <w:p w14:paraId="56F1A474"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color w:val="FFFFFF"/>
                <w:sz w:val="18"/>
                <w:szCs w:val="18"/>
                <w:lang w:val="en-CA" w:eastAsia="en-GB"/>
              </w:rPr>
              <w:t>Probability</w:t>
            </w:r>
          </w:p>
        </w:tc>
        <w:tc>
          <w:tcPr>
            <w:tcW w:w="1959" w:type="pct"/>
            <w:tcBorders>
              <w:top w:val="single" w:sz="1" w:space="0" w:color="AAAAAA"/>
              <w:left w:val="single" w:sz="1" w:space="0" w:color="AAAAAA"/>
              <w:right w:val="single" w:sz="1" w:space="0" w:color="AAAAAA"/>
            </w:tcBorders>
            <w:shd w:val="clear" w:color="auto" w:fill="1F4E6B"/>
            <w:tcMar>
              <w:top w:w="60" w:type="dxa"/>
              <w:left w:w="100" w:type="dxa"/>
              <w:bottom w:w="60" w:type="dxa"/>
              <w:right w:w="100" w:type="dxa"/>
            </w:tcMar>
          </w:tcPr>
          <w:p w14:paraId="0F3ECD6F"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color w:val="FFFFFF"/>
                <w:sz w:val="18"/>
                <w:szCs w:val="18"/>
                <w:lang w:val="en-CA" w:eastAsia="en-GB"/>
              </w:rPr>
              <w:t>Key conditions</w:t>
            </w:r>
          </w:p>
        </w:tc>
        <w:tc>
          <w:tcPr>
            <w:tcW w:w="431" w:type="pct"/>
            <w:tcBorders>
              <w:top w:val="single" w:sz="1" w:space="0" w:color="AAAAAA"/>
              <w:left w:val="single" w:sz="1" w:space="0" w:color="AAAAAA"/>
              <w:right w:val="single" w:sz="1" w:space="0" w:color="AAAAAA"/>
            </w:tcBorders>
            <w:shd w:val="clear" w:color="auto" w:fill="1F4E6B"/>
            <w:tcMar>
              <w:top w:w="60" w:type="dxa"/>
              <w:left w:w="100" w:type="dxa"/>
              <w:bottom w:w="60" w:type="dxa"/>
              <w:right w:w="100" w:type="dxa"/>
            </w:tcMar>
          </w:tcPr>
          <w:p w14:paraId="775BE640"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color w:val="FFFFFF"/>
                <w:sz w:val="18"/>
                <w:szCs w:val="18"/>
                <w:lang w:val="en-CA" w:eastAsia="en-GB"/>
              </w:rPr>
              <w:t>Materiality</w:t>
            </w:r>
          </w:p>
        </w:tc>
      </w:tr>
      <w:tr w:rsidR="005F0A67" w:rsidRPr="005F0A67" w14:paraId="3111E577" w14:textId="77777777" w:rsidTr="005F0A67">
        <w:tc>
          <w:tcPr>
            <w:tcW w:w="1210" w:type="pct"/>
            <w:vMerge w:val="restar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74A1BCAE"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b/>
                <w:bCs/>
                <w:sz w:val="18"/>
                <w:szCs w:val="18"/>
                <w:lang w:val="en-CA" w:eastAsia="en-GB"/>
              </w:rPr>
              <w:t>Competitive position vs non-Party competitors</w:t>
            </w:r>
            <w:r w:rsidRPr="005F0A67">
              <w:rPr>
                <w:rFonts w:asciiTheme="majorBidi" w:eastAsia="Times New Roman" w:hAnsiTheme="majorBidi" w:cstheme="majorBidi"/>
                <w:sz w:val="18"/>
                <w:szCs w:val="18"/>
                <w:lang w:val="en-CA" w:eastAsia="en-GB"/>
              </w:rPr>
              <w:t xml:space="preserve"> </w:t>
            </w:r>
          </w:p>
          <w:p w14:paraId="7BD05CF0"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 xml:space="preserve">Direct cost asymmetry with competitors headquartered in non-CBD-Party jurisdictions. The US dominates the global seed market, with the top five companies capturing 42.5% of global sales (Global Market Insights, 2026b). North America accounts for the largest share of global animal genetics supply (Grand View Research, 2026). Competitiveness risks arise primarily where non-Party rivals are close commercial substitutes (Fowlie, 2009; </w:t>
            </w:r>
            <w:proofErr w:type="spellStart"/>
            <w:r w:rsidRPr="005F0A67">
              <w:rPr>
                <w:rFonts w:asciiTheme="majorBidi" w:eastAsia="Times New Roman" w:hAnsiTheme="majorBidi" w:cstheme="majorBidi"/>
                <w:sz w:val="18"/>
                <w:szCs w:val="18"/>
                <w:lang w:val="en-CA" w:eastAsia="en-GB"/>
              </w:rPr>
              <w:t>Dechezlepretre</w:t>
            </w:r>
            <w:proofErr w:type="spellEnd"/>
            <w:r w:rsidRPr="005F0A67">
              <w:rPr>
                <w:rFonts w:asciiTheme="majorBidi" w:eastAsia="Times New Roman" w:hAnsiTheme="majorBidi" w:cstheme="majorBidi"/>
                <w:sz w:val="18"/>
                <w:szCs w:val="18"/>
                <w:lang w:val="en-CA" w:eastAsia="en-GB"/>
              </w:rPr>
              <w:t xml:space="preserve"> and Sato, 2017).</w:t>
            </w: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038A5B9A"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Plant breeders (large seed multinationals)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6DE8D286"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Moderate</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17E145A2"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High</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38392182"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US dominance in global seed market (42.5% top five market share, Global Market Insights, 2026b); direct competition with US-headquartered seed multinationals not subject to equivalent Cali Fund obligations; asymmetry permanent under current mechanism design; national implementation divergence (U8).</w:t>
            </w:r>
          </w:p>
        </w:tc>
        <w:tc>
          <w:tcPr>
            <w:tcW w:w="431" w:type="pct"/>
            <w:tcBorders>
              <w:top w:val="single" w:sz="1" w:space="0" w:color="AAAAAA"/>
              <w:left w:val="single" w:sz="1" w:space="0" w:color="AAAAAA"/>
              <w:right w:val="single" w:sz="1" w:space="0" w:color="AAAAAA"/>
            </w:tcBorders>
            <w:shd w:val="clear" w:color="auto" w:fill="FFDCD8"/>
            <w:tcMar>
              <w:top w:w="60" w:type="dxa"/>
              <w:left w:w="100" w:type="dxa"/>
              <w:bottom w:w="60" w:type="dxa"/>
              <w:right w:w="100" w:type="dxa"/>
            </w:tcMar>
          </w:tcPr>
          <w:p w14:paraId="02C740E9"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High</w:t>
            </w:r>
          </w:p>
        </w:tc>
      </w:tr>
      <w:tr w:rsidR="005F0A67" w:rsidRPr="005F0A67" w14:paraId="791565D6" w14:textId="77777777" w:rsidTr="005F0A67">
        <w:tc>
          <w:tcPr>
            <w:tcW w:w="1210" w:type="pct"/>
            <w:vMerge/>
            <w:tcMar>
              <w:top w:w="60" w:type="dxa"/>
              <w:left w:w="100" w:type="dxa"/>
              <w:bottom w:w="60" w:type="dxa"/>
              <w:right w:w="100" w:type="dxa"/>
            </w:tcMar>
          </w:tcPr>
          <w:p w14:paraId="169CD044"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18EE7681"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Plant breeders (vegetable and horticultural)</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0F44F661"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63AC8D9A"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Medium</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6DC126C8"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More fragmented market with higher proportion of CBD Party-based competitors; US dominance less pronounced than in field crops; non-Party exposure varies by crop and market. National implementation divergence (U8).</w:t>
            </w:r>
          </w:p>
        </w:tc>
        <w:tc>
          <w:tcPr>
            <w:tcW w:w="431" w:type="pct"/>
            <w:tcBorders>
              <w:top w:val="single" w:sz="1" w:space="0" w:color="AAAAAA"/>
              <w:left w:val="single" w:sz="1" w:space="0" w:color="AAAAAA"/>
              <w:right w:val="single" w:sz="1" w:space="0" w:color="AAAAAA"/>
            </w:tcBorders>
            <w:shd w:val="clear" w:color="auto" w:fill="D9F3D0"/>
            <w:tcMar>
              <w:top w:w="60" w:type="dxa"/>
              <w:left w:w="100" w:type="dxa"/>
              <w:bottom w:w="60" w:type="dxa"/>
              <w:right w:w="100" w:type="dxa"/>
            </w:tcMar>
          </w:tcPr>
          <w:p w14:paraId="25F9BEB1"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Low</w:t>
            </w:r>
          </w:p>
        </w:tc>
      </w:tr>
      <w:tr w:rsidR="005F0A67" w:rsidRPr="005F0A67" w14:paraId="1DC47C7B" w14:textId="77777777" w:rsidTr="005F0A67">
        <w:tc>
          <w:tcPr>
            <w:tcW w:w="1210" w:type="pct"/>
            <w:vMerge/>
            <w:tcMar>
              <w:top w:w="60" w:type="dxa"/>
              <w:left w:w="100" w:type="dxa"/>
              <w:bottom w:w="60" w:type="dxa"/>
              <w:right w:w="100" w:type="dxa"/>
            </w:tcMar>
          </w:tcPr>
          <w:p w14:paraId="44F0C544"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63CCABBA"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Animal breeders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3DE4D93C"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Moderate</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0F6EA466"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Medium</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22A5891D"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North America's dominant share of global animal genetics supply creates material non-Party asymmetry (Grand View Research, 2026); inference from global genetics trade structure rather than direct empirical evidence (Martyniuk and Haska, 2021). National implementation divergence (U8).</w:t>
            </w:r>
          </w:p>
        </w:tc>
        <w:tc>
          <w:tcPr>
            <w:tcW w:w="431" w:type="pct"/>
            <w:tcBorders>
              <w:top w:val="single" w:sz="1" w:space="0" w:color="AAAAAA"/>
              <w:left w:val="single" w:sz="1" w:space="0" w:color="AAAAAA"/>
              <w:right w:val="single" w:sz="1" w:space="0" w:color="AAAAAA"/>
            </w:tcBorders>
            <w:shd w:val="clear" w:color="auto" w:fill="FEF9CC"/>
            <w:tcMar>
              <w:top w:w="60" w:type="dxa"/>
              <w:left w:w="100" w:type="dxa"/>
              <w:bottom w:w="60" w:type="dxa"/>
              <w:right w:w="100" w:type="dxa"/>
            </w:tcMar>
          </w:tcPr>
          <w:p w14:paraId="4389EFE2"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Moderate</w:t>
            </w:r>
          </w:p>
        </w:tc>
      </w:tr>
      <w:tr w:rsidR="005F0A67" w:rsidRPr="005F0A67" w14:paraId="08E7A8E7" w14:textId="77777777" w:rsidTr="005F0A67">
        <w:tc>
          <w:tcPr>
            <w:tcW w:w="1210" w:type="pct"/>
            <w:vMerge w:val="restar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15E84A2F"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b/>
                <w:bCs/>
                <w:sz w:val="18"/>
                <w:szCs w:val="18"/>
                <w:lang w:val="en-CA" w:eastAsia="en-GB"/>
              </w:rPr>
              <w:t>Export competitiveness</w:t>
            </w:r>
            <w:r w:rsidRPr="005F0A67">
              <w:rPr>
                <w:rFonts w:asciiTheme="majorBidi" w:eastAsia="Times New Roman" w:hAnsiTheme="majorBidi" w:cstheme="majorBidi"/>
                <w:sz w:val="18"/>
                <w:szCs w:val="18"/>
                <w:lang w:val="en-CA" w:eastAsia="en-GB"/>
              </w:rPr>
              <w:t xml:space="preserve"> </w:t>
            </w:r>
          </w:p>
          <w:p w14:paraId="0B72BC34"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Effects on export competitiveness where contribution cost cannot be fully passed through to export customers facing non-Party competition. Seed and genetics trade is global; both plant and animal breeders have significant export activity with price-sensitive agricultural customers.</w:t>
            </w: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4BAAC32C"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Plant breeders (large seed multinationals)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710E563C"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4E0F212D"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Medium</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35788C0C"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Global seed trade with price-sensitive agricultural producer customers; limited pass-through capacity constrains export cost recovery; potential ITPGRFA MLS stacking may compound export burden for crops covered by both instruments (U7). National implementation divergence (U8); rate revision.</w:t>
            </w:r>
          </w:p>
        </w:tc>
        <w:tc>
          <w:tcPr>
            <w:tcW w:w="431" w:type="pct"/>
            <w:tcBorders>
              <w:top w:val="single" w:sz="1" w:space="0" w:color="AAAAAA"/>
              <w:left w:val="single" w:sz="1" w:space="0" w:color="AAAAAA"/>
              <w:right w:val="single" w:sz="1" w:space="0" w:color="AAAAAA"/>
            </w:tcBorders>
            <w:shd w:val="clear" w:color="auto" w:fill="D9F3D0"/>
            <w:tcMar>
              <w:top w:w="60" w:type="dxa"/>
              <w:left w:w="100" w:type="dxa"/>
              <w:bottom w:w="60" w:type="dxa"/>
              <w:right w:w="100" w:type="dxa"/>
            </w:tcMar>
          </w:tcPr>
          <w:p w14:paraId="6CA173E2"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r>
      <w:tr w:rsidR="005F0A67" w:rsidRPr="005F0A67" w14:paraId="43FBDB37" w14:textId="77777777" w:rsidTr="005F0A67">
        <w:tc>
          <w:tcPr>
            <w:tcW w:w="1210" w:type="pct"/>
            <w:vMerge/>
            <w:tcMar>
              <w:top w:w="60" w:type="dxa"/>
              <w:left w:w="100" w:type="dxa"/>
              <w:bottom w:w="60" w:type="dxa"/>
              <w:right w:w="100" w:type="dxa"/>
            </w:tcMar>
          </w:tcPr>
          <w:p w14:paraId="3A476CE0"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6128A7BD"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Plant breeders (vegetable and horticultural)</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6FB7D9BF"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7B29574A"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Medium</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7C06A917"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 xml:space="preserve">Export activity significant for major vegetable seed suppliers; price-sensitive export markets; limited pass-through capacity. National implementation divergence (U8); rate revision; Potential ITPGRFA MLS obligation stacking also applies to vegetable and horticultural crops covered by Annex I or shared voluntarily through the SMTA, though exposure varies by crop and by </w:t>
            </w:r>
            <w:proofErr w:type="spellStart"/>
            <w:r w:rsidRPr="005F0A67">
              <w:rPr>
                <w:rFonts w:asciiTheme="majorBidi" w:eastAsia="Times New Roman" w:hAnsiTheme="majorBidi" w:cstheme="majorBidi"/>
                <w:sz w:val="18"/>
                <w:szCs w:val="18"/>
                <w:lang w:val="en-CA" w:eastAsia="en-GB"/>
              </w:rPr>
              <w:t>genebank</w:t>
            </w:r>
            <w:proofErr w:type="spellEnd"/>
            <w:r w:rsidRPr="005F0A67">
              <w:rPr>
                <w:rFonts w:asciiTheme="majorBidi" w:eastAsia="Times New Roman" w:hAnsiTheme="majorBidi" w:cstheme="majorBidi"/>
                <w:sz w:val="18"/>
                <w:szCs w:val="18"/>
                <w:lang w:val="en-CA" w:eastAsia="en-GB"/>
              </w:rPr>
              <w:t xml:space="preserve"> practice</w:t>
            </w:r>
          </w:p>
        </w:tc>
        <w:tc>
          <w:tcPr>
            <w:tcW w:w="431" w:type="pct"/>
            <w:tcBorders>
              <w:top w:val="single" w:sz="1" w:space="0" w:color="AAAAAA"/>
              <w:left w:val="single" w:sz="1" w:space="0" w:color="AAAAAA"/>
              <w:right w:val="single" w:sz="1" w:space="0" w:color="AAAAAA"/>
            </w:tcBorders>
            <w:shd w:val="clear" w:color="auto" w:fill="D9F3D0"/>
            <w:tcMar>
              <w:top w:w="60" w:type="dxa"/>
              <w:left w:w="100" w:type="dxa"/>
              <w:bottom w:w="60" w:type="dxa"/>
              <w:right w:w="100" w:type="dxa"/>
            </w:tcMar>
          </w:tcPr>
          <w:p w14:paraId="2691D743"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r>
      <w:tr w:rsidR="005F0A67" w:rsidRPr="005F0A67" w14:paraId="68F71316" w14:textId="77777777" w:rsidTr="005F0A67">
        <w:tc>
          <w:tcPr>
            <w:tcW w:w="1210" w:type="pct"/>
            <w:vMerge/>
            <w:tcMar>
              <w:top w:w="60" w:type="dxa"/>
              <w:left w:w="100" w:type="dxa"/>
              <w:bottom w:w="60" w:type="dxa"/>
              <w:right w:w="100" w:type="dxa"/>
            </w:tcMar>
          </w:tcPr>
          <w:p w14:paraId="30159776"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47605279"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Animal breeders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5548C62B"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63E75422"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Medium</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3C938780"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Elite livestock genetics trade highly internationalised; export competitiveness depends on reference population size and genomic data advantage rather than price alone, partially insulating from cost asymmetry; North America supply dominance limits pass-through in destination markets. National implementation divergence (U8); rate revision.</w:t>
            </w:r>
          </w:p>
        </w:tc>
        <w:tc>
          <w:tcPr>
            <w:tcW w:w="431" w:type="pct"/>
            <w:tcBorders>
              <w:top w:val="single" w:sz="1" w:space="0" w:color="AAAAAA"/>
              <w:left w:val="single" w:sz="1" w:space="0" w:color="AAAAAA"/>
              <w:right w:val="single" w:sz="1" w:space="0" w:color="AAAAAA"/>
            </w:tcBorders>
            <w:shd w:val="clear" w:color="auto" w:fill="D9F3D0"/>
            <w:tcMar>
              <w:top w:w="60" w:type="dxa"/>
              <w:left w:w="100" w:type="dxa"/>
              <w:bottom w:w="60" w:type="dxa"/>
              <w:right w:w="100" w:type="dxa"/>
            </w:tcMar>
          </w:tcPr>
          <w:p w14:paraId="02C2099A"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r>
      <w:tr w:rsidR="005F0A67" w:rsidRPr="005F0A67" w14:paraId="5BA1E7A4" w14:textId="77777777" w:rsidTr="003B5C01">
        <w:tc>
          <w:tcPr>
            <w:tcW w:w="1210" w:type="pct"/>
            <w:vMerge w:val="restar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69A43165"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b/>
                <w:bCs/>
                <w:sz w:val="18"/>
                <w:szCs w:val="18"/>
                <w:lang w:val="en-CA" w:eastAsia="en-GB"/>
              </w:rPr>
              <w:t>International standards and regulatory dialogues</w:t>
            </w:r>
            <w:r w:rsidRPr="005F0A67">
              <w:rPr>
                <w:rFonts w:asciiTheme="majorBidi" w:eastAsia="Times New Roman" w:hAnsiTheme="majorBidi" w:cstheme="majorBidi"/>
                <w:sz w:val="18"/>
                <w:szCs w:val="18"/>
                <w:lang w:val="en-CA" w:eastAsia="en-GB"/>
              </w:rPr>
              <w:t xml:space="preserve"> </w:t>
            </w:r>
          </w:p>
          <w:p w14:paraId="5B07F0F1"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 xml:space="preserve">Divergence between the Cali Fund and other DSI-related instruments. Most significant for plant breeders given multi-framework environment navigating </w:t>
            </w:r>
            <w:r w:rsidRPr="005F0A67">
              <w:rPr>
                <w:rFonts w:asciiTheme="majorBidi" w:eastAsia="Times New Roman" w:hAnsiTheme="majorBidi" w:cstheme="majorBidi"/>
                <w:sz w:val="18"/>
                <w:szCs w:val="18"/>
                <w:lang w:val="en-CA" w:eastAsia="en-GB"/>
              </w:rPr>
              <w:lastRenderedPageBreak/>
              <w:t>potential DSI-based ITPGRFA obligations for crops covered by both instruments in the future.</w:t>
            </w: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5AB3340D"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lastRenderedPageBreak/>
              <w:t>Plant breeders (large seed multinationals)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27E0C325"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Moderate</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74AB35E9"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Medium</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674012D2"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Multi-framework environment with ITPGRFA covering physical material under the ITPGRFA's Multilateral System (listed in Annex I (U7); certificate of contribution recognition across frameworks (U6); national implementation divergence (U8); US non-Party competitors not subject to equivalent multi-framework obligations, compounding asymmetry.</w:t>
            </w:r>
          </w:p>
        </w:tc>
        <w:tc>
          <w:tcPr>
            <w:tcW w:w="431" w:type="pct"/>
            <w:tcBorders>
              <w:top w:val="single" w:sz="1" w:space="0" w:color="AAAAAA"/>
              <w:left w:val="single" w:sz="1" w:space="0" w:color="AAAAAA"/>
              <w:right w:val="single" w:sz="1" w:space="0" w:color="AAAAAA"/>
            </w:tcBorders>
            <w:shd w:val="clear" w:color="auto" w:fill="FEF9CD"/>
            <w:tcMar>
              <w:top w:w="60" w:type="dxa"/>
              <w:left w:w="100" w:type="dxa"/>
              <w:bottom w:w="60" w:type="dxa"/>
              <w:right w:w="100" w:type="dxa"/>
            </w:tcMar>
          </w:tcPr>
          <w:p w14:paraId="201EE0C7"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Moderate</w:t>
            </w:r>
          </w:p>
        </w:tc>
      </w:tr>
      <w:tr w:rsidR="005F0A67" w:rsidRPr="005F0A67" w14:paraId="25696362" w14:textId="77777777" w:rsidTr="003B5C01">
        <w:tc>
          <w:tcPr>
            <w:tcW w:w="1210" w:type="pct"/>
            <w:vMerge/>
            <w:tcMar>
              <w:top w:w="60" w:type="dxa"/>
              <w:left w:w="100" w:type="dxa"/>
              <w:bottom w:w="60" w:type="dxa"/>
              <w:right w:w="100" w:type="dxa"/>
            </w:tcMar>
          </w:tcPr>
          <w:p w14:paraId="6D406501"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5A6FBCD1"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Plant breeders (vegetable and horticultural)</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0BAB75AC"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4BCDEF7F"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3669B4D4"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Multi-framework environment with ITPGRFA covering physical material under the ITPGRFA's Multilateral System (listed in Annex I (U7); national implementation divergence (U8).</w:t>
            </w:r>
          </w:p>
        </w:tc>
        <w:tc>
          <w:tcPr>
            <w:tcW w:w="431" w:type="pct"/>
            <w:tcBorders>
              <w:top w:val="single" w:sz="1" w:space="0" w:color="AAAAAA"/>
              <w:left w:val="single" w:sz="1" w:space="0" w:color="AAAAAA"/>
              <w:right w:val="single" w:sz="1" w:space="0" w:color="AAAAAA"/>
            </w:tcBorders>
            <w:shd w:val="clear" w:color="auto" w:fill="FEF9CD"/>
            <w:tcMar>
              <w:top w:w="60" w:type="dxa"/>
              <w:left w:w="100" w:type="dxa"/>
              <w:bottom w:w="60" w:type="dxa"/>
              <w:right w:w="100" w:type="dxa"/>
            </w:tcMar>
          </w:tcPr>
          <w:p w14:paraId="104AECC1"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Moderate</w:t>
            </w:r>
          </w:p>
        </w:tc>
      </w:tr>
      <w:tr w:rsidR="005F0A67" w:rsidRPr="005F0A67" w14:paraId="67B689CB" w14:textId="77777777" w:rsidTr="005F0A67">
        <w:tc>
          <w:tcPr>
            <w:tcW w:w="1210" w:type="pct"/>
            <w:vMerge/>
            <w:tcMar>
              <w:top w:w="60" w:type="dxa"/>
              <w:left w:w="100" w:type="dxa"/>
              <w:bottom w:w="60" w:type="dxa"/>
              <w:right w:w="100" w:type="dxa"/>
            </w:tcMar>
          </w:tcPr>
          <w:p w14:paraId="57167414"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136FF610"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Animal breeders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493F92A3"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26E9545A"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6055D211"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No ITPGRFA overlap; limited multi-framework exposure; national implementation divergence (U8).</w:t>
            </w:r>
          </w:p>
        </w:tc>
        <w:tc>
          <w:tcPr>
            <w:tcW w:w="431" w:type="pct"/>
            <w:tcBorders>
              <w:top w:val="single" w:sz="1" w:space="0" w:color="AAAAAA"/>
              <w:left w:val="single" w:sz="1" w:space="0" w:color="AAAAAA"/>
              <w:right w:val="single" w:sz="1" w:space="0" w:color="AAAAAA"/>
            </w:tcBorders>
            <w:shd w:val="clear" w:color="auto" w:fill="D9F2D0"/>
            <w:tcMar>
              <w:top w:w="60" w:type="dxa"/>
              <w:left w:w="100" w:type="dxa"/>
              <w:bottom w:w="60" w:type="dxa"/>
              <w:right w:w="100" w:type="dxa"/>
            </w:tcMar>
          </w:tcPr>
          <w:p w14:paraId="5768BA0E"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r>
      <w:tr w:rsidR="005F0A67" w:rsidRPr="005F0A67" w14:paraId="40F7AE56" w14:textId="77777777" w:rsidTr="005F0A67">
        <w:tc>
          <w:tcPr>
            <w:tcW w:w="1210" w:type="pct"/>
            <w:vMerge w:val="restar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60D1215D"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b/>
                <w:bCs/>
                <w:sz w:val="18"/>
                <w:szCs w:val="18"/>
                <w:lang w:val="en-CA" w:eastAsia="en-GB"/>
              </w:rPr>
              <w:t>FDI and relocation effects</w:t>
            </w:r>
            <w:r w:rsidRPr="005F0A67">
              <w:rPr>
                <w:rFonts w:asciiTheme="majorBidi" w:eastAsia="Times New Roman" w:hAnsiTheme="majorBidi" w:cstheme="majorBidi"/>
                <w:sz w:val="18"/>
                <w:szCs w:val="18"/>
                <w:lang w:val="en-CA" w:eastAsia="en-GB"/>
              </w:rPr>
              <w:t xml:space="preserve"> </w:t>
            </w:r>
          </w:p>
          <w:p w14:paraId="51F9C6D9"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Effects on R&amp;D and investment location decisions. Primary firm response to a comparable profit burden is spending reduction rather than relocation (Lichter et al., 2025). R&amp;D location effects possible for large seed multinationals with distributed plant breeding research operations, though low probability at indicative rates.</w:t>
            </w: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764E5968"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Plant breeders (large seed multinationals)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36C8DE2C"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53000D55"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440C5D6E"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R&amp;D location effects possible for large seed multinationals with distributed plant breeding research operations; primary response is spending reduction not relocation (Lichter et al., 2025). Rate revision.</w:t>
            </w:r>
          </w:p>
        </w:tc>
        <w:tc>
          <w:tcPr>
            <w:tcW w:w="431" w:type="pct"/>
            <w:tcBorders>
              <w:top w:val="single" w:sz="1" w:space="0" w:color="AAAAAA"/>
              <w:left w:val="single" w:sz="1" w:space="0" w:color="AAAAAA"/>
              <w:right w:val="single" w:sz="1" w:space="0" w:color="AAAAAA"/>
            </w:tcBorders>
            <w:shd w:val="clear" w:color="auto" w:fill="D9F2D0"/>
            <w:tcMar>
              <w:top w:w="60" w:type="dxa"/>
              <w:left w:w="100" w:type="dxa"/>
              <w:bottom w:w="60" w:type="dxa"/>
              <w:right w:w="100" w:type="dxa"/>
            </w:tcMar>
          </w:tcPr>
          <w:p w14:paraId="29691FDA"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r>
      <w:tr w:rsidR="005F0A67" w:rsidRPr="005F0A67" w14:paraId="190BAB77" w14:textId="77777777" w:rsidTr="005F0A67">
        <w:tc>
          <w:tcPr>
            <w:tcW w:w="1210" w:type="pct"/>
            <w:vMerge/>
            <w:tcMar>
              <w:top w:w="60" w:type="dxa"/>
              <w:left w:w="100" w:type="dxa"/>
              <w:bottom w:w="60" w:type="dxa"/>
              <w:right w:w="100" w:type="dxa"/>
            </w:tcMar>
          </w:tcPr>
          <w:p w14:paraId="78E7DF4C"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726E6071"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Plant breeders (vegetable and horticultural)</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0F76B661"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583F6D4C"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1450D015"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Limited R&amp;D base to relocate; local adaptation requirements constrain relocation. Rate revision.</w:t>
            </w:r>
          </w:p>
        </w:tc>
        <w:tc>
          <w:tcPr>
            <w:tcW w:w="431" w:type="pct"/>
            <w:tcBorders>
              <w:top w:val="single" w:sz="1" w:space="0" w:color="AAAAAA"/>
              <w:left w:val="single" w:sz="1" w:space="0" w:color="AAAAAA"/>
              <w:right w:val="single" w:sz="1" w:space="0" w:color="AAAAAA"/>
            </w:tcBorders>
            <w:shd w:val="clear" w:color="auto" w:fill="D9F2D0"/>
            <w:tcMar>
              <w:top w:w="60" w:type="dxa"/>
              <w:left w:w="100" w:type="dxa"/>
              <w:bottom w:w="60" w:type="dxa"/>
              <w:right w:w="100" w:type="dxa"/>
            </w:tcMar>
          </w:tcPr>
          <w:p w14:paraId="7B4B7670"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r>
      <w:tr w:rsidR="005F0A67" w:rsidRPr="005F0A67" w14:paraId="42EFF0F0" w14:textId="77777777" w:rsidTr="005F0A67">
        <w:tc>
          <w:tcPr>
            <w:tcW w:w="1210" w:type="pct"/>
            <w:vMerge/>
            <w:tcMar>
              <w:top w:w="60" w:type="dxa"/>
              <w:left w:w="100" w:type="dxa"/>
              <w:bottom w:w="60" w:type="dxa"/>
              <w:right w:w="100" w:type="dxa"/>
            </w:tcMar>
          </w:tcPr>
          <w:p w14:paraId="6FBDA29C"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59142538"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Animal breeders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74E4BA92"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05D65C18"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0B97AB4F"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Elite line ownership and reference population data are geographically embedded; relocation implausible. Rate revision.</w:t>
            </w:r>
          </w:p>
        </w:tc>
        <w:tc>
          <w:tcPr>
            <w:tcW w:w="431" w:type="pct"/>
            <w:tcBorders>
              <w:top w:val="single" w:sz="1" w:space="0" w:color="AAAAAA"/>
              <w:left w:val="single" w:sz="1" w:space="0" w:color="AAAAAA"/>
              <w:right w:val="single" w:sz="1" w:space="0" w:color="AAAAAA"/>
            </w:tcBorders>
            <w:shd w:val="clear" w:color="auto" w:fill="D9F2D0"/>
            <w:tcMar>
              <w:top w:w="60" w:type="dxa"/>
              <w:left w:w="100" w:type="dxa"/>
              <w:bottom w:w="60" w:type="dxa"/>
              <w:right w:w="100" w:type="dxa"/>
            </w:tcMar>
          </w:tcPr>
          <w:p w14:paraId="5493BE14"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r>
    </w:tbl>
    <w:p w14:paraId="09FB01B4"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Georgia" w:hAnsiTheme="majorBidi" w:cstheme="majorBidi"/>
          <w:b/>
          <w:bCs/>
          <w:color w:val="419844"/>
          <w:lang w:val="en-CA" w:eastAsia="en-GB"/>
        </w:rPr>
      </w:pPr>
    </w:p>
    <w:p w14:paraId="7D7D1A0C"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Georgia" w:hAnsiTheme="majorBidi" w:cstheme="majorBidi"/>
          <w:b/>
          <w:bCs/>
          <w:color w:val="419844"/>
          <w:lang w:val="en-CA" w:eastAsia="en-GB"/>
        </w:rPr>
      </w:pPr>
    </w:p>
    <w:p w14:paraId="435D3F63"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p>
    <w:p w14:paraId="6B558AB6" w14:textId="77777777" w:rsidR="005F0A67" w:rsidRPr="005F0A67" w:rsidRDefault="005F0A67" w:rsidP="005F0A67">
      <w:pPr>
        <w:numPr>
          <w:ilvl w:val="0"/>
          <w:numId w:val="12"/>
        </w:numPr>
        <w:tabs>
          <w:tab w:val="clear" w:pos="567"/>
          <w:tab w:val="clear" w:pos="1134"/>
          <w:tab w:val="clear" w:pos="1701"/>
          <w:tab w:val="clear" w:pos="2268"/>
        </w:tabs>
        <w:spacing w:before="320" w:after="160"/>
        <w:ind w:left="0" w:firstLine="0"/>
        <w:jc w:val="left"/>
        <w:outlineLvl w:val="2"/>
        <w:rPr>
          <w:rFonts w:asciiTheme="majorBidi" w:eastAsia="Arial" w:hAnsiTheme="majorBidi" w:cstheme="majorBidi"/>
          <w:b/>
          <w:bCs/>
          <w:color w:val="7F7F7F"/>
          <w:sz w:val="23"/>
          <w:szCs w:val="23"/>
          <w:lang w:val="en-CA" w:eastAsia="en-GB"/>
        </w:rPr>
        <w:sectPr w:rsidR="005F0A67" w:rsidRPr="005F0A67" w:rsidSect="005F0A67">
          <w:pgSz w:w="15840" w:h="12240" w:orient="landscape"/>
          <w:pgMar w:top="1260" w:right="1080" w:bottom="1260" w:left="1080" w:header="706" w:footer="706" w:gutter="0"/>
          <w:cols w:space="720"/>
          <w:docGrid w:linePitch="360"/>
        </w:sectPr>
      </w:pPr>
    </w:p>
    <w:p w14:paraId="4BB74879" w14:textId="77777777" w:rsidR="005F0A67" w:rsidRPr="005F0A67" w:rsidRDefault="005F0A67" w:rsidP="005F0A67">
      <w:pPr>
        <w:numPr>
          <w:ilvl w:val="1"/>
          <w:numId w:val="12"/>
        </w:numPr>
        <w:tabs>
          <w:tab w:val="clear" w:pos="567"/>
          <w:tab w:val="clear" w:pos="1134"/>
          <w:tab w:val="clear" w:pos="1701"/>
          <w:tab w:val="clear" w:pos="2268"/>
        </w:tabs>
        <w:spacing w:before="320" w:after="160"/>
        <w:ind w:left="576" w:hanging="576"/>
        <w:jc w:val="left"/>
        <w:outlineLvl w:val="1"/>
        <w:rPr>
          <w:rFonts w:asciiTheme="majorBidi" w:eastAsia="Arial" w:hAnsiTheme="majorBidi" w:cstheme="majorBidi"/>
          <w:b/>
          <w:bCs/>
          <w:color w:val="1A1A1A"/>
          <w:sz w:val="23"/>
          <w:szCs w:val="23"/>
          <w:lang w:val="en-CA" w:eastAsia="en-GB"/>
        </w:rPr>
      </w:pPr>
      <w:bookmarkStart w:id="221" w:name="_Toc234579609"/>
      <w:bookmarkEnd w:id="210"/>
      <w:bookmarkEnd w:id="211"/>
      <w:r w:rsidRPr="005F0A67">
        <w:rPr>
          <w:rFonts w:asciiTheme="majorBidi" w:eastAsia="Arial" w:hAnsiTheme="majorBidi" w:cstheme="majorBidi"/>
          <w:b/>
          <w:bCs/>
          <w:color w:val="1A1A1A"/>
          <w:sz w:val="23"/>
          <w:szCs w:val="23"/>
          <w:lang w:val="en-CA" w:eastAsia="en-GB"/>
        </w:rPr>
        <w:lastRenderedPageBreak/>
        <w:t>Nutraceuticals</w:t>
      </w:r>
      <w:bookmarkEnd w:id="221"/>
    </w:p>
    <w:p w14:paraId="51643A93" w14:textId="77777777" w:rsidR="005F0A67" w:rsidRPr="005F0A67" w:rsidRDefault="005F0A67" w:rsidP="00B009ED">
      <w:pPr>
        <w:tabs>
          <w:tab w:val="clear" w:pos="567"/>
          <w:tab w:val="clear" w:pos="1134"/>
          <w:tab w:val="clear" w:pos="1701"/>
          <w:tab w:val="clear" w:pos="2268"/>
        </w:tabs>
        <w:spacing w:before="320" w:after="160"/>
        <w:ind w:left="720"/>
        <w:jc w:val="left"/>
        <w:outlineLvl w:val="2"/>
        <w:rPr>
          <w:rFonts w:asciiTheme="majorBidi" w:eastAsia="Arial" w:hAnsiTheme="majorBidi" w:cstheme="majorBidi"/>
          <w:b/>
          <w:bCs/>
          <w:color w:val="7F7F7F"/>
          <w:sz w:val="23"/>
          <w:szCs w:val="23"/>
          <w:lang w:val="en-CA" w:eastAsia="en-GB"/>
        </w:rPr>
      </w:pPr>
      <w:bookmarkStart w:id="222" w:name="_Ref231771484"/>
      <w:bookmarkStart w:id="223" w:name="_Toc234579610"/>
      <w:r w:rsidRPr="005F0A67">
        <w:rPr>
          <w:rFonts w:asciiTheme="majorBidi" w:eastAsia="Arial" w:hAnsiTheme="majorBidi" w:cstheme="majorBidi"/>
          <w:b/>
          <w:bCs/>
          <w:color w:val="7F7F7F"/>
          <w:sz w:val="23"/>
          <w:szCs w:val="23"/>
          <w:lang w:val="en-CA" w:eastAsia="en-GB"/>
        </w:rPr>
        <w:t>Characterisation of affected firms (steps 1 &amp; 2)</w:t>
      </w:r>
      <w:bookmarkEnd w:id="222"/>
      <w:bookmarkEnd w:id="223"/>
    </w:p>
    <w:p w14:paraId="0D27F378"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The nutraceuticals sector contains 1,513 eligible firms and accounts for 4.7% of estimated contributions, below its 6.5% share under full compliance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_Ref230090932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Table 12</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and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_Ref230109751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Figure 5</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With the lowest median margin of any sector at 4%, virtually all eligible firms pay on profit. The sector's thin margin profile means the profit-base burden is proportionally higher relative to earnings than in most other sectors, despite the low absolute contribution rate.</w:t>
      </w:r>
    </w:p>
    <w:p w14:paraId="50B402CE" w14:textId="77777777" w:rsidR="005F0A67" w:rsidRPr="005F0A67" w:rsidRDefault="005F0A67" w:rsidP="00B009ED">
      <w:pPr>
        <w:tabs>
          <w:tab w:val="clear" w:pos="567"/>
          <w:tab w:val="clear" w:pos="1134"/>
          <w:tab w:val="clear" w:pos="1701"/>
          <w:tab w:val="clear" w:pos="2268"/>
        </w:tabs>
        <w:spacing w:after="120"/>
        <w:jc w:val="left"/>
        <w:outlineLvl w:val="3"/>
        <w:rPr>
          <w:rFonts w:asciiTheme="majorBidi" w:eastAsia="Georgia" w:hAnsiTheme="majorBidi" w:cstheme="majorBidi"/>
          <w:b/>
          <w:bCs/>
          <w:color w:val="0F4761"/>
          <w:lang w:eastAsia="en-GB"/>
        </w:rPr>
      </w:pPr>
      <w:r w:rsidRPr="005F0A67">
        <w:rPr>
          <w:rFonts w:asciiTheme="majorBidi" w:eastAsia="Georgia" w:hAnsiTheme="majorBidi" w:cstheme="majorBidi"/>
          <w:b/>
          <w:bCs/>
          <w:color w:val="0F4761"/>
          <w:lang w:eastAsia="en-GB"/>
        </w:rPr>
        <w:t>Sector and structural features</w:t>
      </w:r>
    </w:p>
    <w:p w14:paraId="24DC8C3A"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The sector is wide-ranging and diverse, covering vitamins and minerals, herbal supplements, functional foods, and probiotic products. For the purpose of this analysis, it is treated as one competitiveness group for the pillar assessments, with two internal distinctions flagged where they are analytically material (botanical supplement producers and probiotic and microbial supplement producers).</w:t>
      </w:r>
    </w:p>
    <w:p w14:paraId="3BFC5C6C"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Across jurisdictions, nutraceutical products may be categorised as foods, natural health products, or therapeutic goods under different regulatory regimes, which makes the regulatory classification a key source of competitive advantage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{"citationID":"bUKMluwh","properties":{"unsorted":false,"formattedCitation":"(Hobbs, Malla and Sogah, 2014; Dwyer, Coates and Smith, 2018; Djaoudene {\\i{}et al.}, 2023)","plainCitation":"(Hobbs, Malla and Sogah, 2014; Dwyer, Coates and Smith, 2018; Djaoudene et al., 2023)","noteIndex":0},"citationItems":[{"id":85,"uris":["http://zotero.org/users/14977742/items/ERDI7TEV"],"itemData":{"id":85,"type":"article-journal","abstract":"Functional foods and supplements (nutraceuticals, natural health products) have emerged as a new category of products offering potential health benefits to consumers. Regulatory environments have evolved to govern the types of health claims that can be made for these products. Regulation needs to balance the imperative of protecting consumers from false and misleading health claims while encouraging research and development into products offering socially beneficial health outcomes. The paper explores the sources of market, and “non-market,” (regulatory) failure related to the consumption and production of healthier foods. The Canadian approach to regulating health claims is compared to regulatory frameworks in the United States, the European Union, Japan, Australia, and New Zealand. The fairly strict Canadian regulatory system, together with the relatively small size of the domestic market, may limit investment in this sector.","citation-key":"hobbsRegulatoryFrameworksFunctional2014","container-title":"Canadian Journal of Agricultural Economics/Revue canadienne d'agroeconomie","DOI":"10.1111/cjag.12051","ISSN":"1744-7976","issue":"4","language":"fr","license":"© 2014 Canadian Agricultural Economics Society","note":"_eprint: https://onlinelibrary.wiley.com/doi/pdf/10.1111/cjag.12051","page":"569-594","source":"Wiley Online Library","title":"Regulatory Frameworks for Functional Food and Supplements","volume":"62","author":[{"family":"Hobbs","given":"Jill E."},{"family":"Malla","given":"Stavroula"},{"family":"Sogah","given":"Eric K."}],"issued":{"date-parts":[["2014"]]}}},{"id":87,"uris":["http://zotero.org/users/14977742/items/F8U9RGV7"],"itemData":{"id":87,"type":"article-journal","abstract":"Many of the scientific and regulatory challenges that exist in research on the safety, quality and efficacy of dietary supplements are common to all countries as the marketplace for them becomes increasingly global. This article summarizes some of the challenges in supplement science and provides a case study of research at the Office of Dietary Supplements at the National Institutes of Health, USA, along with some resources it has developed that are available to all scientists. It includes examples of some of the regulatory challenges faced and some resources for those who wish to learn more about them.","citation-key":"dwyerDietarySupplementsRegulatory2018","container-title":"Nutrients","DOI":"10.3390/nu10010041","ISSN":"2072-6643","issue":"1","language":"en","license":"http://creativecommons.org/licenses/by/3.0/","page":"41","publisher":"Multidisciplinary Digital Publishing Institute","source":"www.mdpi.com","title":"Dietary Supplements: Regulatory Challenges and Research Resources","title-short":"Dietary Supplements","volume":"10","author":[{"family":"Dwyer","given":"Johanna T."},{"family":"Coates","given":"Paul M."},{"family":"Smith","given":"Michael J."}],"issued":{"date-parts":[["2018",1]]}}},{"id":86,"uris":["http://zotero.org/users/14977742/items/Y3W2BG8R"],"itemData":{"id":86,"type":"article-journal","abstract":"Over the last 20 years, the use of dietary supplements (DS) has continued to grow in many countries. Due to the public health crisis brought on by the COVID-19 pandemic and amidst fears regarding COVID-19 vaccines and their low supply in many regions of the world, there has been a marked interest in the use of DS as alternative means of protecting against and treating this emerging disease, as well as boosting the immune system and minimizing the risk of inflammation. Despite a lack of evidence to suggest their efficacy, a surge in the sales of DS has been reported in many parts of the world. Questions have also been raised about the health effects associated with DS due to their increased use during the health crisis. Numerous scientific studies have demonstrated their beneficial properties as well as some adverse and even toxic effects. In addition, given the current global interest in this issue, a review is needed to establish the status of dietary supplements before and during the health crisis. The aim of this review is to summarize the current evidence on the impact of dietary supplements on the incidence of the COVID-19 pandemic, as well as their regulation and associated market trends. First, we provide an overview of DS, including a comprehensive review of the legislative and regulatory aspects of DS in the USA, China, the EU, and Algeria. Second, we describe the prevalence of the most commonly consumed DS and their efficacy as a prophylactic modality in the era of COVID-19. Additionally, we examine the structure and size of the DS market in the countries that predominantly produce and import them, its global market trend, and the impact of the COVID-19 pandemic on market growth. Finally, in this review, we also discuss the profile of DS users.","citation-key":"djaoudeneGlobalOverviewDietary2023","container-title":"Nutrients","DOI":"10.3390/nu15153320","ISSN":"2072-6643","issue":"15","language":"en","license":"http://creativecommons.org/licenses/by/3.0/","page":"3320","publisher":"Multidisciplinary Digital Publishing Institute","source":"www.mdpi.com","title":"A Global Overview of Dietary Supplements: Regulation, Market Trends, Usage during the COVID-19 Pandemic, and Health Effects","title-short":"A Global Overview of Dietary Supplements","volume":"15","author":[{"family":"Djaoudene","given":"Ouarda"},{"family":"Romano","given":"Anabela"},{"family":"Bradai","given":"Yasmine Djedjiga"},{"family":"Zebiri","given":"Feriel"},{"family":"Ouchene","given":"Amina"},{"family":"Yousfi","given":"Yasmine"},{"family":"Amrane-Abider","given":"Meriem"},{"family":"Sahraoui-Remini","given":"Yasmine"},{"family":"Madani","given":"Khodir"}],"issued":{"date-parts":[["2023",1]]}}}],"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Georgia" w:hAnsiTheme="majorBidi" w:cstheme="majorBidi"/>
          <w:lang w:val="en-CA" w:eastAsia="en-GB"/>
        </w:rPr>
        <w:t xml:space="preserve">(Hobbs, Malla and Sogah, 2014; Dwyer, Coates and Smith, 2018; Djaoudene </w:t>
      </w:r>
      <w:r w:rsidRPr="005F0A67">
        <w:rPr>
          <w:rFonts w:asciiTheme="majorBidi" w:eastAsia="Georgia" w:hAnsiTheme="majorBidi" w:cstheme="majorBidi"/>
          <w:i/>
          <w:iCs/>
          <w:lang w:val="en-CA" w:eastAsia="en-GB"/>
        </w:rPr>
        <w:t>et al.</w:t>
      </w:r>
      <w:r w:rsidRPr="005F0A67">
        <w:rPr>
          <w:rFonts w:asciiTheme="majorBidi" w:eastAsia="Georgia" w:hAnsiTheme="majorBidi" w:cstheme="majorBidi"/>
          <w:lang w:val="en-CA" w:eastAsia="en-GB"/>
        </w:rPr>
        <w:t>, 2023)</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The United States is a major market for the sector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{"citationID":"Nyp367Bc","properties":{"unsorted":false,"formattedCitation":"(Djaoudene {\\i{}et al.}, 2023; Wallace and Koturbash, 2025)","plainCitation":"(Djaoudene et al., 2023; Wallace and Koturbash, 2025)","noteIndex":0},"citationItems":[{"id":86,"uris":["http://zotero.org/users/14977742/items/Y3W2BG8R"],"itemData":{"id":86,"type":"article-journal","abstract":"Over the last 20 years, the use of dietary supplements (DS) has continued to grow in many countries. Due to the public health crisis brought on by the COVID-19 pandemic and amidst fears regarding COVID-19 vaccines and their low supply in many regions of the world, there has been a marked interest in the use of DS as alternative means of protecting against and treating this emerging disease, as well as boosting the immune system and minimizing the risk of inflammation. Despite a lack of evidence to suggest their efficacy, a surge in the sales of DS has been reported in many parts of the world. Questions have also been raised about the health effects associated with DS due to their increased use during the health crisis. Numerous scientific studies have demonstrated their beneficial properties as well as some adverse and even toxic effects. In addition, given the current global interest in this issue, a review is needed to establish the status of dietary supplements before and during the health crisis. The aim of this review is to summarize the current evidence on the impact of dietary supplements on the incidence of the COVID-19 pandemic, as well as their regulation and associated market trends. First, we provide an overview of DS, including a comprehensive review of the legislative and regulatory aspects of DS in the USA, China, the EU, and Algeria. Second, we describe the prevalence of the most commonly consumed DS and their efficacy as a prophylactic modality in the era of COVID-19. Additionally, we examine the structure and size of the DS market in the countries that predominantly produce and import them, its global market trend, and the impact of the COVID-19 pandemic on market growth. Finally, in this review, we also discuss the profile of DS users.","citation-key":"djaoudeneGlobalOverviewDietary2023","container-title":"Nutrients","DOI":"10.3390/nu15153320","ISSN":"2072-6643","issue":"15","language":"en","license":"http://creativecommons.org/licenses/by/3.0/","page":"3320","publisher":"Multidisciplinary Digital Publishing Institute","source":"www.mdpi.com","title":"A Global Overview of Dietary Supplements: Regulation, Market Trends, Usage during the COVID-19 Pandemic, and Health Effects","title-short":"A Global Overview of Dietary Supplements","volume":"15","author":[{"family":"Djaoudene","given":"Ouarda"},{"family":"Romano","given":"Anabela"},{"family":"Bradai","given":"Yasmine Djedjiga"},{"family":"Zebiri","given":"Feriel"},{"family":"Ouchene","given":"Amina"},{"family":"Yousfi","given":"Yasmine"},{"family":"Amrane-Abider","given":"Meriem"},{"family":"Sahraoui-Remini","given":"Yasmine"},{"family":"Madani","given":"Khodir"}],"issued":{"date-parts":[["2023",1]]}}},{"id":83,"uris":["http://zotero.org/users/14977742/items/P6R78MF8"],"itemData":{"id":83,"type":"article-journal","abstract":"The Dietary Supplement Health and Education Act (DSHEA) of 1994 defined the FDA’s statutory authority to regulate dietary supplement products as a category of food in the United States. As we celebrate 30 years post-DSHEA, it is important to reflect on its significance for public health, influence on the continuously evolving and expanding product category, the current regulatory framework, and potential opportunities or modernizing oversight to ensure a strong and well-regulated marketplace. An estimated three-fourths of U.S. consumers report use of dietary supplements, and the product market has grown substantially since the passage of DSHEA, from approximately 4,000 products in 1994 to 80,000+ present day. This growth represents a current \\60 billion domestic and \\200 billion international market for dietary supplements. Scientists, public health officials, health care providers, patients, consumer advocacy organizations, and the U.S. Food and Drug Administration have all called for reform to what has been described as ‘outdated’ regulation of dietary supplements. Advancing at an even faster rate is published scientific evidence in the space. This special issue of the Journal of Dietary Supplements comprises a collection of articles authored by academicians, legal scholars, representatives of U.S. government agencies, and industry scientists that critically examine the successes, challenges, and opportunities for improving specific aspects of DSHEA and domestic health policy. This editorial provides historical context and milestones of dietary supplement regulation in the U.S. post-DSHEA and offers an overview of the research contained within the special issue. Advancing toward a more transparent and safer marketplace requires trustworthy supply chains, increased adherence to quality standards, additional labeling requirements, and enhancement of post-market surveillance. This special issue seeks to contribute to the broader understanding of dietary supplement regulation and its future direction.","citation-key":"wallaceDSHEA1994Celebrating2025","container-title":"Journal of Dietary Supplements","DOI":"10.1080/19390211.2024.2419434","ISSN":"1939-0211","issue":"1","note":"_eprint: https://doi.org/10.1080/19390211.2024.2419434","page":"1-8","PMID":"39449550","publisher":"Taylor &amp; Francis","source":"Taylor and Francis+NEJM","title":"DSHEA 1994 – Celebrating 30 Years of Dietary Supplement Regulation in the United States","volume":"22","author":[{"family":"Wallace","given":"Taylor C."},{"family":"Koturbash","given":"Igor"}],"issued":{"date-parts":[["2025",1,2]]}}}],"schema":"https://github.com/citation-style-language/schema/raw/master/csl-citation.json"}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Georgia" w:hAnsiTheme="majorBidi" w:cstheme="majorBidi"/>
          <w:lang w:val="en-CA" w:eastAsia="en-GB"/>
        </w:rPr>
        <w:t xml:space="preserve">(Djaoudene </w:t>
      </w:r>
      <w:r w:rsidRPr="005F0A67">
        <w:rPr>
          <w:rFonts w:asciiTheme="majorBidi" w:eastAsia="Georgia" w:hAnsiTheme="majorBidi" w:cstheme="majorBidi"/>
          <w:i/>
          <w:iCs/>
          <w:lang w:val="en-CA" w:eastAsia="en-GB"/>
        </w:rPr>
        <w:t>et al.</w:t>
      </w:r>
      <w:r w:rsidRPr="005F0A67">
        <w:rPr>
          <w:rFonts w:asciiTheme="majorBidi" w:eastAsia="Georgia" w:hAnsiTheme="majorBidi" w:cstheme="majorBidi"/>
          <w:lang w:val="en-CA" w:eastAsia="en-GB"/>
        </w:rPr>
        <w:t>, 2023; Wallace and Koturbash, 2025)</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It also serves as a key reference market for potential international competitiveness impacts: under DSHEA</w:t>
      </w:r>
      <w:r w:rsidRPr="005F0A67">
        <w:rPr>
          <w:rFonts w:asciiTheme="majorBidi" w:eastAsia="Times New Roman" w:hAnsiTheme="majorBidi" w:cstheme="majorBidi"/>
          <w:vertAlign w:val="superscript"/>
          <w:lang w:val="en-CA" w:eastAsia="en-GB"/>
        </w:rPr>
        <w:footnoteReference w:id="90"/>
      </w:r>
      <w:r w:rsidRPr="005F0A67">
        <w:rPr>
          <w:rFonts w:asciiTheme="majorBidi" w:eastAsia="Times New Roman" w:hAnsiTheme="majorBidi" w:cstheme="majorBidi"/>
          <w:lang w:val="en-CA" w:eastAsia="en-GB"/>
        </w:rPr>
        <w:t xml:space="preserve">, dietary supplements are not subject to premarket efficacy approval, enabling a large and commercially accommodating sector that contrasts significantly with the more restrictive regulatory approaches in Europe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{"citationID":"1pXSXtwZ","properties":{"unsorted":false,"formattedCitation":"(Bailey, 2020; Wallace and Koturbash, 2025)","plainCitation":"(Bailey, 2020; Wallace and Koturbash, 2025)","noteIndex":0},"citationItems":[{"id":84,"uris":["http://zotero.org/users/14977742/items/WBCZBZ7S"],"itemData":{"id":84,"type":"article-journal","abstract":"The U.S. Dietary Supplement Health and Education Act (DSHEA) established the regulatory framework for dietary supplements as foods through the Food and Drug Administration (FDA). DSHEA outlined the legal definition, labeling requirements, and process for adverse event reporting for dietary supplements. FDA also issued formal guidance on current Good Manufacturing Practice to ensure that processes for preparation, packaging, labeling, and storage of supplements and ingredients are documented and meet specifications to ensure purity, composition, and strength. However, efficacy of dietary supplements is not required under U.S. law. Despite regulations to improve the marketplace, many challenges remain; as a result, the quality and safety of products available can be highly variable, especially for botanical and herbal products. The ability of regulators to successfully carry out their mission is hampered by the sheer number of products and manufacturing facilities and a lack of analytical methods for all ingredients and products in the marketplace, this is especially difficult for herbal and botanical dietary supplements. Safety issues continue to exist such as adulteration and contamination, especially with specific product types (i.e. body building, sexual enhancement). Thus, a need remains for continued efforts and improved techniques to assess the quality of dietary supplements, especially with regard to purity, bioavailability, and safety. This review will highlight the existing American regulatory framework for dietary supplements and will describe the remaining regulatory barriers to ensuring that safe and high-quality dietary supplements are offered in the marketplace.","citation-key":"baileyCurrentRegulatoryGuidelines2020","container-title":"Critical Reviews in Food Science and Nutrition","DOI":"10.1080/10408398.2018.1524364","ISSN":"1040-8398","issue":"2","note":"_eprint: https://doi.org/10.1080/10408398.2018.1524364","page":"298-309","PMID":"30421981","publisher":"Taylor &amp; Francis","source":"Taylor and Francis+NEJM","title":"Current regulatory guidelines and resources to support research of dietary supplements in the United States","volume":"60","author":[{"family":"Bailey","given":"Regan L."}],"issued":{"date-parts":[["2020",1,19]]}}},{"id":83,"uris":["http://zotero.org/users/14977742/items/P6R78MF8"],"itemData":{"id":83,"type":"article-journal","abstract":"The Dietary Supplement Health and Education Act (DSHEA) of 1994 defined the FDA’s statutory authority to regulate dietary supplement products as a category of food in the United States. As we celebrate 30 years post-DSHEA, it is important to reflect on its significance for public health, influence on the continuously evolving and expanding product category, the current regulatory framework, and potential opportunities or modernizing oversight to ensure a strong and well-regulated marketplace. An estimated three-fourths of U.S. consumers report use of dietary supplements, and the product market has grown substantially since the passage of DSHEA, from approximately 4,000 products in 1994 to 80,000+ present day. This growth represents a current \\60 billion domestic and \\200 billion international market for dietary supplements. Scientists, public health officials, health care providers, patients, consumer advocacy organizations, and the U.S. Food and Drug Administration have all called for reform to what has been described as ‘outdated’ regulation of dietary supplements. Advancing at an even faster rate is published scientific evidence in the space. This special issue of the Journal of Dietary Supplements comprises a collection of articles authored by academicians, legal scholars, representatives of U.S. government agencies, and industry scientists that critically examine the successes, challenges, and opportunities for improving specific aspects of DSHEA and domestic health policy. This editorial provides historical context and milestones of dietary supplement regulation in the U.S. post-DSHEA and offers an overview of the research contained within the special issue. Advancing toward a more transparent and safer marketplace requires trustworthy supply chains, increased adherence to quality standards, additional labeling requirements, and enhancement of post-market surveillance. This special issue seeks to contribute to the broader understanding of dietary supplement regulation and its future direction.","citation-key":"wallaceDSHEA1994Celebrating2025","container-title":"Journal of Dietary Supplements","DOI":"10.1080/19390211.2024.2419434","ISSN":"1939-0211","issue":"1","note":"_eprint: https://doi.org/10.1080/19390211.2024.2419434","page":"1-8","PMID":"39449550","publisher":"Taylor &amp; Francis","source":"Taylor and Francis+NEJM","title":"DSHEA 1994 – Celebrating 30 Years of Dietary Supplement Regulation in the United States","volume":"22","author":[{"family":"Wallace","given":"Taylor C."},{"family":"Koturbash","given":"Igor"}],"issued":{"date-parts":[["2025",1,2]]}}}],"schema":"https://github.com/citation-style-language/schema/raw/master/csl-citation.json"}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noProof/>
          <w:lang w:val="en-CA" w:eastAsia="en-GB"/>
        </w:rPr>
        <w:t>(Bailey, 2020; Wallace and Koturbash, 2025)</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In addition to regulation, nutraceutical markets appear to be shaped more by product credibility and quality signalling than by pure price competition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{"citationID":"EW4EY6gl","properties":{"unsorted":false,"formattedCitation":"(Hobbs, 2002a; Hobbs, Malla and Sogah, 2014)","plainCitation":"(Hobbs, 2002a; Hobbs, Malla and Sogah, 2014)","noteIndex":0},"citationItems":[{"id":82,"uris":["http://zotero.org/users/14977742/items/5BC8X7SJ"],"itemData":{"id":82,"type":"article-journal","abstract":"The rapid growth of the nutraceutical and functional foods industry in recent years has necessitated the development of new supply chain relationships. These supply chains are interesting because of the uncertain regulatory, technological and market environment in which they have evolved. Challenges include concentration in upstream input supply and downstream manufacturing sectors, intellectual property rights protection, asset specific investments in an uncertain market environment, and establishing credible quality signals for credence attributes in an era of regulatory uncertainty and consumer scepticism.","citation-key":"hobbsEvolvingSupplyChains2002b","container-title":"Canadian Journal of Agricultural Economics/Revue canadienne d'agroeconomie","DOI":"10.1111/j.1744-7976.2002.tb00355.x","ISSN":"1744-7976","issue":"4","language":"en","note":"_eprint: https://onlinelibrary.wiley.com/doi/pdf/10.1111/j.1744-7976.2002.tb00355.x","page":"559-568","source":"Wiley Online Library","title":"Evolving Supply Chains in the Nutraceuticals and Functional Foods Industry","volume":"50","author":[{"family":"Hobbs","given":"Jill E."}],"issued":{"date-parts":[["2002"]]}}},{"id":85,"uris":["http://zotero.org/users/14977742/items/ERDI7TEV"],"itemData":{"id":85,"type":"article-journal","abstract":"Functional foods and supplements (nutraceuticals, natural health products) have emerged as a new category of products offering potential health benefits to consumers. Regulatory environments have evolved to govern the types of health claims that can be made for these products. Regulation needs to balance the imperative of protecting consumers from false and misleading health claims while encouraging research and development into products offering socially beneficial health outcomes. The paper explores the sources of market, and “non-market,” (regulatory) failure related to the consumption and production of healthier foods. The Canadian approach to regulating health claims is compared to regulatory frameworks in the United States, the European Union, Japan, Australia, and New Zealand. The fairly strict Canadian regulatory system, together with the relatively small size of the domestic market, may limit investment in this sector.","citation-key":"hobbsRegulatoryFrameworksFunctional2014","container-title":"Canadian Journal of Agricultural Economics/Revue canadienne d'agroeconomie","DOI":"10.1111/cjag.12051","ISSN":"1744-7976","issue":"4","language":"fr","license":"© 2014 Canadian Agricultural Economics Society","note":"_eprint: https://onlinelibrary.wiley.com/doi/pdf/10.1111/cjag.12051","page":"569-594","source":"Wiley Online Library","title":"Regulatory Frameworks for Functional Food and Supplements","volume":"62","author":[{"family":"Hobbs","given":"Jill E."},{"family":"Malla","given":"Stavroula"},{"family":"Sogah","given":"Eric K."}],"issued":{"date-parts":[["2014"]]}}}],"schema":"https://github.com/citation-style-language/schema/raw/master/csl-citation.json"}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noProof/>
          <w:lang w:val="en-CA" w:eastAsia="en-GB"/>
        </w:rPr>
        <w:t>(Hobbs, 2002a; Hobbs, Malla and Sogah, 2014)</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w:t>
      </w:r>
    </w:p>
    <w:p w14:paraId="5B725C6C" w14:textId="77777777" w:rsidR="005F0A67" w:rsidRPr="005F0A67" w:rsidRDefault="005F0A67" w:rsidP="00B009ED">
      <w:pPr>
        <w:tabs>
          <w:tab w:val="clear" w:pos="567"/>
          <w:tab w:val="clear" w:pos="1134"/>
          <w:tab w:val="clear" w:pos="1701"/>
          <w:tab w:val="clear" w:pos="2268"/>
        </w:tabs>
        <w:spacing w:after="120"/>
        <w:jc w:val="left"/>
        <w:outlineLvl w:val="3"/>
        <w:rPr>
          <w:rFonts w:asciiTheme="majorBidi" w:eastAsia="Georgia" w:hAnsiTheme="majorBidi" w:cstheme="majorBidi"/>
          <w:b/>
          <w:bCs/>
          <w:color w:val="0F4761"/>
          <w:lang w:eastAsia="en-GB"/>
        </w:rPr>
      </w:pPr>
      <w:r w:rsidRPr="005F0A67">
        <w:rPr>
          <w:rFonts w:asciiTheme="majorBidi" w:eastAsia="Georgia" w:hAnsiTheme="majorBidi" w:cstheme="majorBidi"/>
          <w:b/>
          <w:bCs/>
          <w:color w:val="0F4761"/>
          <w:lang w:eastAsia="en-GB"/>
        </w:rPr>
        <w:t>Value chain position and DSI use intensity</w:t>
      </w:r>
    </w:p>
    <w:p w14:paraId="4D50761F"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Nutraceutical firms are largely downstream consumer-facing producers. DSI dependence seems to vary within the sector and is presumably lower on average than in pharmaceuticals or biotechnology. With credible information missing for the broader functional foods and supplements, two clearly DSI-reliant sub-groups can be identified: botanical supplements and probiotic and microbial supplement producers. The former group may be more DSI-dependent than the sector average because cross-border sourcing of variable plant materials makes species identification, authentication, and quality assurance commercially important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{"citationID":"PCWSZBkc","properties":{"unsorted":false,"formattedCitation":"(Franz {\\i{}et al.}, 2011; Shipkowski {\\i{}et al.}, 2018)","plainCitation":"(Franz et al., 2011; Shipkowski et al., 2018)","noteIndex":0},"citationItems":[{"id":81,"uris":["http://zotero.org/users/14977742/items/75UIJPPV"],"itemData":{"id":81,"type":"article-journal","abstract":"A great wealth of plants and plant derived preparations are used in the intention to supplement the basic nutrition in order to sustain and promote health. They may be used directly or consumed as manufactured plant food supplements (PFS) in dosed form. The use of these plants may already have a long tradition as fruit, vegetable or (folk) medicinal plants. Due to globalisation, more and more plants originating from all over the world are now offered and marketed in European countries, including species from China, South Africa and the American continent. For reasons of security, EU wide lists of plants accepted or prohibited to be used in food supplements are in elaboration. A crucial point is the correct identification of the plant material. The identity can be assessed by morphological, chemical and DNA specific methods. The active substances usable in PFS are secondary plant products that are often characteristic for certain plant groups (taxa), species or plant parts. They comprise not only polyphenols, essential oils, carotenoids and phytosterols, but also glucosinolates or saponins. The quality of the plant material used for PFS depends on a variety of factors, including the natural phytochemical, intraspecific variation with the occurrence of chemotypes, the ontogenetic variation, the considered plant parts and environmental influences during plant growth. In the production of the raw materials for PFS international standards (good agricultural practice, fair trade) should be applied.","citation-key":"franzBotanicalSpeciesBeing2011","container-title":"Food &amp; Function","DOI":"10.1039/C1FO10130G","ISSN":"2042-650X","issue":"12","journalAbbreviation":"Food Funct.","language":"en","page":"720-730","publisher":"The Royal Society of Chemistry","source":"pubs.rsc.org","title":"Botanical species being used for manufacturing plant food supplements (PFS) and related products in the EU member states and selected third countries","volume":"2","author":[{"family":"Franz","given":"Chlodwig"},{"family":"Chizzola","given":"Remigius"},{"family":"Novak","given":"Johannes"},{"family":"Sponza","given":"Silvia"}],"issued":{"date-parts":[["2011",12,1]]}}},{"id":80,"uris":["http://zotero.org/users/14977742/items/9WFUW754"],"itemData":{"id":80,"type":"article-journal","abstract":"Due to the extensive use of botanical dietary supplements by consumers in the United States, there is a need for appropriate research and data to support safety assessments. Complexity and variability, both natural and introduced, of botanical dietary supplements make research on these products difficult. Botanical dietary supplements are regulated by the Food and Drug Administration (FDA) under the Federal Food, Drug, and Cosmetic Act (FD&amp;C Act), as amended by the 1994 Dietary Supplement Health and Education Act (DSHEA). They are regulated as a category of food, which differs from the regulation of pharmaceutical products. Both manufacturers and the FDA are faced with the challenge of determining the best approaches for evaluating and monitoring the safety of botanical products. High quality botanicals research requires accurate identification and characterization of the material being studied. Inconsistent results in efficacy studies of botanical dietary supplements have led to efforts to improve the rigor and reproducibility of research in the field. Addressing the challenges associated with botanical dietary supplement safety is a global effort requiring coordination between numerous stakeholders, including researchers, suppliers, manufacturers, and regulators, all of whom play a role in ensuring that high quality products are available on the market.","citation-key":"shipkowskiNaturallyComplexPerspectives2018","container-title":"Food and Chemical Toxicology","DOI":"10.1016/j.fct.2018.04.007","ISSN":"0278-6915","journalAbbreviation":"Food and Chemical Toxicology","page":"963-971","source":"ScienceDirect","title":"Naturally complex: Perspectives and challenges associated with Botanical Dietary Supplement Safety assessment","title-short":"Naturally complex","volume":"118","author":[{"family":"Shipkowski","given":"Kelly A."},{"family":"Betz","given":"Joseph M."},{"family":"Birnbaum","given":"Linda S."},{"family":"Bucher","given":"John R."},{"family":"Coates","given":"Paul M."},{"family":"Hopp","given":"D. Craig"},{"family":"MacKay","given":"Duffy"},{"family":"Oketch-Rabah","given":"Hellen"},{"family":"Walker","given":"Nigel J."},{"family":"Welch","given":"Cara"},{"family":"Rider","given":"Cynthia V."}],"issued":{"date-parts":[["2018",8,1]]}}}],"schema":"https://github.com/citation-style-language/schema/raw/master/csl-citation.json"}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Georgia" w:hAnsiTheme="majorBidi" w:cstheme="majorBidi"/>
          <w:lang w:val="en-CA" w:eastAsia="en-GB"/>
        </w:rPr>
        <w:t xml:space="preserve">(Franz </w:t>
      </w:r>
      <w:r w:rsidRPr="005F0A67">
        <w:rPr>
          <w:rFonts w:asciiTheme="majorBidi" w:eastAsia="Georgia" w:hAnsiTheme="majorBidi" w:cstheme="majorBidi"/>
          <w:i/>
          <w:iCs/>
          <w:lang w:val="en-CA" w:eastAsia="en-GB"/>
        </w:rPr>
        <w:t>et al.</w:t>
      </w:r>
      <w:r w:rsidRPr="005F0A67">
        <w:rPr>
          <w:rFonts w:asciiTheme="majorBidi" w:eastAsia="Georgia" w:hAnsiTheme="majorBidi" w:cstheme="majorBidi"/>
          <w:lang w:val="en-CA" w:eastAsia="en-GB"/>
        </w:rPr>
        <w:t xml:space="preserve">, 2011; Shipkowski </w:t>
      </w:r>
      <w:r w:rsidRPr="005F0A67">
        <w:rPr>
          <w:rFonts w:asciiTheme="majorBidi" w:eastAsia="Georgia" w:hAnsiTheme="majorBidi" w:cstheme="majorBidi"/>
          <w:i/>
          <w:iCs/>
          <w:lang w:val="en-CA" w:eastAsia="en-GB"/>
        </w:rPr>
        <w:t>et al.</w:t>
      </w:r>
      <w:r w:rsidRPr="005F0A67">
        <w:rPr>
          <w:rFonts w:asciiTheme="majorBidi" w:eastAsia="Georgia" w:hAnsiTheme="majorBidi" w:cstheme="majorBidi"/>
          <w:lang w:val="en-CA" w:eastAsia="en-GB"/>
        </w:rPr>
        <w:t>, 2018)</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The latter group emerges as the most evident direct users of DSI, because strain identification, taxonomy, and label verification commonly use targeted PCR</w:t>
      </w:r>
      <w:r w:rsidRPr="005F0A67">
        <w:rPr>
          <w:rFonts w:asciiTheme="majorBidi" w:eastAsia="Times New Roman" w:hAnsiTheme="majorBidi" w:cstheme="majorBidi"/>
          <w:vertAlign w:val="superscript"/>
          <w:lang w:val="en-CA" w:eastAsia="en-GB"/>
        </w:rPr>
        <w:footnoteReference w:id="91"/>
      </w:r>
      <w:r w:rsidRPr="005F0A67">
        <w:rPr>
          <w:rFonts w:asciiTheme="majorBidi" w:eastAsia="Times New Roman" w:hAnsiTheme="majorBidi" w:cstheme="majorBidi"/>
          <w:lang w:val="en-CA" w:eastAsia="en-GB"/>
        </w:rPr>
        <w:t xml:space="preserve"> and high-throughput sequencing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{"citationID":"SL0WsGwK","properties":{"unsorted":false,"formattedCitation":"(Morovic {\\i{}et al.}, 2016; Shehata and Newmaster, 2020)","plainCitation":"(Morovic et al., 2016; Shehata and Newmaster, 2020)","noteIndex":0},"citationItems":[{"id":79,"uris":["http://zotero.org/users/14977742/items/SF88MEKP"],"itemData":{"id":79,"type":"article-journal","abstract":"Recent advances in microbiome research have brought renewed focus on beneficial bacteria, many of which are available in food and dietary supplements. Although probiotics have historically been defined as microorganisms that convey health benefits when ingested in sufficient viable amounts, this description now includes the stipulation “well defined strains,” encompassing definitive taxonomy for consumer consideration and regulatory oversight. Here, we evaluated 52 commercial dietary supplements covering a range of labeled species, and determined their content using plate counting, targeted genotyping. Additionally, strain identities were assessed using methods recently published by the United States Pharmacopeial Convention. We also determined the relative abundance of individual bacteria by high-throughput sequencing (HTS) of the 16S rRNA sequence using paired-end 2x250bp Illumina MiSeq technology. Using multiple methods, we tested the hypothesis that products do contain the quantitative amount of labeled bacteria, and qualitative list of labeled microbial species. We found that 17 samples (33%) were below label claim for CFU prior to their expiration dates. A multiplexed-PCR scheme showed that only 30/52 (58%) of the products contained a correctly labeled classification, with issues encompassing incorrect taxonomy, missing species and un-labeled species. The HTS revealed that many blended products consisted predominantly of Lactobacillus acidophilus and Bifidobacterium animalis subsp. lactis. These results highlight the need for reliable methods to qualitatively determine the correct taxonomy and quantitatively ascertain the relative amounts of mixed microbial populations in commercial probiotic products.","citation-key":"morovicGenotypingPCRHighThroughput2016","container-title":"Frontiers in Microbiology","DOI":"10.3389/fmicb.2016.01747","ISSN":"1664-302X","journalAbbreviation":"Front. Microbiol.","language":"English","publisher":"Frontiers","source":"Frontiers","title":"Genotyping by PCR and High-Throughput Sequencing of Commercial Probiotic Products Reveals Composition Biases","URL":"https://www.frontiersin.org/journals/microbiology/articles/10.3389/fmicb.2016.01747/full","volume":"7","author":[{"family":"Morovic","given":"Wesley"},{"family":"Hibberd","given":"Ashley A."},{"family":"Zabel","given":"Bryan"},{"family":"Barrangou","given":"Rodolphe"},{"family":"Stahl","given":"Buffy"}],"accessed":{"date-parts":[["2026",6,3]]},"issued":{"date-parts":[["2016",11,3]]}}},{"id":78,"uris":["http://zotero.org/users/14977742/items/VCTQDPCG"],"itemData":{"id":78,"type":"article-journal","abstract":"Probiotics are defined as “live microorganisms that, when administered in adequate amounts, confer a health benefit on the host”. The diverse health benefits have contributed to rapid increase in probiotic consumption and in the value of probiotic market, valued at USD 46 billion in 2019. For probiotics to be effective, the correct species/strains should be delivered viable in an adequate dose. The most commonly used methods for species/strain identification are DNA based methods including targeted and non-targeted methods (e.g. high-throughput sequencing, HTS). Using different DNA based methods, previous studies reported several cases of non-compliance in probiotic products. The objectives of this study are to evaluate levels of compliance in probiotic products (presence of all declared species/strains, absence of any contaminants or undeclared species, and meeting the declared minimum viable cell count) and to compare the performance of targeted and non-targeted methods in probiotic authentication. To the best of our knowledge, this is the largest study of its kind, testing 182 probiotic products, containing a total of 520 strains, collected from USA and Canada. Using species-specific assays, 11 species could not be detected in ten products. Missing species were Lactobacillus casei in seven products, Bifidobacterium longum and B. bifidum in one product, B. longum in one product while B. longum subsp. longum was mislabelled as B. longum subsp. infantis in another. Additionally, undeclared B. animalis subsp. lactis was detected in one product. Viable count was determined for 72 samples and was found to be lower than declared in five samples, including one product showing no viable cells. Overall, non-compliance was observed in 15 out of 182 products (8%). Additionally, undeclared species at relative abundance of ~1-2% were found in 14 products using HTS, however, their presence could not be confirmed using species-specific assays. The results show that targeted PCR based methods enable species and strain level identification. The results also highlight the need to continue to develop strain-specific assays appropriate for use with multi-strain products. True strain-specific assays will enable strain authentication in both single-strain products and multi-strain products to ensure probiotic products meet the label claims and ensure probiotic efficacy.","citation-key":"shehataCombinedTargetedNontargeted2020","container-title":"Frontiers in Microbiology","DOI":"10.3389/fmicb.2020.01095","ISSN":"1664-302X","journalAbbreviation":"Front. Microbiol.","language":"English","publisher":"Frontiers","source":"Frontiers","title":"Combined Targeted and Non-targeted PCR Based Methods Reveal High Levels of Compliance in Probiotic Products Sold as Dietary Supplements in United States and Canada","URL":"https://www.frontiersin.org/journals/microbiology/articles/10.3389/fmicb.2020.01095/full","volume":"11","author":[{"family":"Shehata","given":"Hanan R."},{"family":"Newmaster","given":"Steven G."}],"accessed":{"date-parts":[["2026",6,3]]},"issued":{"date-parts":[["2020",6,9]]}}}],"schema":"https://github.com/citation-style-language/schema/raw/master/csl-citation.json"}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Georgia" w:hAnsiTheme="majorBidi" w:cstheme="majorBidi"/>
          <w:lang w:val="en-CA" w:eastAsia="en-GB"/>
        </w:rPr>
        <w:t xml:space="preserve">(Morovic </w:t>
      </w:r>
      <w:r w:rsidRPr="005F0A67">
        <w:rPr>
          <w:rFonts w:asciiTheme="majorBidi" w:eastAsia="Georgia" w:hAnsiTheme="majorBidi" w:cstheme="majorBidi"/>
          <w:i/>
          <w:iCs/>
          <w:lang w:val="en-CA" w:eastAsia="en-GB"/>
        </w:rPr>
        <w:t>et al.</w:t>
      </w:r>
      <w:r w:rsidRPr="005F0A67">
        <w:rPr>
          <w:rFonts w:asciiTheme="majorBidi" w:eastAsia="Georgia" w:hAnsiTheme="majorBidi" w:cstheme="majorBidi"/>
          <w:lang w:val="en-CA" w:eastAsia="en-GB"/>
        </w:rPr>
        <w:t>, 2016; Shehata and Newmaster, 2020)</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w:t>
      </w:r>
    </w:p>
    <w:p w14:paraId="22D069C4" w14:textId="77777777" w:rsidR="005F0A67" w:rsidRPr="005F0A67" w:rsidRDefault="005F0A67" w:rsidP="00B009ED">
      <w:pPr>
        <w:tabs>
          <w:tab w:val="clear" w:pos="567"/>
          <w:tab w:val="clear" w:pos="1134"/>
          <w:tab w:val="clear" w:pos="1701"/>
          <w:tab w:val="clear" w:pos="2268"/>
        </w:tabs>
        <w:spacing w:after="120"/>
        <w:jc w:val="left"/>
        <w:outlineLvl w:val="3"/>
        <w:rPr>
          <w:rFonts w:asciiTheme="majorBidi" w:eastAsia="Georgia" w:hAnsiTheme="majorBidi" w:cstheme="majorBidi"/>
          <w:b/>
          <w:bCs/>
          <w:color w:val="0F4761"/>
          <w:lang w:eastAsia="en-GB"/>
        </w:rPr>
      </w:pPr>
      <w:bookmarkStart w:id="224" w:name="_Hlk231415340"/>
      <w:r w:rsidRPr="005F0A67">
        <w:rPr>
          <w:rFonts w:asciiTheme="majorBidi" w:eastAsia="Georgia" w:hAnsiTheme="majorBidi" w:cstheme="majorBidi"/>
          <w:b/>
          <w:bCs/>
          <w:color w:val="0F4761"/>
          <w:lang w:eastAsia="en-GB"/>
        </w:rPr>
        <w:t>Expected contribution base</w:t>
      </w:r>
    </w:p>
    <w:bookmarkEnd w:id="224"/>
    <w:p w14:paraId="30764A43"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With a median margin of 4% and virtually all eligible firms in the profit-base group, the contribution scales directly with earnings across the sector. Thin margins mean the sector has the highest profit-equivalent burden of any Indicative Enclosure I sector outside cosmetics. The proportionality concern is particularly relevant for supplement producers with low or no direct DSI use.</w:t>
      </w:r>
    </w:p>
    <w:p w14:paraId="450BBFCF"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lastRenderedPageBreak/>
        <w:t>The three asymmetries identified in Step 2 are reflected in the pillar assessments below: eligibility asymmetry is most significant given the presence of a large US-based non-Party competitor base operating under DSHEA's accommodating regulatory environment, which creates a cost asymmetry across all firm types; participation asymmetry operates through first-mover dynamics given the non-binding design, with firms facing thin margins most likely to opt out rather than absorb the burden; and contribution base asymmetry is less differentiated within this sector than elsewhere, as most eligible firms pay on profit given the sector median margin of 4%, making the burden uniformly sensitive to earnings fluctuations across firm types.</w:t>
      </w:r>
    </w:p>
    <w:p w14:paraId="6ECA4F5F" w14:textId="77777777" w:rsidR="005F0A67" w:rsidRPr="005F0A67" w:rsidRDefault="005F0A67" w:rsidP="00B009ED">
      <w:pPr>
        <w:tabs>
          <w:tab w:val="clear" w:pos="567"/>
          <w:tab w:val="clear" w:pos="1134"/>
          <w:tab w:val="clear" w:pos="1701"/>
          <w:tab w:val="clear" w:pos="2268"/>
        </w:tabs>
        <w:spacing w:before="320" w:after="160"/>
        <w:ind w:left="720"/>
        <w:jc w:val="left"/>
        <w:outlineLvl w:val="2"/>
        <w:rPr>
          <w:rFonts w:asciiTheme="majorBidi" w:eastAsia="Arial" w:hAnsiTheme="majorBidi" w:cstheme="majorBidi"/>
          <w:b/>
          <w:bCs/>
          <w:color w:val="7F7F7F"/>
          <w:sz w:val="23"/>
          <w:szCs w:val="23"/>
          <w:lang w:val="en-CA" w:eastAsia="en-GB"/>
        </w:rPr>
      </w:pPr>
      <w:bookmarkStart w:id="225" w:name="_Toc234579611"/>
      <w:r w:rsidRPr="005F0A67">
        <w:rPr>
          <w:rFonts w:asciiTheme="majorBidi" w:eastAsia="Arial" w:hAnsiTheme="majorBidi" w:cstheme="majorBidi"/>
          <w:b/>
          <w:bCs/>
          <w:color w:val="7F7F7F"/>
          <w:sz w:val="23"/>
          <w:szCs w:val="23"/>
          <w:lang w:val="en-CA" w:eastAsia="en-GB"/>
        </w:rPr>
        <w:t>Pillar assessment (step 3)</w:t>
      </w:r>
      <w:bookmarkEnd w:id="225"/>
    </w:p>
    <w:p w14:paraId="6253F448"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_Ref231771410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Table 32</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_Ref231771421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Table 33</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and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_Ref231771433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Table 34</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present the materiality assessment for Pillars I, II and III respectively, drawing on the sector characterisation in Section 7.10, the broader empirical literature findings in Section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_Ref231121284 \r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7.4</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and the analytical framework in Section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_Ref230281726 \r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7.5</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w:t>
      </w:r>
    </w:p>
    <w:p w14:paraId="49CF6943"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The nutraceuticals sector faces Moderate materiality primarily on Pillar I substantive compliance costs, driven by the sector's thin median margins (4%, the lowest of any Indicative Enclosure I sector) and the proportionality concern arising from the all-in contribution base. Most eligible firms pay on profit, and the contribution imposes the same financial base on firms with limited DSI use as on those for whom DSI is central to product development - a structural feature that distinguishes this sector from more research-intensive Indicative Enclosure I sectors. The two DSI-intensive sub-groups, botanical supplement producers and probiotic and microbial supplement producers, face lower proportionality concerns but remain exposed through thin margins. Competitive position versus non-Party competitors is assessed as Low, reflecting the significant presence of European CBD Party-based competitors in the sector and the quality-signalling rather than price-based nature of competition in differentiated segments, which partially insulates from cost-based asymmetry. Across all pillars, the voluntary opt-out constrains severe outcomes: firms facing material cost pressure would likely choose non-participation over absorption.</w:t>
      </w:r>
    </w:p>
    <w:p w14:paraId="350619E4"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Where competitive effects do materialise, their principal downstream consequence would be cost absorption rather than pass-through, given the limited pricing power of most </w:t>
      </w:r>
      <w:bookmarkStart w:id="226" w:name="_Int_asET8dUq"/>
      <w:r w:rsidRPr="005F0A67">
        <w:rPr>
          <w:rFonts w:asciiTheme="majorBidi" w:eastAsia="Times New Roman" w:hAnsiTheme="majorBidi" w:cstheme="majorBidi"/>
          <w:lang w:val="en-CA" w:eastAsia="en-GB"/>
        </w:rPr>
        <w:t>nutraceuticals</w:t>
      </w:r>
      <w:bookmarkEnd w:id="226"/>
      <w:r w:rsidRPr="005F0A67">
        <w:rPr>
          <w:rFonts w:asciiTheme="majorBidi" w:eastAsia="Times New Roman" w:hAnsiTheme="majorBidi" w:cstheme="majorBidi"/>
          <w:lang w:val="en-CA" w:eastAsia="en-GB"/>
        </w:rPr>
        <w:t xml:space="preserve"> producers in consumer-facing markets. For firms with the thinnest margins, sustained cost pressure could affect market participation decisions over time, though the voluntary design means that firms facing material cost pressure would rationally choose non-participation rather than absorb unviable contributions. The proportionality concern is the most policy-relevant downstream risk: firms with limited or no direct DSI use contributing on the same financial base as DSI-intensive sub-groups face a burden that is not commensurate with their benefit from the DSI commons, which may affect participation decisions and the representativeness of the contributing population. Pass-through to consumers is constrained across most market segments given price sensitivity, with partial exceptions for premium and authenticated products where quality signalling supports some pricing flexibility.</w:t>
      </w:r>
    </w:p>
    <w:p w14:paraId="461BFE8B"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sectPr w:rsidR="005F0A67" w:rsidRPr="005F0A67" w:rsidSect="005F0A67">
          <w:pgSz w:w="12240" w:h="15840"/>
          <w:pgMar w:top="1080" w:right="1260" w:bottom="1080" w:left="1260" w:header="706" w:footer="706" w:gutter="0"/>
          <w:cols w:space="720"/>
          <w:docGrid w:linePitch="360"/>
        </w:sectPr>
      </w:pPr>
    </w:p>
    <w:p w14:paraId="3B00F59C" w14:textId="77777777" w:rsidR="005F0A67" w:rsidRPr="005F0A67" w:rsidRDefault="005F0A67" w:rsidP="005F0A67">
      <w:pPr>
        <w:tabs>
          <w:tab w:val="clear" w:pos="567"/>
          <w:tab w:val="clear" w:pos="1134"/>
          <w:tab w:val="clear" w:pos="1701"/>
          <w:tab w:val="clear" w:pos="2268"/>
        </w:tabs>
        <w:spacing w:after="200" w:line="312" w:lineRule="auto"/>
        <w:contextualSpacing/>
        <w:rPr>
          <w:rFonts w:asciiTheme="majorBidi" w:eastAsia="Georgia" w:hAnsiTheme="majorBidi" w:cstheme="majorBidi"/>
          <w:b/>
          <w:bCs/>
          <w:color w:val="419844"/>
          <w:lang w:eastAsia="en-GB"/>
        </w:rPr>
      </w:pPr>
      <w:bookmarkStart w:id="227" w:name="_Ref231771410"/>
      <w:r w:rsidRPr="005F0A67">
        <w:rPr>
          <w:rFonts w:asciiTheme="majorBidi" w:eastAsia="Georgia" w:hAnsiTheme="majorBidi" w:cstheme="majorBidi"/>
          <w:b/>
          <w:bCs/>
          <w:color w:val="419844"/>
          <w:lang w:val="en-US" w:eastAsia="ja-JP"/>
        </w:rPr>
        <w:lastRenderedPageBreak/>
        <w:t xml:space="preserve">Table </w:t>
      </w:r>
      <w:r w:rsidRPr="005F0A67">
        <w:rPr>
          <w:rFonts w:asciiTheme="majorBidi" w:eastAsia="Georgia" w:hAnsiTheme="majorBidi" w:cstheme="majorBidi"/>
          <w:b/>
          <w:bCs/>
          <w:color w:val="419844"/>
          <w:lang w:eastAsia="en-GB"/>
        </w:rPr>
        <w:fldChar w:fldCharType="begin"/>
      </w:r>
      <w:r w:rsidRPr="005F0A67">
        <w:rPr>
          <w:rFonts w:asciiTheme="majorBidi" w:eastAsia="Georgia" w:hAnsiTheme="majorBidi" w:cstheme="majorBidi"/>
          <w:b/>
          <w:bCs/>
          <w:color w:val="419844"/>
          <w:lang w:eastAsia="en-GB"/>
        </w:rPr>
        <w:instrText xml:space="preserve"> SEQ Table \* ARABIC </w:instrText>
      </w:r>
      <w:r w:rsidRPr="005F0A67">
        <w:rPr>
          <w:rFonts w:asciiTheme="majorBidi" w:eastAsia="Georgia" w:hAnsiTheme="majorBidi" w:cstheme="majorBidi"/>
          <w:b/>
          <w:bCs/>
          <w:color w:val="419844"/>
          <w:lang w:eastAsia="en-GB"/>
        </w:rPr>
        <w:fldChar w:fldCharType="separate"/>
      </w:r>
      <w:r w:rsidRPr="005F0A67">
        <w:rPr>
          <w:rFonts w:asciiTheme="majorBidi" w:eastAsia="Georgia" w:hAnsiTheme="majorBidi" w:cstheme="majorBidi"/>
          <w:b/>
          <w:bCs/>
          <w:noProof/>
          <w:color w:val="419844"/>
          <w:lang w:eastAsia="en-GB"/>
        </w:rPr>
        <w:t>32</w:t>
      </w:r>
      <w:r w:rsidRPr="005F0A67">
        <w:rPr>
          <w:rFonts w:asciiTheme="majorBidi" w:eastAsia="Georgia" w:hAnsiTheme="majorBidi" w:cstheme="majorBidi"/>
          <w:b/>
          <w:bCs/>
          <w:color w:val="419844"/>
          <w:lang w:eastAsia="en-GB"/>
        </w:rPr>
        <w:fldChar w:fldCharType="end"/>
      </w:r>
      <w:bookmarkEnd w:id="227"/>
      <w:r w:rsidRPr="005F0A67">
        <w:rPr>
          <w:rFonts w:asciiTheme="majorBidi" w:eastAsia="Georgia" w:hAnsiTheme="majorBidi" w:cstheme="majorBidi"/>
          <w:b/>
          <w:bCs/>
          <w:color w:val="419844"/>
          <w:lang w:val="en-US" w:eastAsia="ja-JP"/>
        </w:rPr>
        <w:t xml:space="preserve"> Pillar I: costs and price competitiveness impacts materiality assessment – Nutraceuticals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09"/>
        <w:gridCol w:w="1483"/>
        <w:gridCol w:w="1163"/>
        <w:gridCol w:w="1185"/>
        <w:gridCol w:w="5359"/>
        <w:gridCol w:w="1179"/>
      </w:tblGrid>
      <w:tr w:rsidR="005F0A67" w:rsidRPr="005F0A67" w14:paraId="69753E27" w14:textId="77777777" w:rsidTr="00FB671B">
        <w:tc>
          <w:tcPr>
            <w:tcW w:w="1210" w:type="pct"/>
            <w:tcBorders>
              <w:top w:val="single" w:sz="1" w:space="0" w:color="AAAAAA"/>
              <w:left w:val="single" w:sz="1" w:space="0" w:color="AAAAAA"/>
              <w:right w:val="single" w:sz="1" w:space="0" w:color="AAAAAA"/>
            </w:tcBorders>
            <w:shd w:val="clear" w:color="auto" w:fill="1F4E6B"/>
            <w:tcMar>
              <w:top w:w="60" w:type="dxa"/>
              <w:left w:w="100" w:type="dxa"/>
              <w:bottom w:w="60" w:type="dxa"/>
              <w:right w:w="100" w:type="dxa"/>
            </w:tcMar>
          </w:tcPr>
          <w:p w14:paraId="2EDB36B8"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color w:val="FFFFFF"/>
                <w:sz w:val="18"/>
                <w:szCs w:val="18"/>
                <w:lang w:val="en-CA" w:eastAsia="en-GB"/>
              </w:rPr>
              <w:t>Impact</w:t>
            </w:r>
          </w:p>
        </w:tc>
        <w:tc>
          <w:tcPr>
            <w:tcW w:w="542" w:type="pct"/>
            <w:tcBorders>
              <w:top w:val="single" w:sz="1" w:space="0" w:color="AAAAAA"/>
              <w:left w:val="single" w:sz="1" w:space="0" w:color="AAAAAA"/>
              <w:right w:val="single" w:sz="1" w:space="0" w:color="AAAAAA"/>
            </w:tcBorders>
            <w:shd w:val="clear" w:color="auto" w:fill="1F4E6B"/>
            <w:tcMar>
              <w:top w:w="60" w:type="dxa"/>
              <w:left w:w="100" w:type="dxa"/>
              <w:bottom w:w="60" w:type="dxa"/>
              <w:right w:w="100" w:type="dxa"/>
            </w:tcMar>
          </w:tcPr>
          <w:p w14:paraId="2ACEEA8A"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color w:val="FFFFFF"/>
                <w:sz w:val="18"/>
                <w:szCs w:val="18"/>
                <w:lang w:val="en-CA" w:eastAsia="en-GB"/>
              </w:rPr>
              <w:t>Firm type</w:t>
            </w:r>
          </w:p>
        </w:tc>
        <w:tc>
          <w:tcPr>
            <w:tcW w:w="425" w:type="pct"/>
            <w:tcBorders>
              <w:top w:val="single" w:sz="1" w:space="0" w:color="AAAAAA"/>
              <w:left w:val="single" w:sz="1" w:space="0" w:color="AAAAAA"/>
              <w:right w:val="single" w:sz="1" w:space="0" w:color="AAAAAA"/>
            </w:tcBorders>
            <w:shd w:val="clear" w:color="auto" w:fill="1F4E6B"/>
            <w:tcMar>
              <w:top w:w="60" w:type="dxa"/>
              <w:left w:w="100" w:type="dxa"/>
              <w:bottom w:w="60" w:type="dxa"/>
              <w:right w:w="100" w:type="dxa"/>
            </w:tcMar>
          </w:tcPr>
          <w:p w14:paraId="5F0884BA"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color w:val="FFFFFF"/>
                <w:sz w:val="18"/>
                <w:szCs w:val="18"/>
                <w:lang w:val="en-CA" w:eastAsia="en-GB"/>
              </w:rPr>
              <w:t>Magnitude</w:t>
            </w:r>
          </w:p>
        </w:tc>
        <w:tc>
          <w:tcPr>
            <w:tcW w:w="433" w:type="pct"/>
            <w:tcBorders>
              <w:top w:val="single" w:sz="1" w:space="0" w:color="AAAAAA"/>
              <w:left w:val="single" w:sz="1" w:space="0" w:color="AAAAAA"/>
              <w:right w:val="single" w:sz="1" w:space="0" w:color="AAAAAA"/>
            </w:tcBorders>
            <w:shd w:val="clear" w:color="auto" w:fill="1F4E6B"/>
            <w:tcMar>
              <w:top w:w="60" w:type="dxa"/>
              <w:left w:w="100" w:type="dxa"/>
              <w:bottom w:w="60" w:type="dxa"/>
              <w:right w:w="100" w:type="dxa"/>
            </w:tcMar>
          </w:tcPr>
          <w:p w14:paraId="64D8B02E"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color w:val="FFFFFF"/>
                <w:sz w:val="18"/>
                <w:szCs w:val="18"/>
                <w:lang w:val="en-CA" w:eastAsia="en-GB"/>
              </w:rPr>
              <w:t>Probability</w:t>
            </w:r>
          </w:p>
        </w:tc>
        <w:tc>
          <w:tcPr>
            <w:tcW w:w="1959" w:type="pct"/>
            <w:tcBorders>
              <w:top w:val="single" w:sz="1" w:space="0" w:color="AAAAAA"/>
              <w:left w:val="single" w:sz="1" w:space="0" w:color="AAAAAA"/>
              <w:right w:val="single" w:sz="1" w:space="0" w:color="AAAAAA"/>
            </w:tcBorders>
            <w:shd w:val="clear" w:color="auto" w:fill="1F4E6B"/>
            <w:tcMar>
              <w:top w:w="60" w:type="dxa"/>
              <w:left w:w="100" w:type="dxa"/>
              <w:bottom w:w="60" w:type="dxa"/>
              <w:right w:w="100" w:type="dxa"/>
            </w:tcMar>
          </w:tcPr>
          <w:p w14:paraId="67EBC207"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color w:val="FFFFFF"/>
                <w:sz w:val="18"/>
                <w:szCs w:val="18"/>
                <w:lang w:val="en-CA" w:eastAsia="en-GB"/>
              </w:rPr>
              <w:t>Key conditions</w:t>
            </w:r>
          </w:p>
        </w:tc>
        <w:tc>
          <w:tcPr>
            <w:tcW w:w="431" w:type="pct"/>
            <w:tcBorders>
              <w:top w:val="single" w:sz="1" w:space="0" w:color="AAAAAA"/>
              <w:left w:val="single" w:sz="1" w:space="0" w:color="AAAAAA"/>
              <w:right w:val="single" w:sz="1" w:space="0" w:color="AAAAAA"/>
            </w:tcBorders>
            <w:shd w:val="clear" w:color="auto" w:fill="1F4E6B"/>
            <w:tcMar>
              <w:top w:w="60" w:type="dxa"/>
              <w:left w:w="100" w:type="dxa"/>
              <w:bottom w:w="60" w:type="dxa"/>
              <w:right w:w="100" w:type="dxa"/>
            </w:tcMar>
          </w:tcPr>
          <w:p w14:paraId="5A7F8745"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color w:val="FFFFFF"/>
                <w:sz w:val="18"/>
                <w:szCs w:val="18"/>
                <w:lang w:val="en-CA" w:eastAsia="en-GB"/>
              </w:rPr>
              <w:t>Materiality</w:t>
            </w:r>
          </w:p>
        </w:tc>
      </w:tr>
      <w:tr w:rsidR="005F0A67" w:rsidRPr="005F0A67" w14:paraId="71DC1F43" w14:textId="77777777" w:rsidTr="005F0A67">
        <w:tc>
          <w:tcPr>
            <w:tcW w:w="1210"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51DE4113"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b/>
                <w:bCs/>
                <w:sz w:val="18"/>
                <w:szCs w:val="18"/>
                <w:lang w:val="en-CA" w:eastAsia="en-GB"/>
              </w:rPr>
              <w:t>Administrative burden</w:t>
            </w:r>
            <w:r w:rsidRPr="005F0A67">
              <w:rPr>
                <w:rFonts w:asciiTheme="majorBidi" w:eastAsia="Times New Roman" w:hAnsiTheme="majorBidi" w:cstheme="majorBidi"/>
                <w:sz w:val="18"/>
                <w:szCs w:val="18"/>
                <w:lang w:val="en-CA" w:eastAsia="en-GB"/>
              </w:rPr>
              <w:t xml:space="preserve"> </w:t>
            </w:r>
          </w:p>
          <w:p w14:paraId="567346C0"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Costs of calculating, reporting, and documenting the contribution. Low under current revenue/profit design as both bases use indicators already reported for tax and accounting. Significance rises if scope shifts to product- or use-based attribution. DSI dependence varies within the sector: most producers have limited direct DSI use, while botanical supplement and probiotic sub-groups use DSI more intensively in authentication and strain characterisation.</w:t>
            </w: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1F6E0D37"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Nutraceuticals producers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5BFDCC2C"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328EA1FB"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24E8E68A"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 xml:space="preserve">Contribution base definition (U12). Proportionality concern most acute for firms with no direct product-level DSI reliance contributing on the same financial base as DSI-intensive sub-groups. Botanical supplement producers: species identification and quality assurance using sequence data (Franz et al., 2011; </w:t>
            </w:r>
            <w:proofErr w:type="spellStart"/>
            <w:r w:rsidRPr="005F0A67">
              <w:rPr>
                <w:rFonts w:asciiTheme="majorBidi" w:eastAsia="Times New Roman" w:hAnsiTheme="majorBidi" w:cstheme="majorBidi"/>
                <w:sz w:val="18"/>
                <w:szCs w:val="18"/>
                <w:lang w:val="en-CA" w:eastAsia="en-GB"/>
              </w:rPr>
              <w:t>Shipkowski</w:t>
            </w:r>
            <w:proofErr w:type="spellEnd"/>
            <w:r w:rsidRPr="005F0A67">
              <w:rPr>
                <w:rFonts w:asciiTheme="majorBidi" w:eastAsia="Times New Roman" w:hAnsiTheme="majorBidi" w:cstheme="majorBidi"/>
                <w:sz w:val="18"/>
                <w:szCs w:val="18"/>
                <w:lang w:val="en-CA" w:eastAsia="en-GB"/>
              </w:rPr>
              <w:t xml:space="preserve"> et al., 2018). Probiotic and microbial supplement producers: strain identification and label verification using targeted PCR and high-throughput sequencing (Morovic et al., 2016; Shehata and Newmaster, 2020).</w:t>
            </w:r>
          </w:p>
        </w:tc>
        <w:tc>
          <w:tcPr>
            <w:tcW w:w="431" w:type="pct"/>
            <w:tcBorders>
              <w:top w:val="single" w:sz="1" w:space="0" w:color="AAAAAA"/>
              <w:left w:val="single" w:sz="1" w:space="0" w:color="AAAAAA"/>
              <w:right w:val="single" w:sz="1" w:space="0" w:color="AAAAAA"/>
            </w:tcBorders>
            <w:shd w:val="clear" w:color="auto" w:fill="D9F2D0"/>
            <w:tcMar>
              <w:top w:w="60" w:type="dxa"/>
              <w:left w:w="100" w:type="dxa"/>
              <w:bottom w:w="60" w:type="dxa"/>
              <w:right w:w="100" w:type="dxa"/>
            </w:tcMar>
            <w:vAlign w:val="center"/>
          </w:tcPr>
          <w:p w14:paraId="15E0F322"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b/>
                <w:bCs/>
                <w:sz w:val="24"/>
                <w:szCs w:val="24"/>
                <w:lang w:val="en-CA" w:eastAsia="en-GB"/>
              </w:rPr>
            </w:pPr>
            <w:r w:rsidRPr="005F0A67">
              <w:rPr>
                <w:rFonts w:asciiTheme="majorBidi" w:eastAsia="Times New Roman" w:hAnsiTheme="majorBidi" w:cstheme="majorBidi"/>
                <w:b/>
                <w:bCs/>
                <w:sz w:val="18"/>
                <w:szCs w:val="18"/>
                <w:lang w:val="en-CA" w:eastAsia="en-GB"/>
              </w:rPr>
              <w:t>Low</w:t>
            </w:r>
          </w:p>
        </w:tc>
      </w:tr>
      <w:tr w:rsidR="005F0A67" w:rsidRPr="005F0A67" w14:paraId="3D495E10" w14:textId="77777777" w:rsidTr="005F0A67">
        <w:tc>
          <w:tcPr>
            <w:tcW w:w="1210"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24A84B39"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b/>
                <w:bCs/>
                <w:sz w:val="18"/>
                <w:szCs w:val="18"/>
                <w:lang w:val="en-CA" w:eastAsia="en-GB"/>
              </w:rPr>
              <w:t>Substantive compliance costs</w:t>
            </w:r>
            <w:r w:rsidRPr="005F0A67">
              <w:rPr>
                <w:rFonts w:asciiTheme="majorBidi" w:eastAsia="Times New Roman" w:hAnsiTheme="majorBidi" w:cstheme="majorBidi"/>
                <w:sz w:val="18"/>
                <w:szCs w:val="18"/>
                <w:lang w:val="en-CA" w:eastAsia="en-GB"/>
              </w:rPr>
              <w:t xml:space="preserve"> </w:t>
            </w:r>
          </w:p>
          <w:p w14:paraId="675A832D"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The contribution payment itself as a direct cost burden. With a median margin of 4%, the lowest of any Indicative Enclosure I sector, virtually all eligible firms pay on profit. The profit-base burden is proportionally higher relative to earnings than in most other sectors, despite the low absolute contribution rate. Proportionality concern particularly relevant for firms with limited or no direct DSI use contributing on the same total financial base as DSI-intensive sub-groups (U12).</w:t>
            </w: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16673B67"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Nutraceuticals producers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115EA108"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Moderate</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765475BD"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Medium</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2135B897"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 xml:space="preserve">Thin margins (sector median 4%) mean profit-base contribution scales directly with earnings and is sensitive to margin compression; proportionality concern most acute for general producers with limited DSI dependence (U12). Consumer-facing markets shaped more by product credibility than price competition (Hobbs, Malla and </w:t>
            </w:r>
            <w:proofErr w:type="spellStart"/>
            <w:r w:rsidRPr="005F0A67">
              <w:rPr>
                <w:rFonts w:asciiTheme="majorBidi" w:eastAsia="Times New Roman" w:hAnsiTheme="majorBidi" w:cstheme="majorBidi"/>
                <w:sz w:val="18"/>
                <w:szCs w:val="18"/>
                <w:lang w:val="en-CA" w:eastAsia="en-GB"/>
              </w:rPr>
              <w:t>Sogah</w:t>
            </w:r>
            <w:proofErr w:type="spellEnd"/>
            <w:r w:rsidRPr="005F0A67">
              <w:rPr>
                <w:rFonts w:asciiTheme="majorBidi" w:eastAsia="Times New Roman" w:hAnsiTheme="majorBidi" w:cstheme="majorBidi"/>
                <w:sz w:val="18"/>
                <w:szCs w:val="18"/>
                <w:lang w:val="en-CA" w:eastAsia="en-GB"/>
              </w:rPr>
              <w:t>, 2014), providing limited but partial pass-through capacity for premium segments. Botanical and probiotic sub-groups: lower proportionality concern given higher DSI intensity, but thin margins still mean a proportionally high profit-base burden. Rate revision.</w:t>
            </w:r>
          </w:p>
        </w:tc>
        <w:tc>
          <w:tcPr>
            <w:tcW w:w="431" w:type="pct"/>
            <w:tcBorders>
              <w:top w:val="single" w:sz="1" w:space="0" w:color="AAAAAA"/>
              <w:left w:val="single" w:sz="1" w:space="0" w:color="AAAAAA"/>
              <w:right w:val="single" w:sz="1" w:space="0" w:color="AAAAAA"/>
            </w:tcBorders>
            <w:shd w:val="clear" w:color="auto" w:fill="FEF9CC"/>
            <w:tcMar>
              <w:top w:w="60" w:type="dxa"/>
              <w:left w:w="100" w:type="dxa"/>
              <w:bottom w:w="60" w:type="dxa"/>
              <w:right w:w="100" w:type="dxa"/>
            </w:tcMar>
            <w:vAlign w:val="center"/>
          </w:tcPr>
          <w:p w14:paraId="24F7461C"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b/>
                <w:bCs/>
                <w:sz w:val="18"/>
                <w:szCs w:val="18"/>
                <w:lang w:val="en-CA" w:eastAsia="en-GB"/>
              </w:rPr>
            </w:pPr>
            <w:r w:rsidRPr="005F0A67">
              <w:rPr>
                <w:rFonts w:asciiTheme="majorBidi" w:eastAsia="Times New Roman" w:hAnsiTheme="majorBidi" w:cstheme="majorBidi"/>
                <w:b/>
                <w:bCs/>
                <w:sz w:val="18"/>
                <w:szCs w:val="18"/>
                <w:lang w:val="en-CA" w:eastAsia="en-GB"/>
              </w:rPr>
              <w:t>Moderate</w:t>
            </w:r>
          </w:p>
        </w:tc>
      </w:tr>
      <w:tr w:rsidR="005F0A67" w:rsidRPr="005F0A67" w14:paraId="40E335B9" w14:textId="77777777" w:rsidTr="005F0A67">
        <w:tc>
          <w:tcPr>
            <w:tcW w:w="1210"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42AA6700"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b/>
                <w:bCs/>
                <w:sz w:val="18"/>
                <w:szCs w:val="18"/>
                <w:lang w:val="en-CA" w:eastAsia="en-GB"/>
              </w:rPr>
              <w:t>Cost of capital</w:t>
            </w:r>
            <w:r w:rsidRPr="005F0A67">
              <w:rPr>
                <w:rFonts w:asciiTheme="majorBidi" w:eastAsia="Times New Roman" w:hAnsiTheme="majorBidi" w:cstheme="majorBidi"/>
                <w:sz w:val="18"/>
                <w:szCs w:val="18"/>
                <w:lang w:val="en-CA" w:eastAsia="en-GB"/>
              </w:rPr>
              <w:t xml:space="preserve"> </w:t>
            </w:r>
          </w:p>
          <w:p w14:paraId="1E3E4704"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 xml:space="preserve">Changes in cost or availability of financing from margin compression or reduced free cash flow. Thin margins (4% sector median) create the most plausible cost of capital exposure of any Indicative Enclosure I sector. </w:t>
            </w:r>
            <w:bookmarkStart w:id="228" w:name="_Int_TW8hjL11"/>
            <w:r w:rsidRPr="005F0A67">
              <w:rPr>
                <w:rFonts w:asciiTheme="majorBidi" w:eastAsia="Times New Roman" w:hAnsiTheme="majorBidi" w:cstheme="majorBidi"/>
                <w:sz w:val="18"/>
                <w:szCs w:val="18"/>
                <w:lang w:val="en-CA" w:eastAsia="en-GB"/>
              </w:rPr>
              <w:t>Voluntary</w:t>
            </w:r>
            <w:bookmarkEnd w:id="228"/>
            <w:r w:rsidRPr="005F0A67">
              <w:rPr>
                <w:rFonts w:asciiTheme="majorBidi" w:eastAsia="Times New Roman" w:hAnsiTheme="majorBidi" w:cstheme="majorBidi"/>
                <w:sz w:val="18"/>
                <w:szCs w:val="18"/>
                <w:lang w:val="en-CA" w:eastAsia="en-GB"/>
              </w:rPr>
              <w:t xml:space="preserve"> opt-out constrains severe outcomes: firms facing material financing constraints would rationally choose non-participation.</w:t>
            </w: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56371A07"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Nutraceuticals producers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1AEE5384"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4406A1AE"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4D7568ED"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Thin margins create most plausible cost of capital exposure within this Low assessment; voluntary opt-out means firms facing material constraints would choose non-participation over absorption. Rate revision.</w:t>
            </w:r>
          </w:p>
        </w:tc>
        <w:tc>
          <w:tcPr>
            <w:tcW w:w="431" w:type="pct"/>
            <w:tcBorders>
              <w:top w:val="single" w:sz="1" w:space="0" w:color="AAAAAA"/>
              <w:left w:val="single" w:sz="1" w:space="0" w:color="AAAAAA"/>
              <w:right w:val="single" w:sz="1" w:space="0" w:color="AAAAAA"/>
            </w:tcBorders>
            <w:shd w:val="clear" w:color="auto" w:fill="D9F2D0"/>
            <w:tcMar>
              <w:top w:w="60" w:type="dxa"/>
              <w:left w:w="100" w:type="dxa"/>
              <w:bottom w:w="60" w:type="dxa"/>
              <w:right w:w="100" w:type="dxa"/>
            </w:tcMar>
            <w:vAlign w:val="center"/>
          </w:tcPr>
          <w:p w14:paraId="2C472856"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b/>
                <w:bCs/>
                <w:sz w:val="24"/>
                <w:szCs w:val="24"/>
                <w:lang w:val="en-CA" w:eastAsia="en-GB"/>
              </w:rPr>
            </w:pPr>
            <w:r w:rsidRPr="005F0A67">
              <w:rPr>
                <w:rFonts w:asciiTheme="majorBidi" w:eastAsia="Times New Roman" w:hAnsiTheme="majorBidi" w:cstheme="majorBidi"/>
                <w:b/>
                <w:bCs/>
                <w:sz w:val="18"/>
                <w:szCs w:val="18"/>
                <w:lang w:val="en-CA" w:eastAsia="en-GB"/>
              </w:rPr>
              <w:t>Low</w:t>
            </w:r>
          </w:p>
        </w:tc>
      </w:tr>
      <w:tr w:rsidR="005F0A67" w:rsidRPr="005F0A67" w14:paraId="7765ADAC" w14:textId="77777777" w:rsidTr="005F0A67">
        <w:tc>
          <w:tcPr>
            <w:tcW w:w="1210"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6790C2CF"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sz w:val="18"/>
                <w:szCs w:val="18"/>
                <w:lang w:val="en-CA" w:eastAsia="en-GB"/>
              </w:rPr>
              <w:t>Cost of intermediate consumption</w:t>
            </w:r>
            <w:r w:rsidRPr="005F0A67">
              <w:rPr>
                <w:rFonts w:asciiTheme="majorBidi" w:eastAsia="Times New Roman" w:hAnsiTheme="majorBidi" w:cstheme="majorBidi"/>
                <w:sz w:val="18"/>
                <w:szCs w:val="18"/>
                <w:lang w:val="en-CA" w:eastAsia="en-GB"/>
              </w:rPr>
              <w:t xml:space="preserve"> Indirect cost increase if laboratory equipment firms pass Cali Fund contributions forward via input pricing. Relevant primarily for botanical and </w:t>
            </w:r>
            <w:r w:rsidRPr="005F0A67">
              <w:rPr>
                <w:rFonts w:asciiTheme="majorBidi" w:eastAsia="Times New Roman" w:hAnsiTheme="majorBidi" w:cstheme="majorBidi"/>
                <w:sz w:val="18"/>
                <w:szCs w:val="18"/>
                <w:lang w:val="en-CA" w:eastAsia="en-GB"/>
              </w:rPr>
              <w:lastRenderedPageBreak/>
              <w:t xml:space="preserve">probiotic sub-groups that use sequencing equipment in authentication or strain characterisation; limited for most general </w:t>
            </w:r>
            <w:bookmarkStart w:id="229" w:name="_Int_4dfBbDbu"/>
            <w:r w:rsidRPr="005F0A67">
              <w:rPr>
                <w:rFonts w:asciiTheme="majorBidi" w:eastAsia="Times New Roman" w:hAnsiTheme="majorBidi" w:cstheme="majorBidi"/>
                <w:sz w:val="18"/>
                <w:szCs w:val="18"/>
                <w:lang w:val="en-CA" w:eastAsia="en-GB"/>
              </w:rPr>
              <w:t>nutraceuticals</w:t>
            </w:r>
            <w:bookmarkEnd w:id="229"/>
            <w:r w:rsidRPr="005F0A67">
              <w:rPr>
                <w:rFonts w:asciiTheme="majorBidi" w:eastAsia="Times New Roman" w:hAnsiTheme="majorBidi" w:cstheme="majorBidi"/>
                <w:sz w:val="18"/>
                <w:szCs w:val="18"/>
                <w:lang w:val="en-CA" w:eastAsia="en-GB"/>
              </w:rPr>
              <w:t xml:space="preserve"> producers.</w:t>
            </w: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378E7FC7"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lastRenderedPageBreak/>
              <w:t>Nutraceuticals producers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70C8C371"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60FEB132"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25E0C1C7"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Botanical supplement producers: some sequencing equipment use in species authentication. Probiotic and microbial supplement producers: PCR and sequencing equipment used in strain identification. General producers: limited laboratory equipment dependence. Direct vs indirect use boundary (U4).</w:t>
            </w:r>
          </w:p>
        </w:tc>
        <w:tc>
          <w:tcPr>
            <w:tcW w:w="431" w:type="pct"/>
            <w:tcBorders>
              <w:top w:val="single" w:sz="1" w:space="0" w:color="AAAAAA"/>
              <w:left w:val="single" w:sz="1" w:space="0" w:color="AAAAAA"/>
              <w:right w:val="single" w:sz="1" w:space="0" w:color="AAAAAA"/>
            </w:tcBorders>
            <w:shd w:val="clear" w:color="auto" w:fill="D9F2D0"/>
            <w:tcMar>
              <w:top w:w="60" w:type="dxa"/>
              <w:left w:w="100" w:type="dxa"/>
              <w:bottom w:w="60" w:type="dxa"/>
              <w:right w:w="100" w:type="dxa"/>
            </w:tcMar>
            <w:vAlign w:val="center"/>
          </w:tcPr>
          <w:p w14:paraId="3A76B760"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b/>
                <w:bCs/>
                <w:sz w:val="24"/>
                <w:szCs w:val="24"/>
                <w:lang w:val="en-CA" w:eastAsia="en-GB"/>
              </w:rPr>
            </w:pPr>
            <w:r w:rsidRPr="005F0A67">
              <w:rPr>
                <w:rFonts w:asciiTheme="majorBidi" w:eastAsia="Times New Roman" w:hAnsiTheme="majorBidi" w:cstheme="majorBidi"/>
                <w:b/>
                <w:bCs/>
                <w:sz w:val="18"/>
                <w:szCs w:val="18"/>
                <w:lang w:val="en-CA" w:eastAsia="en-GB"/>
              </w:rPr>
              <w:t>Low</w:t>
            </w:r>
          </w:p>
        </w:tc>
      </w:tr>
      <w:tr w:rsidR="005F0A67" w:rsidRPr="005F0A67" w14:paraId="1F046D9C" w14:textId="77777777" w:rsidTr="005F0A67">
        <w:tc>
          <w:tcPr>
            <w:tcW w:w="1210"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12C48A7C"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b/>
                <w:bCs/>
                <w:sz w:val="18"/>
                <w:szCs w:val="18"/>
                <w:lang w:val="en-CA" w:eastAsia="en-GB"/>
              </w:rPr>
            </w:pPr>
            <w:r w:rsidRPr="005F0A67">
              <w:rPr>
                <w:rFonts w:asciiTheme="majorBidi" w:eastAsia="Times New Roman" w:hAnsiTheme="majorBidi" w:cstheme="majorBidi"/>
                <w:b/>
                <w:bCs/>
                <w:sz w:val="18"/>
                <w:szCs w:val="18"/>
                <w:lang w:val="en-CA" w:eastAsia="en-GB"/>
              </w:rPr>
              <w:t>Pass-through to consumers</w:t>
            </w:r>
          </w:p>
          <w:p w14:paraId="19017936"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 xml:space="preserve">Extent to which contribution cost is transferred to customers via output pricing. Consumer-facing markets with moderate price sensitivity. Some pass-through plausible for premium or differentiated products; limited for commodity segments. Markets shaped more by product credibility and quality signalling than pure price competition (Hobbs, 2002a; Hobbs, Malla and </w:t>
            </w:r>
            <w:proofErr w:type="spellStart"/>
            <w:r w:rsidRPr="005F0A67">
              <w:rPr>
                <w:rFonts w:asciiTheme="majorBidi" w:eastAsia="Times New Roman" w:hAnsiTheme="majorBidi" w:cstheme="majorBidi"/>
                <w:sz w:val="18"/>
                <w:szCs w:val="18"/>
                <w:lang w:val="en-CA" w:eastAsia="en-GB"/>
              </w:rPr>
              <w:t>Sogah</w:t>
            </w:r>
            <w:proofErr w:type="spellEnd"/>
            <w:r w:rsidRPr="005F0A67">
              <w:rPr>
                <w:rFonts w:asciiTheme="majorBidi" w:eastAsia="Times New Roman" w:hAnsiTheme="majorBidi" w:cstheme="majorBidi"/>
                <w:sz w:val="18"/>
                <w:szCs w:val="18"/>
                <w:lang w:val="en-CA" w:eastAsia="en-GB"/>
              </w:rPr>
              <w:t>, 2014).</w:t>
            </w: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6893CF00"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Nutraceuticals producers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097930A9"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094C67F7"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533D146B"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Commodity segments face price-sensitive consumers with limited pass-through capacity; premium and authenticated products have more flexibility. National implementation divergence (U8).</w:t>
            </w:r>
          </w:p>
        </w:tc>
        <w:tc>
          <w:tcPr>
            <w:tcW w:w="431" w:type="pct"/>
            <w:tcBorders>
              <w:top w:val="single" w:sz="1" w:space="0" w:color="AAAAAA"/>
              <w:left w:val="single" w:sz="1" w:space="0" w:color="AAAAAA"/>
              <w:right w:val="single" w:sz="1" w:space="0" w:color="AAAAAA"/>
            </w:tcBorders>
            <w:shd w:val="clear" w:color="auto" w:fill="D9F2D0"/>
            <w:tcMar>
              <w:top w:w="60" w:type="dxa"/>
              <w:left w:w="100" w:type="dxa"/>
              <w:bottom w:w="60" w:type="dxa"/>
              <w:right w:w="100" w:type="dxa"/>
            </w:tcMar>
            <w:vAlign w:val="center"/>
          </w:tcPr>
          <w:p w14:paraId="694534B8"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b/>
                <w:bCs/>
                <w:sz w:val="24"/>
                <w:szCs w:val="24"/>
                <w:lang w:val="en-CA" w:eastAsia="en-GB"/>
              </w:rPr>
            </w:pPr>
            <w:r w:rsidRPr="005F0A67">
              <w:rPr>
                <w:rFonts w:asciiTheme="majorBidi" w:eastAsia="Times New Roman" w:hAnsiTheme="majorBidi" w:cstheme="majorBidi"/>
                <w:b/>
                <w:bCs/>
                <w:sz w:val="18"/>
                <w:szCs w:val="18"/>
                <w:lang w:val="en-CA" w:eastAsia="en-GB"/>
              </w:rPr>
              <w:t>Low</w:t>
            </w:r>
          </w:p>
        </w:tc>
      </w:tr>
    </w:tbl>
    <w:p w14:paraId="07EDA954"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p>
    <w:p w14:paraId="40EF234B" w14:textId="77777777" w:rsidR="00B009ED" w:rsidRDefault="00B009ED">
      <w:pPr>
        <w:tabs>
          <w:tab w:val="clear" w:pos="567"/>
          <w:tab w:val="clear" w:pos="1134"/>
          <w:tab w:val="clear" w:pos="1701"/>
          <w:tab w:val="clear" w:pos="2268"/>
        </w:tabs>
        <w:jc w:val="left"/>
        <w:rPr>
          <w:rFonts w:asciiTheme="majorBidi" w:eastAsia="Georgia" w:hAnsiTheme="majorBidi" w:cstheme="majorBidi"/>
          <w:b/>
          <w:bCs/>
          <w:color w:val="419844"/>
          <w:lang w:val="en-US" w:eastAsia="ja-JP"/>
        </w:rPr>
      </w:pPr>
      <w:bookmarkStart w:id="230" w:name="_Ref231771421"/>
      <w:r>
        <w:rPr>
          <w:rFonts w:asciiTheme="majorBidi" w:eastAsia="Georgia" w:hAnsiTheme="majorBidi" w:cstheme="majorBidi"/>
          <w:b/>
          <w:bCs/>
          <w:color w:val="419844"/>
          <w:lang w:val="en-US" w:eastAsia="ja-JP"/>
        </w:rPr>
        <w:br w:type="page"/>
      </w:r>
    </w:p>
    <w:p w14:paraId="4385C312" w14:textId="21AE90A1" w:rsidR="005F0A67" w:rsidRPr="005F0A67" w:rsidRDefault="005F0A67" w:rsidP="005F0A67">
      <w:pPr>
        <w:tabs>
          <w:tab w:val="clear" w:pos="567"/>
          <w:tab w:val="clear" w:pos="1134"/>
          <w:tab w:val="clear" w:pos="1701"/>
          <w:tab w:val="clear" w:pos="2268"/>
        </w:tabs>
        <w:spacing w:after="200" w:line="312" w:lineRule="auto"/>
        <w:contextualSpacing/>
        <w:rPr>
          <w:rFonts w:asciiTheme="majorBidi" w:eastAsia="Georgia" w:hAnsiTheme="majorBidi" w:cstheme="majorBidi"/>
          <w:b/>
          <w:bCs/>
          <w:color w:val="419844"/>
          <w:lang w:eastAsia="en-GB"/>
        </w:rPr>
      </w:pPr>
      <w:r w:rsidRPr="005F0A67">
        <w:rPr>
          <w:rFonts w:asciiTheme="majorBidi" w:eastAsia="Georgia" w:hAnsiTheme="majorBidi" w:cstheme="majorBidi"/>
          <w:b/>
          <w:bCs/>
          <w:color w:val="419844"/>
          <w:lang w:val="en-US" w:eastAsia="ja-JP"/>
        </w:rPr>
        <w:lastRenderedPageBreak/>
        <w:t xml:space="preserve">Table </w:t>
      </w:r>
      <w:r w:rsidRPr="005F0A67">
        <w:rPr>
          <w:rFonts w:asciiTheme="majorBidi" w:eastAsia="Georgia" w:hAnsiTheme="majorBidi" w:cstheme="majorBidi"/>
          <w:b/>
          <w:bCs/>
          <w:color w:val="419844"/>
          <w:lang w:eastAsia="en-GB"/>
        </w:rPr>
        <w:fldChar w:fldCharType="begin"/>
      </w:r>
      <w:r w:rsidRPr="005F0A67">
        <w:rPr>
          <w:rFonts w:asciiTheme="majorBidi" w:eastAsia="Georgia" w:hAnsiTheme="majorBidi" w:cstheme="majorBidi"/>
          <w:b/>
          <w:bCs/>
          <w:color w:val="419844"/>
          <w:lang w:eastAsia="en-GB"/>
        </w:rPr>
        <w:instrText xml:space="preserve"> SEQ Table \* ARABIC </w:instrText>
      </w:r>
      <w:r w:rsidRPr="005F0A67">
        <w:rPr>
          <w:rFonts w:asciiTheme="majorBidi" w:eastAsia="Georgia" w:hAnsiTheme="majorBidi" w:cstheme="majorBidi"/>
          <w:b/>
          <w:bCs/>
          <w:color w:val="419844"/>
          <w:lang w:eastAsia="en-GB"/>
        </w:rPr>
        <w:fldChar w:fldCharType="separate"/>
      </w:r>
      <w:r w:rsidRPr="005F0A67">
        <w:rPr>
          <w:rFonts w:asciiTheme="majorBidi" w:eastAsia="Georgia" w:hAnsiTheme="majorBidi" w:cstheme="majorBidi"/>
          <w:b/>
          <w:bCs/>
          <w:noProof/>
          <w:color w:val="419844"/>
          <w:lang w:eastAsia="en-GB"/>
        </w:rPr>
        <w:t>33</w:t>
      </w:r>
      <w:r w:rsidRPr="005F0A67">
        <w:rPr>
          <w:rFonts w:asciiTheme="majorBidi" w:eastAsia="Georgia" w:hAnsiTheme="majorBidi" w:cstheme="majorBidi"/>
          <w:b/>
          <w:bCs/>
          <w:color w:val="419844"/>
          <w:lang w:eastAsia="en-GB"/>
        </w:rPr>
        <w:fldChar w:fldCharType="end"/>
      </w:r>
      <w:bookmarkEnd w:id="230"/>
      <w:r w:rsidRPr="005F0A67">
        <w:rPr>
          <w:rFonts w:asciiTheme="majorBidi" w:eastAsia="Georgia" w:hAnsiTheme="majorBidi" w:cstheme="majorBidi"/>
          <w:b/>
          <w:bCs/>
          <w:color w:val="419844"/>
          <w:lang w:val="en-US" w:eastAsia="ja-JP"/>
        </w:rPr>
        <w:t xml:space="preserve"> Pillar II: capacity to innovate impacts materiality assessment – Nutraceuticals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09"/>
        <w:gridCol w:w="1483"/>
        <w:gridCol w:w="1163"/>
        <w:gridCol w:w="1185"/>
        <w:gridCol w:w="5359"/>
        <w:gridCol w:w="1179"/>
      </w:tblGrid>
      <w:tr w:rsidR="005F0A67" w:rsidRPr="005F0A67" w14:paraId="2B62C570" w14:textId="77777777" w:rsidTr="00FB671B">
        <w:tc>
          <w:tcPr>
            <w:tcW w:w="1210" w:type="pct"/>
            <w:tcBorders>
              <w:top w:val="single" w:sz="1" w:space="0" w:color="AAAAAA"/>
              <w:left w:val="single" w:sz="1" w:space="0" w:color="AAAAAA"/>
              <w:right w:val="single" w:sz="1" w:space="0" w:color="AAAAAA"/>
            </w:tcBorders>
            <w:shd w:val="clear" w:color="auto" w:fill="1F4E6B"/>
            <w:tcMar>
              <w:top w:w="60" w:type="dxa"/>
              <w:left w:w="100" w:type="dxa"/>
              <w:bottom w:w="60" w:type="dxa"/>
              <w:right w:w="100" w:type="dxa"/>
            </w:tcMar>
          </w:tcPr>
          <w:p w14:paraId="7D997548"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color w:val="FFFFFF"/>
                <w:sz w:val="18"/>
                <w:szCs w:val="18"/>
                <w:lang w:val="en-CA" w:eastAsia="en-GB"/>
              </w:rPr>
              <w:t>Impact</w:t>
            </w:r>
          </w:p>
        </w:tc>
        <w:tc>
          <w:tcPr>
            <w:tcW w:w="542" w:type="pct"/>
            <w:tcBorders>
              <w:top w:val="single" w:sz="1" w:space="0" w:color="AAAAAA"/>
              <w:left w:val="single" w:sz="1" w:space="0" w:color="AAAAAA"/>
              <w:right w:val="single" w:sz="1" w:space="0" w:color="AAAAAA"/>
            </w:tcBorders>
            <w:shd w:val="clear" w:color="auto" w:fill="1F4E6B"/>
            <w:tcMar>
              <w:top w:w="60" w:type="dxa"/>
              <w:left w:w="100" w:type="dxa"/>
              <w:bottom w:w="60" w:type="dxa"/>
              <w:right w:w="100" w:type="dxa"/>
            </w:tcMar>
          </w:tcPr>
          <w:p w14:paraId="03355301"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color w:val="FFFFFF"/>
                <w:sz w:val="18"/>
                <w:szCs w:val="18"/>
                <w:lang w:val="en-CA" w:eastAsia="en-GB"/>
              </w:rPr>
              <w:t>Firm type</w:t>
            </w:r>
          </w:p>
        </w:tc>
        <w:tc>
          <w:tcPr>
            <w:tcW w:w="425" w:type="pct"/>
            <w:tcBorders>
              <w:top w:val="single" w:sz="1" w:space="0" w:color="AAAAAA"/>
              <w:left w:val="single" w:sz="1" w:space="0" w:color="AAAAAA"/>
              <w:right w:val="single" w:sz="1" w:space="0" w:color="AAAAAA"/>
            </w:tcBorders>
            <w:shd w:val="clear" w:color="auto" w:fill="1F4E6B"/>
            <w:tcMar>
              <w:top w:w="60" w:type="dxa"/>
              <w:left w:w="100" w:type="dxa"/>
              <w:bottom w:w="60" w:type="dxa"/>
              <w:right w:w="100" w:type="dxa"/>
            </w:tcMar>
          </w:tcPr>
          <w:p w14:paraId="2FBE0CFB"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color w:val="FFFFFF"/>
                <w:sz w:val="18"/>
                <w:szCs w:val="18"/>
                <w:lang w:val="en-CA" w:eastAsia="en-GB"/>
              </w:rPr>
              <w:t>Magnitude</w:t>
            </w:r>
          </w:p>
        </w:tc>
        <w:tc>
          <w:tcPr>
            <w:tcW w:w="433" w:type="pct"/>
            <w:tcBorders>
              <w:top w:val="single" w:sz="1" w:space="0" w:color="AAAAAA"/>
              <w:left w:val="single" w:sz="1" w:space="0" w:color="AAAAAA"/>
              <w:right w:val="single" w:sz="1" w:space="0" w:color="AAAAAA"/>
            </w:tcBorders>
            <w:shd w:val="clear" w:color="auto" w:fill="1F4E6B"/>
            <w:tcMar>
              <w:top w:w="60" w:type="dxa"/>
              <w:left w:w="100" w:type="dxa"/>
              <w:bottom w:w="60" w:type="dxa"/>
              <w:right w:w="100" w:type="dxa"/>
            </w:tcMar>
          </w:tcPr>
          <w:p w14:paraId="2904B4D5"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color w:val="FFFFFF"/>
                <w:sz w:val="18"/>
                <w:szCs w:val="18"/>
                <w:lang w:val="en-CA" w:eastAsia="en-GB"/>
              </w:rPr>
              <w:t>Probability</w:t>
            </w:r>
          </w:p>
        </w:tc>
        <w:tc>
          <w:tcPr>
            <w:tcW w:w="1959" w:type="pct"/>
            <w:tcBorders>
              <w:top w:val="single" w:sz="1" w:space="0" w:color="AAAAAA"/>
              <w:left w:val="single" w:sz="1" w:space="0" w:color="AAAAAA"/>
              <w:right w:val="single" w:sz="1" w:space="0" w:color="AAAAAA"/>
            </w:tcBorders>
            <w:shd w:val="clear" w:color="auto" w:fill="1F4E6B"/>
            <w:tcMar>
              <w:top w:w="60" w:type="dxa"/>
              <w:left w:w="100" w:type="dxa"/>
              <w:bottom w:w="60" w:type="dxa"/>
              <w:right w:w="100" w:type="dxa"/>
            </w:tcMar>
          </w:tcPr>
          <w:p w14:paraId="349A09F9"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color w:val="FFFFFF"/>
                <w:sz w:val="18"/>
                <w:szCs w:val="18"/>
                <w:lang w:val="en-CA" w:eastAsia="en-GB"/>
              </w:rPr>
              <w:t>Key conditions</w:t>
            </w:r>
          </w:p>
        </w:tc>
        <w:tc>
          <w:tcPr>
            <w:tcW w:w="431" w:type="pct"/>
            <w:tcBorders>
              <w:top w:val="single" w:sz="1" w:space="0" w:color="AAAAAA"/>
              <w:left w:val="single" w:sz="1" w:space="0" w:color="AAAAAA"/>
              <w:right w:val="single" w:sz="1" w:space="0" w:color="AAAAAA"/>
            </w:tcBorders>
            <w:shd w:val="clear" w:color="auto" w:fill="1F4E6B"/>
            <w:tcMar>
              <w:top w:w="60" w:type="dxa"/>
              <w:left w:w="100" w:type="dxa"/>
              <w:bottom w:w="60" w:type="dxa"/>
              <w:right w:w="100" w:type="dxa"/>
            </w:tcMar>
          </w:tcPr>
          <w:p w14:paraId="147D70F3"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color w:val="FFFFFF"/>
                <w:sz w:val="18"/>
                <w:szCs w:val="18"/>
                <w:lang w:val="en-CA" w:eastAsia="en-GB"/>
              </w:rPr>
              <w:t>Materiality</w:t>
            </w:r>
          </w:p>
        </w:tc>
      </w:tr>
      <w:tr w:rsidR="005F0A67" w:rsidRPr="005F0A67" w14:paraId="243DA2C7" w14:textId="77777777" w:rsidTr="005F0A67">
        <w:tc>
          <w:tcPr>
            <w:tcW w:w="1210"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073D2525"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sz w:val="18"/>
                <w:szCs w:val="18"/>
                <w:lang w:val="en-CA" w:eastAsia="en-GB"/>
              </w:rPr>
              <w:t>R&amp;D investment capacity</w:t>
            </w:r>
            <w:r w:rsidRPr="005F0A67">
              <w:rPr>
                <w:rFonts w:asciiTheme="majorBidi" w:eastAsia="Times New Roman" w:hAnsiTheme="majorBidi" w:cstheme="majorBidi"/>
                <w:sz w:val="18"/>
                <w:szCs w:val="18"/>
                <w:lang w:val="en-CA" w:eastAsia="en-GB"/>
              </w:rPr>
              <w:t xml:space="preserve"> Reduction in capital available for R&amp;D through margin compression or reduced free cash flow. The nutraceuticals sector has limited R&amp;D intensity relative to pharmaceuticals or biotechnology. No close payment-burden analogues identified in the sector-specific literature; assessment relies on broad cross-sectoral evidence (Section 7.4).</w:t>
            </w: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4FC6AC8B"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Nutraceuticals producers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13D641DE"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1DA98E4F"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0CC52A12"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Limited R&amp;D intensity across the sector; short product development cycles; thin margins increase conditional sensitivity but voluntary opt-out constrains severe outcomes. Probiotic sub-group: moderate R&amp;D intensity in strain development relative to sector average; still limited compared to pharmaceuticals. Rate revision.</w:t>
            </w:r>
          </w:p>
        </w:tc>
        <w:tc>
          <w:tcPr>
            <w:tcW w:w="431" w:type="pct"/>
            <w:tcBorders>
              <w:top w:val="single" w:sz="1" w:space="0" w:color="AAAAAA"/>
              <w:left w:val="single" w:sz="1" w:space="0" w:color="AAAAAA"/>
              <w:right w:val="single" w:sz="1" w:space="0" w:color="AAAAAA"/>
            </w:tcBorders>
            <w:shd w:val="clear" w:color="auto" w:fill="D9F2D0"/>
            <w:tcMar>
              <w:top w:w="60" w:type="dxa"/>
              <w:left w:w="100" w:type="dxa"/>
              <w:bottom w:w="60" w:type="dxa"/>
              <w:right w:w="100" w:type="dxa"/>
            </w:tcMar>
            <w:vAlign w:val="center"/>
          </w:tcPr>
          <w:p w14:paraId="02EB9EF4"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b/>
                <w:bCs/>
                <w:sz w:val="24"/>
                <w:szCs w:val="24"/>
                <w:lang w:val="en-CA" w:eastAsia="en-GB"/>
              </w:rPr>
            </w:pPr>
            <w:r w:rsidRPr="005F0A67">
              <w:rPr>
                <w:rFonts w:asciiTheme="majorBidi" w:eastAsia="Times New Roman" w:hAnsiTheme="majorBidi" w:cstheme="majorBidi"/>
                <w:b/>
                <w:bCs/>
                <w:sz w:val="18"/>
                <w:szCs w:val="18"/>
                <w:lang w:val="en-CA" w:eastAsia="en-GB"/>
              </w:rPr>
              <w:t>Low</w:t>
            </w:r>
          </w:p>
        </w:tc>
      </w:tr>
      <w:tr w:rsidR="005F0A67" w:rsidRPr="005F0A67" w14:paraId="5B621C6B" w14:textId="77777777" w:rsidTr="005F0A67">
        <w:tc>
          <w:tcPr>
            <w:tcW w:w="1210"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6B9A5F3F"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sz w:val="18"/>
                <w:szCs w:val="18"/>
                <w:lang w:val="en-CA" w:eastAsia="en-GB"/>
              </w:rPr>
              <w:t>Product innovation capacity</w:t>
            </w:r>
            <w:r w:rsidRPr="005F0A67">
              <w:rPr>
                <w:rFonts w:asciiTheme="majorBidi" w:eastAsia="Times New Roman" w:hAnsiTheme="majorBidi" w:cstheme="majorBidi"/>
                <w:sz w:val="18"/>
                <w:szCs w:val="18"/>
                <w:lang w:val="en-CA" w:eastAsia="en-GB"/>
              </w:rPr>
              <w:t xml:space="preserve"> Reduction in capital for development and commercialisation of new products via the same margin compression channel as R&amp;D investment. Innovation cycles are shorter than in pharmaceuticals or biotechnology. Innovation effects most pronounced for financially constrained firms (Atanassov and Liu, 2020; Lichter et al., 2025).</w:t>
            </w: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1C44D226"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Nutraceuticals producers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173EC2C4"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5DC28D34"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0BAFDFFB"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Short product development cycles; limited capital intensity of product innovation relative to pharmaceuticals; thin margins increase conditional sensitivity but voluntary opt-out constrains severe outcomes. Rate revision.</w:t>
            </w:r>
          </w:p>
        </w:tc>
        <w:tc>
          <w:tcPr>
            <w:tcW w:w="431" w:type="pct"/>
            <w:tcBorders>
              <w:top w:val="single" w:sz="1" w:space="0" w:color="AAAAAA"/>
              <w:left w:val="single" w:sz="1" w:space="0" w:color="AAAAAA"/>
              <w:right w:val="single" w:sz="1" w:space="0" w:color="AAAAAA"/>
            </w:tcBorders>
            <w:shd w:val="clear" w:color="auto" w:fill="D9F2D0"/>
            <w:tcMar>
              <w:top w:w="60" w:type="dxa"/>
              <w:left w:w="100" w:type="dxa"/>
              <w:bottom w:w="60" w:type="dxa"/>
              <w:right w:w="100" w:type="dxa"/>
            </w:tcMar>
            <w:vAlign w:val="center"/>
          </w:tcPr>
          <w:p w14:paraId="75305CB9"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b/>
                <w:bCs/>
                <w:sz w:val="24"/>
                <w:szCs w:val="24"/>
                <w:lang w:val="en-CA" w:eastAsia="en-GB"/>
              </w:rPr>
            </w:pPr>
            <w:r w:rsidRPr="005F0A67">
              <w:rPr>
                <w:rFonts w:asciiTheme="majorBidi" w:eastAsia="Times New Roman" w:hAnsiTheme="majorBidi" w:cstheme="majorBidi"/>
                <w:b/>
                <w:bCs/>
                <w:sz w:val="18"/>
                <w:szCs w:val="18"/>
                <w:lang w:val="en-CA" w:eastAsia="en-GB"/>
              </w:rPr>
              <w:t>Low</w:t>
            </w:r>
          </w:p>
        </w:tc>
      </w:tr>
      <w:tr w:rsidR="005F0A67" w:rsidRPr="005F0A67" w14:paraId="4E59D8A4" w14:textId="77777777" w:rsidTr="005F0A67">
        <w:tc>
          <w:tcPr>
            <w:tcW w:w="1210"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5DE90E69"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b/>
                <w:bCs/>
                <w:sz w:val="18"/>
                <w:szCs w:val="18"/>
                <w:lang w:val="en-CA" w:eastAsia="en-GB"/>
              </w:rPr>
              <w:t>Access to risk capital</w:t>
            </w:r>
            <w:r w:rsidRPr="005F0A67">
              <w:rPr>
                <w:rFonts w:asciiTheme="majorBidi" w:eastAsia="Times New Roman" w:hAnsiTheme="majorBidi" w:cstheme="majorBidi"/>
                <w:sz w:val="18"/>
                <w:szCs w:val="18"/>
                <w:lang w:val="en-CA" w:eastAsia="en-GB"/>
              </w:rPr>
              <w:t xml:space="preserve"> </w:t>
            </w:r>
          </w:p>
          <w:p w14:paraId="50DAAE4E"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 xml:space="preserve">Effect on ability to attract external financing for innovation where margin compression reduces perceived returns. Thin margins (4% sector median) create the highest conditional exposure of any sector within the Low assessment. </w:t>
            </w:r>
            <w:bookmarkStart w:id="231" w:name="_Int_HuIQkbc1"/>
            <w:r w:rsidRPr="005F0A67">
              <w:rPr>
                <w:rFonts w:asciiTheme="majorBidi" w:eastAsia="Times New Roman" w:hAnsiTheme="majorBidi" w:cstheme="majorBidi"/>
                <w:sz w:val="18"/>
                <w:szCs w:val="18"/>
                <w:lang w:val="en-CA" w:eastAsia="en-GB"/>
              </w:rPr>
              <w:t>Voluntary</w:t>
            </w:r>
            <w:bookmarkEnd w:id="231"/>
            <w:r w:rsidRPr="005F0A67">
              <w:rPr>
                <w:rFonts w:asciiTheme="majorBidi" w:eastAsia="Times New Roman" w:hAnsiTheme="majorBidi" w:cstheme="majorBidi"/>
                <w:sz w:val="18"/>
                <w:szCs w:val="18"/>
                <w:lang w:val="en-CA" w:eastAsia="en-GB"/>
              </w:rPr>
              <w:t xml:space="preserve"> opt-out constrains severe outcomes.</w:t>
            </w: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705DD035"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Nutraceuticals producers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5A097458"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37C12DCF"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09072FE0"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Thin margins create most plausible risk within the Low assessment; voluntary opt-out means firms facing material constraints would choose non-participation. Rate revision.</w:t>
            </w:r>
          </w:p>
        </w:tc>
        <w:tc>
          <w:tcPr>
            <w:tcW w:w="431" w:type="pct"/>
            <w:tcBorders>
              <w:top w:val="single" w:sz="1" w:space="0" w:color="AAAAAA"/>
              <w:left w:val="single" w:sz="1" w:space="0" w:color="AAAAAA"/>
              <w:right w:val="single" w:sz="1" w:space="0" w:color="AAAAAA"/>
            </w:tcBorders>
            <w:shd w:val="clear" w:color="auto" w:fill="D9F2D0"/>
            <w:tcMar>
              <w:top w:w="60" w:type="dxa"/>
              <w:left w:w="100" w:type="dxa"/>
              <w:bottom w:w="60" w:type="dxa"/>
              <w:right w:w="100" w:type="dxa"/>
            </w:tcMar>
            <w:vAlign w:val="center"/>
          </w:tcPr>
          <w:p w14:paraId="73C45766"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b/>
                <w:bCs/>
                <w:sz w:val="24"/>
                <w:szCs w:val="24"/>
                <w:lang w:val="en-CA" w:eastAsia="en-GB"/>
              </w:rPr>
            </w:pPr>
            <w:r w:rsidRPr="005F0A67">
              <w:rPr>
                <w:rFonts w:asciiTheme="majorBidi" w:eastAsia="Times New Roman" w:hAnsiTheme="majorBidi" w:cstheme="majorBidi"/>
                <w:b/>
                <w:bCs/>
                <w:sz w:val="18"/>
                <w:szCs w:val="18"/>
                <w:lang w:val="en-CA" w:eastAsia="en-GB"/>
              </w:rPr>
              <w:t>Low</w:t>
            </w:r>
          </w:p>
        </w:tc>
      </w:tr>
      <w:tr w:rsidR="005F0A67" w:rsidRPr="005F0A67" w14:paraId="25E39F03" w14:textId="77777777" w:rsidTr="005F0A67">
        <w:tc>
          <w:tcPr>
            <w:tcW w:w="1210"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67D8FDB1"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b/>
                <w:bCs/>
                <w:sz w:val="18"/>
                <w:szCs w:val="18"/>
                <w:lang w:val="en-CA" w:eastAsia="en-GB"/>
              </w:rPr>
              <w:t>Certainty and predictability</w:t>
            </w:r>
            <w:r w:rsidRPr="005F0A67">
              <w:rPr>
                <w:rFonts w:asciiTheme="majorBidi" w:eastAsia="Times New Roman" w:hAnsiTheme="majorBidi" w:cstheme="majorBidi"/>
                <w:sz w:val="18"/>
                <w:szCs w:val="18"/>
                <w:lang w:val="en-CA" w:eastAsia="en-GB"/>
              </w:rPr>
              <w:t xml:space="preserve"> </w:t>
            </w:r>
          </w:p>
          <w:p w14:paraId="0A8961A5"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Effect of unresolved Decision 16/2 design parameters on willingness to commit to product development investments. Non-binding design means uncertainty primarily deters participation rather than investment. Limited sensitivity given short product development cycles.</w:t>
            </w: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5373B176"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Nutraceuticals producers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186BD064"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7B263B9B"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04C99AC1"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Short product cycles reduce sensitivity to long-run regulatory uncertainty; certificate of contribution legal value (U6); rate revision.</w:t>
            </w:r>
          </w:p>
        </w:tc>
        <w:tc>
          <w:tcPr>
            <w:tcW w:w="431" w:type="pct"/>
            <w:tcBorders>
              <w:top w:val="single" w:sz="1" w:space="0" w:color="AAAAAA"/>
              <w:left w:val="single" w:sz="1" w:space="0" w:color="AAAAAA"/>
              <w:right w:val="single" w:sz="1" w:space="0" w:color="AAAAAA"/>
            </w:tcBorders>
            <w:shd w:val="clear" w:color="auto" w:fill="D9F2D0"/>
            <w:tcMar>
              <w:top w:w="60" w:type="dxa"/>
              <w:left w:w="100" w:type="dxa"/>
              <w:bottom w:w="60" w:type="dxa"/>
              <w:right w:w="100" w:type="dxa"/>
            </w:tcMar>
            <w:vAlign w:val="center"/>
          </w:tcPr>
          <w:p w14:paraId="454291E4"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b/>
                <w:bCs/>
                <w:sz w:val="24"/>
                <w:szCs w:val="24"/>
                <w:lang w:val="en-CA" w:eastAsia="en-GB"/>
              </w:rPr>
            </w:pPr>
            <w:r w:rsidRPr="005F0A67">
              <w:rPr>
                <w:rFonts w:asciiTheme="majorBidi" w:eastAsia="Times New Roman" w:hAnsiTheme="majorBidi" w:cstheme="majorBidi"/>
                <w:b/>
                <w:bCs/>
                <w:sz w:val="18"/>
                <w:szCs w:val="18"/>
                <w:lang w:val="en-CA" w:eastAsia="en-GB"/>
              </w:rPr>
              <w:t>Low</w:t>
            </w:r>
          </w:p>
        </w:tc>
      </w:tr>
    </w:tbl>
    <w:p w14:paraId="2857FEFF"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p>
    <w:p w14:paraId="52DE4C5C"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p>
    <w:p w14:paraId="3326C61A" w14:textId="77777777" w:rsidR="00B009ED" w:rsidRDefault="00B009ED" w:rsidP="005F0A67">
      <w:pPr>
        <w:tabs>
          <w:tab w:val="clear" w:pos="567"/>
          <w:tab w:val="clear" w:pos="1134"/>
          <w:tab w:val="clear" w:pos="1701"/>
          <w:tab w:val="clear" w:pos="2268"/>
        </w:tabs>
        <w:spacing w:after="180" w:line="292" w:lineRule="auto"/>
        <w:rPr>
          <w:rFonts w:asciiTheme="majorBidi" w:eastAsia="Georgia" w:hAnsiTheme="majorBidi" w:cstheme="majorBidi"/>
          <w:b/>
          <w:bCs/>
          <w:color w:val="419844"/>
          <w:lang w:val="en-CA" w:eastAsia="en-GB"/>
        </w:rPr>
      </w:pPr>
      <w:bookmarkStart w:id="232" w:name="_Ref231771433"/>
    </w:p>
    <w:p w14:paraId="35244974" w14:textId="291203C1" w:rsidR="005F0A67" w:rsidRPr="005F0A67" w:rsidRDefault="005F0A67" w:rsidP="005F0A67">
      <w:pPr>
        <w:tabs>
          <w:tab w:val="clear" w:pos="567"/>
          <w:tab w:val="clear" w:pos="1134"/>
          <w:tab w:val="clear" w:pos="1701"/>
          <w:tab w:val="clear" w:pos="2268"/>
        </w:tabs>
        <w:spacing w:after="180" w:line="292" w:lineRule="auto"/>
        <w:rPr>
          <w:rFonts w:asciiTheme="majorBidi" w:eastAsia="Georgia" w:hAnsiTheme="majorBidi" w:cstheme="majorBidi"/>
          <w:b/>
          <w:bCs/>
          <w:color w:val="419844"/>
          <w:lang w:val="en-CA" w:eastAsia="en-GB"/>
        </w:rPr>
      </w:pPr>
      <w:r w:rsidRPr="005F0A67">
        <w:rPr>
          <w:rFonts w:asciiTheme="majorBidi" w:eastAsia="Georgia" w:hAnsiTheme="majorBidi" w:cstheme="majorBidi"/>
          <w:b/>
          <w:bCs/>
          <w:color w:val="419844"/>
          <w:lang w:val="en-CA" w:eastAsia="en-GB"/>
        </w:rPr>
        <w:lastRenderedPageBreak/>
        <w:t xml:space="preserve">Table </w:t>
      </w:r>
      <w:r w:rsidRPr="005F0A67">
        <w:rPr>
          <w:rFonts w:asciiTheme="majorBidi" w:eastAsia="Georgia" w:hAnsiTheme="majorBidi" w:cstheme="majorBidi"/>
          <w:b/>
          <w:bCs/>
          <w:color w:val="419844"/>
          <w:lang w:val="en-CA" w:eastAsia="en-GB"/>
        </w:rPr>
        <w:fldChar w:fldCharType="begin"/>
      </w:r>
      <w:r w:rsidRPr="005F0A67">
        <w:rPr>
          <w:rFonts w:asciiTheme="majorBidi" w:eastAsia="Georgia" w:hAnsiTheme="majorBidi" w:cstheme="majorBidi"/>
          <w:b/>
          <w:bCs/>
          <w:color w:val="419844"/>
          <w:lang w:val="en-CA" w:eastAsia="en-GB"/>
        </w:rPr>
        <w:instrText xml:space="preserve"> SEQ Table \* ARABIC </w:instrText>
      </w:r>
      <w:r w:rsidRPr="005F0A67">
        <w:rPr>
          <w:rFonts w:asciiTheme="majorBidi" w:eastAsia="Georgia" w:hAnsiTheme="majorBidi" w:cstheme="majorBidi"/>
          <w:b/>
          <w:bCs/>
          <w:color w:val="419844"/>
          <w:lang w:val="en-CA" w:eastAsia="en-GB"/>
        </w:rPr>
        <w:fldChar w:fldCharType="separate"/>
      </w:r>
      <w:r w:rsidRPr="005F0A67">
        <w:rPr>
          <w:rFonts w:asciiTheme="majorBidi" w:eastAsia="Georgia" w:hAnsiTheme="majorBidi" w:cstheme="majorBidi"/>
          <w:b/>
          <w:bCs/>
          <w:noProof/>
          <w:color w:val="419844"/>
          <w:lang w:val="en-CA" w:eastAsia="en-GB"/>
        </w:rPr>
        <w:t>34</w:t>
      </w:r>
      <w:r w:rsidRPr="005F0A67">
        <w:rPr>
          <w:rFonts w:asciiTheme="majorBidi" w:eastAsia="Georgia" w:hAnsiTheme="majorBidi" w:cstheme="majorBidi"/>
          <w:b/>
          <w:bCs/>
          <w:color w:val="419844"/>
          <w:lang w:val="en-CA" w:eastAsia="en-GB"/>
        </w:rPr>
        <w:fldChar w:fldCharType="end"/>
      </w:r>
      <w:bookmarkEnd w:id="232"/>
      <w:r w:rsidRPr="005F0A67">
        <w:rPr>
          <w:rFonts w:asciiTheme="majorBidi" w:eastAsia="Georgia" w:hAnsiTheme="majorBidi" w:cstheme="majorBidi"/>
          <w:b/>
          <w:bCs/>
          <w:color w:val="419844"/>
          <w:lang w:val="en-CA" w:eastAsia="en-GB"/>
        </w:rPr>
        <w:t xml:space="preserve"> Pillar III: international competitiveness impacts materiality assessment - Nutraceuticals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09"/>
        <w:gridCol w:w="1483"/>
        <w:gridCol w:w="1163"/>
        <w:gridCol w:w="1185"/>
        <w:gridCol w:w="5359"/>
        <w:gridCol w:w="1179"/>
      </w:tblGrid>
      <w:tr w:rsidR="005F0A67" w:rsidRPr="005F0A67" w14:paraId="2248A830" w14:textId="77777777" w:rsidTr="00FB671B">
        <w:tc>
          <w:tcPr>
            <w:tcW w:w="1210" w:type="pct"/>
            <w:tcBorders>
              <w:top w:val="single" w:sz="1" w:space="0" w:color="AAAAAA"/>
              <w:left w:val="single" w:sz="1" w:space="0" w:color="AAAAAA"/>
              <w:right w:val="single" w:sz="1" w:space="0" w:color="AAAAAA"/>
            </w:tcBorders>
            <w:shd w:val="clear" w:color="auto" w:fill="1F4E6B"/>
            <w:tcMar>
              <w:top w:w="60" w:type="dxa"/>
              <w:left w:w="100" w:type="dxa"/>
              <w:bottom w:w="60" w:type="dxa"/>
              <w:right w:w="100" w:type="dxa"/>
            </w:tcMar>
          </w:tcPr>
          <w:p w14:paraId="4C22AD6C"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color w:val="FFFFFF"/>
                <w:sz w:val="18"/>
                <w:szCs w:val="18"/>
                <w:lang w:val="en-CA" w:eastAsia="en-GB"/>
              </w:rPr>
              <w:t>Impact</w:t>
            </w:r>
          </w:p>
        </w:tc>
        <w:tc>
          <w:tcPr>
            <w:tcW w:w="542" w:type="pct"/>
            <w:tcBorders>
              <w:top w:val="single" w:sz="1" w:space="0" w:color="AAAAAA"/>
              <w:left w:val="single" w:sz="1" w:space="0" w:color="AAAAAA"/>
              <w:right w:val="single" w:sz="1" w:space="0" w:color="AAAAAA"/>
            </w:tcBorders>
            <w:shd w:val="clear" w:color="auto" w:fill="1F4E6B"/>
            <w:tcMar>
              <w:top w:w="60" w:type="dxa"/>
              <w:left w:w="100" w:type="dxa"/>
              <w:bottom w:w="60" w:type="dxa"/>
              <w:right w:w="100" w:type="dxa"/>
            </w:tcMar>
          </w:tcPr>
          <w:p w14:paraId="6963F09B"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color w:val="FFFFFF"/>
                <w:sz w:val="18"/>
                <w:szCs w:val="18"/>
                <w:lang w:val="en-CA" w:eastAsia="en-GB"/>
              </w:rPr>
              <w:t>Firm type</w:t>
            </w:r>
          </w:p>
        </w:tc>
        <w:tc>
          <w:tcPr>
            <w:tcW w:w="425" w:type="pct"/>
            <w:tcBorders>
              <w:top w:val="single" w:sz="1" w:space="0" w:color="AAAAAA"/>
              <w:left w:val="single" w:sz="1" w:space="0" w:color="AAAAAA"/>
              <w:right w:val="single" w:sz="1" w:space="0" w:color="AAAAAA"/>
            </w:tcBorders>
            <w:shd w:val="clear" w:color="auto" w:fill="1F4E6B"/>
            <w:tcMar>
              <w:top w:w="60" w:type="dxa"/>
              <w:left w:w="100" w:type="dxa"/>
              <w:bottom w:w="60" w:type="dxa"/>
              <w:right w:w="100" w:type="dxa"/>
            </w:tcMar>
          </w:tcPr>
          <w:p w14:paraId="3A126B7C"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color w:val="FFFFFF"/>
                <w:sz w:val="18"/>
                <w:szCs w:val="18"/>
                <w:lang w:val="en-CA" w:eastAsia="en-GB"/>
              </w:rPr>
              <w:t>Magnitude</w:t>
            </w:r>
          </w:p>
        </w:tc>
        <w:tc>
          <w:tcPr>
            <w:tcW w:w="433" w:type="pct"/>
            <w:tcBorders>
              <w:top w:val="single" w:sz="1" w:space="0" w:color="AAAAAA"/>
              <w:left w:val="single" w:sz="1" w:space="0" w:color="AAAAAA"/>
              <w:right w:val="single" w:sz="1" w:space="0" w:color="AAAAAA"/>
            </w:tcBorders>
            <w:shd w:val="clear" w:color="auto" w:fill="1F4E6B"/>
            <w:tcMar>
              <w:top w:w="60" w:type="dxa"/>
              <w:left w:w="100" w:type="dxa"/>
              <w:bottom w:w="60" w:type="dxa"/>
              <w:right w:w="100" w:type="dxa"/>
            </w:tcMar>
          </w:tcPr>
          <w:p w14:paraId="6FB25394"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color w:val="FFFFFF"/>
                <w:sz w:val="18"/>
                <w:szCs w:val="18"/>
                <w:lang w:val="en-CA" w:eastAsia="en-GB"/>
              </w:rPr>
              <w:t>Probability</w:t>
            </w:r>
          </w:p>
        </w:tc>
        <w:tc>
          <w:tcPr>
            <w:tcW w:w="1959" w:type="pct"/>
            <w:tcBorders>
              <w:top w:val="single" w:sz="1" w:space="0" w:color="AAAAAA"/>
              <w:left w:val="single" w:sz="1" w:space="0" w:color="AAAAAA"/>
              <w:right w:val="single" w:sz="1" w:space="0" w:color="AAAAAA"/>
            </w:tcBorders>
            <w:shd w:val="clear" w:color="auto" w:fill="1F4E6B"/>
            <w:tcMar>
              <w:top w:w="60" w:type="dxa"/>
              <w:left w:w="100" w:type="dxa"/>
              <w:bottom w:w="60" w:type="dxa"/>
              <w:right w:w="100" w:type="dxa"/>
            </w:tcMar>
          </w:tcPr>
          <w:p w14:paraId="273D454F"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color w:val="FFFFFF"/>
                <w:sz w:val="18"/>
                <w:szCs w:val="18"/>
                <w:lang w:val="en-CA" w:eastAsia="en-GB"/>
              </w:rPr>
              <w:t>Key conditions</w:t>
            </w:r>
          </w:p>
        </w:tc>
        <w:tc>
          <w:tcPr>
            <w:tcW w:w="431" w:type="pct"/>
            <w:tcBorders>
              <w:top w:val="single" w:sz="1" w:space="0" w:color="AAAAAA"/>
              <w:left w:val="single" w:sz="1" w:space="0" w:color="AAAAAA"/>
              <w:right w:val="single" w:sz="1" w:space="0" w:color="AAAAAA"/>
            </w:tcBorders>
            <w:shd w:val="clear" w:color="auto" w:fill="1F4E6B"/>
            <w:tcMar>
              <w:top w:w="60" w:type="dxa"/>
              <w:left w:w="100" w:type="dxa"/>
              <w:bottom w:w="60" w:type="dxa"/>
              <w:right w:w="100" w:type="dxa"/>
            </w:tcMar>
          </w:tcPr>
          <w:p w14:paraId="7498BAF1"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color w:val="FFFFFF"/>
                <w:sz w:val="18"/>
                <w:szCs w:val="18"/>
                <w:lang w:val="en-CA" w:eastAsia="en-GB"/>
              </w:rPr>
              <w:t>Materiality</w:t>
            </w:r>
          </w:p>
        </w:tc>
      </w:tr>
      <w:tr w:rsidR="005F0A67" w:rsidRPr="005F0A67" w14:paraId="44A394CF" w14:textId="77777777" w:rsidTr="005F0A67">
        <w:tc>
          <w:tcPr>
            <w:tcW w:w="1210"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5868FDFF"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b/>
                <w:bCs/>
                <w:sz w:val="18"/>
                <w:szCs w:val="18"/>
                <w:lang w:val="en-CA" w:eastAsia="en-GB"/>
              </w:rPr>
              <w:t>Competitive position vs non-Party competitors</w:t>
            </w:r>
            <w:r w:rsidRPr="005F0A67">
              <w:rPr>
                <w:rFonts w:asciiTheme="majorBidi" w:eastAsia="Times New Roman" w:hAnsiTheme="majorBidi" w:cstheme="majorBidi"/>
                <w:sz w:val="18"/>
                <w:szCs w:val="18"/>
                <w:lang w:val="en-CA" w:eastAsia="en-GB"/>
              </w:rPr>
              <w:t xml:space="preserve"> </w:t>
            </w:r>
          </w:p>
          <w:p w14:paraId="4EE50131"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 xml:space="preserve">Direct cost asymmetry with competitors headquartered in non-CBD-Party jurisdictions. The United States is a major market under DSHEA's accommodating regulatory environment (Wallace and Koturbash, 2025), enabling a large commercially active non-Party competitor base. Competitiveness risks arise primarily where non-Party rivals are close commercial substitutes (Fowlie, 2009; </w:t>
            </w:r>
            <w:proofErr w:type="spellStart"/>
            <w:r w:rsidRPr="005F0A67">
              <w:rPr>
                <w:rFonts w:asciiTheme="majorBidi" w:eastAsia="Times New Roman" w:hAnsiTheme="majorBidi" w:cstheme="majorBidi"/>
                <w:sz w:val="18"/>
                <w:szCs w:val="18"/>
                <w:lang w:val="en-CA" w:eastAsia="en-GB"/>
              </w:rPr>
              <w:t>Dechezlepretre</w:t>
            </w:r>
            <w:proofErr w:type="spellEnd"/>
            <w:r w:rsidRPr="005F0A67">
              <w:rPr>
                <w:rFonts w:asciiTheme="majorBidi" w:eastAsia="Times New Roman" w:hAnsiTheme="majorBidi" w:cstheme="majorBidi"/>
                <w:sz w:val="18"/>
                <w:szCs w:val="18"/>
                <w:lang w:val="en-CA" w:eastAsia="en-GB"/>
              </w:rPr>
              <w:t xml:space="preserve"> and Sato, 2017).</w:t>
            </w: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426BA1AC"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Nutraceuticals producers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36261A67"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6ECFAFDE"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Medium</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309AB84F"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 xml:space="preserve">US DSHEA regulatory environment supports a large non-Party competitor base; nutraceutical markets shaped more by product credibility and quality signalling than price (Hobbs, Malla and </w:t>
            </w:r>
            <w:proofErr w:type="spellStart"/>
            <w:r w:rsidRPr="005F0A67">
              <w:rPr>
                <w:rFonts w:asciiTheme="majorBidi" w:eastAsia="Times New Roman" w:hAnsiTheme="majorBidi" w:cstheme="majorBidi"/>
                <w:sz w:val="18"/>
                <w:szCs w:val="18"/>
                <w:lang w:val="en-CA" w:eastAsia="en-GB"/>
              </w:rPr>
              <w:t>Sogah</w:t>
            </w:r>
            <w:proofErr w:type="spellEnd"/>
            <w:r w:rsidRPr="005F0A67">
              <w:rPr>
                <w:rFonts w:asciiTheme="majorBidi" w:eastAsia="Times New Roman" w:hAnsiTheme="majorBidi" w:cstheme="majorBidi"/>
                <w:sz w:val="18"/>
                <w:szCs w:val="18"/>
                <w:lang w:val="en-CA" w:eastAsia="en-GB"/>
              </w:rPr>
              <w:t>, 2014), partially insulating from cost-based asymmetry. European CBD Party-based competitors form a significant part of the competitive landscape, limiting the non-Party asymmetry relative to sectors dominated by US firms. National implementation divergence (U8).</w:t>
            </w:r>
          </w:p>
        </w:tc>
        <w:tc>
          <w:tcPr>
            <w:tcW w:w="431" w:type="pct"/>
            <w:tcBorders>
              <w:top w:val="single" w:sz="1" w:space="0" w:color="AAAAAA"/>
              <w:left w:val="single" w:sz="1" w:space="0" w:color="AAAAAA"/>
              <w:right w:val="single" w:sz="1" w:space="0" w:color="AAAAAA"/>
            </w:tcBorders>
            <w:shd w:val="clear" w:color="auto" w:fill="D9F3D0"/>
            <w:tcMar>
              <w:top w:w="60" w:type="dxa"/>
              <w:left w:w="100" w:type="dxa"/>
              <w:bottom w:w="60" w:type="dxa"/>
              <w:right w:w="100" w:type="dxa"/>
            </w:tcMar>
            <w:vAlign w:val="center"/>
          </w:tcPr>
          <w:p w14:paraId="3A9D6E77"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b/>
                <w:bCs/>
                <w:sz w:val="18"/>
                <w:szCs w:val="18"/>
                <w:lang w:val="en-CA" w:eastAsia="en-GB"/>
              </w:rPr>
            </w:pPr>
            <w:r w:rsidRPr="005F0A67">
              <w:rPr>
                <w:rFonts w:asciiTheme="majorBidi" w:eastAsia="Times New Roman" w:hAnsiTheme="majorBidi" w:cstheme="majorBidi"/>
                <w:b/>
                <w:bCs/>
                <w:sz w:val="18"/>
                <w:szCs w:val="18"/>
                <w:lang w:val="en-CA" w:eastAsia="en-GB"/>
              </w:rPr>
              <w:t>Low</w:t>
            </w:r>
          </w:p>
        </w:tc>
      </w:tr>
      <w:tr w:rsidR="005F0A67" w:rsidRPr="005F0A67" w14:paraId="16BFFA9E" w14:textId="77777777" w:rsidTr="005F0A67">
        <w:tc>
          <w:tcPr>
            <w:tcW w:w="1210"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5290B146"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b/>
                <w:bCs/>
                <w:sz w:val="18"/>
                <w:szCs w:val="18"/>
                <w:lang w:val="en-CA" w:eastAsia="en-GB"/>
              </w:rPr>
            </w:pPr>
            <w:r w:rsidRPr="005F0A67">
              <w:rPr>
                <w:rFonts w:asciiTheme="majorBidi" w:eastAsia="Times New Roman" w:hAnsiTheme="majorBidi" w:cstheme="majorBidi"/>
                <w:b/>
                <w:bCs/>
                <w:sz w:val="18"/>
                <w:szCs w:val="18"/>
                <w:lang w:val="en-CA" w:eastAsia="en-GB"/>
              </w:rPr>
              <w:t>Export competitiveness</w:t>
            </w:r>
          </w:p>
          <w:p w14:paraId="13EDAFBC"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Effects on export competitiveness where contribution cost cannot be fully passed through to export customers facing non-Party competition. Consumer-facing markets with moderate price sensitivity; some pass-through plausible for premium differentiated products.</w:t>
            </w: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207B88F4"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Nutraceuticals producers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3E41C152"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7BA247F8"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1BAFE57D"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Consumer-facing export markets with moderate price sensitivity; limited pass-through capacity for commodity segments; premium and authenticated products more insulated. National implementation divergence (U8).</w:t>
            </w:r>
          </w:p>
        </w:tc>
        <w:tc>
          <w:tcPr>
            <w:tcW w:w="431" w:type="pct"/>
            <w:tcBorders>
              <w:top w:val="single" w:sz="1" w:space="0" w:color="AAAAAA"/>
              <w:left w:val="single" w:sz="1" w:space="0" w:color="AAAAAA"/>
              <w:right w:val="single" w:sz="1" w:space="0" w:color="AAAAAA"/>
            </w:tcBorders>
            <w:shd w:val="clear" w:color="auto" w:fill="D9F2D0"/>
            <w:tcMar>
              <w:top w:w="60" w:type="dxa"/>
              <w:left w:w="100" w:type="dxa"/>
              <w:bottom w:w="60" w:type="dxa"/>
              <w:right w:w="100" w:type="dxa"/>
            </w:tcMar>
            <w:vAlign w:val="center"/>
          </w:tcPr>
          <w:p w14:paraId="4603B192"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b/>
                <w:bCs/>
                <w:sz w:val="24"/>
                <w:szCs w:val="24"/>
                <w:lang w:val="en-CA" w:eastAsia="en-GB"/>
              </w:rPr>
            </w:pPr>
            <w:r w:rsidRPr="005F0A67">
              <w:rPr>
                <w:rFonts w:asciiTheme="majorBidi" w:eastAsia="Times New Roman" w:hAnsiTheme="majorBidi" w:cstheme="majorBidi"/>
                <w:b/>
                <w:bCs/>
                <w:sz w:val="18"/>
                <w:szCs w:val="18"/>
                <w:lang w:val="en-CA" w:eastAsia="en-GB"/>
              </w:rPr>
              <w:t>Low</w:t>
            </w:r>
          </w:p>
        </w:tc>
      </w:tr>
      <w:tr w:rsidR="005F0A67" w:rsidRPr="005F0A67" w14:paraId="6E148614" w14:textId="77777777" w:rsidTr="005F0A67">
        <w:tc>
          <w:tcPr>
            <w:tcW w:w="1210"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5DFE4B4D"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b/>
                <w:bCs/>
                <w:sz w:val="18"/>
                <w:szCs w:val="18"/>
                <w:lang w:val="en-CA" w:eastAsia="en-GB"/>
              </w:rPr>
              <w:t>International standards and regulatory dialogues</w:t>
            </w:r>
            <w:r w:rsidRPr="005F0A67">
              <w:rPr>
                <w:rFonts w:asciiTheme="majorBidi" w:eastAsia="Times New Roman" w:hAnsiTheme="majorBidi" w:cstheme="majorBidi"/>
                <w:sz w:val="18"/>
                <w:szCs w:val="18"/>
                <w:lang w:val="en-CA" w:eastAsia="en-GB"/>
              </w:rPr>
              <w:t xml:space="preserve"> </w:t>
            </w:r>
          </w:p>
          <w:p w14:paraId="7F9BA2E2"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Divergence between the Cali Fund and other DSI-related instruments. Limited multi-framework DSI exposure for nutraceuticals; no potential ITPGRFA or WHO PABS overlap. The primary regulatory divergence risk is asymmetric national classification of nutraceutical products across jurisdictions, which is a pre-existing competitive factor.</w:t>
            </w: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10C4B71C"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Nutraceuticals producers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65B15C26"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602919BC"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23CD2BC6"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Limited multi-framework DSI exposure; national implementation divergence (U8); regulatory classification divergence across jurisdictions a pre-existing competitive factor independent of the Cali Fund.</w:t>
            </w:r>
          </w:p>
        </w:tc>
        <w:tc>
          <w:tcPr>
            <w:tcW w:w="431" w:type="pct"/>
            <w:tcBorders>
              <w:top w:val="single" w:sz="1" w:space="0" w:color="AAAAAA"/>
              <w:left w:val="single" w:sz="1" w:space="0" w:color="AAAAAA"/>
              <w:right w:val="single" w:sz="1" w:space="0" w:color="AAAAAA"/>
            </w:tcBorders>
            <w:shd w:val="clear" w:color="auto" w:fill="D9F2D0"/>
            <w:tcMar>
              <w:top w:w="60" w:type="dxa"/>
              <w:left w:w="100" w:type="dxa"/>
              <w:bottom w:w="60" w:type="dxa"/>
              <w:right w:w="100" w:type="dxa"/>
            </w:tcMar>
            <w:vAlign w:val="center"/>
          </w:tcPr>
          <w:p w14:paraId="111502AE"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b/>
                <w:bCs/>
                <w:sz w:val="24"/>
                <w:szCs w:val="24"/>
                <w:lang w:val="en-CA" w:eastAsia="en-GB"/>
              </w:rPr>
            </w:pPr>
            <w:r w:rsidRPr="005F0A67">
              <w:rPr>
                <w:rFonts w:asciiTheme="majorBidi" w:eastAsia="Times New Roman" w:hAnsiTheme="majorBidi" w:cstheme="majorBidi"/>
                <w:b/>
                <w:bCs/>
                <w:sz w:val="18"/>
                <w:szCs w:val="18"/>
                <w:lang w:val="en-CA" w:eastAsia="en-GB"/>
              </w:rPr>
              <w:t>Low</w:t>
            </w:r>
          </w:p>
        </w:tc>
      </w:tr>
      <w:tr w:rsidR="005F0A67" w:rsidRPr="005F0A67" w14:paraId="52FE54DD" w14:textId="77777777" w:rsidTr="005F0A67">
        <w:tc>
          <w:tcPr>
            <w:tcW w:w="1210"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2468A84D"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b/>
                <w:bCs/>
                <w:sz w:val="18"/>
                <w:szCs w:val="18"/>
                <w:lang w:val="en-CA" w:eastAsia="en-GB"/>
              </w:rPr>
              <w:t>FDI and relocation effects</w:t>
            </w:r>
            <w:r w:rsidRPr="005F0A67">
              <w:rPr>
                <w:rFonts w:asciiTheme="majorBidi" w:eastAsia="Times New Roman" w:hAnsiTheme="majorBidi" w:cstheme="majorBidi"/>
                <w:sz w:val="18"/>
                <w:szCs w:val="18"/>
                <w:lang w:val="en-CA" w:eastAsia="en-GB"/>
              </w:rPr>
              <w:t xml:space="preserve"> </w:t>
            </w:r>
          </w:p>
          <w:p w14:paraId="5E0D4F56"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Effects on R&amp;D and investment location decisions. Limited R&amp;D base to relocate; manufacturing relocation implausible given consumer-facing product nature and regulatory classification requirements across jurisdictions.</w:t>
            </w: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3FA98D61"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Nutraceuticals producers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66A194BB"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vAlign w:val="center"/>
          </w:tcPr>
          <w:p w14:paraId="5FD3C99C"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5AEA534A"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Manufacturing relocation implausible; limited R&amp;D base to relocate; regulatory classification requirements in destination markets constrain location flexibility. Rate revision.</w:t>
            </w:r>
          </w:p>
        </w:tc>
        <w:tc>
          <w:tcPr>
            <w:tcW w:w="431" w:type="pct"/>
            <w:tcBorders>
              <w:top w:val="single" w:sz="1" w:space="0" w:color="AAAAAA"/>
              <w:left w:val="single" w:sz="1" w:space="0" w:color="AAAAAA"/>
              <w:right w:val="single" w:sz="1" w:space="0" w:color="AAAAAA"/>
            </w:tcBorders>
            <w:shd w:val="clear" w:color="auto" w:fill="D9F2D0"/>
            <w:tcMar>
              <w:top w:w="60" w:type="dxa"/>
              <w:left w:w="100" w:type="dxa"/>
              <w:bottom w:w="60" w:type="dxa"/>
              <w:right w:w="100" w:type="dxa"/>
            </w:tcMar>
            <w:vAlign w:val="center"/>
          </w:tcPr>
          <w:p w14:paraId="6A8A341E"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b/>
                <w:bCs/>
                <w:sz w:val="24"/>
                <w:szCs w:val="24"/>
                <w:lang w:val="en-CA" w:eastAsia="en-GB"/>
              </w:rPr>
            </w:pPr>
            <w:r w:rsidRPr="005F0A67">
              <w:rPr>
                <w:rFonts w:asciiTheme="majorBidi" w:eastAsia="Times New Roman" w:hAnsiTheme="majorBidi" w:cstheme="majorBidi"/>
                <w:b/>
                <w:bCs/>
                <w:sz w:val="18"/>
                <w:szCs w:val="18"/>
                <w:lang w:val="en-CA" w:eastAsia="en-GB"/>
              </w:rPr>
              <w:t>Low</w:t>
            </w:r>
          </w:p>
        </w:tc>
      </w:tr>
    </w:tbl>
    <w:p w14:paraId="020A86B1"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sectPr w:rsidR="005F0A67" w:rsidRPr="005F0A67" w:rsidSect="005F0A67">
          <w:pgSz w:w="15840" w:h="12240" w:orient="landscape"/>
          <w:pgMar w:top="1260" w:right="1080" w:bottom="1260" w:left="1080" w:header="706" w:footer="706" w:gutter="0"/>
          <w:cols w:space="720"/>
          <w:docGrid w:linePitch="360"/>
        </w:sectPr>
      </w:pPr>
    </w:p>
    <w:p w14:paraId="68DDF70F" w14:textId="77777777" w:rsidR="005F0A67" w:rsidRPr="005F0A67" w:rsidRDefault="005F0A67" w:rsidP="005F0A67">
      <w:pPr>
        <w:numPr>
          <w:ilvl w:val="1"/>
          <w:numId w:val="12"/>
        </w:numPr>
        <w:tabs>
          <w:tab w:val="clear" w:pos="567"/>
          <w:tab w:val="clear" w:pos="1134"/>
          <w:tab w:val="clear" w:pos="1701"/>
          <w:tab w:val="clear" w:pos="2268"/>
        </w:tabs>
        <w:spacing w:before="320" w:after="160"/>
        <w:ind w:left="576" w:hanging="576"/>
        <w:jc w:val="left"/>
        <w:outlineLvl w:val="1"/>
        <w:rPr>
          <w:rFonts w:asciiTheme="majorBidi" w:eastAsia="Arial" w:hAnsiTheme="majorBidi" w:cstheme="majorBidi"/>
          <w:b/>
          <w:bCs/>
          <w:color w:val="1A1A1A"/>
          <w:sz w:val="23"/>
          <w:szCs w:val="23"/>
          <w:lang w:val="en-CA" w:eastAsia="en-GB"/>
        </w:rPr>
      </w:pPr>
      <w:bookmarkStart w:id="233" w:name="_Toc234579612"/>
      <w:bookmarkStart w:id="234" w:name="_Hlk231406752"/>
      <w:r w:rsidRPr="005F0A67">
        <w:rPr>
          <w:rFonts w:asciiTheme="majorBidi" w:eastAsia="Arial" w:hAnsiTheme="majorBidi" w:cstheme="majorBidi"/>
          <w:b/>
          <w:bCs/>
          <w:color w:val="1A1A1A"/>
          <w:sz w:val="23"/>
          <w:szCs w:val="23"/>
          <w:lang w:val="en-CA" w:eastAsia="en-GB"/>
        </w:rPr>
        <w:lastRenderedPageBreak/>
        <w:t>Information and AI</w:t>
      </w:r>
      <w:bookmarkEnd w:id="233"/>
    </w:p>
    <w:p w14:paraId="265BF496" w14:textId="77777777" w:rsidR="005F0A67" w:rsidRPr="005F0A67" w:rsidRDefault="005F0A67" w:rsidP="00B009ED">
      <w:pPr>
        <w:tabs>
          <w:tab w:val="clear" w:pos="567"/>
          <w:tab w:val="clear" w:pos="1134"/>
          <w:tab w:val="clear" w:pos="1701"/>
          <w:tab w:val="clear" w:pos="2268"/>
        </w:tabs>
        <w:spacing w:before="320" w:after="160"/>
        <w:ind w:left="720"/>
        <w:jc w:val="left"/>
        <w:outlineLvl w:val="2"/>
        <w:rPr>
          <w:rFonts w:asciiTheme="majorBidi" w:eastAsia="Arial" w:hAnsiTheme="majorBidi" w:cstheme="majorBidi"/>
          <w:b/>
          <w:bCs/>
          <w:color w:val="7F7F7F"/>
          <w:sz w:val="23"/>
          <w:szCs w:val="23"/>
          <w:lang w:val="en-CA" w:eastAsia="en-GB"/>
        </w:rPr>
      </w:pPr>
      <w:bookmarkStart w:id="235" w:name="_Ref231772401"/>
      <w:bookmarkStart w:id="236" w:name="_Toc234579613"/>
      <w:r w:rsidRPr="005F0A67">
        <w:rPr>
          <w:rFonts w:asciiTheme="majorBidi" w:eastAsia="Arial" w:hAnsiTheme="majorBidi" w:cstheme="majorBidi"/>
          <w:b/>
          <w:bCs/>
          <w:color w:val="7F7F7F"/>
          <w:sz w:val="23"/>
          <w:szCs w:val="23"/>
          <w:lang w:val="en-CA" w:eastAsia="en-GB"/>
        </w:rPr>
        <w:t>Characterisation of affected firms (steps 1 &amp; 2)</w:t>
      </w:r>
      <w:bookmarkEnd w:id="235"/>
      <w:bookmarkEnd w:id="236"/>
    </w:p>
    <w:bookmarkEnd w:id="234"/>
    <w:p w14:paraId="30C2EBD2"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The information and AI sector contains 5,217 eligible firms, the largest eligible population of any sector, but accounts for only 11.1% of estimated contributions, down sharply from 25.2% under full compliance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_Ref230090932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Table 12</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and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_Ref230109751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Figure 5</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This is the largest absolute decline in contribution share between full compliance and the central scenario of any sector, reflecting the sector's low participation calibration and DSI intensity adjustment. With a median margin of 6%, most eligible firms pay on profit, and the sector has the highest zero-contributor share across all Indicative Enclosure I sectors. </w:t>
      </w:r>
    </w:p>
    <w:p w14:paraId="40DD9C26" w14:textId="77777777" w:rsidR="005F0A67" w:rsidRPr="005F0A67" w:rsidRDefault="005F0A67" w:rsidP="00B009ED">
      <w:pPr>
        <w:tabs>
          <w:tab w:val="clear" w:pos="567"/>
          <w:tab w:val="clear" w:pos="1134"/>
          <w:tab w:val="clear" w:pos="1701"/>
          <w:tab w:val="clear" w:pos="2268"/>
        </w:tabs>
        <w:spacing w:after="120"/>
        <w:jc w:val="left"/>
        <w:outlineLvl w:val="3"/>
        <w:rPr>
          <w:rFonts w:asciiTheme="majorBidi" w:eastAsia="Georgia" w:hAnsiTheme="majorBidi" w:cstheme="majorBidi"/>
          <w:b/>
          <w:bCs/>
          <w:color w:val="0F4761"/>
          <w:lang w:eastAsia="en-GB"/>
        </w:rPr>
      </w:pPr>
      <w:r w:rsidRPr="005F0A67">
        <w:rPr>
          <w:rFonts w:asciiTheme="majorBidi" w:eastAsia="Georgia" w:hAnsiTheme="majorBidi" w:cstheme="majorBidi"/>
          <w:b/>
          <w:bCs/>
          <w:color w:val="0F4761"/>
          <w:lang w:eastAsia="en-GB"/>
        </w:rPr>
        <w:t>Sector and structural features</w:t>
      </w:r>
    </w:p>
    <w:p w14:paraId="10BC34E0"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The sector is best conceptualised as a technical services layer rather than a traditional product market. Firms operating in this space deliver data access, computing resources, workflows, curation, and interpretive services that support downstream life-science research and product development across pharmaceuticals, biotechnology, diagnostics, and adjacent fields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{"citationID":"arcvic4b53","properties":{"unsorted":false,"formattedCitation":"(Grossman, 2019; Harrow {\\i{}et al.}, 2021)","plainCitation":"(Grossman, 2019; Harrow et al., 2021)","noteIndex":0},"citationItems":[{"id":12,"uris":["http://zotero.org/users/14977742/items/FUEHLCVT"],"itemData":{"id":12,"type":"article-journal","citation-key":"grossmanDataLakesClouds2019","container-title":"Trends in Genetics","DOI":"10.1016/j.tig.2018.12.006","ISSN":"0168-9525, 1362-4555","issue":"3","journalAbbreviation":"Trends in Genetics","language":"English","page":"223-234","PMID":"30691868","publisher":"Elsevier","source":"www.cell.com","title":"Data Lakes, Clouds, and Commons: A Review of Platforms for Analyzing and Sharing Genomic Data","title-short":"Data Lakes, Clouds, and Commons","volume":"35","author":[{"family":"Grossman","given":"Robert L."}],"issued":{"date-parts":[["2019",3,1]]}}},{"id":13,"uris":["http://zotero.org/users/14977742/items/WRRM7CQB"],"itemData":{"id":13,"type":"article-journal","abstract":"In 2012, the Digital Universe Study reported that ‘less than 1% of the World’s data is analyzed and less than 20% is protected’ and recommended that management plans were needed to harness the potential within these data streams (Gantz and Reinsel, 2012). Life science is a data science that is dependent on the generation, sharing and integrative analysis of vast quantities of digital data. However, these data are complex and fragmented, creating a significant barrier to their integration and reuse. Data are generated for different research purposes at thousands of facilities across the world, with diverse formats, annotations, methodologies and metadata standards. Interpreting this data is difficult and often involves integrating very large datasets from multiple sources. Certain data types such as sensitive human data archived under controlled access require protection, so data federation and sharing are a challenge in this context (Saunders et al., 2019).","citation-key":"harrowELIXIRProvidingSustainable2021","container-title":"Bioinformatics","DOI":"10.1093/bioinformatics/btab481","ISSN":"1367-4803","issue":"16","journalAbbreviation":"Bioinformatics","page":"2506-2511","source":"Silverchair","title":"ELIXIR: providing a sustainable infrastructure for life science data at European scale","title-short":"ELIXIR","volume":"37","author":[{"family":"Harrow","given":"Jennifer"},{"family":"Drysdale","given":"Rachel"},{"family":"Smith","given":"Andrew"},{"family":"Repo","given":"Susanna"},{"family":"Lanfear","given":"Jerry"},{"family":"Blomberg","given":"Niklas"}],"issued":{"date-parts":[["2021",8,25]]}}}],"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Georgia" w:hAnsiTheme="majorBidi" w:cstheme="majorBidi"/>
          <w:lang w:eastAsia="en-GB"/>
        </w:rPr>
        <w:t xml:space="preserve">(Grossman, 2019; Harrow </w:t>
      </w:r>
      <w:r w:rsidRPr="005F0A67">
        <w:rPr>
          <w:rFonts w:asciiTheme="majorBidi" w:eastAsia="Georgia" w:hAnsiTheme="majorBidi" w:cstheme="majorBidi"/>
          <w:i/>
          <w:iCs/>
          <w:lang w:eastAsia="en-GB"/>
        </w:rPr>
        <w:t>et al.</w:t>
      </w:r>
      <w:r w:rsidRPr="005F0A67">
        <w:rPr>
          <w:rFonts w:asciiTheme="majorBidi" w:eastAsia="Georgia" w:hAnsiTheme="majorBidi" w:cstheme="majorBidi"/>
          <w:lang w:eastAsia="en-GB"/>
        </w:rPr>
        <w:t>, 2021)</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w:t>
      </w:r>
    </w:p>
    <w:p w14:paraId="1F452B67"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Market structure is difficult to characterise precisely given the sector's breadth. The upper segment is dominated by large, US-based cloud and platform providers. The three main cloud and platform companies, namely AWS, Google Cloud, and Microsoft Azure, which are widely used for genomics and life-science data workflows</w:t>
      </w:r>
      <w:r w:rsidRPr="005F0A67">
        <w:rPr>
          <w:rFonts w:asciiTheme="majorBidi" w:eastAsia="Times New Roman" w:hAnsiTheme="majorBidi" w:cstheme="majorBidi"/>
          <w:vertAlign w:val="superscript"/>
          <w:lang w:val="en-CA" w:eastAsia="en-GB"/>
        </w:rPr>
        <w:footnoteReference w:id="92"/>
      </w:r>
      <w:r w:rsidRPr="005F0A67">
        <w:rPr>
          <w:rFonts w:asciiTheme="majorBidi" w:eastAsia="Times New Roman" w:hAnsiTheme="majorBidi" w:cstheme="majorBidi"/>
          <w:lang w:val="en-CA" w:eastAsia="en-GB"/>
        </w:rPr>
        <w:t xml:space="preserve">, capture 63% of the global market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{"citationID":"a1rks78kiom","properties":{"unsorted":false,"formattedCitation":"(Richter, 2026)","plainCitation":"(Richter, 2026)","noteIndex":0},"citationItems":[{"id":11,"uris":["http://zotero.org/users/14977742/items/NNEFTHRM"],"itemData":{"id":11,"type":"webpage","abstract":"This chart shows worldwide market share of leading cloud infrastructure service providers in Q1 2026.","citation-key":"richterInfographicBigThree2026","container-title":"Statista Daily Data","language":"en","title":"Infographic: Big Three Hold Dominant Lead in Accelerating Cloud Market","title-short":"Infographic","URL":"https://www.statista.com/chart/18819/worldwide-market-share-of-leading-cloud-infrastructure-service-providers","author":[{"family":"Richter","given":"Felix"}],"accessed":{"date-parts":[["2026",6,4]]},"issued":{"date-parts":[["2026",5,5]]}}}],"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Georgia" w:hAnsiTheme="majorBidi" w:cstheme="majorBidi"/>
          <w:lang w:eastAsia="en-GB"/>
        </w:rPr>
        <w:t>(Richter, 2026)</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Moreover, they are all headquartered in the United States and hence, are not covered by the mechanism. Non-CBD-Party competitor exposure is the highest of any Indicative Enclosure I sector as a result. Public archives for raw sequencing data have been doubling in size every 18 months, creating growing demand for scalable cloud infrastructure and associated services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{"citationID":"aud4tgtac8","properties":{"unsorted":false,"formattedCitation":"(Langmead and Nellore, 2018)","plainCitation":"(Langmead and Nellore, 2018)","noteIndex":0},"citationItems":[{"id":7,"uris":["http://zotero.org/users/14977742/items/GZ9ME9HF"],"itemData":{"id":7,"type":"article-journal","abstract":"DNA sequencing made huge strides in the last decade. Studies based on large sequencing datasets appear frequently, and public archives for raw sequencing data have been doubling in size every 18 months. Meanwhile, commercial and academic cloud computing have matured, leading to more providers, greater total capacity, and a larger variety of services. Here we describe how cloud computing is used for large-scale genomics collaborations and research and argue how cloud computing will likely be a basic underpinning for future large-scale genomics collaborations and for efforts to re-analyze archived data, including privacy-protected data.","citation-key":"langmeadCloudComputingPlatform2018","container-title":"Nature reviews. Genetics","DOI":"10.1038/nrg.2017.113","ISSN":"1471-0056","issue":"4","journalAbbreviation":"Nat Rev Genet","page":"208-219","PMID":"29379135","PMCID":"PMC6452449","source":"PubMed Central","title":"Cloud computing as a platform for genomic data analysis and collaboration","volume":"19","author":[{"family":"Langmead","given":"Ben"},{"family":"Nellore","given":"Abhinav"}],"issued":{"date-parts":[["2018",4]]}}}],"schema":"https://github.com/citation-style-language/schema/raw/master/csl-citation.json"}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Georgia" w:hAnsiTheme="majorBidi" w:cstheme="majorBidi"/>
          <w:lang w:eastAsia="en-GB"/>
        </w:rPr>
        <w:t>(Langmead and Nellore, 2018)</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w:t>
      </w:r>
    </w:p>
    <w:p w14:paraId="3B9EC078"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Four within-sector sub-groups matter here, although the lines between them are blurry. Bioinformatics and analysis services provide reproducible sequence-data pipelines on cloud or hosted infrastructure, and compete on usability, scalability, and how well their workflows integrate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{"citationID":"ao4tcns0pu","properties":{"unsorted":false,"formattedCitation":"(Lau {\\i{}et al.}, 2017; Ahalt {\\i{}et al.}, 2023)","plainCitation":"(Lau et al., 2017; Ahalt et al., 2023)","noteIndex":0},"citationItems":[{"id":5,"uris":["http://zotero.org/users/14977742/items/YKTW48AY"],"itemData":{"id":5,"type":"article-journal","abstract":"The Seven Bridges Cancer Genomics Cloud (CGC; www.cancergenomicscloud.org) enables researchers to rapidly access and collaborate on massive public cancer genomic datasets, including The Cancer Genome Atlas. It provides secure on-demand access to data, analysis tools, and computing resources. Researchers from diverse backgrounds can easily visualize, query, and explore cancer genomic datasets visually or programmatically. Data of interest can be immediately analyzed in the cloud using more than 200 preinstalled, curated bioinformatics tools and workflows. Researchers can also extend the functionality of the platform by adding their own data and tools via an intuitive software development kit. By colocalizing these resources in the cloud, the CGC enables scalable, reproducible analyses. Researchers worldwide can use the CGC to investigate key questions in cancer genomics. Cancer Res; 77(21); e3–6. ©2017 AACR.","citation-key":"lauCancerGenomicsCloud2017","container-title":"Cancer Research","DOI":"10.1158/0008-5472.CAN-17-0387","ISSN":"0008-5472","issue":"21","journalAbbreviation":"Cancer Res","page":"e3-e6","source":"Silverchair","title":"The Cancer Genomics Cloud: Collaborative, Reproducible, and Democratized—A New Paradigm in Large-Scale Computational Research","title-short":"The Cancer Genomics Cloud","volume":"77","author":[{"family":"Lau","given":"Jessica W."},{"family":"Lehnert","given":"Erik"},{"family":"Sethi","given":"Anurag"},{"family":"Malhotra","given":"Raunaq"},{"family":"Kaushik","given":"Gaurav"},{"family":"Onder","given":"Zeynep"},{"family":"Groves-Kirkby","given":"Nick"},{"family":"Mihajlovic","given":"Aleksandar"},{"family":"DiGiovanna","given":"Jack"},{"family":"Srdic","given":"Mladen"},{"family":"Bajcic","given":"Dragan"},{"family":"Radenkovic","given":"Jelena"},{"family":"Mladenovic","given":"Vladimir"},{"family":"Krstanovic","given":"Damir"},{"family":"Arsenijevic","given":"Vladan"},{"family":"Klisic","given":"Djordje"},{"family":"Mitrovic","given":"Milan"},{"family":"Bogicevic","given":"Igor"},{"family":"Kural","given":"Deniz"},{"family":"Davis-Dusenbery","given":"Brandi"},{"literal":"for The Seven Bridges CGC Team"}],"issued":{"date-parts":[["2017",11,1]]}}},{"id":6,"uris":["http://zotero.org/users/14977742/items/I5FYVQP4"],"itemData":{"id":6,"type":"article-journal","abstract":"Research increasingly relies on interrogating large-scale data resources. The NIH National Heart, Lung, and Blood Institute developed the NHLBI BioData Catalyst</w:instrText>
      </w:r>
      <w:r w:rsidRPr="005F0A67">
        <w:rPr>
          <w:rFonts w:ascii="Segoe UI Symbol" w:eastAsia="Times New Roman" w:hAnsi="Segoe UI Symbol" w:cs="Segoe UI Symbol"/>
          <w:lang w:val="en-CA" w:eastAsia="en-GB"/>
        </w:rPr>
        <w:instrText>Ⓡ</w:instrText>
      </w:r>
      <w:r w:rsidRPr="005F0A67">
        <w:rPr>
          <w:rFonts w:asciiTheme="majorBidi" w:eastAsia="Times New Roman" w:hAnsiTheme="majorBidi" w:cstheme="majorBidi"/>
          <w:lang w:val="en-CA" w:eastAsia="en-GB"/>
        </w:rPr>
        <w:instrText xml:space="preserve"> (BDC), a community-driven ecosystem where researchers, including bench and clinical scientists, statisticians, and algorithm developers, find, access, share, store, and compute on large-scale datasets. This ecosystem provides secure, cloud-based workspaces, user authentication and authorization, search, tools and workflows, applications, and new innovative features to address community needs, including exploratory data analysis, genomic and imaging tools, tools for reproducibility, and improved interoperability with other NIH data science platforms. BDC offers straightforward access to large-scale datasets and computational resources that support precision medicine for heart, lung, blood, and sleep conditions, leveraging separately developed and managed platforms to maximize flexibility based on researcher needs, expertise, and backgrounds. Through the NHLBI BioData Catalyst Fellows Program, BDC facilitates scientific discoveries and technological advances. BDC also facilitated accelerated research on the coronavirus disease-2019 (COVID-19) pandemic.","citation-key":"ahaltBuildingCollaborativeCloud2023a","container-title":"Journal of the American Medical Informatics Association","DOI":"10.1093/jamia/ocad048","ISSN":"1527-974X","issue":"7","journalAbbreviation":"J Am Med Inform Assoc","page":"1293-1300","source":"Silverchair","title":"Building a collaborative cloud platform to accelerate heart, lung, blood, and sleep research","volume":"30","author":[{"family":"Ahalt","given":"Stan"},{"family":"Avillach","given":"Paul"},{"family":"Boyles","given":"Rebecca"},{"family":"Bradford","given":"Kira"},{"family":"Cox","given":"Steven"},{"family":"Davis-Dusenbery","given":"Brandi"},{"family":"Grossman","given":"Robert L"},{"family":"Krishnamurthy","given":"Ashok"},{"family":"Manning","given":"Alisa"},{"family":"Paten","given":"Benedict"},{"family":"Philippakis","given":"Anthony"},{"family":"Borecki","given":"Ingrid"},{"family":"Chen","given":"Shu Hui"},{"family":"Kaltman","given":"Jon"},{"family":"Ladwa","given":"Sweta"},{"family":"Schwartz","given":"Chip"},{"family":"Thomson","given":"Alastair"},{"family":"Davis","given":"Sarah"},{"family":"Leaf","given":"Alison"},{"family":"Lyons","given":"Jessica"},{"family":"Sheets","given":"Elizabeth"},{"family":"Bis","given":"Joshua C"},{"family":"Conomos","given":"Matthew"},{"family":"Culotti","given":"Alessandro"},{"family":"Desain","given":"Thomas"},{"family":"Digiovanna","given":"Jack"},{"family":"Domazet","given":"Milan"},{"family":"Gogarten","given":"Stephanie"},{"family":"Gutierrez-Sacristan","given":"Alba"},{"family":"Harris","given":"Tim"},{"family":"Heavner","given":"Ben"},{"family":"Jain","given":"Deepti"},{"family":"O'Connor","given":"Brian"},{"family":"Osborn","given":"Kevin"},{"family":"Pillion","given":"Danielle"},{"family":"Pleiness","given":"Jacob"},{"family":"Rice","given":"Ken"},{"family":"Rupp","given":"Garrett"},{"family":"Serret-Larmande","given":"Arnaud"},{"family":"Smith","given":"Albert"},{"family":"Stedman","given":"Jason P"},{"family":"Stilp","given":"Adrienne"},{"family":"Barsanti","given":"Teresa"},{"family":"Cheadle","given":"John"},{"family":"Erdmann","given":"Christopher"},{"family":"Farlow","given":"Brandy"},{"family":"Gartland-Gray","given":"Allie"},{"family":"Hayes","given":"Julie"},{"family":"Hiles","given":"Hannah"},{"family":"Kerr","given":"Paul"},{"family":"Lenhardt","given":"Chris"},{"family":"Madden","given":"Tom"},{"family":"Mieczkowska","given":"Joanna O"},{"family":"Miller","given":"Amanda"},{"family":"Patton","given":"Patrick"},{"family":"Rathbun","given":"Marcie"},{"family":"Suber","given":"Stephanie"},{"family":"Asare","given":"Joe"}],"issued":{"date-parts":[["2023",7,1]]}}}],"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Georgia" w:hAnsiTheme="majorBidi" w:cstheme="majorBidi"/>
          <w:lang w:eastAsia="en-GB"/>
        </w:rPr>
        <w:t xml:space="preserve">(Lau </w:t>
      </w:r>
      <w:r w:rsidRPr="005F0A67">
        <w:rPr>
          <w:rFonts w:asciiTheme="majorBidi" w:eastAsia="Georgia" w:hAnsiTheme="majorBidi" w:cstheme="majorBidi"/>
          <w:i/>
          <w:iCs/>
          <w:lang w:eastAsia="en-GB"/>
        </w:rPr>
        <w:t>et al.</w:t>
      </w:r>
      <w:r w:rsidRPr="005F0A67">
        <w:rPr>
          <w:rFonts w:asciiTheme="majorBidi" w:eastAsia="Georgia" w:hAnsiTheme="majorBidi" w:cstheme="majorBidi"/>
          <w:lang w:eastAsia="en-GB"/>
        </w:rPr>
        <w:t xml:space="preserve">, 2017; Ahalt </w:t>
      </w:r>
      <w:r w:rsidRPr="005F0A67">
        <w:rPr>
          <w:rFonts w:asciiTheme="majorBidi" w:eastAsia="Georgia" w:hAnsiTheme="majorBidi" w:cstheme="majorBidi"/>
          <w:i/>
          <w:iCs/>
          <w:lang w:eastAsia="en-GB"/>
        </w:rPr>
        <w:t>et al.</w:t>
      </w:r>
      <w:r w:rsidRPr="005F0A67">
        <w:rPr>
          <w:rFonts w:asciiTheme="majorBidi" w:eastAsia="Georgia" w:hAnsiTheme="majorBidi" w:cstheme="majorBidi"/>
          <w:lang w:eastAsia="en-GB"/>
        </w:rPr>
        <w:t>, 2023)</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Cloud genomics platforms and data commons bring data, compute resources, software and access control together in managed environments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{"citationID":"a17gffdlhtl","properties":{"unsorted":false,"formattedCitation":"(Grossman, 2023; Brady {\\i{}et al.}, 2024)","plainCitation":"(Grossman, 2023; Brady et al., 2024)","noteIndex":0},"citationItems":[{"id":16,"uris":["http://zotero.org/users/14977742/items/HNGNZV2B"],"itemData":{"id":16,"type":"article-journal","abstract":"A data commons is a cloud-based data platform with a governance structure that allows a community to manage, analyze and share its data. Data commons provide a research community with the ability to manage and analyze large datasets using the elastic scalability provided by cloud computing and to share data securely and compliantly, and, in this way, accelerate the pace of research. Over the past decade, a number of data commons have been developed and we discuss some of the lessons learned from this effort.","citation-key":"grossmanTenLessonsData2023","container-title":"Scientific Data","DOI":"10.1038/s41597-023-02029-x","ISSN":"2052-4463","issue":"1","journalAbbreviation":"Sci Data","language":"en","license":"2023 The Author(s)","page":"120","publisher":"Nature Publishing Group","source":"www.nature.com","title":"Ten lessons for data sharing with a data commons","volume":"10","author":[{"family":"Grossman","given":"Robert L."}],"issued":{"date-parts":[["2023",3,6]]}}},{"id":17,"uris":["http://zotero.org/users/14977742/items/PN3IIGI4"],"itemData":{"id":17,"type":"article-journal","abstract":"The NCI Cancer Research Data Commons (CRDC) is a collection of data commons, analysis platforms, and tools that make existing cancer data more findable and accessible by the cancer research community. In practice, the two biggest hurdles to finding and using data for discovery are the wide variety of models and ontologies used to describe data, and the dispersed storage of that data. Here, we outline core CRDC services to aggregate descriptive information from multiple studies for findability via a single interface and to provide a single access method that spans multiple data commons.See related articles by Wang et al., p. 1388, Pot et al., p. 1396, and Kim et al., p. 1404","citation-key":"bradyNCICancerResearch2024","container-title":"Cancer Research","DOI":"10.1158/0008-5472.CAN-23-2655","ISSN":"0008-5472","issue":"9","journalAbbreviation":"Cancer Res","page":"1384-1387","source":"Silverchair","title":"NCI Cancer Research Data Commons: Core Standards and Services","title-short":"NCI Cancer Research Data Commons","volume":"84","author":[{"family":"Brady","given":"Arthur"},{"family":"Charbonneau","given":"Amanda"},{"family":"Grossman","given":"Robert L."},{"family":"Creasy","given":"Heather H."},{"family":"Renner","given":"Robinette"},{"family":"Pihl","given":"Todd"},{"family":"Otridge","given":"John"},{"family":"Kim","given":"Erika"},{"literal":"the CRDC Program"},{"family":"Barnholtz-Sloan","given":"Jill S."},{"family":"Kerlavage","given":"Anthony R."}],"issued":{"date-parts":[["2024",5,2]]}}}],"schema":"https://github.com/citation-style-language/schema/raw/master/csl-citation.json"}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Georgia" w:hAnsiTheme="majorBidi" w:cstheme="majorBidi"/>
          <w:lang w:eastAsia="en-GB"/>
        </w:rPr>
        <w:t xml:space="preserve">(Grossman, 2023; Brady </w:t>
      </w:r>
      <w:r w:rsidRPr="005F0A67">
        <w:rPr>
          <w:rFonts w:asciiTheme="majorBidi" w:eastAsia="Georgia" w:hAnsiTheme="majorBidi" w:cstheme="majorBidi"/>
          <w:i/>
          <w:iCs/>
          <w:lang w:eastAsia="en-GB"/>
        </w:rPr>
        <w:t>et al.</w:t>
      </w:r>
      <w:r w:rsidRPr="005F0A67">
        <w:rPr>
          <w:rFonts w:asciiTheme="majorBidi" w:eastAsia="Georgia" w:hAnsiTheme="majorBidi" w:cstheme="majorBidi"/>
          <w:lang w:eastAsia="en-GB"/>
        </w:rPr>
        <w:t>, 2024)</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Recent large-scale genomics initiatives such as All of Us and the UK Biobank research analysis platform show that the field is moving toward secure cloud platforms where researchers analyse data in place rather than downloading it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{"citationID":"a1u46lg8m6d","properties":{"unsorted":false,"formattedCitation":"(Deflaux {\\i{}et al.}, 2023; Grossman, 2023; Brady {\\i{}et al.}, 2024)","plainCitation":"(Deflaux et al., 2023; Grossman, 2023; Brady et al., 2024)","noteIndex":0},"citationItems":[{"id":4,"uris":["http://zotero.org/users/14977742/items/2C9LU3S6"],"itemData":{"id":4,"type":"article-journal","abstract":"Abstract\n            \n              Recently, large scale genomic projects such as\n              All of Us\n              and the UK Biobank have introduced a new research paradigm where data are stored centrally in cloud-based Trusted Research Environments (TREs). To characterize the advantages and drawbacks of different TRE attributes in facilitating cross-cohort analysis, we conduct a Genome-Wide Association Study of standard lipid measures using two approaches: meta-analysis and pooled analysis. Comparison of full summary data from both approaches with an external study shows strong correlation of known loci with lipid levels (R\n              2\n               ~ 83–97%). Importantly, 90 variants meet the significance threshold only in the meta-analysis and 64 variants are significant only in pooled analysis, with approximately 20% of variants in each of those groups being most prevalent in non-European, non-Asian ancestry individuals. These findings have important implications, as technical and policy choices lead to cross-cohort analyses generating similar, but not identical results, particularly for non-European ancestral populations.","citation-key":"deflauxDemonstratingPathsUnlocking2023a","container-title":"Nature Communications","DOI":"10.1038/s41467-023-41185-x","ISSN":"2041-1723","issue":"1","journalAbbreviation":"Nat Commun","language":"en","page":"5419","source":"DOI.org (Crossref)","title":"Demonstrating paths for unlocking the value of cloud genomics through cross cohort analysis","volume":"14","author":[{"family":"Deflaux","given":"Nicole"},{"family":"Selvaraj","given":"Margaret Sunitha"},{"family":"Condon","given":"Henry Robert"},{"family":"Mayo","given":"Kelsey"},{"family":"Haidermota","given":"Sara"},{"family":"Basford","given":"Melissa A."},{"family":"Lunt","given":"Chris"},{"family":"Philippakis","given":"Anthony A."},{"family":"Roden","given":"Dan M."},{"family":"Denny","given":"Joshua C."},{"family":"Musick","given":"Anjene"},{"family":"Collins","given":"Rory"},{"family":"Allen","given":"Naomi"},{"family":"Effingham","given":"Mark"},{"family":"Glazer","given":"David"},{"family":"Natarajan","given":"Pradeep"},{"family":"Bick","given":"Alexander G."}],"issued":{"date-parts":[["2023",9,5]]}}},{"id":16,"uris":["http://zotero.org/users/14977742/items/HNGNZV2B"],"itemData":{"id":16,"type":"article-journal","abstract":"A data commons is a cloud-based data platform with a governance structure that allows a community to manage, analyze and share its data. Data commons provide a research community with the ability to manage and analyze large datasets using the elastic scalability provided by cloud computing and to share data securely and compliantly, and, in this way, accelerate the pace of research. Over the past decade, a number of data commons have been developed and we discuss some of the lessons learned from this effort.","citation-key":"grossmanTenLessonsData2023","container-title":"Scientific Data","DOI":"10.1038/s41597-023-02029-x","ISSN":"2052-4463","issue":"1","journalAbbreviation":"Sci Data","language":"en","license":"2023 The Author(s)","page":"120","publisher":"Nature Publishing Group","source":"www.nature.com","title":"Ten lessons for data sharing with a data commons","volume":"10","author":[{"family":"Grossman","given":"Robert L."}],"issued":{"date-parts":[["2023",3,6]]}}},{"id":17,"uris":["http://zotero.org/users/14977742/items/PN3IIGI4"],"itemData":{"id":17,"type":"article-journal","abstract":"The NCI Cancer Research Data Commons (CRDC) is a collection of data commons, analysis platforms, and tools that make existing cancer data more findable and accessible by the cancer research community. In practice, the two biggest hurdles to finding and using data for discovery are the wide variety of models and ontologies used to describe data, and the dispersed storage of that data. Here, we outline core CRDC services to aggregate descriptive information from multiple studies for findability via a single interface and to provide a single access method that spans multiple data commons.See related articles by Wang et al., p. 1388, Pot et al., p. 1396, and Kim et al., p. 1404","citation-key":"bradyNCICancerResearch2024","container-title":"Cancer Research","DOI":"10.1158/0008-5472.CAN-23-2655","ISSN":"0008-5472","issue":"9","journalAbbreviation":"Cancer Res","page":"1384-1387","source":"Silverchair","title":"NCI Cancer Research Data Commons: Core Standards and Services","title-short":"NCI Cancer Research Data Commons","volume":"84","author":[{"family":"Brady","given":"Arthur"},{"family":"Charbonneau","given":"Amanda"},{"family":"Grossman","given":"Robert L."},{"family":"Creasy","given":"Heather H."},{"family":"Renner","given":"Robinette"},{"family":"Pihl","given":"Todd"},{"family":"Otridge","given":"John"},{"family":"Kim","given":"Erika"},{"literal":"the CRDC Program"},{"family":"Barnholtz-Sloan","given":"Jill S."},{"family":"Kerlavage","given":"Anthony R."}],"issued":{"date-parts":[["2024",5,2]]}}}],"schema":"https://github.com/citation-style-language/schema/raw/master/csl-citation.json"}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Georgia" w:hAnsiTheme="majorBidi" w:cstheme="majorBidi"/>
          <w:lang w:eastAsia="en-GB"/>
        </w:rPr>
        <w:t xml:space="preserve">(Deflaux </w:t>
      </w:r>
      <w:r w:rsidRPr="005F0A67">
        <w:rPr>
          <w:rFonts w:asciiTheme="majorBidi" w:eastAsia="Georgia" w:hAnsiTheme="majorBidi" w:cstheme="majorBidi"/>
          <w:i/>
          <w:iCs/>
          <w:lang w:eastAsia="en-GB"/>
        </w:rPr>
        <w:t>et al.</w:t>
      </w:r>
      <w:r w:rsidRPr="005F0A67">
        <w:rPr>
          <w:rFonts w:asciiTheme="majorBidi" w:eastAsia="Georgia" w:hAnsiTheme="majorBidi" w:cstheme="majorBidi"/>
          <w:lang w:eastAsia="en-GB"/>
        </w:rPr>
        <w:t xml:space="preserve">, 2023; Grossman, 2023; Brady </w:t>
      </w:r>
      <w:r w:rsidRPr="005F0A67">
        <w:rPr>
          <w:rFonts w:asciiTheme="majorBidi" w:eastAsia="Georgia" w:hAnsiTheme="majorBidi" w:cstheme="majorBidi"/>
          <w:i/>
          <w:iCs/>
          <w:lang w:eastAsia="en-GB"/>
        </w:rPr>
        <w:t>et al.</w:t>
      </w:r>
      <w:r w:rsidRPr="005F0A67">
        <w:rPr>
          <w:rFonts w:asciiTheme="majorBidi" w:eastAsia="Georgia" w:hAnsiTheme="majorBidi" w:cstheme="majorBidi"/>
          <w:lang w:eastAsia="en-GB"/>
        </w:rPr>
        <w:t>, 2024)</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Knowledgebase, curation, and interpretation services convert raw sequence data into curated, searchable, and clinically usable information, where the main competitive bottlenecks are the effort required for curation and the fragmentation of user interfaces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{"citationID":"a1o5tv6a4p1","properties":{"unsorted":false,"formattedCitation":"(Borchert {\\i{}et al.}, 2021)","plainCitation":"(Borchert et al., 2021)","noteIndex":0},"citationItems":[{"id":3,"uris":["http://zotero.org/users/14977742/items/PVX5EVPV"],"itemData":{"id":3,"type":"article-journal","abstract":"Abstract\n            Precision oncology is a rapidly evolving interdisciplinary medical specialty. Comprehensive cancer panels are becoming increasingly available at pathology departments worldwide, creating the urgent need for scalable cancer variant annotation and molecularly informed treatment recommendations. A wealth of mainly academia-driven knowledge bases calls for software tools supporting the multi-step diagnostic process. We derive a comprehensive list of knowledge bases relevant for variant interpretation by a review of existing literature followed by a survey among medical experts from university hospitals in Germany. In addition, we review cancer variant interpretation tools, which integrate multiple knowledge bases. We categorize the knowledge bases along the diagnostic process in precision oncology and analyze programmatic access options as well as the integration of knowledge bases into software tools. The most commonly used knowledge bases provide good programmatic access options and have been integrated into a range of software tools. For the wider set of knowledge bases, access options vary across different parts of the diagnostic process. Programmatic access is limited for information regarding clinical classifications of variants and for therapy recommendations. The main issue for databases used for biological classification of pathogenic variants and pathway context information is the lack of standardized interfaces. There is no single cancer variant interpretation tool that integrates all identified knowledge bases. Specialized tools are available and need to be further developed for different steps in the diagnostic process.","citation-key":"borchertKnowledgeBasesSoftware2021a","container-title":"Briefings in Bioinformatics","DOI":"10.1093/bib/bbab134","ISSN":"1467-5463, 1477-4054","issue":"6","language":"en","license":"https://creativecommons.org/licenses/by/4.0/","page":"bbab134","source":"DOI.org (Crossref)","title":"Knowledge bases and software support for variant interpretation in precision oncology","volume":"22","author":[{"family":"Borchert","given":"Florian"},{"family":"Mock","given":"Andreas"},{"family":"Tomczak","given":"Aurelie"},{"family":"Hügel","given":"Jonas"},{"family":"Alkarkoukly","given":"Samer"},{"family":"Knurr","given":"Alexander"},{"family":"Volckmar","given":"Anna-Lena"},{"family":"Stenzinger","given":"Albrecht"},{"family":"Schirmacher","given":"Peter"},{"family":"Debus","given":"Jürgen"},{"family":"Jäger","given":"Dirk"},{"family":"Longerich","given":"Thomas"},{"family":"Fröhling","given":"Stefan"},{"family":"Eils","given":"Roland"},{"family":"Bougatf","given":"Nina"},{"family":"Sax","given":"Ulrich"},{"family":"Schapranow","given":"Matthieu-P"}],"issued":{"date-parts":[["2021",11,5]]}}}],"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Georgia" w:hAnsiTheme="majorBidi" w:cstheme="majorBidi"/>
          <w:lang w:eastAsia="en-GB"/>
        </w:rPr>
        <w:t xml:space="preserve">(Borchert </w:t>
      </w:r>
      <w:r w:rsidRPr="005F0A67">
        <w:rPr>
          <w:rFonts w:asciiTheme="majorBidi" w:eastAsia="Georgia" w:hAnsiTheme="majorBidi" w:cstheme="majorBidi"/>
          <w:i/>
          <w:iCs/>
          <w:lang w:eastAsia="en-GB"/>
        </w:rPr>
        <w:t>et al.</w:t>
      </w:r>
      <w:r w:rsidRPr="005F0A67">
        <w:rPr>
          <w:rFonts w:asciiTheme="majorBidi" w:eastAsia="Georgia" w:hAnsiTheme="majorBidi" w:cstheme="majorBidi"/>
          <w:lang w:eastAsia="en-GB"/>
        </w:rPr>
        <w:t>, 2021)</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Public and hybrid infrastructure brokers manage and allocate shared resources across institutions, and many private-sector companies treat these as direct commercial inputs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{"citationID":"a1rfk1cuhl2","properties":{"unsorted":false,"formattedCitation":"(Garcia, Smith and Blomberg, 2018; Harrow {\\i{}et al.}, 2021)","plainCitation":"(Garcia, Smith and Blomberg, 2018; Harrow et al., 2021)","noteIndex":0},"citationItems":[{"id":2,"uris":["http://zotero.org/users/14977742/items/YS9XPTFW"],"itemData":{"id":2,"type":"article-journal","abstract":"Based on a review of business models and the different types of companies that use open biological data, the report explores how open data contribute to innovation and generate business value. The report also features case-studies of &amp;nbsp;seven innovation-driven European SMEs, each with different business model and with a different way of using open bioinformatics data. Looking at how they derive value from open data, the report describes three different types of companies that use public data: Customisers, Aggregators and Enablers. These types are linked to different business models and services provided to clients.","citation-key":"garciaPublicDataResources2018","container-title":"F1000Research","DOI":"10.7490/f1000research.1115445.1","issue":"590","language":"en","license":"https://creativecommons.org/licenses/by/4.0/","page":"590","publisher":"F1000 Research Limited","source":"f1000research.com","title":"Public data resources as a business model for SMEs. The Role of Public Bioinformatics Infrastructure in supporting innovation in the life sciences","volume":"7","author":[{"family":"Garcia","given":"Pablo Roman"},{"family":"Smith","given":"Andrew"},{"family":"Blomberg","given":"Niklas"}],"issued":{"date-parts":[["2018",5,15]]}}},{"id":13,"uris":["http://zotero.org/users/14977742/items/WRRM7CQB"],"itemData":{"id":13,"type":"article-journal","abstract":"In 2012, the Digital Universe Study reported that ‘less than 1% of the World’s data is analyzed and less than 20% is protected’ and recommended that management plans were needed to harness the potential within these data streams (Gantz and Reinsel, 2012). Life science is a data science that is dependent on the generation, sharing and integrative analysis of vast quantities of digital data. However, these data are complex and fragmented, creating a significant barrier to their integration and reuse. Data are generated for different research purposes at thousands of facilities across the world, with diverse formats, annotations, methodologies and metadata standards. Interpreting this data is difficult and often involves integrating very large datasets from multiple sources. Certain data types such as sensitive human data archived under controlled access require protection, so data federation and sharing are a challenge in this context (Saunders et al., 2019).","citation-key":"harrowELIXIRProvidingSustainable2021","container-title":"Bioinformatics","DOI":"10.1093/bioinformatics/btab481","ISSN":"1367-4803","issue":"16","journalAbbreviation":"Bioinformatics","page":"2506-2511","source":"Silverchair","title":"ELIXIR: providing a sustainable infrastructure for life science data at European scale","title-short":"ELIXIR","volume":"37","author":[{"family":"Harrow","given":"Jennifer"},{"family":"Drysdale","given":"Rachel"},{"family":"Smith","given":"Andrew"},{"family":"Repo","given":"Susanna"},{"family":"Lanfear","given":"Jerry"},{"family":"Blomberg","given":"Niklas"}],"issued":{"date-parts":[["2021",8,25]]}}}],"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Georgia" w:hAnsiTheme="majorBidi" w:cstheme="majorBidi"/>
          <w:lang w:eastAsia="en-GB"/>
        </w:rPr>
        <w:t xml:space="preserve">(Garcia, Smith and Blomberg, 2018; Harrow </w:t>
      </w:r>
      <w:r w:rsidRPr="005F0A67">
        <w:rPr>
          <w:rFonts w:asciiTheme="majorBidi" w:eastAsia="Georgia" w:hAnsiTheme="majorBidi" w:cstheme="majorBidi"/>
          <w:i/>
          <w:iCs/>
          <w:lang w:eastAsia="en-GB"/>
        </w:rPr>
        <w:t>et al.</w:t>
      </w:r>
      <w:r w:rsidRPr="005F0A67">
        <w:rPr>
          <w:rFonts w:asciiTheme="majorBidi" w:eastAsia="Georgia" w:hAnsiTheme="majorBidi" w:cstheme="majorBidi"/>
          <w:lang w:eastAsia="en-GB"/>
        </w:rPr>
        <w:t>, 2021)</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AI is considered here as a built-in capability across these sub-groups, rather than being treated as a standalone category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{"citationID":"a2laif970q","properties":{"unsorted":false,"formattedCitation":"(Ahalt {\\i{}et al.}, 2023; Brady {\\i{}et al.}, 2024)","plainCitation":"(Ahalt et al., 2023; Brady et al., 2024)","noteIndex":0},"citationItems":[{"id":6,"uris":["http://zotero.org/users/14977742/items/I5FYVQP4"],"itemData":{"id":6,"type":"article-journal","abstract":"Research increasingly relies on interrogating large-scale data resources. The NIH National Heart, Lung, and Blood Institute developed the NHLBI BioData Catalyst</w:instrText>
      </w:r>
      <w:r w:rsidRPr="005F0A67">
        <w:rPr>
          <w:rFonts w:ascii="Segoe UI Symbol" w:eastAsia="Times New Roman" w:hAnsi="Segoe UI Symbol" w:cs="Segoe UI Symbol"/>
          <w:lang w:val="en-CA" w:eastAsia="en-GB"/>
        </w:rPr>
        <w:instrText>Ⓡ</w:instrText>
      </w:r>
      <w:r w:rsidRPr="005F0A67">
        <w:rPr>
          <w:rFonts w:asciiTheme="majorBidi" w:eastAsia="Times New Roman" w:hAnsiTheme="majorBidi" w:cstheme="majorBidi"/>
          <w:lang w:val="en-CA" w:eastAsia="en-GB"/>
        </w:rPr>
        <w:instrText xml:space="preserve"> (BDC), a community-driven ecosystem where researchers, including bench and clinical scientists, statisticians, and algorithm developers, find, access, share, store, and compute on large-scale datasets. This ecosystem provides secure, cloud-based workspaces, user authentication and authorization, search, tools and workflows, applications, and new innovative features to address community needs, including exploratory data analysis, genomic and imaging tools, tools for reproducibility, and improved interoperability with other NIH data science platforms. BDC offers straightforward access to large-scale datasets and computational resources that support precision medicine for heart, lung, blood, and sleep conditions, leveraging separately developed and managed platforms to maximize flexibility based on researcher needs, expertise, and backgrounds. Through the NHLBI BioData Catalyst Fellows Program, BDC facilitates scientific discoveries and technological advances. BDC also facilitated accelerated research on the coronavirus disease-2019 (COVID-19) pandemic.","citation-key":"ahaltBuildingCollaborativeCloud2023a","container-title":"Journal of the American Medical Informatics Association","DOI":"10.1093/jamia/ocad048","ISSN":"1527-974X","issue":"7","journalAbbreviation":"J Am Med Inform Assoc","page":"1293-1300","source":"Silverchair","title":"Building a collaborative cloud platform to accelerate heart, lung, blood, and sleep research","volume":"30","author":[{"family":"Ahalt","given":"Stan"},{"family":"Avillach","given":"Paul"},{"family":"Boyles","given":"Rebecca"},{"family":"Bradford","given":"Kira"},{"family":"Cox","given":"Steven"},{"family":"Davis-Dusenbery","given":"Brandi"},{"family":"Grossman","given":"Robert L"},{"family":"Krishnamurthy","given":"Ashok"},{"family":"Manning","given":"Alisa"},{"family":"Paten","given":"Benedict"},{"family":"Philippakis","given":"Anthony"},{"family":"Borecki","given":"Ingrid"},{"family":"Chen","given":"Shu Hui"},{"family":"Kaltman","given":"Jon"},{"family":"Ladwa","given":"Sweta"},{"family":"Schwartz","given":"Chip"},{"family":"Thomson","given":"Alastair"},{"family":"Davis","given":"Sarah"},{"family":"Leaf","given":"Alison"},{"family":"Lyons","given":"Jessica"},{"family":"Sheets","given":"Elizabeth"},{"family":"Bis","given":"Joshua C"},{"family":"Conomos","given":"Matthew"},{"family":"Culotti","given":"Alessandro"},{"family":"Desain","given":"Thomas"},{"family":"Digiovanna","given":"Jack"},{"family":"Domazet","given":"Milan"},{"family":"Gogarten","given":"Stephanie"},{"family":"Gutierrez-Sacristan","given":"Alba"},{"family":"Harris","given":"Tim"},{"family":"Heavner","given":"Ben"},{"family":"Jain","given":"Deepti"},{"family":"O'Connor","given":"Brian"},{"family":"Osborn","given":"Kevin"},{"family":"Pillion","given":"Danielle"},{"family":"Pleiness","given":"Jacob"},{"family":"Rice","given":"Ken"},{"family":"Rupp","given":"Garrett"},{"family":"Serret-Larmande","given":"Arnaud"},{"family":"Smith","given":"Albert"},{"family":"Stedman","given":"Jason P"},{"family":"Stilp","given":"Adrienne"},{"family":"Barsanti","given":"Teresa"},{"family":"Cheadle","given":"John"},{"family":"Erdmann","given":"Christopher"},{"family":"Farlow","given":"Brandy"},{"family":"Gartland-Gray","given":"Allie"},{"family":"Hayes","given":"Julie"},{"family":"Hiles","given":"Hannah"},{"family":"Kerr","given":"Paul"},{"family":"Lenhardt","given":"Chris"},{"family":"Madden","given":"Tom"},{"family":"Mieczkowska","given":"Joanna O"},{"family":"Miller","given":"Amanda"},{"family":"Patton","given":"Patrick"},{"family":"Rathbun","given":"Marcie"},{"family":"Suber","given":"Stephanie"},{"family":"Asare","given":"Joe"}],"issued":{"date-parts":[["2023",7,1]]}}},{"id":17,"uris":["http://zotero.org/users/14977742/items/PN3IIGI4"],"itemData":{"id":17,"type":"article-journal","abstract":"The NCI Cancer Research Data Commons (CRDC) is a collection of data commons, analysis platforms, and tools that make existing cancer data more findable and accessible by the cancer research community. In practice, the two biggest hurdles to finding and using data for discovery are the wide variety of models and ontologies used to describe data, and the dispersed storage of that data. Here, we outline core CRDC services to aggregate descriptive information from multiple studies for findability via a single interface and to provide a single access method that spans multiple data commons.See related articles by Wang et al., p. 1388, Pot et al., p. 1396, and Kim et al., p. 1404","citation-key":"bradyNCICancerResearch2024","container-title":"Cancer Research","DOI":"10.1158/0008-5472.CAN-23-2655","ISSN":"0008-5472","issue":"9","journalAbbreviation":"Cancer Res","page":"1384-1387","source":"Silverchair","title":"NCI Cancer Research Data Commons: Core Standards and Services","title-short":"NCI Cancer Research Data Commons","volume":"84","author":[{"family":"Brady","given":"Arthur"},{"family":"Charbonneau","given":"Amanda"},{"family":"Grossman","given":"Robert L."},{"family":"Creasy","given":"Heather H."},{"family":"Renner","given":"Robinette"},{"family":"Pihl","given":"Todd"},{"family":"Otridge","given":"John"},{"family":"Kim","given":"Erika"},{"literal":"the CRDC Program"},{"family":"Barnholtz-Sloan","given":"Jill S."},{"family":"Kerlavage","given":"Anthony R."}],"issued":{"date-parts":[["2024",5,2]]}}}],"schema":"https://github.com/citation-style-language/schema/raw/master/csl-citation.json"}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Georgia" w:hAnsiTheme="majorBidi" w:cstheme="majorBidi"/>
          <w:lang w:eastAsia="en-GB"/>
        </w:rPr>
        <w:t xml:space="preserve">(Ahalt </w:t>
      </w:r>
      <w:r w:rsidRPr="005F0A67">
        <w:rPr>
          <w:rFonts w:asciiTheme="majorBidi" w:eastAsia="Georgia" w:hAnsiTheme="majorBidi" w:cstheme="majorBidi"/>
          <w:i/>
          <w:iCs/>
          <w:lang w:eastAsia="en-GB"/>
        </w:rPr>
        <w:t>et al.</w:t>
      </w:r>
      <w:r w:rsidRPr="005F0A67">
        <w:rPr>
          <w:rFonts w:asciiTheme="majorBidi" w:eastAsia="Georgia" w:hAnsiTheme="majorBidi" w:cstheme="majorBidi"/>
          <w:lang w:eastAsia="en-GB"/>
        </w:rPr>
        <w:t xml:space="preserve">, 2023; Brady </w:t>
      </w:r>
      <w:r w:rsidRPr="005F0A67">
        <w:rPr>
          <w:rFonts w:asciiTheme="majorBidi" w:eastAsia="Georgia" w:hAnsiTheme="majorBidi" w:cstheme="majorBidi"/>
          <w:i/>
          <w:iCs/>
          <w:lang w:eastAsia="en-GB"/>
        </w:rPr>
        <w:t>et al.</w:t>
      </w:r>
      <w:r w:rsidRPr="005F0A67">
        <w:rPr>
          <w:rFonts w:asciiTheme="majorBidi" w:eastAsia="Georgia" w:hAnsiTheme="majorBidi" w:cstheme="majorBidi"/>
          <w:lang w:eastAsia="en-GB"/>
        </w:rPr>
        <w:t>, 2024)</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w:t>
      </w:r>
    </w:p>
    <w:p w14:paraId="544AA252" w14:textId="77777777" w:rsidR="005F0A67" w:rsidRPr="005F0A67" w:rsidRDefault="005F0A67" w:rsidP="00B009ED">
      <w:pPr>
        <w:tabs>
          <w:tab w:val="clear" w:pos="567"/>
          <w:tab w:val="clear" w:pos="1134"/>
          <w:tab w:val="clear" w:pos="1701"/>
          <w:tab w:val="clear" w:pos="2268"/>
        </w:tabs>
        <w:spacing w:after="120"/>
        <w:jc w:val="left"/>
        <w:outlineLvl w:val="3"/>
        <w:rPr>
          <w:rFonts w:asciiTheme="majorBidi" w:eastAsia="Georgia" w:hAnsiTheme="majorBidi" w:cstheme="majorBidi"/>
          <w:b/>
          <w:bCs/>
          <w:color w:val="0F4761"/>
          <w:lang w:eastAsia="en-GB"/>
        </w:rPr>
      </w:pPr>
      <w:r w:rsidRPr="005F0A67">
        <w:rPr>
          <w:rFonts w:asciiTheme="majorBidi" w:eastAsia="Georgia" w:hAnsiTheme="majorBidi" w:cstheme="majorBidi"/>
          <w:b/>
          <w:bCs/>
          <w:color w:val="0F4761"/>
          <w:lang w:eastAsia="en-GB"/>
        </w:rPr>
        <w:t>Value chain position and DSI use intensity</w:t>
      </w:r>
    </w:p>
    <w:p w14:paraId="4E41FEC0"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lastRenderedPageBreak/>
        <w:t xml:space="preserve">The key feature of this sector is its reliance on open and reusable DSI infrastructures. For many companies, normal business operations would be severely constrained, or even impossible, without access to publicly available sequence databases and shared data commons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{"citationID":"a14hmdfieqd","properties":{"unsorted":false,"formattedCitation":"(Garcia, Smith and Blomberg, 2018; Harrow {\\i{}et al.}, 2021)","plainCitation":"(Garcia, Smith and Blomberg, 2018; Harrow et al., 2021)","noteIndex":0},"citationItems":[{"id":2,"uris":["http://zotero.org/users/14977742/items/YS9XPTFW"],"itemData":{"id":2,"type":"article-journal","abstract":"Based on a review of business models and the different types of companies that use open biological data, the report explores how open data contribute to innovation and generate business value. The report also features case-studies of &amp;nbsp;seven innovation-driven European SMEs, each with different business model and with a different way of using open bioinformatics data. Looking at how they derive value from open data, the report describes three different types of companies that use public data: Customisers, Aggregators and Enablers. These types are linked to different business models and services provided to clients.","citation-key":"garciaPublicDataResources2018","container-title":"F1000Research","DOI":"10.7490/f1000research.1115445.1","issue":"590","language":"en","license":"https://creativecommons.org/licenses/by/4.0/","page":"590","publisher":"F1000 Research Limited","source":"f1000research.com","title":"Public data resources as a business model for SMEs. The Role of Public Bioinformatics Infrastructure in supporting innovation in the life sciences","volume":"7","author":[{"family":"Garcia","given":"Pablo Roman"},{"family":"Smith","given":"Andrew"},{"family":"Blomberg","given":"Niklas"}],"issued":{"date-parts":[["2018",5,15]]}}},{"id":13,"uris":["http://zotero.org/users/14977742/items/WRRM7CQB"],"itemData":{"id":13,"type":"article-journal","abstract":"In 2012, the Digital Universe Study reported that ‘less than 1% of the World’s data is analyzed and less than 20% is protected’ and recommended that management plans were needed to harness the potential within these data streams (Gantz and Reinsel, 2012). Life science is a data science that is dependent on the generation, sharing and integrative analysis of vast quantities of digital data. However, these data are complex and fragmented, creating a significant barrier to their integration and reuse. Data are generated for different research purposes at thousands of facilities across the world, with diverse formats, annotations, methodologies and metadata standards. Interpreting this data is difficult and often involves integrating very large datasets from multiple sources. Certain data types such as sensitive human data archived under controlled access require protection, so data federation and sharing are a challenge in this context (Saunders et al., 2019).","citation-key":"harrowELIXIRProvidingSustainable2021","container-title":"Bioinformatics","DOI":"10.1093/bioinformatics/btab481","ISSN":"1367-4803","issue":"16","journalAbbreviation":"Bioinformatics","page":"2506-2511","source":"Silverchair","title":"ELIXIR: providing a sustainable infrastructure for life science data at European scale","title-short":"ELIXIR","volume":"37","author":[{"family":"Harrow","given":"Jennifer"},{"family":"Drysdale","given":"Rachel"},{"family":"Smith","given":"Andrew"},{"family":"Repo","given":"Susanna"},{"family":"Lanfear","given":"Jerry"},{"family":"Blomberg","given":"Niklas"}],"issued":{"date-parts":[["2021",8,25]]}}}],"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Georgia" w:hAnsiTheme="majorBidi" w:cstheme="majorBidi"/>
          <w:lang w:eastAsia="en-GB"/>
        </w:rPr>
        <w:t xml:space="preserve">(Garcia, Smith and Blomberg, 2018; Harrow </w:t>
      </w:r>
      <w:r w:rsidRPr="005F0A67">
        <w:rPr>
          <w:rFonts w:asciiTheme="majorBidi" w:eastAsia="Georgia" w:hAnsiTheme="majorBidi" w:cstheme="majorBidi"/>
          <w:i/>
          <w:iCs/>
          <w:lang w:eastAsia="en-GB"/>
        </w:rPr>
        <w:t>et al.</w:t>
      </w:r>
      <w:r w:rsidRPr="005F0A67">
        <w:rPr>
          <w:rFonts w:asciiTheme="majorBidi" w:eastAsia="Georgia" w:hAnsiTheme="majorBidi" w:cstheme="majorBidi"/>
          <w:lang w:eastAsia="en-GB"/>
        </w:rPr>
        <w:t>, 2021)</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Firms in this sector sit upstream of the other Indicative Enclosure I sectors: they provide the data access, compute, workflow, and interpretation services through which pharmaceutical, biotechnology, and breeding firms process and apply sequence data, rather than selling DSI-derived products themselves.</w:t>
      </w:r>
    </w:p>
    <w:p w14:paraId="54D6F938"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Within the sector, companies vary widely in how intensively they use DSI and in whether they access it directly or mainly through intermediaries. DSI use is more direct for the bioinformatics workflow and cloud platform sub-groups, and more indirect for the curation and infrastructure broker sub-groups. AlphaFold, developed by Google DeepMind, illustrates the direct upstream end of this spectrum: it processes amino acid sequences derived from genomic DSI to predict protein structures, functioning as an upstream service input for pharmaceutical and biotechnology research rather than as a downstream commercial product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{"citationID":"a2olqandlsh","properties":{"unsorted":false,"formattedCitation":"(Jumper {\\i{}et al.}, 2021)","plainCitation":"(Jumper et al., 2021)","noteIndex":0},"citationItems":[{"id":1,"uris":["http://zotero.org/users/14977742/items/2DW2MDXM"],"itemData":{"id":1,"type":"article-journal","abstract":"Proteins are essential to life, and understanding their structure can facilitate a mechanistic understanding of their function. Through an enormous experimental effort1–4, the structures of around 100,000 unique proteins have been determined5, but this represents a small fraction of the billions of known protein sequences6,7. Structural coverage is bottlenecked by the months to years of painstaking effort required to determine a single protein structure. Accurate computational approaches are needed to address this gap and to enable large-scale structural bioinformatics. Predicting the three-dimensional structure that a protein will adopt based solely on its amino acid sequence—the structure prediction component of the ‘protein folding problem’8—has been an important open research problem for more than 50 years9. Despite recent progress10–14, existing methods fall far short of atomic accuracy, especially when no homologous structure is available. Here we provide the first computational method that can regularly predict protein structures with atomic accuracy even in cases in which no similar structure is known. We validated an entirely redesigned version of our neural network-based model, AlphaFold, in the challenging 14th Critical Assessment of protein Structure Prediction (CASP14)15, demonstrating accuracy competitive with experimental structures in a majority of cases and greatly outperforming other methods. Underpinning the latest version of AlphaFold is a novel machine learning approach that incorporates physical and biological knowledge about protein structure, leveraging multi-sequence alignments, into the design of the deep learning algorithm.","citation-key":"jumperHighlyAccurateProtein2021","container-title":"Nature","DOI":"10.1038/s41586-021-03819-2","ISSN":"1476-4687","issue":"7873","language":"en","license":"2021 The Author(s)","page":"583-589","publisher":"Nature Publishing Group","source":"www.nature.com","title":"Highly accurate protein structure prediction with AlphaFold","volume":"596","author":[{"family":"Jumper","given":"John"},{"family":"Evans","given":"Richard"},{"family":"Pritzel","given":"Alexander"},{"family":"Green","given":"Tim"},{"family":"Figurnov","given":"Michael"},{"family":"Ronneberger","given":"Olaf"},{"family":"Tunyasuvunakool","given":"Kathryn"},{"family":"Bates","given":"Russ"},{"family":"Žídek","given":"Augustin"},{"family":"Potapenko","given":"Anna"},{"family":"Bridgland","given":"Alex"},{"family":"Meyer","given":"Clemens"},{"family":"Kohl","given":"Simon A. A."},{"family":"Ballard","given":"Andrew J."},{"family":"Cowie","given":"Andrew"},{"family":"Romera-Paredes","given":"Bernardino"},{"family":"Nikolov","given":"Stanislav"},{"family":"Jain","given":"Rishub"},{"family":"Adler","given":"Jonas"},{"family":"Back","given":"Trevor"},{"family":"Petersen","given":"Stig"},{"family":"Reiman","given":"David"},{"family":"Clancy","given":"Ellen"},{"family":"Zielinski","given":"Michal"},{"family":"Steinegger","given":"Martin"},{"family":"Pacholska","given":"Michalina"},{"family":"Berghammer","given":"Tamas"},{"family":"Bodenstein","given":"Sebastian"},{"family":"Silver","given":"David"},{"family":"Vinyals","given":"Oriol"},{"family":"Senior","given":"Andrew W."},{"family":"Kavukcuoglu","given":"Koray"},{"family":"Kohli","given":"Pushmeet"},{"family":"Hassabis","given":"Demis"}],"issued":{"date-parts":[["2021",8]]}}}],"schema":"https://github.com/citation-style-language/schema/raw/master/csl-citation.json"}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Georgia" w:hAnsiTheme="majorBidi" w:cstheme="majorBidi"/>
          <w:lang w:eastAsia="en-GB"/>
        </w:rPr>
        <w:t xml:space="preserve">(Jumper </w:t>
      </w:r>
      <w:r w:rsidRPr="005F0A67">
        <w:rPr>
          <w:rFonts w:asciiTheme="majorBidi" w:eastAsia="Georgia" w:hAnsiTheme="majorBidi" w:cstheme="majorBidi"/>
          <w:i/>
          <w:iCs/>
          <w:lang w:eastAsia="en-GB"/>
        </w:rPr>
        <w:t>et al.</w:t>
      </w:r>
      <w:r w:rsidRPr="005F0A67">
        <w:rPr>
          <w:rFonts w:asciiTheme="majorBidi" w:eastAsia="Georgia" w:hAnsiTheme="majorBidi" w:cstheme="majorBidi"/>
          <w:lang w:eastAsia="en-GB"/>
        </w:rPr>
        <w:t>, 2021)</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ZOTERO_TEMP </w:instrText>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noProof/>
          <w:lang w:val="en-CA" w:eastAsia="en-GB"/>
        </w:rPr>
        <w:fldChar w:fldCharType="end"/>
      </w:r>
    </w:p>
    <w:p w14:paraId="5623C1A5" w14:textId="77777777" w:rsidR="005F0A67" w:rsidRPr="005F0A67" w:rsidRDefault="005F0A67" w:rsidP="00B009ED">
      <w:pPr>
        <w:tabs>
          <w:tab w:val="clear" w:pos="567"/>
          <w:tab w:val="clear" w:pos="1134"/>
          <w:tab w:val="clear" w:pos="1701"/>
          <w:tab w:val="clear" w:pos="2268"/>
        </w:tabs>
        <w:spacing w:after="120"/>
        <w:jc w:val="left"/>
        <w:outlineLvl w:val="3"/>
        <w:rPr>
          <w:rFonts w:asciiTheme="majorBidi" w:eastAsia="Georgia" w:hAnsiTheme="majorBidi" w:cstheme="majorBidi"/>
          <w:b/>
          <w:bCs/>
          <w:color w:val="0F4761"/>
          <w:lang w:eastAsia="en-GB"/>
        </w:rPr>
      </w:pPr>
      <w:r w:rsidRPr="005F0A67">
        <w:rPr>
          <w:rFonts w:asciiTheme="majorBidi" w:eastAsia="Georgia" w:hAnsiTheme="majorBidi" w:cstheme="majorBidi"/>
          <w:b/>
          <w:bCs/>
          <w:color w:val="0F4761"/>
          <w:lang w:eastAsia="en-GB"/>
        </w:rPr>
        <w:t xml:space="preserve">Expected contribution base </w:t>
      </w:r>
    </w:p>
    <w:p w14:paraId="34C8AACA"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With a median margin of 6%, most eligible firms pay on profit. The high zero-contributor share reflects the prevalence of loss-making or early-stage firms. Among contributing firms, large cloud platform providers with higher margins may pay on revenue. The proportionality concern is particularly acute given the wide range of DSI intensity within the eligible population. Even though the sector is treated as one competitiveness group for the pillar assessments, two internal distinctions are retained where analytically material: direct and indirect DSI services providers. </w:t>
      </w:r>
    </w:p>
    <w:p w14:paraId="114CC4AD" w14:textId="77777777" w:rsidR="005F0A67" w:rsidRPr="005F0A67" w:rsidRDefault="005F0A67" w:rsidP="00B009ED">
      <w:pPr>
        <w:tabs>
          <w:tab w:val="clear" w:pos="567"/>
          <w:tab w:val="clear" w:pos="1134"/>
          <w:tab w:val="clear" w:pos="1701"/>
          <w:tab w:val="clear" w:pos="2268"/>
        </w:tabs>
        <w:spacing w:before="320" w:after="160"/>
        <w:ind w:left="720"/>
        <w:jc w:val="left"/>
        <w:outlineLvl w:val="2"/>
        <w:rPr>
          <w:rFonts w:asciiTheme="majorBidi" w:eastAsia="Arial" w:hAnsiTheme="majorBidi" w:cstheme="majorBidi"/>
          <w:b/>
          <w:bCs/>
          <w:color w:val="7F7F7F"/>
          <w:sz w:val="23"/>
          <w:szCs w:val="23"/>
          <w:lang w:val="en-CA" w:eastAsia="en-GB"/>
        </w:rPr>
      </w:pPr>
      <w:bookmarkStart w:id="237" w:name="_Toc234579614"/>
      <w:r w:rsidRPr="005F0A67">
        <w:rPr>
          <w:rFonts w:asciiTheme="majorBidi" w:eastAsia="Arial" w:hAnsiTheme="majorBidi" w:cstheme="majorBidi"/>
          <w:b/>
          <w:bCs/>
          <w:color w:val="7F7F7F"/>
          <w:sz w:val="23"/>
          <w:szCs w:val="23"/>
          <w:lang w:val="en-CA" w:eastAsia="en-GB"/>
        </w:rPr>
        <w:t>Pillar assessment (step 3)</w:t>
      </w:r>
      <w:bookmarkEnd w:id="237"/>
    </w:p>
    <w:p w14:paraId="4921EAA7"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_Ref231772344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Table 35</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_Ref231772355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Table 36</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and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_Ref231772367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Table 37</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present the materiality assessment for Pillars I, II and III respectively, drawing on the sector characterisation in Section 7.11, the broader empirical literature findings in Section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_Ref231121284 \r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7.4</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and the analytical framework in Section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_Ref230281726 \r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7.5</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w:t>
      </w:r>
    </w:p>
    <w:p w14:paraId="3533DF49"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lang w:val="en-CA" w:eastAsia="en-GB"/>
        </w:rPr>
        <w:t>The information and AI sector faces the highest non-Party competitor exposure of any Indicative Enclosure I sector, with a high materiality finding for direct DSI service providers on competitive position versus non-Party competitors, driven by US-headquartered cloud giants capturing 63% of the global market without equivalent contribution obligations (Richter, 2026). The proportionality concern is also particularly acute: general cloud and platform providers contribute on the same financial base as computational biology specialists despite DSI being relevant to only a portion of their operations, generating a Moderate materiality finding for indirect DSI service providers on substantive compliance costs. Indirect DSI service providers are less exposed throughout, given lower commercial proximity to US-headquartered rivals and more locally embedded service models. Across Pillar II, both firm types are consistently Low given short development horizons. The direct vs indirect use boundary uncertainty (U4) is the most sector-specific design parameter, affecting both eligibility determination and the administrative burden of demonstrating compliance.</w:t>
      </w:r>
    </w:p>
    <w:p w14:paraId="2209CC76"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Where competitive effects do materialise, their downstream implications would be concentrated among direct DSI service providers facing structural cost asymmetry with US-headquartered cloud giants. For CBD Party-headquartered bioinformatics and genomics platform providers, the primary concern is not the direct cost burden (which is modest relative to the scale of the US market dominance already shaping competitive dynamics) but the cumulative effect of contributing on a full financial base while competing against non-</w:t>
      </w:r>
      <w:r w:rsidRPr="005F0A67">
        <w:rPr>
          <w:rFonts w:asciiTheme="majorBidi" w:eastAsia="Times New Roman" w:hAnsiTheme="majorBidi" w:cstheme="majorBidi"/>
          <w:lang w:val="en-CA" w:eastAsia="en-GB"/>
        </w:rPr>
        <w:lastRenderedPageBreak/>
        <w:t>contributing rivals with substantially greater market scale and no equivalent obligations. Cost absorption rather than pass-through is the most likely response given competitive constraints from US platforms, with potential implications for the pricing and availability of genomics compute services in CBD Party markets over time. For indirect DSI service providers, the proportionality concern is the most significant downstream risk: firms contributing on the same financial base despite DSI being peripheral to their operations face a burden misaligned with their DSI benefit, which may affect participation decisions and create a selection effect in the contributing population. The voluntary design mitigates the most severe outcomes across both firm types.</w:t>
      </w:r>
    </w:p>
    <w:p w14:paraId="6CF595A5"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sectPr w:rsidR="005F0A67" w:rsidRPr="005F0A67" w:rsidSect="005F0A67">
          <w:pgSz w:w="12240" w:h="15840"/>
          <w:pgMar w:top="1080" w:right="1260" w:bottom="1080" w:left="1260" w:header="706" w:footer="706" w:gutter="0"/>
          <w:cols w:space="720"/>
          <w:docGrid w:linePitch="360"/>
        </w:sectPr>
      </w:pPr>
    </w:p>
    <w:p w14:paraId="247ABF6C" w14:textId="77777777" w:rsidR="005F0A67" w:rsidRPr="005F0A67" w:rsidRDefault="005F0A67" w:rsidP="005F0A67">
      <w:pPr>
        <w:tabs>
          <w:tab w:val="clear" w:pos="567"/>
          <w:tab w:val="clear" w:pos="1134"/>
          <w:tab w:val="clear" w:pos="1701"/>
          <w:tab w:val="clear" w:pos="2268"/>
        </w:tabs>
        <w:spacing w:after="200" w:line="312" w:lineRule="auto"/>
        <w:contextualSpacing/>
        <w:rPr>
          <w:rFonts w:asciiTheme="majorBidi" w:eastAsia="Georgia" w:hAnsiTheme="majorBidi" w:cstheme="majorBidi"/>
          <w:b/>
          <w:bCs/>
          <w:color w:val="419844"/>
          <w:lang w:eastAsia="en-GB"/>
        </w:rPr>
      </w:pPr>
      <w:bookmarkStart w:id="238" w:name="_Ref231772344"/>
      <w:r w:rsidRPr="005F0A67">
        <w:rPr>
          <w:rFonts w:asciiTheme="majorBidi" w:eastAsia="Georgia" w:hAnsiTheme="majorBidi" w:cstheme="majorBidi"/>
          <w:b/>
          <w:bCs/>
          <w:color w:val="419844"/>
          <w:lang w:val="en-US" w:eastAsia="ja-JP"/>
        </w:rPr>
        <w:lastRenderedPageBreak/>
        <w:t xml:space="preserve">Table </w:t>
      </w:r>
      <w:r w:rsidRPr="005F0A67">
        <w:rPr>
          <w:rFonts w:asciiTheme="majorBidi" w:eastAsia="Georgia" w:hAnsiTheme="majorBidi" w:cstheme="majorBidi"/>
          <w:b/>
          <w:bCs/>
          <w:color w:val="419844"/>
          <w:lang w:eastAsia="en-GB"/>
        </w:rPr>
        <w:fldChar w:fldCharType="begin"/>
      </w:r>
      <w:r w:rsidRPr="005F0A67">
        <w:rPr>
          <w:rFonts w:asciiTheme="majorBidi" w:eastAsia="Georgia" w:hAnsiTheme="majorBidi" w:cstheme="majorBidi"/>
          <w:b/>
          <w:bCs/>
          <w:color w:val="419844"/>
          <w:lang w:eastAsia="en-GB"/>
        </w:rPr>
        <w:instrText xml:space="preserve"> SEQ Table \* ARABIC </w:instrText>
      </w:r>
      <w:r w:rsidRPr="005F0A67">
        <w:rPr>
          <w:rFonts w:asciiTheme="majorBidi" w:eastAsia="Georgia" w:hAnsiTheme="majorBidi" w:cstheme="majorBidi"/>
          <w:b/>
          <w:bCs/>
          <w:color w:val="419844"/>
          <w:lang w:eastAsia="en-GB"/>
        </w:rPr>
        <w:fldChar w:fldCharType="separate"/>
      </w:r>
      <w:r w:rsidRPr="005F0A67">
        <w:rPr>
          <w:rFonts w:asciiTheme="majorBidi" w:eastAsia="Georgia" w:hAnsiTheme="majorBidi" w:cstheme="majorBidi"/>
          <w:b/>
          <w:bCs/>
          <w:noProof/>
          <w:color w:val="419844"/>
          <w:lang w:eastAsia="en-GB"/>
        </w:rPr>
        <w:t>35</w:t>
      </w:r>
      <w:r w:rsidRPr="005F0A67">
        <w:rPr>
          <w:rFonts w:asciiTheme="majorBidi" w:eastAsia="Georgia" w:hAnsiTheme="majorBidi" w:cstheme="majorBidi"/>
          <w:b/>
          <w:bCs/>
          <w:color w:val="419844"/>
          <w:lang w:eastAsia="en-GB"/>
        </w:rPr>
        <w:fldChar w:fldCharType="end"/>
      </w:r>
      <w:bookmarkEnd w:id="238"/>
      <w:r w:rsidRPr="005F0A67">
        <w:rPr>
          <w:rFonts w:asciiTheme="majorBidi" w:eastAsia="Georgia" w:hAnsiTheme="majorBidi" w:cstheme="majorBidi"/>
          <w:b/>
          <w:bCs/>
          <w:color w:val="419844"/>
          <w:lang w:val="en-US" w:eastAsia="ja-JP"/>
        </w:rPr>
        <w:t xml:space="preserve"> Pillar I: costs and price competitiveness impacts materiality assessment – Information and AI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09"/>
        <w:gridCol w:w="1483"/>
        <w:gridCol w:w="1163"/>
        <w:gridCol w:w="1185"/>
        <w:gridCol w:w="5359"/>
        <w:gridCol w:w="1179"/>
      </w:tblGrid>
      <w:tr w:rsidR="005F0A67" w:rsidRPr="005F0A67" w14:paraId="3F91650C" w14:textId="77777777" w:rsidTr="00FB671B">
        <w:tc>
          <w:tcPr>
            <w:tcW w:w="1210" w:type="pct"/>
            <w:tcBorders>
              <w:top w:val="single" w:sz="1" w:space="0" w:color="AAAAAA"/>
              <w:left w:val="single" w:sz="1" w:space="0" w:color="AAAAAA"/>
              <w:right w:val="single" w:sz="1" w:space="0" w:color="AAAAAA"/>
            </w:tcBorders>
            <w:shd w:val="clear" w:color="auto" w:fill="1F4E6B"/>
            <w:tcMar>
              <w:top w:w="60" w:type="dxa"/>
              <w:left w:w="100" w:type="dxa"/>
              <w:bottom w:w="60" w:type="dxa"/>
              <w:right w:w="100" w:type="dxa"/>
            </w:tcMar>
          </w:tcPr>
          <w:p w14:paraId="140E5C0B"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color w:val="FFFFFF"/>
                <w:sz w:val="18"/>
                <w:szCs w:val="18"/>
                <w:lang w:val="en-CA" w:eastAsia="en-GB"/>
              </w:rPr>
              <w:t>Impact</w:t>
            </w:r>
          </w:p>
        </w:tc>
        <w:tc>
          <w:tcPr>
            <w:tcW w:w="542" w:type="pct"/>
            <w:tcBorders>
              <w:top w:val="single" w:sz="1" w:space="0" w:color="AAAAAA"/>
              <w:left w:val="single" w:sz="1" w:space="0" w:color="AAAAAA"/>
              <w:right w:val="single" w:sz="1" w:space="0" w:color="AAAAAA"/>
            </w:tcBorders>
            <w:shd w:val="clear" w:color="auto" w:fill="1F4E6B"/>
            <w:tcMar>
              <w:top w:w="60" w:type="dxa"/>
              <w:left w:w="100" w:type="dxa"/>
              <w:bottom w:w="60" w:type="dxa"/>
              <w:right w:w="100" w:type="dxa"/>
            </w:tcMar>
          </w:tcPr>
          <w:p w14:paraId="05EDC241"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color w:val="FFFFFF"/>
                <w:sz w:val="18"/>
                <w:szCs w:val="18"/>
                <w:lang w:val="en-CA" w:eastAsia="en-GB"/>
              </w:rPr>
              <w:t>Firm type</w:t>
            </w:r>
          </w:p>
        </w:tc>
        <w:tc>
          <w:tcPr>
            <w:tcW w:w="425" w:type="pct"/>
            <w:tcBorders>
              <w:top w:val="single" w:sz="1" w:space="0" w:color="AAAAAA"/>
              <w:left w:val="single" w:sz="1" w:space="0" w:color="AAAAAA"/>
              <w:right w:val="single" w:sz="1" w:space="0" w:color="AAAAAA"/>
            </w:tcBorders>
            <w:shd w:val="clear" w:color="auto" w:fill="1F4E6B"/>
            <w:tcMar>
              <w:top w:w="60" w:type="dxa"/>
              <w:left w:w="100" w:type="dxa"/>
              <w:bottom w:w="60" w:type="dxa"/>
              <w:right w:w="100" w:type="dxa"/>
            </w:tcMar>
          </w:tcPr>
          <w:p w14:paraId="0D41EA31"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color w:val="FFFFFF"/>
                <w:sz w:val="18"/>
                <w:szCs w:val="18"/>
                <w:lang w:val="en-CA" w:eastAsia="en-GB"/>
              </w:rPr>
              <w:t>Magnitude</w:t>
            </w:r>
          </w:p>
        </w:tc>
        <w:tc>
          <w:tcPr>
            <w:tcW w:w="433" w:type="pct"/>
            <w:tcBorders>
              <w:top w:val="single" w:sz="1" w:space="0" w:color="AAAAAA"/>
              <w:left w:val="single" w:sz="1" w:space="0" w:color="AAAAAA"/>
              <w:right w:val="single" w:sz="1" w:space="0" w:color="AAAAAA"/>
            </w:tcBorders>
            <w:shd w:val="clear" w:color="auto" w:fill="1F4E6B"/>
            <w:tcMar>
              <w:top w:w="60" w:type="dxa"/>
              <w:left w:w="100" w:type="dxa"/>
              <w:bottom w:w="60" w:type="dxa"/>
              <w:right w:w="100" w:type="dxa"/>
            </w:tcMar>
          </w:tcPr>
          <w:p w14:paraId="34C22495"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color w:val="FFFFFF"/>
                <w:sz w:val="18"/>
                <w:szCs w:val="18"/>
                <w:lang w:val="en-CA" w:eastAsia="en-GB"/>
              </w:rPr>
              <w:t>Probability</w:t>
            </w:r>
          </w:p>
        </w:tc>
        <w:tc>
          <w:tcPr>
            <w:tcW w:w="1959" w:type="pct"/>
            <w:tcBorders>
              <w:top w:val="single" w:sz="1" w:space="0" w:color="AAAAAA"/>
              <w:left w:val="single" w:sz="1" w:space="0" w:color="AAAAAA"/>
              <w:right w:val="single" w:sz="1" w:space="0" w:color="AAAAAA"/>
            </w:tcBorders>
            <w:shd w:val="clear" w:color="auto" w:fill="1F4E6B"/>
            <w:tcMar>
              <w:top w:w="60" w:type="dxa"/>
              <w:left w:w="100" w:type="dxa"/>
              <w:bottom w:w="60" w:type="dxa"/>
              <w:right w:w="100" w:type="dxa"/>
            </w:tcMar>
          </w:tcPr>
          <w:p w14:paraId="1702263F"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color w:val="FFFFFF"/>
                <w:sz w:val="18"/>
                <w:szCs w:val="18"/>
                <w:lang w:val="en-CA" w:eastAsia="en-GB"/>
              </w:rPr>
              <w:t>Key conditions</w:t>
            </w:r>
          </w:p>
        </w:tc>
        <w:tc>
          <w:tcPr>
            <w:tcW w:w="431" w:type="pct"/>
            <w:tcBorders>
              <w:top w:val="single" w:sz="1" w:space="0" w:color="AAAAAA"/>
              <w:left w:val="single" w:sz="1" w:space="0" w:color="AAAAAA"/>
              <w:right w:val="single" w:sz="1" w:space="0" w:color="AAAAAA"/>
            </w:tcBorders>
            <w:shd w:val="clear" w:color="auto" w:fill="1F4E6B"/>
            <w:tcMar>
              <w:top w:w="60" w:type="dxa"/>
              <w:left w:w="100" w:type="dxa"/>
              <w:bottom w:w="60" w:type="dxa"/>
              <w:right w:w="100" w:type="dxa"/>
            </w:tcMar>
          </w:tcPr>
          <w:p w14:paraId="4882089E"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color w:val="FFFFFF"/>
                <w:sz w:val="18"/>
                <w:szCs w:val="18"/>
                <w:lang w:val="en-CA" w:eastAsia="en-GB"/>
              </w:rPr>
              <w:t>Materiality</w:t>
            </w:r>
          </w:p>
        </w:tc>
      </w:tr>
      <w:tr w:rsidR="005F0A67" w:rsidRPr="005F0A67" w14:paraId="63A4ACC2" w14:textId="77777777" w:rsidTr="005F0A67">
        <w:tc>
          <w:tcPr>
            <w:tcW w:w="1210" w:type="pct"/>
            <w:vMerge w:val="restar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47DE5A6C"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sz w:val="18"/>
                <w:szCs w:val="18"/>
                <w:lang w:val="en-CA" w:eastAsia="en-GB"/>
              </w:rPr>
              <w:t>Administrative burden</w:t>
            </w:r>
            <w:r w:rsidRPr="005F0A67">
              <w:rPr>
                <w:rFonts w:asciiTheme="majorBidi" w:eastAsia="Times New Roman" w:hAnsiTheme="majorBidi" w:cstheme="majorBidi"/>
                <w:sz w:val="18"/>
                <w:szCs w:val="18"/>
                <w:lang w:val="en-CA" w:eastAsia="en-GB"/>
              </w:rPr>
              <w:t xml:space="preserve"> Costs of calculating, reporting, and documenting the contribution. Low under current revenue/profit design. The sector's breadth creates a distinctive challenge: the direct vs indirect use boundary (U4) is unresolved, and many firms cannot readily determine whether they fall within scope. For indirect providers in particular, demonstrating DSI use to the satisfaction of national implementing authorities may itself be burdensome.</w:t>
            </w: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383FABA4"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Direct DSI service providers (bioinformatics, cloud genomics platforms)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7DA87436"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427F4051"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26D33147"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DSI use direct and central to business operations (Garcia, Smith and Blomberg, 2018; Harrow et al., 2021); eligibility clearer but scope of DSI-generating activity vs DSI-using activity may create attribution uncertainty. Contribution base definition (U12); direct vs indirect use boundary (U4).</w:t>
            </w:r>
          </w:p>
        </w:tc>
        <w:tc>
          <w:tcPr>
            <w:tcW w:w="431" w:type="pct"/>
            <w:tcBorders>
              <w:top w:val="single" w:sz="1" w:space="0" w:color="AAAAAA"/>
              <w:left w:val="single" w:sz="1" w:space="0" w:color="AAAAAA"/>
              <w:right w:val="single" w:sz="1" w:space="0" w:color="AAAAAA"/>
            </w:tcBorders>
            <w:shd w:val="clear" w:color="auto" w:fill="D9F2D0"/>
            <w:tcMar>
              <w:top w:w="60" w:type="dxa"/>
              <w:left w:w="100" w:type="dxa"/>
              <w:bottom w:w="60" w:type="dxa"/>
              <w:right w:w="100" w:type="dxa"/>
            </w:tcMar>
          </w:tcPr>
          <w:p w14:paraId="0F164012"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r>
      <w:tr w:rsidR="005F0A67" w:rsidRPr="005F0A67" w14:paraId="5F2FD2D0" w14:textId="77777777" w:rsidTr="005F0A67">
        <w:tc>
          <w:tcPr>
            <w:tcW w:w="1210" w:type="pct"/>
            <w:vMerge/>
            <w:tcMar>
              <w:top w:w="60" w:type="dxa"/>
              <w:left w:w="100" w:type="dxa"/>
              <w:bottom w:w="60" w:type="dxa"/>
              <w:right w:w="100" w:type="dxa"/>
            </w:tcMar>
          </w:tcPr>
          <w:p w14:paraId="3F846D7C"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5669142C"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Indirect DSI service providers (curation, infrastructure brokers)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1837CBEE"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2F972B2D"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55601C49"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Eligibility itself is contested given indirect DSI use; documenting DSI reliance for contribution purposes requires demonstrating a commercial benefit from DSI that may not be straightforwardly attributable. Direct vs indirect use boundary (U4); contribution base definition (U12).</w:t>
            </w:r>
          </w:p>
        </w:tc>
        <w:tc>
          <w:tcPr>
            <w:tcW w:w="431" w:type="pct"/>
            <w:tcBorders>
              <w:top w:val="single" w:sz="1" w:space="0" w:color="AAAAAA"/>
              <w:left w:val="single" w:sz="1" w:space="0" w:color="AAAAAA"/>
              <w:right w:val="single" w:sz="1" w:space="0" w:color="AAAAAA"/>
            </w:tcBorders>
            <w:shd w:val="clear" w:color="auto" w:fill="D9F2D0"/>
            <w:tcMar>
              <w:top w:w="60" w:type="dxa"/>
              <w:left w:w="100" w:type="dxa"/>
              <w:bottom w:w="60" w:type="dxa"/>
              <w:right w:w="100" w:type="dxa"/>
            </w:tcMar>
          </w:tcPr>
          <w:p w14:paraId="632A0C89"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r>
      <w:tr w:rsidR="005F0A67" w:rsidRPr="005F0A67" w14:paraId="28B213F2" w14:textId="77777777" w:rsidTr="005F0A67">
        <w:tc>
          <w:tcPr>
            <w:tcW w:w="1210" w:type="pct"/>
            <w:vMerge w:val="restar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48B756BF"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sz w:val="18"/>
                <w:szCs w:val="18"/>
                <w:lang w:val="en-CA" w:eastAsia="en-GB"/>
              </w:rPr>
              <w:t>Substantive compliance costs</w:t>
            </w:r>
            <w:r w:rsidRPr="005F0A67">
              <w:rPr>
                <w:rFonts w:asciiTheme="majorBidi" w:eastAsia="Times New Roman" w:hAnsiTheme="majorBidi" w:cstheme="majorBidi"/>
                <w:sz w:val="18"/>
                <w:szCs w:val="18"/>
                <w:lang w:val="en-CA" w:eastAsia="en-GB"/>
              </w:rPr>
              <w:t xml:space="preserve"> The contribution payment itself as a direct cost burden. With a median margin of 6%, most eligible firms pay on profit; contributions scale directly with earnings. The sector has the highest zero-contributor share of any Indicative Enclosure I sector, reflecting the prevalence of loss-making or early-stage firms. Among contributing firms, large cloud platform providers with higher margins may pay on revenue. The proportionality concern is particularly acute: general cloud and platform providers contribute on the same financial base as computational biology specialists despite DSI being relevant only to a portion of their total operations (U12).</w:t>
            </w: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3C87A76B"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Direct DSI service providers (bioinformatics, cloud genomics platforms)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3B2E7908"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00E5F47D"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Medium</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10E104F4"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DSI central to operations; proportionality concern lower than for indirect providers. AWS, Google Cloud, and Microsoft Azure (all US-headquartered) capture 63% of global market (Richter, 2026) and are not subject to equivalent obligations, creating significant cost asymmetry. Service pricing more flexible in some segments. Rate revision; entity definition (U3).</w:t>
            </w:r>
          </w:p>
        </w:tc>
        <w:tc>
          <w:tcPr>
            <w:tcW w:w="431" w:type="pct"/>
            <w:tcBorders>
              <w:top w:val="single" w:sz="1" w:space="0" w:color="AAAAAA"/>
              <w:left w:val="single" w:sz="1" w:space="0" w:color="AAAAAA"/>
              <w:right w:val="single" w:sz="1" w:space="0" w:color="AAAAAA"/>
            </w:tcBorders>
            <w:shd w:val="clear" w:color="auto" w:fill="D9F3D0"/>
            <w:tcMar>
              <w:top w:w="60" w:type="dxa"/>
              <w:left w:w="100" w:type="dxa"/>
              <w:bottom w:w="60" w:type="dxa"/>
              <w:right w:w="100" w:type="dxa"/>
            </w:tcMar>
          </w:tcPr>
          <w:p w14:paraId="2387B832"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Low</w:t>
            </w:r>
          </w:p>
        </w:tc>
      </w:tr>
      <w:tr w:rsidR="005F0A67" w:rsidRPr="005F0A67" w14:paraId="4BC62036" w14:textId="77777777" w:rsidTr="005F0A67">
        <w:tc>
          <w:tcPr>
            <w:tcW w:w="1210" w:type="pct"/>
            <w:vMerge/>
            <w:tcMar>
              <w:top w:w="60" w:type="dxa"/>
              <w:left w:w="100" w:type="dxa"/>
              <w:bottom w:w="60" w:type="dxa"/>
              <w:right w:w="100" w:type="dxa"/>
            </w:tcMar>
          </w:tcPr>
          <w:p w14:paraId="52B3E878"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5AEA129B"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Indirect DSI service providers (curation, infrastructure brokers)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60D89FB8"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Moderate</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717446C2"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Medium</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14CB766B"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Proportionality concern most acute: general cloud and platform providers with DSI relevant to only a portion of operations contribute on the same full financial base as direct providers (U12); indirect use boundary uncertainty may cause some firms to contribute unnecessarily or to face compliance uncertainty. Rate revision; direct vs indirect use boundary (U4); entity definition (U3).</w:t>
            </w:r>
          </w:p>
        </w:tc>
        <w:tc>
          <w:tcPr>
            <w:tcW w:w="431" w:type="pct"/>
            <w:tcBorders>
              <w:top w:val="single" w:sz="1" w:space="0" w:color="AAAAAA"/>
              <w:left w:val="single" w:sz="1" w:space="0" w:color="AAAAAA"/>
              <w:right w:val="single" w:sz="1" w:space="0" w:color="AAAAAA"/>
            </w:tcBorders>
            <w:shd w:val="clear" w:color="auto" w:fill="FEF9CC"/>
            <w:tcMar>
              <w:top w:w="60" w:type="dxa"/>
              <w:left w:w="100" w:type="dxa"/>
              <w:bottom w:w="60" w:type="dxa"/>
              <w:right w:w="100" w:type="dxa"/>
            </w:tcMar>
          </w:tcPr>
          <w:p w14:paraId="5C8A96C0"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Moderate</w:t>
            </w:r>
          </w:p>
        </w:tc>
      </w:tr>
      <w:tr w:rsidR="005F0A67" w:rsidRPr="005F0A67" w14:paraId="75695065" w14:textId="77777777" w:rsidTr="005F0A67">
        <w:tc>
          <w:tcPr>
            <w:tcW w:w="1210" w:type="pct"/>
            <w:vMerge w:val="restar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0ACE9701"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sz w:val="18"/>
                <w:szCs w:val="18"/>
                <w:lang w:val="en-CA" w:eastAsia="en-GB"/>
              </w:rPr>
              <w:t>Cost of capital</w:t>
            </w:r>
            <w:r w:rsidRPr="005F0A67">
              <w:rPr>
                <w:rFonts w:asciiTheme="majorBidi" w:eastAsia="Times New Roman" w:hAnsiTheme="majorBidi" w:cstheme="majorBidi"/>
                <w:sz w:val="18"/>
                <w:szCs w:val="18"/>
                <w:lang w:val="en-CA" w:eastAsia="en-GB"/>
              </w:rPr>
              <w:t xml:space="preserve"> Changes in cost or availability of financing from margin compression or reduced free cash flow. Large well-capitalised firms are least responsive to profit-burden changes of higher magnitude. Voluntary opt-out constrains severe outcomes. Loss-making early-stage firms are outside the eligible population under the profit floor.</w:t>
            </w: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3283BD9B"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Direct DSI service providers (bioinformatics, cloud genomics platforms)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030DBEA6"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4157A9E4"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5B1D6386"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Large cloud platform providers with higher margins least exposed; smaller bioinformatics and genomics platform firms more constrained. Rate revision.</w:t>
            </w:r>
          </w:p>
        </w:tc>
        <w:tc>
          <w:tcPr>
            <w:tcW w:w="431" w:type="pct"/>
            <w:tcBorders>
              <w:top w:val="single" w:sz="1" w:space="0" w:color="AAAAAA"/>
              <w:left w:val="single" w:sz="1" w:space="0" w:color="AAAAAA"/>
              <w:right w:val="single" w:sz="1" w:space="0" w:color="AAAAAA"/>
            </w:tcBorders>
            <w:shd w:val="clear" w:color="auto" w:fill="D9F2D0"/>
            <w:tcMar>
              <w:top w:w="60" w:type="dxa"/>
              <w:left w:w="100" w:type="dxa"/>
              <w:bottom w:w="60" w:type="dxa"/>
              <w:right w:w="100" w:type="dxa"/>
            </w:tcMar>
          </w:tcPr>
          <w:p w14:paraId="117FF867"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r>
      <w:tr w:rsidR="005F0A67" w:rsidRPr="005F0A67" w14:paraId="033D8CC6" w14:textId="77777777" w:rsidTr="005F0A67">
        <w:tc>
          <w:tcPr>
            <w:tcW w:w="1210" w:type="pct"/>
            <w:vMerge/>
            <w:tcMar>
              <w:top w:w="60" w:type="dxa"/>
              <w:left w:w="100" w:type="dxa"/>
              <w:bottom w:w="60" w:type="dxa"/>
              <w:right w:w="100" w:type="dxa"/>
            </w:tcMar>
          </w:tcPr>
          <w:p w14:paraId="643E2FBF"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40BA925F"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Indirect DSI service providers (curation, infrastructure brokers)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508E1423"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75A76372"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319EF95C"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Structurally lower DSI intensity limits contribution exposure; voluntary opt-out constrains severe outcomes. Rate revision.</w:t>
            </w:r>
          </w:p>
        </w:tc>
        <w:tc>
          <w:tcPr>
            <w:tcW w:w="431" w:type="pct"/>
            <w:tcBorders>
              <w:top w:val="single" w:sz="1" w:space="0" w:color="AAAAAA"/>
              <w:left w:val="single" w:sz="1" w:space="0" w:color="AAAAAA"/>
              <w:right w:val="single" w:sz="1" w:space="0" w:color="AAAAAA"/>
            </w:tcBorders>
            <w:shd w:val="clear" w:color="auto" w:fill="D9F2D0"/>
            <w:tcMar>
              <w:top w:w="60" w:type="dxa"/>
              <w:left w:w="100" w:type="dxa"/>
              <w:bottom w:w="60" w:type="dxa"/>
              <w:right w:w="100" w:type="dxa"/>
            </w:tcMar>
          </w:tcPr>
          <w:p w14:paraId="3AD11C75"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r>
      <w:tr w:rsidR="005F0A67" w:rsidRPr="005F0A67" w14:paraId="3223F0E4" w14:textId="77777777" w:rsidTr="005F0A67">
        <w:tc>
          <w:tcPr>
            <w:tcW w:w="1210" w:type="pct"/>
            <w:vMerge w:val="restar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6B4E3A5B"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sz w:val="18"/>
                <w:szCs w:val="18"/>
                <w:lang w:val="en-CA" w:eastAsia="en-GB"/>
              </w:rPr>
              <w:lastRenderedPageBreak/>
              <w:t>Cost of intermediate consumption</w:t>
            </w:r>
            <w:r w:rsidRPr="005F0A67">
              <w:rPr>
                <w:rFonts w:asciiTheme="majorBidi" w:eastAsia="Times New Roman" w:hAnsiTheme="majorBidi" w:cstheme="majorBidi"/>
                <w:sz w:val="18"/>
                <w:szCs w:val="18"/>
                <w:lang w:val="en-CA" w:eastAsia="en-GB"/>
              </w:rPr>
              <w:t xml:space="preserve"> Indirect cost increase if laboratory equipment firms pass Cali Fund contributions forward via input pricing. Direct DSI service providers depend on sequencing infrastructure and data storage hardware; indirect providers depend less on DSI-specific laboratory inputs.</w:t>
            </w: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33219844"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Direct DSI service providers (bioinformatics, cloud genomics platforms)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2ADB4624"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391E99F6"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Medium</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660545C3"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Bioinformatics and cloud genomics platform providers depend on sequencing infrastructure and compute hardware from laboratory equipment firms; direct vs indirect use boundary (U4).</w:t>
            </w:r>
          </w:p>
        </w:tc>
        <w:tc>
          <w:tcPr>
            <w:tcW w:w="431" w:type="pct"/>
            <w:tcBorders>
              <w:top w:val="single" w:sz="1" w:space="0" w:color="AAAAAA"/>
              <w:left w:val="single" w:sz="1" w:space="0" w:color="AAAAAA"/>
              <w:right w:val="single" w:sz="1" w:space="0" w:color="AAAAAA"/>
            </w:tcBorders>
            <w:shd w:val="clear" w:color="auto" w:fill="D9F2D0"/>
            <w:tcMar>
              <w:top w:w="60" w:type="dxa"/>
              <w:left w:w="100" w:type="dxa"/>
              <w:bottom w:w="60" w:type="dxa"/>
              <w:right w:w="100" w:type="dxa"/>
            </w:tcMar>
          </w:tcPr>
          <w:p w14:paraId="73522A0C"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r>
      <w:tr w:rsidR="005F0A67" w:rsidRPr="005F0A67" w14:paraId="51856207" w14:textId="77777777" w:rsidTr="005F0A67">
        <w:tc>
          <w:tcPr>
            <w:tcW w:w="1210" w:type="pct"/>
            <w:vMerge/>
            <w:tcMar>
              <w:top w:w="60" w:type="dxa"/>
              <w:left w:w="100" w:type="dxa"/>
              <w:bottom w:w="60" w:type="dxa"/>
              <w:right w:w="100" w:type="dxa"/>
            </w:tcMar>
          </w:tcPr>
          <w:p w14:paraId="27DD2F46"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6B6B5F1A"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Indirect DSI service providers (curation, infrastructure brokers)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112C5E03"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6E1F4C6A"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41C3689B"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Lower dependence on DSI-specific laboratory inputs; direct vs indirect use boundary (U4).</w:t>
            </w:r>
          </w:p>
        </w:tc>
        <w:tc>
          <w:tcPr>
            <w:tcW w:w="431" w:type="pct"/>
            <w:tcBorders>
              <w:top w:val="single" w:sz="1" w:space="0" w:color="AAAAAA"/>
              <w:left w:val="single" w:sz="1" w:space="0" w:color="AAAAAA"/>
              <w:right w:val="single" w:sz="1" w:space="0" w:color="AAAAAA"/>
            </w:tcBorders>
            <w:shd w:val="clear" w:color="auto" w:fill="D9F2D0"/>
            <w:tcMar>
              <w:top w:w="60" w:type="dxa"/>
              <w:left w:w="100" w:type="dxa"/>
              <w:bottom w:w="60" w:type="dxa"/>
              <w:right w:w="100" w:type="dxa"/>
            </w:tcMar>
          </w:tcPr>
          <w:p w14:paraId="0090E3F2"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r>
      <w:tr w:rsidR="005F0A67" w:rsidRPr="005F0A67" w14:paraId="50F69FFB" w14:textId="77777777" w:rsidTr="005F0A67">
        <w:tc>
          <w:tcPr>
            <w:tcW w:w="1210" w:type="pct"/>
            <w:vMerge w:val="restar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050E7958"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sz w:val="18"/>
                <w:szCs w:val="18"/>
                <w:lang w:val="en-CA" w:eastAsia="en-GB"/>
              </w:rPr>
              <w:t>Pass-through to consumers</w:t>
            </w:r>
            <w:r w:rsidRPr="005F0A67">
              <w:rPr>
                <w:rFonts w:asciiTheme="majorBidi" w:eastAsia="Times New Roman" w:hAnsiTheme="majorBidi" w:cstheme="majorBidi"/>
                <w:sz w:val="18"/>
                <w:szCs w:val="18"/>
                <w:lang w:val="en-CA" w:eastAsia="en-GB"/>
              </w:rPr>
              <w:t xml:space="preserve"> Extent to which contribution cost is transferred to customers via output pricing. Service pricing is more flexible in some segments; competitive cloud markets limit full pass-through for platform providers. </w:t>
            </w:r>
            <w:proofErr w:type="spellStart"/>
            <w:r w:rsidRPr="005F0A67">
              <w:rPr>
                <w:rFonts w:asciiTheme="majorBidi" w:eastAsia="Times New Roman" w:hAnsiTheme="majorBidi" w:cstheme="majorBidi"/>
                <w:sz w:val="18"/>
                <w:szCs w:val="18"/>
                <w:lang w:val="en-CA" w:eastAsia="en-GB"/>
              </w:rPr>
              <w:t>Lassmann</w:t>
            </w:r>
            <w:proofErr w:type="spellEnd"/>
            <w:r w:rsidRPr="005F0A67">
              <w:rPr>
                <w:rFonts w:asciiTheme="majorBidi" w:eastAsia="Times New Roman" w:hAnsiTheme="majorBidi" w:cstheme="majorBidi"/>
                <w:sz w:val="18"/>
                <w:szCs w:val="18"/>
                <w:lang w:val="en-CA" w:eastAsia="en-GB"/>
              </w:rPr>
              <w:t xml:space="preserve"> et al. (2020) find that tax increases in online advertising markets are mostly passed through to prices but without significant reductions in output or employment, providing suggestive evidence of pass-through capacity in digital services markets.</w:t>
            </w: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1751D8E6"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Direct DSI service providers (bioinformatics, cloud genomics platforms)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39FA9E50"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5E9823B9"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Medium</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0D9F670C"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Service pricing more flexible than product markets; however, highly competitive cloud infrastructure markets dominated by US-headquartered non-Party providers constrain pass-through for commodity genomics compute services. National implementation divergence (U8).</w:t>
            </w:r>
          </w:p>
        </w:tc>
        <w:tc>
          <w:tcPr>
            <w:tcW w:w="431" w:type="pct"/>
            <w:tcBorders>
              <w:top w:val="single" w:sz="1" w:space="0" w:color="AAAAAA"/>
              <w:left w:val="single" w:sz="1" w:space="0" w:color="AAAAAA"/>
              <w:right w:val="single" w:sz="1" w:space="0" w:color="AAAAAA"/>
            </w:tcBorders>
            <w:shd w:val="clear" w:color="auto" w:fill="D9F3D0"/>
            <w:tcMar>
              <w:top w:w="60" w:type="dxa"/>
              <w:left w:w="100" w:type="dxa"/>
              <w:bottom w:w="60" w:type="dxa"/>
              <w:right w:w="100" w:type="dxa"/>
            </w:tcMar>
          </w:tcPr>
          <w:p w14:paraId="3740EDFC"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r>
      <w:tr w:rsidR="005F0A67" w:rsidRPr="005F0A67" w14:paraId="01A6B886" w14:textId="77777777" w:rsidTr="005F0A67">
        <w:tc>
          <w:tcPr>
            <w:tcW w:w="1210" w:type="pct"/>
            <w:vMerge/>
            <w:tcMar>
              <w:top w:w="60" w:type="dxa"/>
              <w:left w:w="100" w:type="dxa"/>
              <w:bottom w:w="60" w:type="dxa"/>
              <w:right w:w="100" w:type="dxa"/>
            </w:tcMar>
          </w:tcPr>
          <w:p w14:paraId="20644C4F"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42D02A4C"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Indirect DSI service providers (curation, infrastructure brokers)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46F376E8"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05257F32"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0A8D5DA3"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Curation and infrastructure brokerage services face competitive markets; limited pass-through capacity where US-headquartered platforms provide equivalent services. National implementation divergence (U8).</w:t>
            </w:r>
          </w:p>
        </w:tc>
        <w:tc>
          <w:tcPr>
            <w:tcW w:w="431" w:type="pct"/>
            <w:tcBorders>
              <w:top w:val="single" w:sz="1" w:space="0" w:color="AAAAAA"/>
              <w:left w:val="single" w:sz="1" w:space="0" w:color="AAAAAA"/>
              <w:right w:val="single" w:sz="1" w:space="0" w:color="AAAAAA"/>
            </w:tcBorders>
            <w:shd w:val="clear" w:color="auto" w:fill="D9F2D0"/>
            <w:tcMar>
              <w:top w:w="60" w:type="dxa"/>
              <w:left w:w="100" w:type="dxa"/>
              <w:bottom w:w="60" w:type="dxa"/>
              <w:right w:w="100" w:type="dxa"/>
            </w:tcMar>
          </w:tcPr>
          <w:p w14:paraId="6C4DD9BA"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r>
    </w:tbl>
    <w:p w14:paraId="74019B35"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p>
    <w:p w14:paraId="7CAC38BD"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p>
    <w:p w14:paraId="1036D73C" w14:textId="77777777" w:rsidR="00B009ED" w:rsidRDefault="00B009ED">
      <w:pPr>
        <w:tabs>
          <w:tab w:val="clear" w:pos="567"/>
          <w:tab w:val="clear" w:pos="1134"/>
          <w:tab w:val="clear" w:pos="1701"/>
          <w:tab w:val="clear" w:pos="2268"/>
        </w:tabs>
        <w:jc w:val="left"/>
        <w:rPr>
          <w:rFonts w:asciiTheme="majorBidi" w:eastAsia="Georgia" w:hAnsiTheme="majorBidi" w:cstheme="majorBidi"/>
          <w:b/>
          <w:bCs/>
          <w:color w:val="419844"/>
          <w:lang w:val="en-US" w:eastAsia="ja-JP"/>
        </w:rPr>
      </w:pPr>
      <w:bookmarkStart w:id="239" w:name="_Ref231772355"/>
      <w:r>
        <w:rPr>
          <w:rFonts w:asciiTheme="majorBidi" w:eastAsia="Georgia" w:hAnsiTheme="majorBidi" w:cstheme="majorBidi"/>
          <w:b/>
          <w:bCs/>
          <w:color w:val="419844"/>
          <w:lang w:val="en-US" w:eastAsia="ja-JP"/>
        </w:rPr>
        <w:br w:type="page"/>
      </w:r>
    </w:p>
    <w:p w14:paraId="76099308" w14:textId="2D07683E" w:rsidR="005F0A67" w:rsidRPr="005F0A67" w:rsidRDefault="005F0A67" w:rsidP="005F0A67">
      <w:pPr>
        <w:tabs>
          <w:tab w:val="clear" w:pos="567"/>
          <w:tab w:val="clear" w:pos="1134"/>
          <w:tab w:val="clear" w:pos="1701"/>
          <w:tab w:val="clear" w:pos="2268"/>
        </w:tabs>
        <w:spacing w:after="200" w:line="312" w:lineRule="auto"/>
        <w:contextualSpacing/>
        <w:rPr>
          <w:rFonts w:asciiTheme="majorBidi" w:eastAsia="Georgia" w:hAnsiTheme="majorBidi" w:cstheme="majorBidi"/>
          <w:b/>
          <w:bCs/>
          <w:color w:val="419844"/>
          <w:lang w:eastAsia="en-GB"/>
        </w:rPr>
      </w:pPr>
      <w:r w:rsidRPr="005F0A67">
        <w:rPr>
          <w:rFonts w:asciiTheme="majorBidi" w:eastAsia="Georgia" w:hAnsiTheme="majorBidi" w:cstheme="majorBidi"/>
          <w:b/>
          <w:bCs/>
          <w:color w:val="419844"/>
          <w:lang w:val="en-US" w:eastAsia="ja-JP"/>
        </w:rPr>
        <w:lastRenderedPageBreak/>
        <w:t xml:space="preserve">Table </w:t>
      </w:r>
      <w:r w:rsidRPr="005F0A67">
        <w:rPr>
          <w:rFonts w:asciiTheme="majorBidi" w:eastAsia="Georgia" w:hAnsiTheme="majorBidi" w:cstheme="majorBidi"/>
          <w:b/>
          <w:bCs/>
          <w:color w:val="419844"/>
          <w:lang w:eastAsia="en-GB"/>
        </w:rPr>
        <w:fldChar w:fldCharType="begin"/>
      </w:r>
      <w:r w:rsidRPr="005F0A67">
        <w:rPr>
          <w:rFonts w:asciiTheme="majorBidi" w:eastAsia="Georgia" w:hAnsiTheme="majorBidi" w:cstheme="majorBidi"/>
          <w:b/>
          <w:bCs/>
          <w:color w:val="419844"/>
          <w:lang w:eastAsia="en-GB"/>
        </w:rPr>
        <w:instrText xml:space="preserve"> SEQ Table \* ARABIC </w:instrText>
      </w:r>
      <w:r w:rsidRPr="005F0A67">
        <w:rPr>
          <w:rFonts w:asciiTheme="majorBidi" w:eastAsia="Georgia" w:hAnsiTheme="majorBidi" w:cstheme="majorBidi"/>
          <w:b/>
          <w:bCs/>
          <w:color w:val="419844"/>
          <w:lang w:eastAsia="en-GB"/>
        </w:rPr>
        <w:fldChar w:fldCharType="separate"/>
      </w:r>
      <w:r w:rsidRPr="005F0A67">
        <w:rPr>
          <w:rFonts w:asciiTheme="majorBidi" w:eastAsia="Georgia" w:hAnsiTheme="majorBidi" w:cstheme="majorBidi"/>
          <w:b/>
          <w:bCs/>
          <w:noProof/>
          <w:color w:val="419844"/>
          <w:lang w:eastAsia="en-GB"/>
        </w:rPr>
        <w:t>36</w:t>
      </w:r>
      <w:r w:rsidRPr="005F0A67">
        <w:rPr>
          <w:rFonts w:asciiTheme="majorBidi" w:eastAsia="Georgia" w:hAnsiTheme="majorBidi" w:cstheme="majorBidi"/>
          <w:b/>
          <w:bCs/>
          <w:color w:val="419844"/>
          <w:lang w:eastAsia="en-GB"/>
        </w:rPr>
        <w:fldChar w:fldCharType="end"/>
      </w:r>
      <w:bookmarkEnd w:id="239"/>
      <w:r w:rsidRPr="005F0A67">
        <w:rPr>
          <w:rFonts w:asciiTheme="majorBidi" w:eastAsia="Georgia" w:hAnsiTheme="majorBidi" w:cstheme="majorBidi"/>
          <w:b/>
          <w:bCs/>
          <w:color w:val="419844"/>
          <w:lang w:val="en-US" w:eastAsia="ja-JP"/>
        </w:rPr>
        <w:t xml:space="preserve"> Pillar II: capacity to innovate impacts materiality assessment – Information and AI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09"/>
        <w:gridCol w:w="1483"/>
        <w:gridCol w:w="1163"/>
        <w:gridCol w:w="1185"/>
        <w:gridCol w:w="5359"/>
        <w:gridCol w:w="1179"/>
      </w:tblGrid>
      <w:tr w:rsidR="005F0A67" w:rsidRPr="005F0A67" w14:paraId="5DF79A0C" w14:textId="77777777" w:rsidTr="00FB671B">
        <w:tc>
          <w:tcPr>
            <w:tcW w:w="1210" w:type="pct"/>
            <w:tcBorders>
              <w:top w:val="single" w:sz="1" w:space="0" w:color="AAAAAA"/>
              <w:left w:val="single" w:sz="1" w:space="0" w:color="AAAAAA"/>
              <w:right w:val="single" w:sz="1" w:space="0" w:color="AAAAAA"/>
            </w:tcBorders>
            <w:shd w:val="clear" w:color="auto" w:fill="1F4E6B"/>
            <w:tcMar>
              <w:top w:w="60" w:type="dxa"/>
              <w:left w:w="100" w:type="dxa"/>
              <w:bottom w:w="60" w:type="dxa"/>
              <w:right w:w="100" w:type="dxa"/>
            </w:tcMar>
          </w:tcPr>
          <w:p w14:paraId="685A9B28"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color w:val="FFFFFF"/>
                <w:sz w:val="18"/>
                <w:szCs w:val="18"/>
                <w:lang w:val="en-CA" w:eastAsia="en-GB"/>
              </w:rPr>
              <w:t>Impact</w:t>
            </w:r>
          </w:p>
        </w:tc>
        <w:tc>
          <w:tcPr>
            <w:tcW w:w="542" w:type="pct"/>
            <w:tcBorders>
              <w:top w:val="single" w:sz="1" w:space="0" w:color="AAAAAA"/>
              <w:left w:val="single" w:sz="1" w:space="0" w:color="AAAAAA"/>
              <w:right w:val="single" w:sz="1" w:space="0" w:color="AAAAAA"/>
            </w:tcBorders>
            <w:shd w:val="clear" w:color="auto" w:fill="1F4E6B"/>
            <w:tcMar>
              <w:top w:w="60" w:type="dxa"/>
              <w:left w:w="100" w:type="dxa"/>
              <w:bottom w:w="60" w:type="dxa"/>
              <w:right w:w="100" w:type="dxa"/>
            </w:tcMar>
          </w:tcPr>
          <w:p w14:paraId="76FF341B"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color w:val="FFFFFF"/>
                <w:sz w:val="18"/>
                <w:szCs w:val="18"/>
                <w:lang w:val="en-CA" w:eastAsia="en-GB"/>
              </w:rPr>
              <w:t>Firm type</w:t>
            </w:r>
          </w:p>
        </w:tc>
        <w:tc>
          <w:tcPr>
            <w:tcW w:w="425" w:type="pct"/>
            <w:tcBorders>
              <w:top w:val="single" w:sz="1" w:space="0" w:color="AAAAAA"/>
              <w:left w:val="single" w:sz="1" w:space="0" w:color="AAAAAA"/>
              <w:right w:val="single" w:sz="1" w:space="0" w:color="AAAAAA"/>
            </w:tcBorders>
            <w:shd w:val="clear" w:color="auto" w:fill="1F4E6B"/>
            <w:tcMar>
              <w:top w:w="60" w:type="dxa"/>
              <w:left w:w="100" w:type="dxa"/>
              <w:bottom w:w="60" w:type="dxa"/>
              <w:right w:w="100" w:type="dxa"/>
            </w:tcMar>
          </w:tcPr>
          <w:p w14:paraId="377EE333"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color w:val="FFFFFF"/>
                <w:sz w:val="18"/>
                <w:szCs w:val="18"/>
                <w:lang w:val="en-CA" w:eastAsia="en-GB"/>
              </w:rPr>
              <w:t>Magnitude</w:t>
            </w:r>
          </w:p>
        </w:tc>
        <w:tc>
          <w:tcPr>
            <w:tcW w:w="433" w:type="pct"/>
            <w:tcBorders>
              <w:top w:val="single" w:sz="1" w:space="0" w:color="AAAAAA"/>
              <w:left w:val="single" w:sz="1" w:space="0" w:color="AAAAAA"/>
              <w:right w:val="single" w:sz="1" w:space="0" w:color="AAAAAA"/>
            </w:tcBorders>
            <w:shd w:val="clear" w:color="auto" w:fill="1F4E6B"/>
            <w:tcMar>
              <w:top w:w="60" w:type="dxa"/>
              <w:left w:w="100" w:type="dxa"/>
              <w:bottom w:w="60" w:type="dxa"/>
              <w:right w:w="100" w:type="dxa"/>
            </w:tcMar>
          </w:tcPr>
          <w:p w14:paraId="19DEEAE1"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color w:val="FFFFFF"/>
                <w:sz w:val="18"/>
                <w:szCs w:val="18"/>
                <w:lang w:val="en-CA" w:eastAsia="en-GB"/>
              </w:rPr>
              <w:t>Probability</w:t>
            </w:r>
          </w:p>
        </w:tc>
        <w:tc>
          <w:tcPr>
            <w:tcW w:w="1959" w:type="pct"/>
            <w:tcBorders>
              <w:top w:val="single" w:sz="1" w:space="0" w:color="AAAAAA"/>
              <w:left w:val="single" w:sz="1" w:space="0" w:color="AAAAAA"/>
              <w:right w:val="single" w:sz="1" w:space="0" w:color="AAAAAA"/>
            </w:tcBorders>
            <w:shd w:val="clear" w:color="auto" w:fill="1F4E6B"/>
            <w:tcMar>
              <w:top w:w="60" w:type="dxa"/>
              <w:left w:w="100" w:type="dxa"/>
              <w:bottom w:w="60" w:type="dxa"/>
              <w:right w:w="100" w:type="dxa"/>
            </w:tcMar>
          </w:tcPr>
          <w:p w14:paraId="17E57AEE"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color w:val="FFFFFF"/>
                <w:sz w:val="18"/>
                <w:szCs w:val="18"/>
                <w:lang w:val="en-CA" w:eastAsia="en-GB"/>
              </w:rPr>
              <w:t>Key conditions</w:t>
            </w:r>
          </w:p>
        </w:tc>
        <w:tc>
          <w:tcPr>
            <w:tcW w:w="431" w:type="pct"/>
            <w:tcBorders>
              <w:top w:val="single" w:sz="1" w:space="0" w:color="AAAAAA"/>
              <w:left w:val="single" w:sz="1" w:space="0" w:color="AAAAAA"/>
              <w:right w:val="single" w:sz="1" w:space="0" w:color="AAAAAA"/>
            </w:tcBorders>
            <w:shd w:val="clear" w:color="auto" w:fill="1F4E6B"/>
            <w:tcMar>
              <w:top w:w="60" w:type="dxa"/>
              <w:left w:w="100" w:type="dxa"/>
              <w:bottom w:w="60" w:type="dxa"/>
              <w:right w:w="100" w:type="dxa"/>
            </w:tcMar>
          </w:tcPr>
          <w:p w14:paraId="59A9B0FC"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color w:val="FFFFFF"/>
                <w:sz w:val="18"/>
                <w:szCs w:val="18"/>
                <w:lang w:val="en-CA" w:eastAsia="en-GB"/>
              </w:rPr>
              <w:t>Materiality</w:t>
            </w:r>
          </w:p>
        </w:tc>
      </w:tr>
      <w:tr w:rsidR="005F0A67" w:rsidRPr="005F0A67" w14:paraId="778ADDEB" w14:textId="77777777" w:rsidTr="005F0A67">
        <w:tc>
          <w:tcPr>
            <w:tcW w:w="1210" w:type="pct"/>
            <w:vMerge w:val="restar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7EDDAAC7"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sz w:val="18"/>
                <w:szCs w:val="18"/>
                <w:lang w:val="en-CA" w:eastAsia="en-GB"/>
              </w:rPr>
              <w:t>R&amp;D investment capacity</w:t>
            </w:r>
            <w:r w:rsidRPr="005F0A67">
              <w:rPr>
                <w:rFonts w:asciiTheme="majorBidi" w:eastAsia="Times New Roman" w:hAnsiTheme="majorBidi" w:cstheme="majorBidi"/>
                <w:sz w:val="18"/>
                <w:szCs w:val="18"/>
                <w:lang w:val="en-CA" w:eastAsia="en-GB"/>
              </w:rPr>
              <w:t xml:space="preserve"> Reduction in capital available for R&amp;D through margin compression or reduced free cash flow. Information and AI platforms iterate rapidly with shorter development cycles than pharmaceuticals or biotechnology. A comparable 1pp profit tax burden reduces R&amp;D by ~6-7% over eight years, with effects concentrated in financially constrained firms (Lichter et al., 2025).</w:t>
            </w: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18ED8E21"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Direct DSI service providers (bioinformatics, cloud genomics platforms)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6C7248F3"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77657E9F"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0BB78CC8"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Rapid iteration cycles; R&amp;D investment in platform development; financially constrained smaller firms more at risk but often below eligibility threshold under two-of-three rule. Rate revision.</w:t>
            </w:r>
          </w:p>
        </w:tc>
        <w:tc>
          <w:tcPr>
            <w:tcW w:w="431" w:type="pct"/>
            <w:tcBorders>
              <w:top w:val="single" w:sz="1" w:space="0" w:color="AAAAAA"/>
              <w:left w:val="single" w:sz="1" w:space="0" w:color="AAAAAA"/>
              <w:right w:val="single" w:sz="1" w:space="0" w:color="AAAAAA"/>
            </w:tcBorders>
            <w:shd w:val="clear" w:color="auto" w:fill="D9F2D0"/>
            <w:tcMar>
              <w:top w:w="60" w:type="dxa"/>
              <w:left w:w="100" w:type="dxa"/>
              <w:bottom w:w="60" w:type="dxa"/>
              <w:right w:w="100" w:type="dxa"/>
            </w:tcMar>
          </w:tcPr>
          <w:p w14:paraId="1BA0813E"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r>
      <w:tr w:rsidR="005F0A67" w:rsidRPr="005F0A67" w14:paraId="39B2BF50" w14:textId="77777777" w:rsidTr="005F0A67">
        <w:tc>
          <w:tcPr>
            <w:tcW w:w="1210" w:type="pct"/>
            <w:vMerge/>
            <w:tcMar>
              <w:top w:w="60" w:type="dxa"/>
              <w:left w:w="100" w:type="dxa"/>
              <w:bottom w:w="60" w:type="dxa"/>
              <w:right w:w="100" w:type="dxa"/>
            </w:tcMar>
          </w:tcPr>
          <w:p w14:paraId="25707BA1"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6743A1AF"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Indirect DSI service providers (curation, infrastructure brokers)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289E9A61"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679552FA"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669D358E"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Limited R&amp;D intensity relative to direct providers; short development cycles. Rate revision.</w:t>
            </w:r>
          </w:p>
        </w:tc>
        <w:tc>
          <w:tcPr>
            <w:tcW w:w="431" w:type="pct"/>
            <w:tcBorders>
              <w:top w:val="single" w:sz="1" w:space="0" w:color="AAAAAA"/>
              <w:left w:val="single" w:sz="1" w:space="0" w:color="AAAAAA"/>
              <w:right w:val="single" w:sz="1" w:space="0" w:color="AAAAAA"/>
            </w:tcBorders>
            <w:shd w:val="clear" w:color="auto" w:fill="D9F2D0"/>
            <w:tcMar>
              <w:top w:w="60" w:type="dxa"/>
              <w:left w:w="100" w:type="dxa"/>
              <w:bottom w:w="60" w:type="dxa"/>
              <w:right w:w="100" w:type="dxa"/>
            </w:tcMar>
          </w:tcPr>
          <w:p w14:paraId="381C88A4"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r>
      <w:tr w:rsidR="005F0A67" w:rsidRPr="005F0A67" w14:paraId="1EEA4FBE" w14:textId="77777777" w:rsidTr="005F0A67">
        <w:tc>
          <w:tcPr>
            <w:tcW w:w="1210" w:type="pct"/>
            <w:vMerge w:val="restar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196241B2"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sz w:val="18"/>
                <w:szCs w:val="18"/>
                <w:lang w:val="en-CA" w:eastAsia="en-GB"/>
              </w:rPr>
              <w:t>Product innovation capacity</w:t>
            </w:r>
            <w:r w:rsidRPr="005F0A67">
              <w:rPr>
                <w:rFonts w:asciiTheme="majorBidi" w:eastAsia="Times New Roman" w:hAnsiTheme="majorBidi" w:cstheme="majorBidi"/>
                <w:sz w:val="18"/>
                <w:szCs w:val="18"/>
                <w:lang w:val="en-CA" w:eastAsia="en-GB"/>
              </w:rPr>
              <w:t xml:space="preserve"> Reduction in capital for development and commercialisation of new services and capabilities. Rapid iteration cycles characterise this sector; innovation effects most pronounced for financially constrained firms (Atanassov and Liu, 2020; Lichter et al., 2025).</w:t>
            </w: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697F1723"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Direct DSI service providers (bioinformatics, cloud genomics platforms)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4BA792E0"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76BA6A32"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688903A9"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Rapid platform iteration cycles; contribution burden too small to materially constrain service development at indicative rates. Rate revision.</w:t>
            </w:r>
          </w:p>
        </w:tc>
        <w:tc>
          <w:tcPr>
            <w:tcW w:w="431" w:type="pct"/>
            <w:tcBorders>
              <w:top w:val="single" w:sz="1" w:space="0" w:color="AAAAAA"/>
              <w:left w:val="single" w:sz="1" w:space="0" w:color="AAAAAA"/>
              <w:right w:val="single" w:sz="1" w:space="0" w:color="AAAAAA"/>
            </w:tcBorders>
            <w:shd w:val="clear" w:color="auto" w:fill="D9F2D0"/>
            <w:tcMar>
              <w:top w:w="60" w:type="dxa"/>
              <w:left w:w="100" w:type="dxa"/>
              <w:bottom w:w="60" w:type="dxa"/>
              <w:right w:w="100" w:type="dxa"/>
            </w:tcMar>
          </w:tcPr>
          <w:p w14:paraId="6B5E6234"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r>
      <w:tr w:rsidR="005F0A67" w:rsidRPr="005F0A67" w14:paraId="0212DD9A" w14:textId="77777777" w:rsidTr="005F0A67">
        <w:tc>
          <w:tcPr>
            <w:tcW w:w="1210" w:type="pct"/>
            <w:vMerge/>
            <w:tcMar>
              <w:top w:w="60" w:type="dxa"/>
              <w:left w:w="100" w:type="dxa"/>
              <w:bottom w:w="60" w:type="dxa"/>
              <w:right w:w="100" w:type="dxa"/>
            </w:tcMar>
          </w:tcPr>
          <w:p w14:paraId="1E01E067"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490A819F"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Indirect DSI service providers (curation, infrastructure brokers)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331B7F10"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40E65B89"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60525EA0"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Short development cycles; limited capital intensity of service innovation. Rate revision.</w:t>
            </w:r>
          </w:p>
        </w:tc>
        <w:tc>
          <w:tcPr>
            <w:tcW w:w="431" w:type="pct"/>
            <w:tcBorders>
              <w:top w:val="single" w:sz="1" w:space="0" w:color="AAAAAA"/>
              <w:left w:val="single" w:sz="1" w:space="0" w:color="AAAAAA"/>
              <w:right w:val="single" w:sz="1" w:space="0" w:color="AAAAAA"/>
            </w:tcBorders>
            <w:shd w:val="clear" w:color="auto" w:fill="D9F2D0"/>
            <w:tcMar>
              <w:top w:w="60" w:type="dxa"/>
              <w:left w:w="100" w:type="dxa"/>
              <w:bottom w:w="60" w:type="dxa"/>
              <w:right w:w="100" w:type="dxa"/>
            </w:tcMar>
          </w:tcPr>
          <w:p w14:paraId="53050162"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r>
      <w:tr w:rsidR="005F0A67" w:rsidRPr="005F0A67" w14:paraId="05C2936C" w14:textId="77777777" w:rsidTr="005F0A67">
        <w:tc>
          <w:tcPr>
            <w:tcW w:w="1210" w:type="pct"/>
            <w:vMerge w:val="restar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28CC1DFC"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sz w:val="18"/>
                <w:szCs w:val="18"/>
                <w:lang w:val="en-CA" w:eastAsia="en-GB"/>
              </w:rPr>
              <w:t>Access to risk capital</w:t>
            </w:r>
            <w:r w:rsidRPr="005F0A67">
              <w:rPr>
                <w:rFonts w:asciiTheme="majorBidi" w:eastAsia="Times New Roman" w:hAnsiTheme="majorBidi" w:cstheme="majorBidi"/>
                <w:sz w:val="18"/>
                <w:szCs w:val="18"/>
                <w:lang w:val="en-CA" w:eastAsia="en-GB"/>
              </w:rPr>
              <w:t xml:space="preserve"> Effect on ability to attract external financing for innovation where margin compression reduces perceived returns. Loss-making early-stage firms are outside the eligible population under the profit floor. Voluntary opt-out constrains severe outcomes.</w:t>
            </w: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39A71980"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Direct DSI service providers (bioinformatics, cloud genomics platforms)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5A8A22E2"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00691AB6"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5B326D17"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Early-stage loss-making firms outside eligible population under profit floor; established firms with higher margins least exposed; investor perception of regulatory environment may be affected at the margin given novelty of mechanism for this sector. Rate revision.</w:t>
            </w:r>
          </w:p>
        </w:tc>
        <w:tc>
          <w:tcPr>
            <w:tcW w:w="431" w:type="pct"/>
            <w:tcBorders>
              <w:top w:val="single" w:sz="1" w:space="0" w:color="AAAAAA"/>
              <w:left w:val="single" w:sz="1" w:space="0" w:color="AAAAAA"/>
              <w:right w:val="single" w:sz="1" w:space="0" w:color="AAAAAA"/>
            </w:tcBorders>
            <w:shd w:val="clear" w:color="auto" w:fill="D9F2D0"/>
            <w:tcMar>
              <w:top w:w="60" w:type="dxa"/>
              <w:left w:w="100" w:type="dxa"/>
              <w:bottom w:w="60" w:type="dxa"/>
              <w:right w:w="100" w:type="dxa"/>
            </w:tcMar>
          </w:tcPr>
          <w:p w14:paraId="388FF54E"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r>
      <w:tr w:rsidR="005F0A67" w:rsidRPr="005F0A67" w14:paraId="6814C8A3" w14:textId="77777777" w:rsidTr="005F0A67">
        <w:tc>
          <w:tcPr>
            <w:tcW w:w="1210" w:type="pct"/>
            <w:vMerge/>
            <w:tcMar>
              <w:top w:w="60" w:type="dxa"/>
              <w:left w:w="100" w:type="dxa"/>
              <w:bottom w:w="60" w:type="dxa"/>
              <w:right w:w="100" w:type="dxa"/>
            </w:tcMar>
          </w:tcPr>
          <w:p w14:paraId="149E40CC"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16288C2F"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Indirect DSI service providers (curation, infrastructure brokers)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2C9691C9"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27639407"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32329960"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Lower capital intensity; voluntary opt-out limits severe outcomes. Rate revision.</w:t>
            </w:r>
          </w:p>
        </w:tc>
        <w:tc>
          <w:tcPr>
            <w:tcW w:w="431" w:type="pct"/>
            <w:tcBorders>
              <w:top w:val="single" w:sz="1" w:space="0" w:color="AAAAAA"/>
              <w:left w:val="single" w:sz="1" w:space="0" w:color="AAAAAA"/>
              <w:right w:val="single" w:sz="1" w:space="0" w:color="AAAAAA"/>
            </w:tcBorders>
            <w:shd w:val="clear" w:color="auto" w:fill="D9F2D0"/>
            <w:tcMar>
              <w:top w:w="60" w:type="dxa"/>
              <w:left w:w="100" w:type="dxa"/>
              <w:bottom w:w="60" w:type="dxa"/>
              <w:right w:w="100" w:type="dxa"/>
            </w:tcMar>
          </w:tcPr>
          <w:p w14:paraId="5A32C0A1"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r>
      <w:tr w:rsidR="005F0A67" w:rsidRPr="005F0A67" w14:paraId="61118D8A" w14:textId="77777777" w:rsidTr="005F0A67">
        <w:tc>
          <w:tcPr>
            <w:tcW w:w="1210" w:type="pct"/>
            <w:vMerge w:val="restar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0062017E"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sz w:val="18"/>
                <w:szCs w:val="18"/>
                <w:lang w:val="en-CA" w:eastAsia="en-GB"/>
              </w:rPr>
              <w:t>Certainty and predictability</w:t>
            </w:r>
            <w:r w:rsidRPr="005F0A67">
              <w:rPr>
                <w:rFonts w:asciiTheme="majorBidi" w:eastAsia="Times New Roman" w:hAnsiTheme="majorBidi" w:cstheme="majorBidi"/>
                <w:sz w:val="18"/>
                <w:szCs w:val="18"/>
                <w:lang w:val="en-CA" w:eastAsia="en-GB"/>
              </w:rPr>
              <w:t xml:space="preserve"> Effect of unresolved Decision 16/2 design parameters on willingness to commit to platform development investments. The direct vs indirect use boundary (U4) creates particular uncertainty for this sector: firms cannot determine whether their activities fall within scope, which </w:t>
            </w:r>
            <w:r w:rsidRPr="005F0A67">
              <w:rPr>
                <w:rFonts w:asciiTheme="majorBidi" w:eastAsia="Times New Roman" w:hAnsiTheme="majorBidi" w:cstheme="majorBidi"/>
                <w:sz w:val="18"/>
                <w:szCs w:val="18"/>
                <w:lang w:val="en-CA" w:eastAsia="en-GB"/>
              </w:rPr>
              <w:lastRenderedPageBreak/>
              <w:t>may affect participation decisions more than investment decisions.</w:t>
            </w: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4ADFDDF1"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lastRenderedPageBreak/>
              <w:t>Direct DSI service providers (bioinformatics, cloud genomics platforms)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095255F9"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36B8F724"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70EDF711"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Short iteration cycles reduce long-run investment sensitivity; direct vs indirect use boundary uncertainty (U4) creates participation uncertainty; certificate of contribution legal value (U6); rate revision.</w:t>
            </w:r>
          </w:p>
        </w:tc>
        <w:tc>
          <w:tcPr>
            <w:tcW w:w="431" w:type="pct"/>
            <w:tcBorders>
              <w:top w:val="single" w:sz="1" w:space="0" w:color="AAAAAA"/>
              <w:left w:val="single" w:sz="1" w:space="0" w:color="AAAAAA"/>
              <w:right w:val="single" w:sz="1" w:space="0" w:color="AAAAAA"/>
            </w:tcBorders>
            <w:shd w:val="clear" w:color="auto" w:fill="D9F2D0"/>
            <w:tcMar>
              <w:top w:w="60" w:type="dxa"/>
              <w:left w:w="100" w:type="dxa"/>
              <w:bottom w:w="60" w:type="dxa"/>
              <w:right w:w="100" w:type="dxa"/>
            </w:tcMar>
          </w:tcPr>
          <w:p w14:paraId="742C42F4"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r>
      <w:tr w:rsidR="005F0A67" w:rsidRPr="005F0A67" w14:paraId="54C3F93F" w14:textId="77777777" w:rsidTr="005F0A67">
        <w:tc>
          <w:tcPr>
            <w:tcW w:w="1210" w:type="pct"/>
            <w:vMerge/>
            <w:tcMar>
              <w:top w:w="60" w:type="dxa"/>
              <w:left w:w="100" w:type="dxa"/>
              <w:bottom w:w="60" w:type="dxa"/>
              <w:right w:w="100" w:type="dxa"/>
            </w:tcMar>
          </w:tcPr>
          <w:p w14:paraId="796FCD8E"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512DCC67"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 xml:space="preserve">Indirect DSI service providers (curation, </w:t>
            </w:r>
            <w:r w:rsidRPr="005F0A67">
              <w:rPr>
                <w:rFonts w:asciiTheme="majorBidi" w:eastAsia="Times New Roman" w:hAnsiTheme="majorBidi" w:cstheme="majorBidi"/>
                <w:sz w:val="18"/>
                <w:szCs w:val="18"/>
                <w:lang w:val="en-CA" w:eastAsia="en-GB"/>
              </w:rPr>
              <w:lastRenderedPageBreak/>
              <w:t>infrastructure brokers)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65076328"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lastRenderedPageBreak/>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6773EA44"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64EF32C1"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Boundary uncertainty (U4) is most significant for indirect providers, affecting participation rather than investment decisions; short platform development cycles. Certificate legal value (U6); rate revision.</w:t>
            </w:r>
          </w:p>
        </w:tc>
        <w:tc>
          <w:tcPr>
            <w:tcW w:w="431" w:type="pct"/>
            <w:tcBorders>
              <w:top w:val="single" w:sz="1" w:space="0" w:color="AAAAAA"/>
              <w:left w:val="single" w:sz="1" w:space="0" w:color="AAAAAA"/>
              <w:right w:val="single" w:sz="1" w:space="0" w:color="AAAAAA"/>
            </w:tcBorders>
            <w:shd w:val="clear" w:color="auto" w:fill="D9F2D0"/>
            <w:tcMar>
              <w:top w:w="60" w:type="dxa"/>
              <w:left w:w="100" w:type="dxa"/>
              <w:bottom w:w="60" w:type="dxa"/>
              <w:right w:w="100" w:type="dxa"/>
            </w:tcMar>
          </w:tcPr>
          <w:p w14:paraId="477B0036"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r>
    </w:tbl>
    <w:p w14:paraId="7D3DD9B9"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p>
    <w:p w14:paraId="48D6875E"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p>
    <w:p w14:paraId="1B377392" w14:textId="77777777" w:rsidR="00B009ED" w:rsidRDefault="00B009ED">
      <w:pPr>
        <w:tabs>
          <w:tab w:val="clear" w:pos="567"/>
          <w:tab w:val="clear" w:pos="1134"/>
          <w:tab w:val="clear" w:pos="1701"/>
          <w:tab w:val="clear" w:pos="2268"/>
        </w:tabs>
        <w:jc w:val="left"/>
        <w:rPr>
          <w:rFonts w:asciiTheme="majorBidi" w:eastAsia="Georgia" w:hAnsiTheme="majorBidi" w:cstheme="majorBidi"/>
          <w:b/>
          <w:bCs/>
          <w:color w:val="419844"/>
          <w:lang w:val="en-CA" w:eastAsia="en-GB"/>
        </w:rPr>
      </w:pPr>
      <w:bookmarkStart w:id="240" w:name="_Ref231772367"/>
      <w:r>
        <w:rPr>
          <w:rFonts w:asciiTheme="majorBidi" w:eastAsia="Georgia" w:hAnsiTheme="majorBidi" w:cstheme="majorBidi"/>
          <w:b/>
          <w:bCs/>
          <w:color w:val="419844"/>
          <w:lang w:val="en-CA" w:eastAsia="en-GB"/>
        </w:rPr>
        <w:br w:type="page"/>
      </w:r>
    </w:p>
    <w:p w14:paraId="6913F00C" w14:textId="1A7F283D" w:rsidR="005F0A67" w:rsidRPr="005F0A67" w:rsidRDefault="005F0A67" w:rsidP="005F0A67">
      <w:pPr>
        <w:tabs>
          <w:tab w:val="clear" w:pos="567"/>
          <w:tab w:val="clear" w:pos="1134"/>
          <w:tab w:val="clear" w:pos="1701"/>
          <w:tab w:val="clear" w:pos="2268"/>
        </w:tabs>
        <w:spacing w:after="180" w:line="292" w:lineRule="auto"/>
        <w:rPr>
          <w:rFonts w:asciiTheme="majorBidi" w:eastAsia="Georgia" w:hAnsiTheme="majorBidi" w:cstheme="majorBidi"/>
          <w:b/>
          <w:bCs/>
          <w:color w:val="419844"/>
          <w:lang w:val="en-CA" w:eastAsia="en-GB"/>
        </w:rPr>
      </w:pPr>
      <w:r w:rsidRPr="005F0A67">
        <w:rPr>
          <w:rFonts w:asciiTheme="majorBidi" w:eastAsia="Georgia" w:hAnsiTheme="majorBidi" w:cstheme="majorBidi"/>
          <w:b/>
          <w:bCs/>
          <w:color w:val="419844"/>
          <w:lang w:val="en-CA" w:eastAsia="en-GB"/>
        </w:rPr>
        <w:lastRenderedPageBreak/>
        <w:t xml:space="preserve">Table </w:t>
      </w:r>
      <w:r w:rsidRPr="005F0A67">
        <w:rPr>
          <w:rFonts w:asciiTheme="majorBidi" w:eastAsia="Georgia" w:hAnsiTheme="majorBidi" w:cstheme="majorBidi"/>
          <w:b/>
          <w:bCs/>
          <w:color w:val="419844"/>
          <w:lang w:val="en-CA" w:eastAsia="en-GB"/>
        </w:rPr>
        <w:fldChar w:fldCharType="begin"/>
      </w:r>
      <w:r w:rsidRPr="005F0A67">
        <w:rPr>
          <w:rFonts w:asciiTheme="majorBidi" w:eastAsia="Georgia" w:hAnsiTheme="majorBidi" w:cstheme="majorBidi"/>
          <w:b/>
          <w:bCs/>
          <w:color w:val="419844"/>
          <w:lang w:val="en-CA" w:eastAsia="en-GB"/>
        </w:rPr>
        <w:instrText xml:space="preserve"> SEQ Table \* ARABIC </w:instrText>
      </w:r>
      <w:r w:rsidRPr="005F0A67">
        <w:rPr>
          <w:rFonts w:asciiTheme="majorBidi" w:eastAsia="Georgia" w:hAnsiTheme="majorBidi" w:cstheme="majorBidi"/>
          <w:b/>
          <w:bCs/>
          <w:color w:val="419844"/>
          <w:lang w:val="en-CA" w:eastAsia="en-GB"/>
        </w:rPr>
        <w:fldChar w:fldCharType="separate"/>
      </w:r>
      <w:r w:rsidRPr="005F0A67">
        <w:rPr>
          <w:rFonts w:asciiTheme="majorBidi" w:eastAsia="Georgia" w:hAnsiTheme="majorBidi" w:cstheme="majorBidi"/>
          <w:b/>
          <w:bCs/>
          <w:noProof/>
          <w:color w:val="419844"/>
          <w:lang w:val="en-CA" w:eastAsia="en-GB"/>
        </w:rPr>
        <w:t>37</w:t>
      </w:r>
      <w:r w:rsidRPr="005F0A67">
        <w:rPr>
          <w:rFonts w:asciiTheme="majorBidi" w:eastAsia="Georgia" w:hAnsiTheme="majorBidi" w:cstheme="majorBidi"/>
          <w:b/>
          <w:bCs/>
          <w:color w:val="419844"/>
          <w:lang w:val="en-CA" w:eastAsia="en-GB"/>
        </w:rPr>
        <w:fldChar w:fldCharType="end"/>
      </w:r>
      <w:bookmarkEnd w:id="240"/>
      <w:r w:rsidRPr="005F0A67">
        <w:rPr>
          <w:rFonts w:asciiTheme="majorBidi" w:eastAsia="Georgia" w:hAnsiTheme="majorBidi" w:cstheme="majorBidi"/>
          <w:b/>
          <w:bCs/>
          <w:color w:val="419844"/>
          <w:lang w:val="en-CA" w:eastAsia="en-GB"/>
        </w:rPr>
        <w:t xml:space="preserve"> Pillar III: international competitiveness impacts materiality assessment – Information and AI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09"/>
        <w:gridCol w:w="1483"/>
        <w:gridCol w:w="1163"/>
        <w:gridCol w:w="1185"/>
        <w:gridCol w:w="5359"/>
        <w:gridCol w:w="1179"/>
      </w:tblGrid>
      <w:tr w:rsidR="005F0A67" w:rsidRPr="005F0A67" w14:paraId="57973863" w14:textId="77777777" w:rsidTr="00FB671B">
        <w:tc>
          <w:tcPr>
            <w:tcW w:w="1210" w:type="pct"/>
            <w:tcBorders>
              <w:top w:val="single" w:sz="1" w:space="0" w:color="AAAAAA"/>
              <w:left w:val="single" w:sz="1" w:space="0" w:color="AAAAAA"/>
              <w:right w:val="single" w:sz="1" w:space="0" w:color="AAAAAA"/>
            </w:tcBorders>
            <w:shd w:val="clear" w:color="auto" w:fill="1F4E6B"/>
            <w:tcMar>
              <w:top w:w="60" w:type="dxa"/>
              <w:left w:w="100" w:type="dxa"/>
              <w:bottom w:w="60" w:type="dxa"/>
              <w:right w:w="100" w:type="dxa"/>
            </w:tcMar>
          </w:tcPr>
          <w:p w14:paraId="3CECE077"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color w:val="FFFFFF"/>
                <w:sz w:val="18"/>
                <w:szCs w:val="18"/>
                <w:lang w:val="en-CA" w:eastAsia="en-GB"/>
              </w:rPr>
              <w:t>Impact</w:t>
            </w:r>
          </w:p>
        </w:tc>
        <w:tc>
          <w:tcPr>
            <w:tcW w:w="542" w:type="pct"/>
            <w:tcBorders>
              <w:top w:val="single" w:sz="1" w:space="0" w:color="AAAAAA"/>
              <w:left w:val="single" w:sz="1" w:space="0" w:color="AAAAAA"/>
              <w:right w:val="single" w:sz="1" w:space="0" w:color="AAAAAA"/>
            </w:tcBorders>
            <w:shd w:val="clear" w:color="auto" w:fill="1F4E6B"/>
            <w:tcMar>
              <w:top w:w="60" w:type="dxa"/>
              <w:left w:w="100" w:type="dxa"/>
              <w:bottom w:w="60" w:type="dxa"/>
              <w:right w:w="100" w:type="dxa"/>
            </w:tcMar>
          </w:tcPr>
          <w:p w14:paraId="666C027B"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color w:val="FFFFFF"/>
                <w:sz w:val="18"/>
                <w:szCs w:val="18"/>
                <w:lang w:val="en-CA" w:eastAsia="en-GB"/>
              </w:rPr>
              <w:t>Firm type</w:t>
            </w:r>
          </w:p>
        </w:tc>
        <w:tc>
          <w:tcPr>
            <w:tcW w:w="425" w:type="pct"/>
            <w:tcBorders>
              <w:top w:val="single" w:sz="1" w:space="0" w:color="AAAAAA"/>
              <w:left w:val="single" w:sz="1" w:space="0" w:color="AAAAAA"/>
              <w:right w:val="single" w:sz="1" w:space="0" w:color="AAAAAA"/>
            </w:tcBorders>
            <w:shd w:val="clear" w:color="auto" w:fill="1F4E6B"/>
            <w:tcMar>
              <w:top w:w="60" w:type="dxa"/>
              <w:left w:w="100" w:type="dxa"/>
              <w:bottom w:w="60" w:type="dxa"/>
              <w:right w:w="100" w:type="dxa"/>
            </w:tcMar>
          </w:tcPr>
          <w:p w14:paraId="58A80CF0"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color w:val="FFFFFF"/>
                <w:sz w:val="18"/>
                <w:szCs w:val="18"/>
                <w:lang w:val="en-CA" w:eastAsia="en-GB"/>
              </w:rPr>
              <w:t>Magnitude</w:t>
            </w:r>
          </w:p>
        </w:tc>
        <w:tc>
          <w:tcPr>
            <w:tcW w:w="433" w:type="pct"/>
            <w:tcBorders>
              <w:top w:val="single" w:sz="1" w:space="0" w:color="AAAAAA"/>
              <w:left w:val="single" w:sz="1" w:space="0" w:color="AAAAAA"/>
              <w:right w:val="single" w:sz="1" w:space="0" w:color="AAAAAA"/>
            </w:tcBorders>
            <w:shd w:val="clear" w:color="auto" w:fill="1F4E6B"/>
            <w:tcMar>
              <w:top w:w="60" w:type="dxa"/>
              <w:left w:w="100" w:type="dxa"/>
              <w:bottom w:w="60" w:type="dxa"/>
              <w:right w:w="100" w:type="dxa"/>
            </w:tcMar>
          </w:tcPr>
          <w:p w14:paraId="42052E60"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color w:val="FFFFFF"/>
                <w:sz w:val="18"/>
                <w:szCs w:val="18"/>
                <w:lang w:val="en-CA" w:eastAsia="en-GB"/>
              </w:rPr>
              <w:t>Probability</w:t>
            </w:r>
          </w:p>
        </w:tc>
        <w:tc>
          <w:tcPr>
            <w:tcW w:w="1959" w:type="pct"/>
            <w:tcBorders>
              <w:top w:val="single" w:sz="1" w:space="0" w:color="AAAAAA"/>
              <w:left w:val="single" w:sz="1" w:space="0" w:color="AAAAAA"/>
              <w:right w:val="single" w:sz="1" w:space="0" w:color="AAAAAA"/>
            </w:tcBorders>
            <w:shd w:val="clear" w:color="auto" w:fill="1F4E6B"/>
            <w:tcMar>
              <w:top w:w="60" w:type="dxa"/>
              <w:left w:w="100" w:type="dxa"/>
              <w:bottom w:w="60" w:type="dxa"/>
              <w:right w:w="100" w:type="dxa"/>
            </w:tcMar>
          </w:tcPr>
          <w:p w14:paraId="5BD0F4E3"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color w:val="FFFFFF"/>
                <w:sz w:val="18"/>
                <w:szCs w:val="18"/>
                <w:lang w:val="en-CA" w:eastAsia="en-GB"/>
              </w:rPr>
              <w:t>Key conditions</w:t>
            </w:r>
          </w:p>
        </w:tc>
        <w:tc>
          <w:tcPr>
            <w:tcW w:w="431" w:type="pct"/>
            <w:tcBorders>
              <w:top w:val="single" w:sz="1" w:space="0" w:color="AAAAAA"/>
              <w:left w:val="single" w:sz="1" w:space="0" w:color="AAAAAA"/>
              <w:right w:val="single" w:sz="1" w:space="0" w:color="AAAAAA"/>
            </w:tcBorders>
            <w:shd w:val="clear" w:color="auto" w:fill="1F4E6B"/>
            <w:tcMar>
              <w:top w:w="60" w:type="dxa"/>
              <w:left w:w="100" w:type="dxa"/>
              <w:bottom w:w="60" w:type="dxa"/>
              <w:right w:w="100" w:type="dxa"/>
            </w:tcMar>
          </w:tcPr>
          <w:p w14:paraId="7A4F8466"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color w:val="FFFFFF"/>
                <w:sz w:val="18"/>
                <w:szCs w:val="18"/>
                <w:lang w:val="en-CA" w:eastAsia="en-GB"/>
              </w:rPr>
              <w:t>Materiality</w:t>
            </w:r>
          </w:p>
        </w:tc>
      </w:tr>
      <w:tr w:rsidR="005F0A67" w:rsidRPr="005F0A67" w14:paraId="4F6E2A20" w14:textId="77777777" w:rsidTr="005F0A67">
        <w:tc>
          <w:tcPr>
            <w:tcW w:w="1210" w:type="pct"/>
            <w:vMerge w:val="restar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5F5B0734"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sz w:val="18"/>
                <w:szCs w:val="18"/>
                <w:lang w:val="en-CA" w:eastAsia="en-GB"/>
              </w:rPr>
              <w:t>Competitive position vs non-Party competitors</w:t>
            </w:r>
            <w:r w:rsidRPr="005F0A67">
              <w:rPr>
                <w:rFonts w:asciiTheme="majorBidi" w:eastAsia="Times New Roman" w:hAnsiTheme="majorBidi" w:cstheme="majorBidi"/>
                <w:sz w:val="18"/>
                <w:szCs w:val="18"/>
                <w:lang w:val="en-CA" w:eastAsia="en-GB"/>
              </w:rPr>
              <w:t xml:space="preserve"> Direct cost asymmetry with competitors headquartered in non-CBD-Party jurisdictions. Non-CBD-Party competitor exposure is the highest of any Indicative Enclosure I sector: AWS, Google Cloud, and Microsoft Azure, all US-headquartered, capture 63% of the global cloud market (Richter, 2026) and are not subject to equivalent obligations. Competitiveness risks arise primarily where non-Party rivals are close commercial substitutes (Fowlie, 2009; </w:t>
            </w:r>
            <w:proofErr w:type="spellStart"/>
            <w:r w:rsidRPr="005F0A67">
              <w:rPr>
                <w:rFonts w:asciiTheme="majorBidi" w:eastAsia="Times New Roman" w:hAnsiTheme="majorBidi" w:cstheme="majorBidi"/>
                <w:sz w:val="18"/>
                <w:szCs w:val="18"/>
                <w:lang w:val="en-CA" w:eastAsia="en-GB"/>
              </w:rPr>
              <w:t>Dechezlepretre</w:t>
            </w:r>
            <w:proofErr w:type="spellEnd"/>
            <w:r w:rsidRPr="005F0A67">
              <w:rPr>
                <w:rFonts w:asciiTheme="majorBidi" w:eastAsia="Times New Roman" w:hAnsiTheme="majorBidi" w:cstheme="majorBidi"/>
                <w:sz w:val="18"/>
                <w:szCs w:val="18"/>
                <w:lang w:val="en-CA" w:eastAsia="en-GB"/>
              </w:rPr>
              <w:t xml:space="preserve"> and Sato, 2017).</w:t>
            </w: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42303C8B"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Direct DSI service providers (bioinformatics, cloud genomics platforms)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4F8F747D"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Moderate</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4D74D100"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High</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1582D4EE"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US-headquartered cloud providers (AWS, Google Cloud, Microsoft Azure) capture 63% of global market (Richter, 2026) and face no equivalent obligations; direct competition for genomics workflow and bioinformatics services; asymmetry permanent under current mechanism design; national implementation divergence (U8); participation rate among peers.</w:t>
            </w:r>
          </w:p>
        </w:tc>
        <w:tc>
          <w:tcPr>
            <w:tcW w:w="431" w:type="pct"/>
            <w:tcBorders>
              <w:top w:val="single" w:sz="1" w:space="0" w:color="AAAAAA"/>
              <w:left w:val="single" w:sz="1" w:space="0" w:color="AAAAAA"/>
              <w:right w:val="single" w:sz="1" w:space="0" w:color="AAAAAA"/>
            </w:tcBorders>
            <w:shd w:val="clear" w:color="auto" w:fill="FFDCD8"/>
            <w:tcMar>
              <w:top w:w="60" w:type="dxa"/>
              <w:left w:w="100" w:type="dxa"/>
              <w:bottom w:w="60" w:type="dxa"/>
              <w:right w:w="100" w:type="dxa"/>
            </w:tcMar>
          </w:tcPr>
          <w:p w14:paraId="572F5F77"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High</w:t>
            </w:r>
          </w:p>
        </w:tc>
      </w:tr>
      <w:tr w:rsidR="005F0A67" w:rsidRPr="005F0A67" w14:paraId="35F03D1C" w14:textId="77777777" w:rsidTr="005F0A67">
        <w:tc>
          <w:tcPr>
            <w:tcW w:w="1210" w:type="pct"/>
            <w:vMerge/>
            <w:tcMar>
              <w:top w:w="60" w:type="dxa"/>
              <w:left w:w="100" w:type="dxa"/>
              <w:bottom w:w="60" w:type="dxa"/>
              <w:right w:w="100" w:type="dxa"/>
            </w:tcMar>
          </w:tcPr>
          <w:p w14:paraId="5052FBEB"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1A974E99"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Indirect DSI service providers (curation, infrastructure brokers)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39AF1076"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0C174048"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Medium</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7309D395"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Lower commercial proximity to US-headquartered cloud giants for curation and infrastructure brokerage services; competitive advantage based on specialised knowledge partially insulates. National implementation divergence (U8).</w:t>
            </w:r>
          </w:p>
        </w:tc>
        <w:tc>
          <w:tcPr>
            <w:tcW w:w="431" w:type="pct"/>
            <w:tcBorders>
              <w:top w:val="single" w:sz="1" w:space="0" w:color="AAAAAA"/>
              <w:left w:val="single" w:sz="1" w:space="0" w:color="AAAAAA"/>
              <w:right w:val="single" w:sz="1" w:space="0" w:color="AAAAAA"/>
            </w:tcBorders>
            <w:shd w:val="clear" w:color="auto" w:fill="D9F3D0"/>
            <w:tcMar>
              <w:top w:w="60" w:type="dxa"/>
              <w:left w:w="100" w:type="dxa"/>
              <w:bottom w:w="60" w:type="dxa"/>
              <w:right w:w="100" w:type="dxa"/>
            </w:tcMar>
          </w:tcPr>
          <w:p w14:paraId="5B06FBA1"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r>
      <w:tr w:rsidR="005F0A67" w:rsidRPr="005F0A67" w14:paraId="57D53AE3" w14:textId="77777777" w:rsidTr="005F0A67">
        <w:tc>
          <w:tcPr>
            <w:tcW w:w="1210" w:type="pct"/>
            <w:vMerge w:val="restar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5C652B0B"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sz w:val="18"/>
                <w:szCs w:val="18"/>
                <w:lang w:val="en-CA" w:eastAsia="en-GB"/>
              </w:rPr>
              <w:t>Export competitiveness</w:t>
            </w:r>
            <w:r w:rsidRPr="005F0A67">
              <w:rPr>
                <w:rFonts w:asciiTheme="majorBidi" w:eastAsia="Times New Roman" w:hAnsiTheme="majorBidi" w:cstheme="majorBidi"/>
                <w:sz w:val="18"/>
                <w:szCs w:val="18"/>
                <w:lang w:val="en-CA" w:eastAsia="en-GB"/>
              </w:rPr>
              <w:t xml:space="preserve"> Effects on export competitiveness where contribution cost cannot be fully passed through to export customers facing non-Party competition. Direct DSI service providers with significant cross-border service delivery face US-headquartered rivals not subject to equivalent obligations.</w:t>
            </w: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303136F7"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Direct DSI service providers (bioinformatics, cloud genomics platforms)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6B165FC5"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5464F1B1"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Medium</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3F98E725"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Cross-border digital services face direct competition from US-headquartered platforms without equivalent obligations; service pricing more flexible than physical goods but commodity genomics compute constrained. National implementation divergence (U8); rate revision.</w:t>
            </w:r>
          </w:p>
        </w:tc>
        <w:tc>
          <w:tcPr>
            <w:tcW w:w="431" w:type="pct"/>
            <w:tcBorders>
              <w:top w:val="single" w:sz="1" w:space="0" w:color="AAAAAA"/>
              <w:left w:val="single" w:sz="1" w:space="0" w:color="AAAAAA"/>
              <w:right w:val="single" w:sz="1" w:space="0" w:color="AAAAAA"/>
            </w:tcBorders>
            <w:shd w:val="clear" w:color="auto" w:fill="D9F3D0"/>
            <w:tcMar>
              <w:top w:w="60" w:type="dxa"/>
              <w:left w:w="100" w:type="dxa"/>
              <w:bottom w:w="60" w:type="dxa"/>
              <w:right w:w="100" w:type="dxa"/>
            </w:tcMar>
          </w:tcPr>
          <w:p w14:paraId="67E85A18"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r>
      <w:tr w:rsidR="005F0A67" w:rsidRPr="005F0A67" w14:paraId="63739938" w14:textId="77777777" w:rsidTr="005F0A67">
        <w:tc>
          <w:tcPr>
            <w:tcW w:w="1210" w:type="pct"/>
            <w:vMerge/>
            <w:tcMar>
              <w:top w:w="60" w:type="dxa"/>
              <w:left w:w="100" w:type="dxa"/>
              <w:bottom w:w="60" w:type="dxa"/>
              <w:right w:w="100" w:type="dxa"/>
            </w:tcMar>
          </w:tcPr>
          <w:p w14:paraId="2A40ED15"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17D41792"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Indirect DSI service providers (curation, infrastructure brokers)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3E9906D1"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0FA76468"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23C3B383"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More locally embedded curation and infrastructure services; limited cross-border export exposure relative to direct providers. National implementation divergence (U8).</w:t>
            </w:r>
          </w:p>
        </w:tc>
        <w:tc>
          <w:tcPr>
            <w:tcW w:w="431" w:type="pct"/>
            <w:tcBorders>
              <w:top w:val="single" w:sz="1" w:space="0" w:color="AAAAAA"/>
              <w:left w:val="single" w:sz="1" w:space="0" w:color="AAAAAA"/>
              <w:right w:val="single" w:sz="1" w:space="0" w:color="AAAAAA"/>
            </w:tcBorders>
            <w:shd w:val="clear" w:color="auto" w:fill="D9F2D0"/>
            <w:tcMar>
              <w:top w:w="60" w:type="dxa"/>
              <w:left w:w="100" w:type="dxa"/>
              <w:bottom w:w="60" w:type="dxa"/>
              <w:right w:w="100" w:type="dxa"/>
            </w:tcMar>
          </w:tcPr>
          <w:p w14:paraId="25CA783E"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r>
      <w:tr w:rsidR="005F0A67" w:rsidRPr="005F0A67" w14:paraId="49578719" w14:textId="77777777" w:rsidTr="005F0A67">
        <w:tc>
          <w:tcPr>
            <w:tcW w:w="1210" w:type="pct"/>
            <w:vMerge w:val="restar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64C9EA1C"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sz w:val="18"/>
                <w:szCs w:val="18"/>
                <w:lang w:val="en-CA" w:eastAsia="en-GB"/>
              </w:rPr>
              <w:t>International standards and regulatory dialogues</w:t>
            </w:r>
            <w:r w:rsidRPr="005F0A67">
              <w:rPr>
                <w:rFonts w:asciiTheme="majorBidi" w:eastAsia="Times New Roman" w:hAnsiTheme="majorBidi" w:cstheme="majorBidi"/>
                <w:sz w:val="18"/>
                <w:szCs w:val="18"/>
                <w:lang w:val="en-CA" w:eastAsia="en-GB"/>
              </w:rPr>
              <w:t xml:space="preserve"> Divergence between the Cali Fund and other DSI-related instruments. Interoperability standards and open data frameworks create regulatory co-ordination needs for direct DSI service providers. The direct vs indirect use boundary (U4) and certificate of contribution recognition (U6) are particularly unresolved for this sector given the breadth of activities captured.</w:t>
            </w: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31271C2C"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Direct DSI service providers (bioinformatics, cloud genomics platforms)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4470A252"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Moderate</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300FF191"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Medium</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6EB30FFB"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Interoperability standards and open data frameworks create regulatory co-ordination needs (U6, U8); direct vs indirect use boundary uncertainty affects how competing service standards are interpreted across jurisdictions; national implementation divergence (U8).</w:t>
            </w:r>
          </w:p>
        </w:tc>
        <w:tc>
          <w:tcPr>
            <w:tcW w:w="431" w:type="pct"/>
            <w:tcBorders>
              <w:top w:val="single" w:sz="1" w:space="0" w:color="AAAAAA"/>
              <w:left w:val="single" w:sz="1" w:space="0" w:color="AAAAAA"/>
              <w:right w:val="single" w:sz="1" w:space="0" w:color="AAAAAA"/>
            </w:tcBorders>
            <w:shd w:val="clear" w:color="auto" w:fill="FEF9CC"/>
            <w:tcMar>
              <w:top w:w="60" w:type="dxa"/>
              <w:left w:w="100" w:type="dxa"/>
              <w:bottom w:w="60" w:type="dxa"/>
              <w:right w:w="100" w:type="dxa"/>
            </w:tcMar>
          </w:tcPr>
          <w:p w14:paraId="6678F4E3"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Moderate</w:t>
            </w:r>
          </w:p>
        </w:tc>
      </w:tr>
      <w:tr w:rsidR="005F0A67" w:rsidRPr="005F0A67" w14:paraId="483F2AF5" w14:textId="77777777" w:rsidTr="005F0A67">
        <w:tc>
          <w:tcPr>
            <w:tcW w:w="1210" w:type="pct"/>
            <w:vMerge/>
            <w:tcMar>
              <w:top w:w="60" w:type="dxa"/>
              <w:left w:w="100" w:type="dxa"/>
              <w:bottom w:w="60" w:type="dxa"/>
              <w:right w:w="100" w:type="dxa"/>
            </w:tcMar>
          </w:tcPr>
          <w:p w14:paraId="3DE6B3BB"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5689EB1E"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Indirect DSI service providers (curation, infrastructure brokers)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040DC41B"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1F28E9FF"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7FA59939"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Limited multi-framework DSI exposure; national implementation divergence (U8).</w:t>
            </w:r>
          </w:p>
        </w:tc>
        <w:tc>
          <w:tcPr>
            <w:tcW w:w="431" w:type="pct"/>
            <w:tcBorders>
              <w:top w:val="single" w:sz="1" w:space="0" w:color="AAAAAA"/>
              <w:left w:val="single" w:sz="1" w:space="0" w:color="AAAAAA"/>
              <w:right w:val="single" w:sz="1" w:space="0" w:color="AAAAAA"/>
            </w:tcBorders>
            <w:shd w:val="clear" w:color="auto" w:fill="D9F2D0"/>
            <w:tcMar>
              <w:top w:w="60" w:type="dxa"/>
              <w:left w:w="100" w:type="dxa"/>
              <w:bottom w:w="60" w:type="dxa"/>
              <w:right w:w="100" w:type="dxa"/>
            </w:tcMar>
          </w:tcPr>
          <w:p w14:paraId="0EF42BC0"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r>
      <w:tr w:rsidR="005F0A67" w:rsidRPr="005F0A67" w14:paraId="622C58D4" w14:textId="77777777" w:rsidTr="005F0A67">
        <w:tc>
          <w:tcPr>
            <w:tcW w:w="1210" w:type="pct"/>
            <w:vMerge w:val="restar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3A5FDA69"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sz w:val="18"/>
                <w:szCs w:val="18"/>
                <w:lang w:val="en-CA" w:eastAsia="en-GB"/>
              </w:rPr>
              <w:t>FDI and relocation effects</w:t>
            </w:r>
            <w:r w:rsidRPr="005F0A67">
              <w:rPr>
                <w:rFonts w:asciiTheme="majorBidi" w:eastAsia="Times New Roman" w:hAnsiTheme="majorBidi" w:cstheme="majorBidi"/>
                <w:sz w:val="18"/>
                <w:szCs w:val="18"/>
                <w:lang w:val="en-CA" w:eastAsia="en-GB"/>
              </w:rPr>
              <w:t xml:space="preserve"> </w:t>
            </w:r>
            <w:proofErr w:type="spellStart"/>
            <w:r w:rsidRPr="005F0A67">
              <w:rPr>
                <w:rFonts w:asciiTheme="majorBidi" w:eastAsia="Times New Roman" w:hAnsiTheme="majorBidi" w:cstheme="majorBidi"/>
                <w:sz w:val="18"/>
                <w:szCs w:val="18"/>
                <w:lang w:val="en-CA" w:eastAsia="en-GB"/>
              </w:rPr>
              <w:t>Effects</w:t>
            </w:r>
            <w:proofErr w:type="spellEnd"/>
            <w:r w:rsidRPr="005F0A67">
              <w:rPr>
                <w:rFonts w:asciiTheme="majorBidi" w:eastAsia="Times New Roman" w:hAnsiTheme="majorBidi" w:cstheme="majorBidi"/>
                <w:sz w:val="18"/>
                <w:szCs w:val="18"/>
                <w:lang w:val="en-CA" w:eastAsia="en-GB"/>
              </w:rPr>
              <w:t xml:space="preserve"> on R&amp;D and investment location decisions. Digital services are theoretically portable, but cloud and platform infrastructure has </w:t>
            </w:r>
            <w:r w:rsidRPr="005F0A67">
              <w:rPr>
                <w:rFonts w:asciiTheme="majorBidi" w:eastAsia="Times New Roman" w:hAnsiTheme="majorBidi" w:cstheme="majorBidi"/>
                <w:sz w:val="18"/>
                <w:szCs w:val="18"/>
                <w:lang w:val="en-CA" w:eastAsia="en-GB"/>
              </w:rPr>
              <w:lastRenderedPageBreak/>
              <w:t>meaningful switching costs in practice. Primary firm response to a comparable profit burden is spending reduction rather than relocation (Lichter et al., 2025). Most plausible sector for operational location effects given digital service portability, though still Low at indicative rates.</w:t>
            </w: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0A4ACD15"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lastRenderedPageBreak/>
              <w:t xml:space="preserve">Direct DSI service providers (bioinformatics, </w:t>
            </w:r>
            <w:r w:rsidRPr="005F0A67">
              <w:rPr>
                <w:rFonts w:asciiTheme="majorBidi" w:eastAsia="Times New Roman" w:hAnsiTheme="majorBidi" w:cstheme="majorBidi"/>
                <w:sz w:val="18"/>
                <w:szCs w:val="18"/>
                <w:lang w:val="en-CA" w:eastAsia="en-GB"/>
              </w:rPr>
              <w:lastRenderedPageBreak/>
              <w:t>cloud genomics platforms)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72AA576C"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lastRenderedPageBreak/>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0BE8BE4D"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7AD95162"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Digital services theoretically portable but cloud infrastructure switching costs constrain relocation; primary response is spending reduction not relocation (Lichter et al., 2025); most plausible sector for location effects though still Low at indicative rates. Rate revision.</w:t>
            </w:r>
          </w:p>
        </w:tc>
        <w:tc>
          <w:tcPr>
            <w:tcW w:w="431" w:type="pct"/>
            <w:tcBorders>
              <w:top w:val="single" w:sz="1" w:space="0" w:color="AAAAAA"/>
              <w:left w:val="single" w:sz="1" w:space="0" w:color="AAAAAA"/>
              <w:right w:val="single" w:sz="1" w:space="0" w:color="AAAAAA"/>
            </w:tcBorders>
            <w:shd w:val="clear" w:color="auto" w:fill="D9F2D0"/>
            <w:tcMar>
              <w:top w:w="60" w:type="dxa"/>
              <w:left w:w="100" w:type="dxa"/>
              <w:bottom w:w="60" w:type="dxa"/>
              <w:right w:w="100" w:type="dxa"/>
            </w:tcMar>
          </w:tcPr>
          <w:p w14:paraId="7E140C64"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r>
      <w:tr w:rsidR="005F0A67" w:rsidRPr="005F0A67" w14:paraId="4A38DC69" w14:textId="77777777" w:rsidTr="005F0A67">
        <w:tc>
          <w:tcPr>
            <w:tcW w:w="1210" w:type="pct"/>
            <w:vMerge/>
            <w:tcMar>
              <w:top w:w="60" w:type="dxa"/>
              <w:left w:w="100" w:type="dxa"/>
              <w:bottom w:w="60" w:type="dxa"/>
              <w:right w:w="100" w:type="dxa"/>
            </w:tcMar>
          </w:tcPr>
          <w:p w14:paraId="5A58AAA2"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1696FF17"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Indirect DSI service providers (curation, infrastructure brokers)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39C4E0F5"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50F6FB68"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2E17ADE8"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Curation and infrastructure brokerage services locally embedded in institutional relationships; relocation implausible. Rate revision.</w:t>
            </w:r>
          </w:p>
        </w:tc>
        <w:tc>
          <w:tcPr>
            <w:tcW w:w="431" w:type="pct"/>
            <w:tcBorders>
              <w:top w:val="single" w:sz="1" w:space="0" w:color="AAAAAA"/>
              <w:left w:val="single" w:sz="1" w:space="0" w:color="AAAAAA"/>
              <w:right w:val="single" w:sz="1" w:space="0" w:color="AAAAAA"/>
            </w:tcBorders>
            <w:shd w:val="clear" w:color="auto" w:fill="D9F2D0"/>
            <w:tcMar>
              <w:top w:w="60" w:type="dxa"/>
              <w:left w:w="100" w:type="dxa"/>
              <w:bottom w:w="60" w:type="dxa"/>
              <w:right w:w="100" w:type="dxa"/>
            </w:tcMar>
          </w:tcPr>
          <w:p w14:paraId="5D77710D"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r>
    </w:tbl>
    <w:p w14:paraId="026C7613"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Georgia" w:hAnsiTheme="majorBidi" w:cstheme="majorBidi"/>
          <w:b/>
          <w:bCs/>
          <w:color w:val="419844"/>
          <w:lang w:val="en-CA" w:eastAsia="en-GB"/>
        </w:rPr>
        <w:sectPr w:rsidR="005F0A67" w:rsidRPr="005F0A67" w:rsidSect="005F0A67">
          <w:pgSz w:w="15840" w:h="12240" w:orient="landscape"/>
          <w:pgMar w:top="1260" w:right="1080" w:bottom="1260" w:left="1080" w:header="706" w:footer="706" w:gutter="0"/>
          <w:cols w:space="720"/>
          <w:docGrid w:linePitch="360"/>
        </w:sectPr>
      </w:pPr>
    </w:p>
    <w:p w14:paraId="15FA66C9" w14:textId="77777777" w:rsidR="005F0A67" w:rsidRPr="005F0A67" w:rsidRDefault="005F0A67" w:rsidP="005F0A67">
      <w:pPr>
        <w:numPr>
          <w:ilvl w:val="1"/>
          <w:numId w:val="12"/>
        </w:numPr>
        <w:tabs>
          <w:tab w:val="clear" w:pos="567"/>
          <w:tab w:val="clear" w:pos="1134"/>
          <w:tab w:val="clear" w:pos="1701"/>
          <w:tab w:val="clear" w:pos="2268"/>
        </w:tabs>
        <w:spacing w:before="320" w:after="160"/>
        <w:ind w:left="576" w:hanging="576"/>
        <w:jc w:val="left"/>
        <w:outlineLvl w:val="1"/>
        <w:rPr>
          <w:rFonts w:asciiTheme="majorBidi" w:eastAsia="Arial" w:hAnsiTheme="majorBidi" w:cstheme="majorBidi"/>
          <w:b/>
          <w:bCs/>
          <w:color w:val="1A1A1A"/>
          <w:sz w:val="23"/>
          <w:szCs w:val="23"/>
          <w:lang w:val="en-CA" w:eastAsia="en-GB"/>
        </w:rPr>
      </w:pPr>
      <w:bookmarkStart w:id="241" w:name="_Toc234579615"/>
      <w:r w:rsidRPr="005F0A67">
        <w:rPr>
          <w:rFonts w:asciiTheme="majorBidi" w:eastAsia="Arial" w:hAnsiTheme="majorBidi" w:cstheme="majorBidi"/>
          <w:b/>
          <w:bCs/>
          <w:color w:val="1A1A1A"/>
          <w:sz w:val="23"/>
          <w:szCs w:val="23"/>
          <w:lang w:val="en-CA" w:eastAsia="en-GB"/>
        </w:rPr>
        <w:lastRenderedPageBreak/>
        <w:t>Cosmetics</w:t>
      </w:r>
      <w:bookmarkEnd w:id="241"/>
    </w:p>
    <w:p w14:paraId="4245E31F" w14:textId="77777777" w:rsidR="005F0A67" w:rsidRPr="005F0A67" w:rsidRDefault="005F0A67" w:rsidP="00B009ED">
      <w:pPr>
        <w:tabs>
          <w:tab w:val="clear" w:pos="567"/>
          <w:tab w:val="clear" w:pos="1134"/>
          <w:tab w:val="clear" w:pos="1701"/>
          <w:tab w:val="clear" w:pos="2268"/>
        </w:tabs>
        <w:spacing w:before="320" w:after="160"/>
        <w:ind w:left="720"/>
        <w:jc w:val="left"/>
        <w:outlineLvl w:val="2"/>
        <w:rPr>
          <w:rFonts w:asciiTheme="majorBidi" w:eastAsia="Arial" w:hAnsiTheme="majorBidi" w:cstheme="majorBidi"/>
          <w:b/>
          <w:bCs/>
          <w:color w:val="7F7F7F"/>
          <w:sz w:val="23"/>
          <w:szCs w:val="23"/>
          <w:lang w:val="en-CA" w:eastAsia="en-GB"/>
        </w:rPr>
      </w:pPr>
      <w:bookmarkStart w:id="242" w:name="_Ref231772985"/>
      <w:bookmarkStart w:id="243" w:name="_Toc234579616"/>
      <w:r w:rsidRPr="005F0A67">
        <w:rPr>
          <w:rFonts w:asciiTheme="majorBidi" w:eastAsia="Arial" w:hAnsiTheme="majorBidi" w:cstheme="majorBidi"/>
          <w:b/>
          <w:bCs/>
          <w:color w:val="7F7F7F"/>
          <w:sz w:val="23"/>
          <w:szCs w:val="23"/>
          <w:lang w:val="en-CA" w:eastAsia="en-GB"/>
        </w:rPr>
        <w:t>Characterisation of affected firms (steps 1 &amp; 2)</w:t>
      </w:r>
      <w:bookmarkEnd w:id="242"/>
      <w:bookmarkEnd w:id="243"/>
    </w:p>
    <w:p w14:paraId="0E26EC4A"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The cosmetics sector contains 748 eligible firms, the smallest Indicative Enclosure I sector</w:t>
      </w:r>
      <w:r w:rsidRPr="005F0A67">
        <w:rPr>
          <w:rFonts w:asciiTheme="majorBidi" w:eastAsia="Times New Roman" w:hAnsiTheme="majorBidi" w:cstheme="majorBidi"/>
          <w:vertAlign w:val="superscript"/>
          <w:lang w:val="en-CA" w:eastAsia="en-GB"/>
        </w:rPr>
        <w:footnoteReference w:id="93"/>
      </w:r>
      <w:r w:rsidRPr="005F0A67">
        <w:rPr>
          <w:rFonts w:asciiTheme="majorBidi" w:eastAsia="Times New Roman" w:hAnsiTheme="majorBidi" w:cstheme="majorBidi"/>
          <w:lang w:val="en-CA" w:eastAsia="en-GB"/>
        </w:rPr>
        <w:t>, and accounts for 3.7% of estimated contributions, broadly in line with its 4.2% share under full compliance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_Ref230090932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Table 12</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and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_Ref230109751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Figure 5</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Despite its small estimated size, cosmetics has the highest effective contribution rate of any sector. With a median margin of 6%, most eligible firms pay on profit, and the sector's combination of moderate margins and contested DSI use intensity makes the proportionality concern particularly acute relative to other sectors.</w:t>
      </w:r>
    </w:p>
    <w:p w14:paraId="06438610" w14:textId="77777777" w:rsidR="005F0A67" w:rsidRPr="005F0A67" w:rsidRDefault="005F0A67" w:rsidP="00B009ED">
      <w:pPr>
        <w:tabs>
          <w:tab w:val="clear" w:pos="567"/>
          <w:tab w:val="clear" w:pos="1134"/>
          <w:tab w:val="clear" w:pos="1701"/>
          <w:tab w:val="clear" w:pos="2268"/>
        </w:tabs>
        <w:spacing w:after="120"/>
        <w:jc w:val="left"/>
        <w:outlineLvl w:val="3"/>
        <w:rPr>
          <w:rFonts w:asciiTheme="majorBidi" w:eastAsia="Georgia" w:hAnsiTheme="majorBidi" w:cstheme="majorBidi"/>
          <w:b/>
          <w:bCs/>
          <w:color w:val="0F4761"/>
          <w:lang w:eastAsia="en-GB"/>
        </w:rPr>
      </w:pPr>
      <w:r w:rsidRPr="005F0A67">
        <w:rPr>
          <w:rFonts w:asciiTheme="majorBidi" w:eastAsia="Georgia" w:hAnsiTheme="majorBidi" w:cstheme="majorBidi"/>
          <w:b/>
          <w:bCs/>
          <w:color w:val="0F4761"/>
          <w:lang w:eastAsia="en-GB"/>
        </w:rPr>
        <w:t>Sector and structural features</w:t>
      </w:r>
    </w:p>
    <w:p w14:paraId="677AC99C"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Cosmetics sector competitiveness is best seen as a connected value chain rather than a single homogeneous market, comprising two analytically distinct segments</w:t>
      </w:r>
      <w:r w:rsidRPr="005F0A67">
        <w:rPr>
          <w:rFonts w:asciiTheme="majorBidi" w:eastAsia="Times New Roman" w:hAnsiTheme="majorBidi" w:cstheme="majorBidi"/>
          <w:vertAlign w:val="superscript"/>
          <w:lang w:val="en-CA" w:eastAsia="en-GB"/>
        </w:rPr>
        <w:footnoteReference w:id="94"/>
      </w:r>
      <w:r w:rsidRPr="005F0A67">
        <w:rPr>
          <w:rFonts w:asciiTheme="majorBidi" w:eastAsia="Times New Roman" w:hAnsiTheme="majorBidi" w:cstheme="majorBidi"/>
          <w:lang w:val="en-CA" w:eastAsia="en-GB"/>
        </w:rPr>
        <w:t xml:space="preserve"> that encounter different competitive constraints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{"citationID":"KIKzUTHj","properties":{"unsorted":false,"formattedCitation":"(Ferreira {\\i{}et al.}, 2022; Morel {\\i{}et al.}, 2023; Bourgaud, Twyman and Oksman-Caldentey, 2025)","plainCitation":"(Ferreira et al., 2022; Morel et al., 2023; Bourgaud, Twyman and Oksman-Caldentey, 2025)","noteIndex":0},"citationItems":[{"id":49,"uris":["http://zotero.org/users/14977742/items/PDUQIBZ3"],"itemData":{"id":49,"type":"article-journal","abstract":"To ensure safety and efficacy, cosmetic products are regulated and controlled worldwide. However, the regulatory approaches of each country may be significantly different and impact the competitiveness and economic viability of the industry. This work presents an updated review and comparison of regulatory requirements from the European Union, United States of America, Canada, Japan, People’s Republic of China and Brazil. It outlines contents such as the definition, classification and categorization of cosmetics, pre-market requirements, ingredients management, general labelling requirements, regulation of claims concerning advertisement and commercial practices, increase of animal testing and marketing bans on cosmetic products. Furthermore, it weighs the impact of regulatory differences on the safety and accessibility of these products in the mentioned regions.","citation-key":"ferreiraOverviewCosmeticRegulatory2022","container-title":"Cosmetics","DOI":"10.3390/cosmetics9040072","ISSN":"2079-9284","issue":"4","language":"en","license":"http://creativecommons.org/licenses/by/3.0/","page":"72","publisher":"Multidisciplinary Digital Publishing Institute","source":"www.mdpi.com","title":"Overview of Cosmetic Regulatory Frameworks around the World","volume":"9","author":[{"family":"Ferreira","given":"Mariana"},{"family":"Matos","given":"Ana"},{"family":"Couras","given":"Ana"},{"family":"Marto","given":"Joana"},{"family":"Ribeiro","given":"Helena"}],"issued":{"date-parts":[["2022",8]]}}},{"id":48,"uris":["http://zotero.org/users/14977742/items/3NII5H7V"],"itemData":{"id":48,"type":"article-journal","abstract":"In this study, an overview of the regulations in force in some extra-EU states belonging to different geoeconomic areas is provided, starting from the current EU legislation on cosmetic products. We focused on their legislative frameworks and the location of the relevant regulatory documentation. Furthermore, for each state considered, our analysis examined the notification/authorization processes, approaches to animal testing, and allowed/prohibited ingredient lists, as these aspects are considered to be among the primary restrictions hindering the cosmetic market. It can be observed that many states are working towards standardising their regulations to promote greater international trade. However, it is essential to recognize that different countries belonging to distinct geoeconomic areas may have unique requirements, and harmonization may not necessarily be the best solution. It is crucial to consider different needs and preferences when approaching the global regulation of the cosmetic industry.","citation-key":"morelRegulatoryRequirementsExporting2023","container-title":"Cosmetics","DOI":"10.3390/cosmetics10020062","ISSN":"2079-9284","issue":"2","language":"en","license":"http://creativecommons.org/licenses/by/3.0/","page":"62","publisher":"Multidisciplinary Digital Publishing Institute","source":"www.mdpi.com","title":"Regulatory Requirements for Exporting Cosmetic Products to Extra-EU Countries","volume":"10","author":[{"family":"Morel","given":"Silvia"},{"family":"Sapino","given":"Simona"},{"family":"Peira","given":"Elena"},{"family":"Chirio","given":"Daniela"},{"family":"Gallarate","given":"Marina"}],"issued":{"date-parts":[["2023",4]]}}},{"id":410,"uris":["http://zotero.org/users/14977742/items/EHF6HYYT"],"itemData":{"id":410,"type":"article-journal","abstract":"The use of plants as a source of cosmetic ingredients has a long history, but has become increasingly important over the last three decades as consumers become more aware of the provenance of cosmetic products and their impact on the environment. Modern cosmetic ingredients must not only be safe, effective and sustainable, but must also comply with a complex framework of regulations, only some of which are internationally standardized. Consumers are also presented with an overlapping and poorly defined set of certification schemes offering claims of sustainability and environmental benefits. In this brief review article, we look at the regulations governing plant-based ingredients in the cosmetics industry, and how these intersect with modern biotechnological approaches for the development of ingredients with proven efficacy and sustainability. We showcase the example of\n              InnCoCells\n              , the first Horizon project dedicated to the development of cosmetic ingredients based on sustainable plant-based resources.","citation-key":"bourgaudPlantGeneticResources2025","container-title":"Open Research Europe","DOI":"10.12688/openreseurope.20113.2","ISSN":"2732-5121","journalAbbreviation":"Open Res Europe","language":"en","page":"165","source":"DOI.org (Crossref)","title":"From plant genetic resources to cosmetic active ingredients: when science meets regulation and market rules","title-short":"From plant genetic resources to cosmetic active ingredients","volume":"5","author":[{"family":"Bourgaud","given":"F."},{"family":"Twyman","given":"R. M."},{"family":"Oksman-Caldentey","given":"K.-M."}],"issued":{"date-parts":[["2025",9,4]]}}}],"schema":"https://github.com/citation-style-language/schema/raw/master/csl-citation.json"}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Georgia" w:hAnsiTheme="majorBidi" w:cstheme="majorBidi"/>
          <w:lang w:val="en-CA" w:eastAsia="en-GB"/>
        </w:rPr>
        <w:t xml:space="preserve">(Ferreira </w:t>
      </w:r>
      <w:r w:rsidRPr="005F0A67">
        <w:rPr>
          <w:rFonts w:asciiTheme="majorBidi" w:eastAsia="Georgia" w:hAnsiTheme="majorBidi" w:cstheme="majorBidi"/>
          <w:i/>
          <w:iCs/>
          <w:lang w:val="en-CA" w:eastAsia="en-GB"/>
        </w:rPr>
        <w:t>et al.</w:t>
      </w:r>
      <w:r w:rsidRPr="005F0A67">
        <w:rPr>
          <w:rFonts w:asciiTheme="majorBidi" w:eastAsia="Georgia" w:hAnsiTheme="majorBidi" w:cstheme="majorBidi"/>
          <w:lang w:val="en-CA" w:eastAsia="en-GB"/>
        </w:rPr>
        <w:t xml:space="preserve">, 2022; Morel </w:t>
      </w:r>
      <w:r w:rsidRPr="005F0A67">
        <w:rPr>
          <w:rFonts w:asciiTheme="majorBidi" w:eastAsia="Georgia" w:hAnsiTheme="majorBidi" w:cstheme="majorBidi"/>
          <w:i/>
          <w:iCs/>
          <w:lang w:val="en-CA" w:eastAsia="en-GB"/>
        </w:rPr>
        <w:t>et al.</w:t>
      </w:r>
      <w:r w:rsidRPr="005F0A67">
        <w:rPr>
          <w:rFonts w:asciiTheme="majorBidi" w:eastAsia="Georgia" w:hAnsiTheme="majorBidi" w:cstheme="majorBidi"/>
          <w:lang w:val="en-CA" w:eastAsia="en-GB"/>
        </w:rPr>
        <w:t>, 2023; Bourgaud, Twyman and Oksman-Caldentey, 2025)</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w:t>
      </w:r>
    </w:p>
    <w:p w14:paraId="6C954F8B"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b/>
          <w:bCs/>
          <w:lang w:val="en-CA" w:eastAsia="en-GB"/>
        </w:rPr>
        <w:t xml:space="preserve">Downstream branded cosmetics firms </w:t>
      </w:r>
      <w:r w:rsidRPr="005F0A67">
        <w:rPr>
          <w:rFonts w:asciiTheme="majorBidi" w:eastAsia="Times New Roman" w:hAnsiTheme="majorBidi" w:cstheme="majorBidi"/>
          <w:lang w:val="en-CA" w:eastAsia="en-GB"/>
        </w:rPr>
        <w:t xml:space="preserve">compete through branding, product portfolios, regulatory compliance, and channel access rather than through direct control of sequence-based innovation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{"citationID":"CupnIqqU","properties":{"unsorted":false,"formattedCitation":"(Sedita {\\i{}et al.}, 2021; Ferreira {\\i{}et al.}, 2022; Morel {\\i{}et al.}, 2023)","plainCitation":"(Sedita et al., 2021; Ferreira et al., 2022; Morel et al., 2023)","noteIndex":0},"citationItems":[{"id":47,"uris":["http://zotero.org/users/14977742/items/QGB7NHSE"],"itemData":{"id":47,"type":"article-journal","abstract":"We address the following research questions: (1) Is the innovation trajectory of the acquirer affected by previous acquisitions? (2) In which direction knowledge recombination from the acquisition is pushed further? (3) Is the technological acquisition more a means for knowledge exploration and radical innovation or, on the contrary, a way for consolidating previous technological specialization?The nature of this study is exploratory; therefore, we opted for an inductive approach based on the L'Oréal case study analysis. Data were triangulated from different sources: (a) the L'Oréal website and press releases collected in the 2009–2015 period; (b) journal articles and books on the global cosmetics industry and the insightful work of Jones (2010); (c) the Questel Orbit database containing data on patents; and (d) the Zephyr – Bureau van Dijk database containing information on the acquisitions of firms.Empirical evidence from a patent data analysis reveals a paradoxical path. On the one hand, acquisitions enable the company to explore new technological spaces; on the other hand, they allow it to reinforce a preexisting technological trajectory, even when the knowledge base of the target is distant from that of the acquirer. Thus, in our case study, the absorption and recombination of knowledge from a variety of domains support specialization more than diversification technology strategies.We add to innovation management literature a new perspective, by offering a detailed analysis, through patent data, of the knowledge recombination process, led by technological acquisitions.","citation-key":"seditaTechnologicalAcquisitionsParadox2021","container-title":"European Journal of Innovation Management","DOI":"10.1108/EJIM-05-2021-0235","ISSN":"1460-1060","issue":"6","journalAbbreviation":"European Journal of Innovation Management","page":"393-412","source":"Silverchair","title":"The technological acquisitions paradox in the beauty industry","volume":"25","author":[{"family":"Sedita","given":"Silvia Rita"},{"family":"Belussi","given":"Fiorenza"},{"family":"Noni","given":"Ivan De"},{"family":"Apa","given":"Roberta"}],"issued":{"date-parts":[["2021",10,6]]}}},{"id":49,"uris":["http://zotero.org/users/14977742/items/PDUQIBZ3"],"itemData":{"id":49,"type":"article-journal","abstract":"To ensure safety and efficacy, cosmetic products are regulated and controlled worldwide. However, the regulatory approaches of each country may be significantly different and impact the competitiveness and economic viability of the industry. This work presents an updated review and comparison of regulatory requirements from the European Union, United States of America, Canada, Japan, People’s Republic of China and Brazil. It outlines contents such as the definition, classification and categorization of cosmetics, pre-market requirements, ingredients management, general labelling requirements, regulation of claims concerning advertisement and commercial practices, increase of animal testing and marketing bans on cosmetic products. Furthermore, it weighs the impact of regulatory differences on the safety and accessibility of these products in the mentioned regions.","citation-key":"ferreiraOverviewCosmeticRegulatory2022","container-title":"Cosmetics","DOI":"10.3390/cosmetics9040072","ISSN":"2079-9284","issue":"4","language":"en","license":"http://creativecommons.org/licenses/by/3.0/","page":"72","publisher":"Multidisciplinary Digital Publishing Institute","source":"www.mdpi.com","title":"Overview of Cosmetic Regulatory Frameworks around the World","volume":"9","author":[{"family":"Ferreira","given":"Mariana"},{"family":"Matos","given":"Ana"},{"family":"Couras","given":"Ana"},{"family":"Marto","given":"Joana"},{"family":"Ribeiro","given":"Helena"}],"issued":{"date-parts":[["2022",8]]}}},{"id":48,"uris":["http://zotero.org/users/14977742/items/3NII5H7V"],"itemData":{"id":48,"type":"article-journal","abstract":"In this study, an overview of the regulations in force in some extra-EU states belonging to different geoeconomic areas is provided, starting from the current EU legislation on cosmetic products. We focused on their legislative frameworks and the location of the relevant regulatory documentation. Furthermore, for each state considered, our analysis examined the notification/authorization processes, approaches to animal testing, and allowed/prohibited ingredient lists, as these aspects are considered to be among the primary restrictions hindering the cosmetic market. It can be observed that many states are working towards standardising their regulations to promote greater international trade. However, it is essential to recognize that different countries belonging to distinct geoeconomic areas may have unique requirements, and harmonization may not necessarily be the best solution. It is crucial to consider different needs and preferences when approaching the global regulation of the cosmetic industry.","citation-key":"morelRegulatoryRequirementsExporting2023","container-title":"Cosmetics","DOI":"10.3390/cosmetics10020062","ISSN":"2079-9284","issue":"2","language":"en","license":"http://creativecommons.org/licenses/by/3.0/","page":"62","publisher":"Multidisciplinary Digital Publishing Institute","source":"www.mdpi.com","title":"Regulatory Requirements for Exporting Cosmetic Products to Extra-EU Countries","volume":"10","author":[{"family":"Morel","given":"Silvia"},{"family":"Sapino","given":"Simona"},{"family":"Peira","given":"Elena"},{"family":"Chirio","given":"Daniela"},{"family":"Gallarate","given":"Marina"}],"issued":{"date-parts":[["2023",4]]}}}],"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Georgia" w:hAnsiTheme="majorBidi" w:cstheme="majorBidi"/>
          <w:lang w:val="en-CA" w:eastAsia="en-GB"/>
        </w:rPr>
        <w:t xml:space="preserve">(Sedita </w:t>
      </w:r>
      <w:r w:rsidRPr="005F0A67">
        <w:rPr>
          <w:rFonts w:asciiTheme="majorBidi" w:eastAsia="Georgia" w:hAnsiTheme="majorBidi" w:cstheme="majorBidi"/>
          <w:i/>
          <w:iCs/>
          <w:lang w:val="en-CA" w:eastAsia="en-GB"/>
        </w:rPr>
        <w:t>et al.</w:t>
      </w:r>
      <w:r w:rsidRPr="005F0A67">
        <w:rPr>
          <w:rFonts w:asciiTheme="majorBidi" w:eastAsia="Georgia" w:hAnsiTheme="majorBidi" w:cstheme="majorBidi"/>
          <w:lang w:val="en-CA" w:eastAsia="en-GB"/>
        </w:rPr>
        <w:t xml:space="preserve">, 2021; Ferreira </w:t>
      </w:r>
      <w:r w:rsidRPr="005F0A67">
        <w:rPr>
          <w:rFonts w:asciiTheme="majorBidi" w:eastAsia="Georgia" w:hAnsiTheme="majorBidi" w:cstheme="majorBidi"/>
          <w:i/>
          <w:iCs/>
          <w:lang w:val="en-CA" w:eastAsia="en-GB"/>
        </w:rPr>
        <w:t>et al.</w:t>
      </w:r>
      <w:r w:rsidRPr="005F0A67">
        <w:rPr>
          <w:rFonts w:asciiTheme="majorBidi" w:eastAsia="Georgia" w:hAnsiTheme="majorBidi" w:cstheme="majorBidi"/>
          <w:lang w:val="en-CA" w:eastAsia="en-GB"/>
        </w:rPr>
        <w:t xml:space="preserve">, 2022; Morel </w:t>
      </w:r>
      <w:r w:rsidRPr="005F0A67">
        <w:rPr>
          <w:rFonts w:asciiTheme="majorBidi" w:eastAsia="Georgia" w:hAnsiTheme="majorBidi" w:cstheme="majorBidi"/>
          <w:i/>
          <w:iCs/>
          <w:lang w:val="en-CA" w:eastAsia="en-GB"/>
        </w:rPr>
        <w:t>et al.</w:t>
      </w:r>
      <w:r w:rsidRPr="005F0A67">
        <w:rPr>
          <w:rFonts w:asciiTheme="majorBidi" w:eastAsia="Georgia" w:hAnsiTheme="majorBidi" w:cstheme="majorBidi"/>
          <w:lang w:val="en-CA" w:eastAsia="en-GB"/>
        </w:rPr>
        <w:t>, 2023)</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For this segment, competitive advantage depends heavily on navigating regulatory regimes across jurisdictions where harmonisation is still partial: the same formulation may be treated as a cosmetic, a medicinal product, a quasi-drug, or a higher-risk category depending on the country. In consequence, branded firms must manage ongoing compliance tasks such as maintaining Product Information Files</w:t>
      </w:r>
      <w:r w:rsidRPr="005F0A67">
        <w:rPr>
          <w:rFonts w:asciiTheme="majorBidi" w:eastAsia="Times New Roman" w:hAnsiTheme="majorBidi" w:cstheme="majorBidi"/>
          <w:vertAlign w:val="superscript"/>
          <w:lang w:val="en-CA" w:eastAsia="en-GB"/>
        </w:rPr>
        <w:footnoteReference w:id="95"/>
      </w:r>
      <w:r w:rsidRPr="005F0A67">
        <w:rPr>
          <w:rFonts w:asciiTheme="majorBidi" w:eastAsia="Times New Roman" w:hAnsiTheme="majorBidi" w:cstheme="majorBidi"/>
          <w:lang w:val="en-CA" w:eastAsia="en-GB"/>
        </w:rPr>
        <w:t xml:space="preserve">, conducting safety assessments, and reformulating products when ingredients are restricted or reassessed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{"citationID":"5t5Px2WJ","properties":{"unsorted":false,"formattedCitation":"(Ferreira {\\i{}et al.}, 2022; Morel {\\i{}et al.}, 2023; Vieira {\\i{}et al.}, 2024)","plainCitation":"(Ferreira et al., 2022; Morel et al., 2023; Vieira et al., 2024)","noteIndex":0},"citationItems":[{"id":49,"uris":["http://zotero.org/users/14977742/items/PDUQIBZ3"],"itemData":{"id":49,"type":"article-journal","abstract":"To ensure safety and efficacy, cosmetic products are regulated and controlled worldwide. However, the regulatory approaches of each country may be significantly different and impact the competitiveness and economic viability of the industry. This work presents an updated review and comparison of regulatory requirements from the European Union, United States of America, Canada, Japan, People’s Republic of China and Brazil. It outlines contents such as the definition, classification and categorization of cosmetics, pre-market requirements, ingredients management, general labelling requirements, regulation of claims concerning advertisement and commercial practices, increase of animal testing and marketing bans on cosmetic products. Furthermore, it weighs the impact of regulatory differences on the safety and accessibility of these products in the mentioned regions.","citation-key":"ferreiraOverviewCosmeticRegulatory2022","container-title":"Cosmetics","DOI":"10.3390/cosmetics9040072","ISSN":"2079-9284","issue":"4","language":"en","license":"http://creativecommons.org/licenses/by/3.0/","page":"72","publisher":"Multidisciplinary Digital Publishing Institute","source":"www.mdpi.com","title":"Overview of Cosmetic Regulatory Frameworks around the World","volume":"9","author":[{"family":"Ferreira","given":"Mariana"},{"family":"Matos","given":"Ana"},{"family":"Couras","given":"Ana"},{"family":"Marto","given":"Joana"},{"family":"Ribeiro","given":"Helena"}],"issued":{"date-parts":[["2022",8]]}}},{"id":48,"uris":["http://zotero.org/users/14977742/items/3NII5H7V"],"itemData":{"id":48,"type":"article-journal","abstract":"In this study, an overview of the regulations in force in some extra-EU states belonging to different geoeconomic areas is provided, starting from the current EU legislation on cosmetic products. We focused on their legislative frameworks and the location of the relevant regulatory documentation. Furthermore, for each state considered, our analysis examined the notification/authorization processes, approaches to animal testing, and allowed/prohibited ingredient lists, as these aspects are considered to be among the primary restrictions hindering the cosmetic market. It can be observed that many states are working towards standardising their regulations to promote greater international trade. However, it is essential to recognize that different countries belonging to distinct geoeconomic areas may have unique requirements, and harmonization may not necessarily be the best solution. It is crucial to consider different needs and preferences when approaching the global regulation of the cosmetic industry.","citation-key":"morelRegulatoryRequirementsExporting2023","container-title":"Cosmetics","DOI":"10.3390/cosmetics10020062","ISSN":"2079-9284","issue":"2","language":"en","license":"http://creativecommons.org/licenses/by/3.0/","page":"62","publisher":"Multidisciplinary Digital Publishing Institute","source":"www.mdpi.com","title":"Regulatory Requirements for Exporting Cosmetic Products to Extra-EU Countries","volume":"10","author":[{"family":"Morel","given":"Silvia"},{"family":"Sapino","given":"Simona"},{"family":"Peira","given":"Elena"},{"family":"Chirio","given":"Daniela"},{"family":"Gallarate","given":"Marina"}],"issued":{"date-parts":[["2023",4]]}}},{"id":46,"uris":["http://zotero.org/users/14977742/items/Z43JJTLW"],"itemData":{"id":46,"type":"article-journal","abstract":"Cosmetic products have been increasingly regulated, particularly in Europe. With the introduction of the cosmetic regulation in 2013, stricter quality standards were implemented, surpassing those set by the 1976 legislation. The primary objective of these regulations is to safeguard consumer safety during the use of cosmetic products. Despite these advancements, certain regulatory gaps remain, indicating the need for more effective measures to enhance human and environmental health protection. Considering the aforementioned, this work aims to provide an overview of the current Cosmetics Regulation, highlighting the weakest cornerstones that represent the missing link keeping the core objective from being achieved. While there is ongoing reliance on historical data from animal studies, efforts are actively underway to replace these methods with new new approach methodologies for risk assessment. Additionally, regulatory authorities continue to improve environmental considerations in the assessment process. These measures, along with enhanced surveillance systems, are gradually addressing existing gaps and contributing to a more robust regulatory framework that balances market access with consumer safety. Legally non-compliant—or perhaps compliant but unknowingly dangerous—products may be used by people who relativize them as inherently safe, leading to adverse events. Whether caused by an underlying disease or purely by the chemical’s toxicity, these may never come to the attention of the authorities as they are generally under-reported, making it unfeasible to implement corrective or preventive measures to address their root cause. To illustrate, non-compliant products that have been detected by the Portuguese authority, INFARMED, I. P., from January 2018 to September 2023 are discussed, which were found to be potentially dangerous to human health and, therefore, withdrawn from the market.","citation-key":"vieiraRegulationSafetyCosmetics2024","container-title":"Cosmetics","DOI":"10.3390/cosmetics11060184","ISSN":"2079-9284","issue":"6","language":"en","license":"http://creativecommons.org/licenses/by/3.0/","page":"184","publisher":"Multidisciplinary Digital Publishing Institute","source":"www.mdpi.com","title":"Regulation and Safety of Cosmetics: Pre- and Post-Market Considerations for Adverse Events and Environmental Impacts","title-short":"Regulation and Safety of Cosmetics","volume":"11","author":[{"family":"Vieira","given":"Daniela"},{"family":"Duarte","given":"Joana"},{"family":"Vieira","given":"Pedro"},{"family":"Gonçalves","given":"Maria Beatriz S."},{"family":"Figueiras","given":"Ana"},{"family":"Lohani","given":"Alka"},{"family":"Veiga","given":"Francisco"},{"family":"Mascarenhas-Melo","given":"Filipa"}],"issued":{"date-parts":[["2024",12]]}}}],"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Georgia" w:hAnsiTheme="majorBidi" w:cstheme="majorBidi"/>
          <w:lang w:val="en-CA" w:eastAsia="en-GB"/>
        </w:rPr>
        <w:t xml:space="preserve">(Ferreira </w:t>
      </w:r>
      <w:r w:rsidRPr="005F0A67">
        <w:rPr>
          <w:rFonts w:asciiTheme="majorBidi" w:eastAsia="Georgia" w:hAnsiTheme="majorBidi" w:cstheme="majorBidi"/>
          <w:i/>
          <w:iCs/>
          <w:lang w:val="en-CA" w:eastAsia="en-GB"/>
        </w:rPr>
        <w:t>et al.</w:t>
      </w:r>
      <w:r w:rsidRPr="005F0A67">
        <w:rPr>
          <w:rFonts w:asciiTheme="majorBidi" w:eastAsia="Georgia" w:hAnsiTheme="majorBidi" w:cstheme="majorBidi"/>
          <w:lang w:val="en-CA" w:eastAsia="en-GB"/>
        </w:rPr>
        <w:t xml:space="preserve">, 2022; Morel </w:t>
      </w:r>
      <w:r w:rsidRPr="005F0A67">
        <w:rPr>
          <w:rFonts w:asciiTheme="majorBidi" w:eastAsia="Georgia" w:hAnsiTheme="majorBidi" w:cstheme="majorBidi"/>
          <w:i/>
          <w:iCs/>
          <w:lang w:val="en-CA" w:eastAsia="en-GB"/>
        </w:rPr>
        <w:t>et al.</w:t>
      </w:r>
      <w:r w:rsidRPr="005F0A67">
        <w:rPr>
          <w:rFonts w:asciiTheme="majorBidi" w:eastAsia="Georgia" w:hAnsiTheme="majorBidi" w:cstheme="majorBidi"/>
          <w:lang w:val="en-CA" w:eastAsia="en-GB"/>
        </w:rPr>
        <w:t xml:space="preserve">, 2023; Vieira </w:t>
      </w:r>
      <w:r w:rsidRPr="005F0A67">
        <w:rPr>
          <w:rFonts w:asciiTheme="majorBidi" w:eastAsia="Georgia" w:hAnsiTheme="majorBidi" w:cstheme="majorBidi"/>
          <w:i/>
          <w:iCs/>
          <w:lang w:val="en-CA" w:eastAsia="en-GB"/>
        </w:rPr>
        <w:t>et al.</w:t>
      </w:r>
      <w:r w:rsidRPr="005F0A67">
        <w:rPr>
          <w:rFonts w:asciiTheme="majorBidi" w:eastAsia="Georgia" w:hAnsiTheme="majorBidi" w:cstheme="majorBidi"/>
          <w:lang w:val="en-CA" w:eastAsia="en-GB"/>
        </w:rPr>
        <w:t>, 2024)</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The production of cosmetics and beauty products is heavily concentrated and controlled by several multinational corporations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{"citationID":"4jv78nJK","properties":{"unsorted":false,"formattedCitation":"(Statista, 2026)","plainCitation":"(Statista, 2026)","noteIndex":0},"citationItems":[{"id":39,"uris":["http://zotero.org/users/14977742/items/QFRTZXWQ"],"itemData":{"id":39,"type":"post-weblog","citation-key":"cyclesTopicCosmeticsIndustry","container-title":"Statista","language":"en","title":"Cosmetics industry - statistics &amp; facts","title-short":"Topic","URL":"https://www.statista.com/topics/3137/cosmetics-industry/","author":[{"literal":"Statista"}],"accessed":{"date-parts":[["2026",6,3]]},"issued":{"date-parts":[["2026",1]]}}}],"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noProof/>
          <w:lang w:val="en-CA" w:eastAsia="en-GB"/>
        </w:rPr>
        <w:t>(Statista, 2026)</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Nonetheless, competition in the market continues to intensify, as beauty industry leaders point to heightened consumer scrutiny of value and unpredictable spending as key threats to growth. Those are further compounded by increasing pressure from independent brands and emerging rivals (McKinsey, 2025).</w:t>
      </w:r>
    </w:p>
    <w:p w14:paraId="37197A96"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b/>
          <w:bCs/>
          <w:lang w:val="en-CA" w:eastAsia="en-GB"/>
        </w:rPr>
        <w:t>Upstream active ingredient developers</w:t>
      </w:r>
      <w:r w:rsidRPr="005F0A67">
        <w:rPr>
          <w:rFonts w:asciiTheme="majorBidi" w:eastAsia="Times New Roman" w:hAnsiTheme="majorBidi" w:cstheme="majorBidi"/>
          <w:lang w:val="en-CA" w:eastAsia="en-GB"/>
        </w:rPr>
        <w:t xml:space="preserve"> compete through scientific validation, scalable production, and regulatory acceptance of novel actives derived from plant, marine, microbial, or precision fermentation systems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{"citationID":"hIS0ZVET","properties":{"unsorted":false,"formattedCitation":"(Rotter {\\i{}et al.}, 2024; Bourgaud, Twyman and Oksman-Caldentey, 2025; Silva {\\i{}et al.}, 2025a)","plainCitation":"(Rotter et al., 2024; Bourgaud, Twyman and Oksman-Caldentey, 2025; Silva et al., 2025a)","noteIndex":0},"citationItems":[{"id":45,"uris":["http://zotero.org/users/14977742/items/9BIMDBU6"],"itemData":{"id":45,"type":"article-journal","citation-key":"rotterMarineCosmeticsBlue2024","container-title":"iScience","DOI":"10.1016/j.isci.2024.111339","ISSN":"2589-0042","issue":"12","journalAbbreviation":"iScience","language":"English","PMID":"39650733","publisher":"Elsevier","source":"www.cell.com","title":"Marine cosmetics and the blue bioeconomy: From sourcing to success stories","title-short":"Marine cosmetics and the blue bioeconomy","URL":"https://www.cell.com/iscience/abstract/S2589-0042(24)02564-1","volume":"27","author":[{"family":"Rotter","given":"Ana"},{"family":"Varamogianni-Mamatsi","given":"Despoina"},{"family":"Pobirk","given":"Alenka Zvonar"},{"family":"Matjaž","given":"Mirjam Gosenca"},{"family":"Cueto","given":"Mercedes"},{"family":"Díaz-Marrero","given":"Ana R."},{"family":"Jónsdóttir","given":"Rósa"},{"family":"Sveinsdóttir","given":"Kolbrún"},{"family":"Catalá","given":"Teresa S."},{"family":"Romano","given":"Giovanna"},{"family":"Guler","given":"Bahar Aslanbay"},{"family":"Atak","given":"Eylem"},{"family":"Zrimec","given":"Maja Berden"},{"family":"Bosch","given":"Daniel"},{"family":"Deniz","given":"Irem"},{"family":"Gaudêncio","given":"Susana P."},{"family":"Grigalionyte-Bembič","given":"Ernesta"},{"family":"Klun","given":"Katja"},{"family":"Zidar","given":"Luen"},{"family":"Rius","given":"Anna Coll"},{"family":"Baebler","given":"Špela"},{"family":"Bilela","given":"Lada Lukić"},{"family":"Rinkevich","given":"Baruch"},{"family":"Mandalakis","given":"Manolis"}],"accessed":{"date-parts":[["2026",6,3]]},"issued":{"date-parts":[["2024",12,20]]}}},{"id":410,"uris":["http://zotero.org/users/14977742/items/EHF6HYYT"],"itemData":{"id":410,"type":"article-journal","abstract":"The use of plants as a source of cosmetic ingredients has a long history, but has become increasingly important over the last three decades as consumers become more aware of the provenance of cosmetic products and their impact on the environment. Modern cosmetic ingredients must not only be safe, effective and sustainable, but must also comply with a complex framework of regulations, only some of which are internationally standardized. Consumers are also presented with an overlapping and poorly defined set of certification schemes offering claims of sustainability and environmental benefits. In this brief review article, we look at the regulations governing plant-based ingredients in the cosmetics industry, and how these intersect with modern biotechnological approaches for the development of ingredients with proven efficacy and sustainability. We showcase the example of\n              InnCoCells\n              , the first Horizon project dedicated to the development of cosmetic ingredients based on sustainable plant-based resources.","citation-key":"bourgaudPlantGeneticResources2025","container-title":"Open Research Europe","DOI":"10.12688/openreseurope.20113.2","ISSN":"2732-5121","journalAbbreviation":"Open Res Europe","language":"en","page":"165","source":"DOI.org (Crossref)","title":"From plant genetic resources to cosmetic active ingredients: when science meets regulation and market rules","title-short":"From plant genetic resources to cosmetic active ingredients","volume":"5","author":[{"family":"Bourgaud","given":"F."},{"family":"Twyman","given":"R. M."},{"family":"Oksman-Caldentey","given":"K.-M."}],"issued":{"date-parts":[["2025",9,4]]}}},{"id":52,"uris":["http://zotero.org/users/14977742/items/H5HZM3CE"],"itemData":{"id":52,"type":"article-journal","abstract":"Precision fermentation, a highly controlled process of microbial fermentation, is emerging as a transformative tool to produce cosmetic ingredients. This technology leverages engineered micro-organisms to produce high-value compounds with applications in skincare, hair care, and other cosmetic formulations. Unlike traditional methods of ingredient sourcing, which often rely on extraction from plants or animals, precision fermentation offers a sustainable and scalable alternative, minimizing environmental impact and enhancing the consistency of ingredient supply. This paper explores the potential of precision fermentation to revolutionize the cosmetic industry by enabling the production of complex molecules, such as peptides, proteins, and other bioactive compounds, which are essential for cosmetic efficacy. Using synthetic biology, micro-organisms such as yeast, bacteria, and fungi are programmed to biosynthesize specific cosmetic ingredients, which can include antioxidants, emulsifiers, and moisturizers. This technique not only ensures high purity and ingredients safety but also allows for the production of novel compounds that may be difficult or impossible to obtain through traditional methods. Furthermore, precision fermentation can be employed to address growing consumer demand for cruelty-free, vegan, and eco-friendly products, as it eliminates the need for animal-derived ingredients and reduces resource consumption associated with conventional farming and extraction processes. This review highlights key advancements in the field, discussing the challenges faced by industry, such as regulatory framework, and presents potential solutions for overcoming these obstacles. The paper concludes by examining the prospects of precision fermentation in cosmetics, forecasting how continued innovation in this area could further drive sustainability, ethical production practices, and the development of highly functional, scientifically advanced cosmetic products.","citation-key":"silvaPrecisionFermentationTool2025","container-title":"Applied Sciences","DOI":"10.3390/app15179246","ISSN":"2076-3417","issue":"17","language":"en","license":"http://creativecommons.org/licenses/by/3.0/","page":"9246","publisher":"Multidisciplinary Digital Publishing Institute","source":"www.mdpi.com","title":"Precision Fermentation as a Tool for Sustainable Cosmetic Ingredient Production","volume":"15","author":[{"family":"Silva","given":"Sara"},{"family":"Bautista-Hérnandez","given":"Israel"},{"family":"Gomez-García","given":"Ricardo"},{"family":"Costa","given":"Eduardo M."},{"family":"Machado","given":"Manuela"}],"issued":{"date-parts":[["2025",1]]}}}],"schema":"https://github.com/citation-style-language/schema/raw/master/csl-citation.json"}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Georgia" w:hAnsiTheme="majorBidi" w:cstheme="majorBidi"/>
          <w:lang w:val="en-CA" w:eastAsia="en-GB"/>
        </w:rPr>
        <w:t xml:space="preserve">(Rotter </w:t>
      </w:r>
      <w:r w:rsidRPr="005F0A67">
        <w:rPr>
          <w:rFonts w:asciiTheme="majorBidi" w:eastAsia="Georgia" w:hAnsiTheme="majorBidi" w:cstheme="majorBidi"/>
          <w:i/>
          <w:iCs/>
          <w:lang w:val="en-CA" w:eastAsia="en-GB"/>
        </w:rPr>
        <w:t>et al.</w:t>
      </w:r>
      <w:r w:rsidRPr="005F0A67">
        <w:rPr>
          <w:rFonts w:asciiTheme="majorBidi" w:eastAsia="Georgia" w:hAnsiTheme="majorBidi" w:cstheme="majorBidi"/>
          <w:lang w:val="en-CA" w:eastAsia="en-GB"/>
        </w:rPr>
        <w:t xml:space="preserve">, 2024; Bourgaud, Twyman and Oksman-Caldentey, 2025; Silva </w:t>
      </w:r>
      <w:r w:rsidRPr="005F0A67">
        <w:rPr>
          <w:rFonts w:asciiTheme="majorBidi" w:eastAsia="Georgia" w:hAnsiTheme="majorBidi" w:cstheme="majorBidi"/>
          <w:i/>
          <w:iCs/>
          <w:lang w:val="en-CA" w:eastAsia="en-GB"/>
        </w:rPr>
        <w:t>et al.</w:t>
      </w:r>
      <w:r w:rsidRPr="005F0A67">
        <w:rPr>
          <w:rFonts w:asciiTheme="majorBidi" w:eastAsia="Georgia" w:hAnsiTheme="majorBidi" w:cstheme="majorBidi"/>
          <w:lang w:val="en-CA" w:eastAsia="en-GB"/>
        </w:rPr>
        <w:t>, 2025a)</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Plant genetic resources, marine bioresources, and engineered microorganisms are among the primary sources of cosmetic active ingredients, with precision fermentation increasingly used to produce ingredients such as collagen or hyaluronic acid in scalable and standardised forms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{"citationID":"5fUchg4o","properties":{"unsorted":false,"formattedCitation":"(Silva {\\i{}et al.}, 2025b)","plainCitation":"(Silva et al., 2025b)","noteIndex":0},"citationItems":[{"id":44,"uris":["http://zotero.org/users/14977742/items/K7RHEVJ7"],"itemData":{"id":44,"type":"article-journal","abstract":"Precision fermentation, a highly controlled process of microbial fermentation, is emerging as a transformative tool to produce cosmetic ingredients. This technology leverages engineered micro-organisms to produce high-value compounds with applications in skincare, hair care, and other cosmetic formulations. Unlike traditional methods of ingredient sourcing, which often rely on extraction from plants or animals, precision fermentation offers a sustainable and scalable alternative, minimizing environmental impact and enhancing the consistency of ingredient supply. This paper explores the potential of precision fermentation to revolutionize the cosmetic industry by enabling the production of complex molecules, such as peptides, proteins, and other bioactive compounds, which are essential for cosmetic efficacy. Using synthetic biology, micro-organisms such as yeast, bacteria, and fungi are programmed to biosynthesize specific cosmetic ingredients, which can include antioxidants, emulsifiers, and moisturizers. This technique not only ensures high purity and ingredients safety but also allows for the production of novel compounds that may be difficult or impossible to obtain through traditional methods. Furthermore, precision fermentation can be employed to address growing consumer demand for cruelty-free, vegan, and eco-friendly products, as it eliminates the need for animal-derived ingredients and reduces resource consumption associated with conventional farming and extraction processes. This review highlights key advancements in the field, discussing the challenges faced by industry, such as regulatory framework, and presents potential solutions for overcoming these obstacles. The paper concludes by examining the prospects of precision fermentation in cosmetics, forecasting how continued innovation in this area could further drive sustainability, ethical production practices, and the development of highly functional, scientifically advanced cosmetic products.","citation-key":"silvaPrecisionFermentationTool2025a","container-title":"Applied Sciences","DOI":"10.3390/app15179246","ISSN":"2076-3417","issue":"17","language":"en","license":"http://creativecommons.org/licenses/by/3.0/","page":"9246","publisher":"Multidisciplinary Digital Publishing Institute","source":"www.mdpi.com","title":"Precision Fermentation as a Tool for Sustainable Cosmetic Ingredient Production","volume":"15","author":[{"family":"Silva","given":"Sara"},{"family":"Bautista-Hérnandez","given":"Israel"},{"family":"Gomez-García","given":"Ricardo"},{"family":"Costa","given":"Eduardo M."},{"family":"Machado","given":"Manuela"}],"issued":{"date-parts":[["2025",1]]}}}],"schema":"https://github.com/citation-style-language/schema/raw/master/csl-citation.json"}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Georgia" w:hAnsiTheme="majorBidi" w:cstheme="majorBidi"/>
          <w:lang w:val="en-CA" w:eastAsia="en-GB"/>
        </w:rPr>
        <w:t xml:space="preserve">(Silva </w:t>
      </w:r>
      <w:r w:rsidRPr="005F0A67">
        <w:rPr>
          <w:rFonts w:asciiTheme="majorBidi" w:eastAsia="Georgia" w:hAnsiTheme="majorBidi" w:cstheme="majorBidi"/>
          <w:i/>
          <w:iCs/>
          <w:lang w:val="en-CA" w:eastAsia="en-GB"/>
        </w:rPr>
        <w:t>et al.</w:t>
      </w:r>
      <w:r w:rsidRPr="005F0A67">
        <w:rPr>
          <w:rFonts w:asciiTheme="majorBidi" w:eastAsia="Georgia" w:hAnsiTheme="majorBidi" w:cstheme="majorBidi"/>
          <w:lang w:val="en-CA" w:eastAsia="en-GB"/>
        </w:rPr>
        <w:t>, 2025b)</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This group faces material bottlenecks in ingredient approval, efficacy validation, scale-up, and ABS-sensitive innovation pathways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{"citationID":"5S7eMjEq","properties":{"unsorted":false,"formattedCitation":"(Kl\\uc0\\u252{}nker and Richter, 2022; Michiels {\\i{}et al.}, 2022; Bourgaud, Twyman and Oksman-Caldentey, 2025)","plainCitation":"(Klünker and Richter, 2022; Michiels et al., 2022; Bourgaud, Twyman and Oksman-Caldentey, 2025)","noteIndex":0},"citationItems":[{"id":154,"uris":["http://zotero.org/users/14977742/items/H7QM55AB"],"itemData":{"id":154,"type":"article-journal","abstract":"Currently, parties to the Convention on Biological Diversity (CBD) are negotiating a strategic plan to save biodiversity. One crucial element of an agreement is the question of whether and how digital sequence information (DSI) is subject to access and benefit-sharing from the utilization of genetic resources, one main instrument of the CBD. In the EU, the Open Data Directive (ODD) of 2019 and the recently adopted Data Governance Act (DGA) already cover research data and to some extent DSI. An analysis of the ODD and the DGA throws a spotlight on the legal uncertainty of utilizing DSI and reveals systemic tensions between open data principles and benefit-sharing restrictions on non-commercial use. It also suggests that a future benefit-sharing mechanism for DSI should avoid distinguishing between commercial and non-commercial use upstream, but should instead favor a solution, which imposes benefit-sharing obligations further downstream or outside of the DSI life cycle.","citation-key":"klunkerDigitalSequenceInformation2022","container-title":"Journal of Law and the Biosciences","DOI":"10.1093/jlb/lsac035","ISSN":"2053-9711","issue":"2","journalAbbreviation":"J Law Biosci","page":"lsac035","source":"Silverchair","title":"Digital Sequence Information between Benefit-Sharing and Open Data","volume":"9","author":[{"family":"Klünker","given":"Irma"},{"family":"Richter","given":"Heiko"}],"issued":{"date-parts":[["2022",7,1]]}}},{"id":248,"uris":["http://zotero.org/users/14977742/items/PVADKR33"],"itemData":{"id":248,"type":"article-journal","abstract":"Access and benefit sharing (ABS) is a framework which refers to a relatively recent type of legal requirements for access to and use of “genetic resources”. They are based on diverse national and regional laws and regulations, which mostly result from the implementation of the United Nations’ Convention on Biological Diversity (CBD) and its supplementary agreement, the Nagoya Protocol. Their ambition is to achieve fair and equitable sharing of benefits arising out of the use of genetic resources as an incentive to conserve and sustainably use them. This paper describes the experiences, practical constraints and complexities encountered by users of genetic resources when dealing with ABS legislation, with a focus on users from the private sector. We provide insights on how ABS laws have fundamentally changed the way of working with genetic resources, in the hope that it inspires re-thinking of the ABS framework, to better support the overall objectives of the CBD.","citation-key":"michielsFacingHarshReality2022a","container-title":"Sustainability","DOI":"10.3390/su14010277","ISSN":"2071-1050","issue":"1","language":"en","license":"http://creativecommons.org/licenses/by/3.0/","page":"277","publisher":"Multidisciplinary Digital Publishing Institute","source":"www.mdpi.com","title":"Facing the Harsh Reality of Access and Benefit Sharing (ABS) Legislation: An Industry Perspective","title-short":"Facing the Harsh Reality of Access and Benefit Sharing (ABS) Legislation","volume":"14","author":[{"family":"Michiels","given":"Frank"},{"family":"Feiter","given":"Ulrich"},{"family":"Paquin-Jaloux","given":"Stéphanie"},{"family":"Jungmann","given":"Diana"},{"family":"Braun","given":"Axel"},{"family":"Sayoc","given":"Mary Ann P."},{"family":"Armengol","given":"Ricard"},{"family":"Wyss","given":"Markus"},{"family":"David","given":"Bruno"}],"issued":{"date-parts":[["2022",1]]}}},{"id":410,"uris":["http://zotero.org/users/14977742/items/EHF6HYYT"],"itemData":{"id":410,"type":"article-journal","abstract":"The use of plants as a source of cosmetic ingredients has a long history, but has become increasingly important over the last three decades as consumers become more aware of the provenance of cosmetic products and their impact on the environment. Modern cosmetic ingredients must not only be safe, effective and sustainable, but must also comply with a complex framework of regulations, only some of which are internationally standardized. Consumers are also presented with an overlapping and poorly defined set of certification schemes offering claims of sustainability and environmental benefits. In this brief review article, we look at the regulations governing plant-based ingredients in the cosmetics industry, and how these intersect with modern biotechnological approaches for the development of ingredients with proven efficacy and sustainability. We showcase the example of\n              InnCoCells\n              , the first Horizon project dedicated to the development of cosmetic ingredients based on sustainable plant-based resources.","citation-key":"bourgaudPlantGeneticResources2025","container-title":"Open Research Europe","DOI":"10.12688/openreseurope.20113.2","ISSN":"2732-5121","journalAbbreviation":"Open Res Europe","language":"en","page":"165","source":"DOI.org (Crossref)","title":"From plant genetic resources to cosmetic active ingredients: when science meets regulation and market rules","title-short":"From plant genetic resources to cosmetic active ingredients","volume":"5","author":[{"family":"Bourgaud","given":"F."},{"family":"Twyman","given":"R. M."},{"family":"Oksman-Caldentey","given":"K.-M."}],"issued":{"date-parts":[["2025",9,4]]}}}],"schema":"https://github.com/citation-style-language/schema/raw/master/csl-citation.json"}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Georgia" w:hAnsiTheme="majorBidi" w:cstheme="majorBidi"/>
          <w:lang w:val="en-CA" w:eastAsia="en-GB"/>
        </w:rPr>
        <w:t xml:space="preserve">(Klünker and Richter, 2022; Michiels </w:t>
      </w:r>
      <w:r w:rsidRPr="005F0A67">
        <w:rPr>
          <w:rFonts w:asciiTheme="majorBidi" w:eastAsia="Georgia" w:hAnsiTheme="majorBidi" w:cstheme="majorBidi"/>
          <w:i/>
          <w:iCs/>
          <w:lang w:val="en-CA" w:eastAsia="en-GB"/>
        </w:rPr>
        <w:t>et al.</w:t>
      </w:r>
      <w:r w:rsidRPr="005F0A67">
        <w:rPr>
          <w:rFonts w:asciiTheme="majorBidi" w:eastAsia="Georgia" w:hAnsiTheme="majorBidi" w:cstheme="majorBidi"/>
          <w:lang w:val="en-CA" w:eastAsia="en-GB"/>
        </w:rPr>
        <w:t>, 2022; Bourgaud, Twyman and Oksman-Caldentey, 2025)</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At the point of research and ingredient development, legal fragmentation and uncertainty pose a more immediate commercial constraint than downstream benefit-sharing payments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{"citationID":"uqS7SUp8","properties":{"unsorted":false,"formattedCitation":"(Kl\\uc0\\u252{}nker and Richter, 2022; Michiels {\\i{}et al.}, 2022)","plainCitation":"(Klünker and Richter, 2022; Michiels et al., 2022)","noteIndex":0},"citationItems":[{"id":154,"uris":["http://zotero.org/users/14977742/items/H7QM55AB"],"itemData":{"id":154,"type":"article-journal","abstract":"Currently, parties to the Convention on Biological Diversity (CBD) are negotiating a strategic plan to save biodiversity. One crucial element of an agreement is the question of whether and how digital sequence information (DSI) is subject to access and benefit-sharing from the utilization of genetic resources, one main instrument of the CBD. In the EU, the Open Data Directive (ODD) of 2019 and the recently adopted Data Governance Act (DGA) already cover research data and to some extent DSI. An analysis of the ODD and the DGA throws a spotlight on the legal uncertainty of utilizing DSI and reveals systemic tensions between open data principles and benefit-sharing restrictions on non-commercial use. It also suggests that a future benefit-sharing mechanism for DSI should avoid distinguishing between commercial and non-commercial use upstream, but should instead favor a solution, which imposes benefit-sharing obligations further downstream or outside of the DSI life cycle.","citation-key":"klunkerDigitalSequenceInformation2022","container-title":"Journal of Law and the Biosciences","DOI":"10.1093/jlb/lsac035","ISSN":"2053-9711","issue":"2","journalAbbreviation":"J Law Biosci","page":"lsac035","source":"Silverchair","title":"Digital Sequence Information between Benefit-Sharing and Open Data","volume":"9","author":[{"family":"Klünker","given":"Irma"},{"family":"Richter","given":"Heiko"}],"issued":{"date-parts":[["2022",7,1]]}}},{"id":248,"uris":["http://zotero.org/users/14977742/items/PVADKR33"],"itemData":{"id":248,"type":"article-journal","abstract":"Access and benefit sharing (ABS) is a framework which refers to a relatively recent type of legal requirements for access to and use of “genetic resources”. They are based on diverse national and regional laws and regulations, which mostly result from the implementation of the United Nations’ Convention on Biological Diversity (CBD) and its supplementary agreement, the Nagoya Protocol. Their ambition is to achieve fair and equitable sharing of benefits arising out of the use of genetic resources as an incentive to conserve and sustainably use them. This paper describes the experiences, practical constraints and complexities encountered by users of genetic resources when dealing with ABS legislation, with a focus on users from the private sector. We provide insights on how ABS laws have fundamentally changed the way of working with genetic resources, in the hope that it inspires re-thinking of the ABS framework, to better support the overall objectives of the CBD.","citation-key":"michielsFacingHarshReality2022a","container-title":"Sustainability","DOI":"10.3390/su14010277","ISSN":"2071-1050","issue":"1","language":"en","license":"http://creativecommons.org/licenses/by/3.0/","page":"277","publisher":"Multidisciplinary Digital Publishing Institute","source":"www.mdpi.com","title":"Facing the Harsh Reality of Access and Benefit Sharing (ABS) Legislation: An Industry Perspective","title-short":"Facing the Harsh Reality of Access and Benefit Sharing (ABS) Legislation","volume":"14","author":[{"family":"Michiels","given":"Frank"},{"family":"Feiter","given":"Ulrich"},{"family":"Paquin-Jaloux","given":"Stéphanie"},{"family":"Jungmann","given":"Diana"},{"family":"Braun","given":"Axel"},{"family":"Sayoc","given":"Mary Ann P."},{"family":"Armengol","given":"Ricard"},{"family":"Wyss","given":"Markus"},{"family":"David","given":"Bruno"}],"issued":{"date-parts":[["2022",1]]}}}],"schema":"https://github.com/citation-style-language/schema/raw/master/csl-citation.json"}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Georgia" w:hAnsiTheme="majorBidi" w:cstheme="majorBidi"/>
          <w:lang w:val="en-CA" w:eastAsia="en-GB"/>
        </w:rPr>
        <w:t xml:space="preserve">(Klünker and Richter, 2022; Michiels </w:t>
      </w:r>
      <w:r w:rsidRPr="005F0A67">
        <w:rPr>
          <w:rFonts w:asciiTheme="majorBidi" w:eastAsia="Georgia" w:hAnsiTheme="majorBidi" w:cstheme="majorBidi"/>
          <w:i/>
          <w:iCs/>
          <w:lang w:val="en-CA" w:eastAsia="en-GB"/>
        </w:rPr>
        <w:t>et al.</w:t>
      </w:r>
      <w:r w:rsidRPr="005F0A67">
        <w:rPr>
          <w:rFonts w:asciiTheme="majorBidi" w:eastAsia="Georgia" w:hAnsiTheme="majorBidi" w:cstheme="majorBidi"/>
          <w:lang w:val="en-CA" w:eastAsia="en-GB"/>
        </w:rPr>
        <w:t>, 2022)</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The </w:t>
      </w:r>
      <w:r w:rsidRPr="005F0A67">
        <w:rPr>
          <w:rFonts w:asciiTheme="majorBidi" w:eastAsia="Times New Roman" w:hAnsiTheme="majorBidi" w:cstheme="majorBidi"/>
          <w:lang w:val="en-CA" w:eastAsia="en-GB"/>
        </w:rPr>
        <w:lastRenderedPageBreak/>
        <w:t xml:space="preserve">active ingredients market is significantly concentrated, with top five suppliers holding approximately 49% of the global market in 2025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{"citationID":"UiguWiuD","properties":{"unsorted":false,"formattedCitation":"(Global Market Insights, 2026a)","plainCitation":"(Global Market Insights, 2026a)","noteIndex":0},"citationItems":[{"id":37,"uris":["http://zotero.org/users/14977742/items/AYN5WMUU"],"itemData":{"id":37,"type":"webpage","abstract":"The Cosmetics Active Ingredients Market was estimated at USD 4.5 Billion in 2025 and is expected to grow at a CAGR of 5.2% between 2026 and 2035.","citation-key":"CosmeticsActiveIngredients","container-title":"Global Market Insights Inc.","language":"en","title":"Cosmetics Active Ingredients Market Size, Share Report, 2035","URL":"https://www.gminsights.com/industry-analysis/cosmetics-active-ingredients-market","author":[{"literal":"Global Market Insights"}],"accessed":{"date-parts":[["2026",6,3]]},"issued":{"date-parts":[["2026",4]]}}}],"schema":"https://github.com/citation-style-language/schema/raw/master/csl-citation.json"}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(Global Market Insights, 2026a)</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w:t>
      </w:r>
    </w:p>
    <w:p w14:paraId="6780A654"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Non-CBD-Party competitor exposure is moderate across the sector. The US market is significant for branded cosmetics and the global ingredient supply chain (North America recorded 28% share in 2025), though the competitive set includes a higher proportion of European and CBD Party-based firms compared to other Indicative Enclosure I sectors, like pharmaceuticals or biotechnology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{"citationID":"QnIQ3YRC","properties":{"unsorted":false,"formattedCitation":"(L\\uc0\\u8217{}Or\\uc0\\u233{}al, 2026)","plainCitation":"(L’Oréal, 2026)","noteIndex":0},"citationItems":[{"id":41,"uris":["http://zotero.org/users/14977742/items/PN65L29X"],"itemData":{"id":41,"type":"webpage","abstract":"This statistic depicts the breakdown of the cosmetic market worldwide in 2025, by geographic zone.","citation-key":"BreakdownCosmeticMarket","container-title":"Statista","language":"en","publisher":"L'Oréal - Universal Registration Document 2025, page 23","title":"Breakdown of the cosmetic market worldwide by geographic zone 2025. Published in Statista.","URL":"https://www.statista.com/statistics/243959/breakdown-of-the-cosmetic-market-worldwide-by-geographic-zone/","author":[{"literal":"L’Oréal"}],"accessed":{"date-parts":[["2026",6,3]]},"issued":{"date-parts":[["2026",3]]}}}],"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Georgia" w:hAnsiTheme="majorBidi" w:cstheme="majorBidi"/>
          <w:lang w:val="en-CA" w:eastAsia="en-GB"/>
        </w:rPr>
        <w:t>(L’Oréal, 2026)</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For active ingredients specifically, North America is the largest regional market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{"citationID":"9yJ50CrM","properties":{"unsorted":false,"formattedCitation":"(Global Market Insights, 2026a)","plainCitation":"(Global Market Insights, 2026a)","noteIndex":0},"citationItems":[{"id":37,"uris":["http://zotero.org/users/14977742/items/AYN5WMUU"],"itemData":{"id":37,"type":"webpage","abstract":"The Cosmetics Active Ingredients Market was estimated at USD 4.5 Billion in 2025 and is expected to grow at a CAGR of 5.2% between 2026 and 2035.","citation-key":"CosmeticsActiveIngredients","container-title":"Global Market Insights Inc.","language":"en","title":"Cosmetics Active Ingredients Market Size, Share Report, 2035","URL":"https://www.gminsights.com/industry-analysis/cosmetics-active-ingredients-market","author":[{"literal":"Global Market Insights"}],"accessed":{"date-parts":[["2026",6,3]]},"issued":{"date-parts":[["2026",4]]}}}],"schema":"https://github.com/citation-style-language/schema/raw/master/csl-citation.json"}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(Global Market Insights, 2026a)</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w:t>
      </w:r>
    </w:p>
    <w:p w14:paraId="4D79DC8D" w14:textId="77777777" w:rsidR="005F0A67" w:rsidRPr="005F0A67" w:rsidRDefault="005F0A67" w:rsidP="00B009ED">
      <w:pPr>
        <w:tabs>
          <w:tab w:val="clear" w:pos="567"/>
          <w:tab w:val="clear" w:pos="1134"/>
          <w:tab w:val="clear" w:pos="1701"/>
          <w:tab w:val="clear" w:pos="2268"/>
        </w:tabs>
        <w:spacing w:after="120"/>
        <w:jc w:val="left"/>
        <w:outlineLvl w:val="3"/>
        <w:rPr>
          <w:rFonts w:asciiTheme="majorBidi" w:eastAsia="Georgia" w:hAnsiTheme="majorBidi" w:cstheme="majorBidi"/>
          <w:b/>
          <w:bCs/>
          <w:color w:val="0F4761"/>
          <w:lang w:eastAsia="en-GB"/>
        </w:rPr>
      </w:pPr>
      <w:r w:rsidRPr="005F0A67">
        <w:rPr>
          <w:rFonts w:asciiTheme="majorBidi" w:eastAsia="Georgia" w:hAnsiTheme="majorBidi" w:cstheme="majorBidi"/>
          <w:b/>
          <w:bCs/>
          <w:color w:val="0F4761"/>
          <w:lang w:eastAsia="en-GB"/>
        </w:rPr>
        <w:t>Value chain position and DSI use intensity</w:t>
      </w:r>
    </w:p>
    <w:p w14:paraId="570EE69C"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DSI use is concentrated upstream and likely mixed downstream. Many branded firms may be developing capabilities related to DSI mainly via acquisitions and external innovation alliances rather than through internal R&amp;D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{"citationID":"GjlnFR6f","properties":{"unsorted":false,"formattedCitation":"(Sedita {\\i{}et al.}, 2021)","plainCitation":"(Sedita et al., 2021)","noteIndex":0},"citationItems":[{"id":47,"uris":["http://zotero.org/users/14977742/items/QGB7NHSE"],"itemData":{"id":47,"type":"article-journal","abstract":"We address the following research questions: (1) Is the innovation trajectory of the acquirer affected by previous acquisitions? (2) In which direction knowledge recombination from the acquisition is pushed further? (3) Is the technological acquisition more a means for knowledge exploration and radical innovation or, on the contrary, a way for consolidating previous technological specialization?The nature of this study is exploratory; therefore, we opted for an inductive approach based on the L'Oréal case study analysis. Data were triangulated from different sources: (a) the L'Oréal website and press releases collected in the 2009–2015 period; (b) journal articles and books on the global cosmetics industry and the insightful work of Jones (2010); (c) the Questel Orbit database containing data on patents; and (d) the Zephyr – Bureau van Dijk database containing information on the acquisitions of firms.Empirical evidence from a patent data analysis reveals a paradoxical path. On the one hand, acquisitions enable the company to explore new technological spaces; on the other hand, they allow it to reinforce a preexisting technological trajectory, even when the knowledge base of the target is distant from that of the acquirer. Thus, in our case study, the absorption and recombination of knowledge from a variety of domains support specialization more than diversification technology strategies.We add to innovation management literature a new perspective, by offering a detailed analysis, through patent data, of the knowledge recombination process, led by technological acquisitions.","citation-key":"seditaTechnologicalAcquisitionsParadox2021","container-title":"European Journal of Innovation Management","DOI":"10.1108/EJIM-05-2021-0235","ISSN":"1460-1060","issue":"6","journalAbbreviation":"European Journal of Innovation Management","page":"393-412","source":"Silverchair","title":"The technological acquisitions paradox in the beauty industry","volume":"25","author":[{"family":"Sedita","given":"Silvia Rita"},{"family":"Belussi","given":"Fiorenza"},{"family":"Noni","given":"Ivan De"},{"family":"Apa","given":"Roberta"}],"issued":{"date-parts":[["2021",10,6]]}}}],"schema":"https://github.com/citation-style-language/schema/raw/master/csl-citation.json"}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Georgia" w:hAnsiTheme="majorBidi" w:cstheme="majorBidi"/>
          <w:lang w:val="en-CA" w:eastAsia="en-GB"/>
        </w:rPr>
        <w:t xml:space="preserve">(Sedita </w:t>
      </w:r>
      <w:r w:rsidRPr="005F0A67">
        <w:rPr>
          <w:rFonts w:asciiTheme="majorBidi" w:eastAsia="Georgia" w:hAnsiTheme="majorBidi" w:cstheme="majorBidi"/>
          <w:i/>
          <w:iCs/>
          <w:lang w:val="en-CA" w:eastAsia="en-GB"/>
        </w:rPr>
        <w:t>et al.</w:t>
      </w:r>
      <w:r w:rsidRPr="005F0A67">
        <w:rPr>
          <w:rFonts w:asciiTheme="majorBidi" w:eastAsia="Georgia" w:hAnsiTheme="majorBidi" w:cstheme="majorBidi"/>
          <w:lang w:val="en-CA" w:eastAsia="en-GB"/>
        </w:rPr>
        <w:t>, 2021)</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Evidence from cosmetics patents also indicates that leading beauty companies pursue biodiversity-related innovation and, in some instances, may depend on DSI or on synthetic alternatives instead of obtaining direct physical access to natural source materials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{"citationID":"E558ZiEu","properties":{"unsorted":false,"formattedCitation":"(Jefferson and Robinson, 2025)","plainCitation":"(Jefferson and Robinson, 2025)","noteIndex":0},"citationItems":[{"id":43,"uris":["http://zotero.org/users/14977742/items/3GVNVKUW"],"itemData":{"id":43,"type":"article-journal","abstract":"Concerns about the fairness and equity of ‘biodiscovery’ research endure despite the creation of legal frameworks designed to regulate access and benefit sharing involving genetic resources and associated traditional knowledge. While some industries that engage in biodiscovery have been the subject of sustained scrutiny, others have received scant scholarly attention. We evaluate the potential misappropriation of plant biodiversity and traditional knowledge in the cosmetics industry. To do so, we conducted a patent landscape analysis focusing on intellectual property claims that cosmetics firms have made concerning 12 plant species for which there exists extensive traditional knowledge of uses to improve the condition of skin and hair, or for other aesthetic purposes. The results demonstrate that cosmetics companies regularly claim intellectual property for uses of all 12 species, in multiple territories. There is little evidence to suggest that major firms seek prior informed consent for the use of genetic resources or traditional knowledge, or that they share benefits with local providers. The potential that the misappropriation of Indigenous knowledge is occurring in the cosmetics industry has important social and environmental justice implications, and this sector should be subjected to increased scrutiny.","citation-key":"jeffersonBiopiracyBeautyBrands2025","container-title":"The Journal of World Intellectual Property","DOI":"10.1111/jwip.12348","ISSN":"1747-1796","issue":"2","language":"en","license":"© 2025 The Author(s). The Journal of World Intellectual Property published by John Wiley &amp; Sons Ltd.","note":"_eprint: https://onlinelibrary.wiley.com/doi/pdf/10.1111/jwip.12348","page":"640-664","source":"Wiley Online Library","title":"Biopiracy and beauty brands? patent trends of cosmetics and skin care companies","title-short":"Biopiracy and beauty brands?","volume":"28","author":[{"family":"Jefferson","given":"David J."},{"family":"Robinson","given":"Daniel F."}],"issued":{"date-parts":[["2025"]]}}}],"schema":"https://github.com/citation-style-language/schema/raw/master/csl-citation.json"}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(Jefferson and Robinson, 2025)</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On that basis, their DSI exposure is often better understood as indirect or varied. Their downstream value chain position means that any contribution costs borne by active ingredients upstream developers may be passed forward via ingredient pricing; this would in turn increase the cost burden of downstream producers beyond their own contribution. For upstream active ingredient developers, DSI is central to their product development (via plant &amp; marine genetic resources and sequence-based fermentation systems)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{"citationID":"qrtKrKmo","properties":{"unsorted":false,"formattedCitation":"(Hiemstra, Brink and Hintum, 2019; Rotter {\\i{}et al.}, 2024; Bourgaud, Twyman and Oksman-Caldentey, 2025)","plainCitation":"(Hiemstra, Brink and Hintum, 2019; Rotter et al., 2024; Bourgaud, Twyman and Oksman-Caldentey, 2025)","noteIndex":0},"citationItems":[{"id":155,"uris":["http://zotero.org/users/14977742/items/BMLGDDJC"],"itemData":{"id":155,"type":"article-journal","citation-key":"hiemstraDigitalSequenceInformation2019","DOI":"10.18174/470286","language":"English","publisher":"CGN","source":"research.wur.nl","title":"Digital Sequence Information (DSI): Options and impact of regulating access and benefit sharing - stakeholder perspectives","title-short":"Digital Sequence Information (DSI)","URL":"https://research.wur.nl/en/publications/digital-sequence-information-dsi-options-and-impact-of-regulating/","author":[{"family":"Hiemstra","given":"Sipke Joost"},{"family":"Brink","given":"Martin"},{"family":"Hintum","given":"Theo","dropping-particle":"van"}],"accessed":{"date-parts":[["2026",6,1]]},"issued":{"date-parts":[["2019"]]}}},{"id":45,"uris":["http://zotero.org/users/14977742/items/9BIMDBU6"],"itemData":{"id":45,"type":"article-journal","citation-key":"rotterMarineCosmeticsBlue2024","container-title":"iScience","DOI":"10.1016/j.isci.2024.111339","ISSN":"2589-0042","issue":"12","journalAbbreviation":"iScience","language":"English","PMID":"39650733","publisher":"Elsevier","source":"www.cell.com","title":"Marine cosmetics and the blue bioeconomy: From sourcing to success stories","title-short":"Marine cosmetics and the blue bioeconomy","URL":"https://www.cell.com/iscience/abstract/S2589-0042(24)02564-1","volume":"27","author":[{"family":"Rotter","given":"Ana"},{"family":"Varamogianni-Mamatsi","given":"Despoina"},{"family":"Pobirk","given":"Alenka Zvonar"},{"family":"Matjaž","given":"Mirjam Gosenca"},{"family":"Cueto","given":"Mercedes"},{"family":"Díaz-Marrero","given":"Ana R."},{"family":"Jónsdóttir","given":"Rósa"},{"family":"Sveinsdóttir","given":"Kolbrún"},{"family":"Catalá","given":"Teresa S."},{"family":"Romano","given":"Giovanna"},{"family":"Guler","given":"Bahar Aslanbay"},{"family":"Atak","given":"Eylem"},{"family":"Zrimec","given":"Maja Berden"},{"family":"Bosch","given":"Daniel"},{"family":"Deniz","given":"Irem"},{"family":"Gaudêncio","given":"Susana P."},{"family":"Grigalionyte-Bembič","given":"Ernesta"},{"family":"Klun","given":"Katja"},{"family":"Zidar","given":"Luen"},{"family":"Rius","given":"Anna Coll"},{"family":"Baebler","given":"Špela"},{"family":"Bilela","given":"Lada Lukić"},{"family":"Rinkevich","given":"Baruch"},{"family":"Mandalakis","given":"Manolis"}],"accessed":{"date-parts":[["2026",6,3]]},"issued":{"date-parts":[["2024",12,20]]}}},{"id":410,"uris":["http://zotero.org/users/14977742/items/EHF6HYYT"],"itemData":{"id":410,"type":"article-journal","abstract":"The use of plants as a source of cosmetic ingredients has a long history, but has become increasingly important over the last three decades as consumers become more aware of the provenance of cosmetic products and their impact on the environment. Modern cosmetic ingredients must not only be safe, effective and sustainable, but must also comply with a complex framework of regulations, only some of which are internationally standardized. Consumers are also presented with an overlapping and poorly defined set of certification schemes offering claims of sustainability and environmental benefits. In this brief review article, we look at the regulations governing plant-based ingredients in the cosmetics industry, and how these intersect with modern biotechnological approaches for the development of ingredients with proven efficacy and sustainability. We showcase the example of\n              InnCoCells\n              , the first Horizon project dedicated to the development of cosmetic ingredients based on sustainable plant-based resources.","citation-key":"bourgaudPlantGeneticResources2025","container-title":"Open Research Europe","DOI":"10.12688/openreseurope.20113.2","ISSN":"2732-5121","journalAbbreviation":"Open Res Europe","language":"en","page":"165","source":"DOI.org (Crossref)","title":"From plant genetic resources to cosmetic active ingredients: when science meets regulation and market rules","title-short":"From plant genetic resources to cosmetic active ingredients","volume":"5","author":[{"family":"Bourgaud","given":"F."},{"family":"Twyman","given":"R. M."},{"family":"Oksman-Caldentey","given":"K.-M."}],"issued":{"date-parts":[["2025",9,4]]}}}],"schema":"https://github.com/citation-style-language/schema/raw/master/csl-citation.json"}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Georgia" w:hAnsiTheme="majorBidi" w:cstheme="majorBidi"/>
          <w:lang w:val="en-CA" w:eastAsia="en-GB"/>
        </w:rPr>
        <w:t xml:space="preserve">(Hiemstra, Brink and Hintum, 2019; Rotter </w:t>
      </w:r>
      <w:r w:rsidRPr="005F0A67">
        <w:rPr>
          <w:rFonts w:asciiTheme="majorBidi" w:eastAsia="Georgia" w:hAnsiTheme="majorBidi" w:cstheme="majorBidi"/>
          <w:i/>
          <w:iCs/>
          <w:lang w:val="en-CA" w:eastAsia="en-GB"/>
        </w:rPr>
        <w:t>et al.</w:t>
      </w:r>
      <w:r w:rsidRPr="005F0A67">
        <w:rPr>
          <w:rFonts w:asciiTheme="majorBidi" w:eastAsia="Georgia" w:hAnsiTheme="majorBidi" w:cstheme="majorBidi"/>
          <w:lang w:val="en-CA" w:eastAsia="en-GB"/>
        </w:rPr>
        <w:t>, 2024; Bourgaud, Twyman and Oksman-Caldentey, 2025)</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Depending on their cost-pass through ability, they might be able to able to reduce their cost burden from contributions.</w:t>
      </w:r>
    </w:p>
    <w:p w14:paraId="71B1E342" w14:textId="77777777" w:rsidR="005F0A67" w:rsidRPr="005F0A67" w:rsidRDefault="005F0A67" w:rsidP="00B009ED">
      <w:pPr>
        <w:tabs>
          <w:tab w:val="clear" w:pos="567"/>
          <w:tab w:val="clear" w:pos="1134"/>
          <w:tab w:val="clear" w:pos="1701"/>
          <w:tab w:val="clear" w:pos="2268"/>
        </w:tabs>
        <w:spacing w:after="120"/>
        <w:jc w:val="left"/>
        <w:outlineLvl w:val="3"/>
        <w:rPr>
          <w:rFonts w:asciiTheme="majorBidi" w:eastAsia="Georgia" w:hAnsiTheme="majorBidi" w:cstheme="majorBidi"/>
          <w:b/>
          <w:bCs/>
          <w:color w:val="0F4761"/>
          <w:lang w:eastAsia="en-GB"/>
        </w:rPr>
      </w:pPr>
      <w:r w:rsidRPr="005F0A67">
        <w:rPr>
          <w:rFonts w:asciiTheme="majorBidi" w:eastAsia="Georgia" w:hAnsiTheme="majorBidi" w:cstheme="majorBidi"/>
          <w:b/>
          <w:bCs/>
          <w:color w:val="0F4761"/>
          <w:lang w:eastAsia="en-GB"/>
        </w:rPr>
        <w:t xml:space="preserve">Expected contribution base </w:t>
      </w:r>
    </w:p>
    <w:p w14:paraId="50684D17"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Contribution base varies within each group, with the overall industry profit margins perceived as high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{"citationID":"qeAxCr9x","properties":{"unsorted":false,"formattedCitation":"(McKinsey, 2023)","plainCitation":"(McKinsey, 2023)","noteIndex":0},"citationItems":[{"id":35,"uris":["http://zotero.org/users/14977742/items/6S9RK8JR"],"itemData":{"id":35,"type":"webpage","citation-key":"BeautyMarket2023","title":"The beauty market in 2023: New industry trends","URL":"https://www.mckinsey.com/industries/retail/our-insights/the-beauty-market-in-2023-a-special-state-of-fashion-report","author":[{"literal":"McKinsey"}],"accessed":{"date-parts":[["2026",6,3]]},"issued":{"date-parts":[["2023",5]]}}}],"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(McKinsey, 2023)</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Among downstream branded cosmetics firms, premium multinationals brands have stronger pricing power and brand positioning, achieving higher margins and thus falling into the revenue-base group. Mass beauty brands operate under tougher competition and lower margins, with some likely falling into the profit-base group. Among active ingredient developers, large consolidated suppliers with niche positions may earn high margins which would place them in the revenue-base group. The proportionality concern is greatest for downstream branded firms with limited DSI dependence. </w:t>
      </w:r>
    </w:p>
    <w:p w14:paraId="4C625DC5" w14:textId="77777777" w:rsidR="005F0A67" w:rsidRPr="005F0A67" w:rsidRDefault="005F0A67" w:rsidP="00B009ED">
      <w:pPr>
        <w:tabs>
          <w:tab w:val="clear" w:pos="567"/>
          <w:tab w:val="clear" w:pos="1134"/>
          <w:tab w:val="clear" w:pos="1701"/>
          <w:tab w:val="clear" w:pos="2268"/>
        </w:tabs>
        <w:spacing w:before="320" w:after="160"/>
        <w:ind w:left="720"/>
        <w:jc w:val="left"/>
        <w:outlineLvl w:val="2"/>
        <w:rPr>
          <w:rFonts w:asciiTheme="majorBidi" w:eastAsia="Arial" w:hAnsiTheme="majorBidi" w:cstheme="majorBidi"/>
          <w:b/>
          <w:bCs/>
          <w:color w:val="7F7F7F"/>
          <w:sz w:val="23"/>
          <w:szCs w:val="23"/>
          <w:lang w:val="en-CA" w:eastAsia="en-GB"/>
        </w:rPr>
      </w:pPr>
      <w:bookmarkStart w:id="244" w:name="_Toc234579617"/>
      <w:r w:rsidRPr="005F0A67">
        <w:rPr>
          <w:rFonts w:asciiTheme="majorBidi" w:eastAsia="Arial" w:hAnsiTheme="majorBidi" w:cstheme="majorBidi"/>
          <w:b/>
          <w:bCs/>
          <w:color w:val="7F7F7F"/>
          <w:sz w:val="23"/>
          <w:szCs w:val="23"/>
          <w:lang w:val="en-CA" w:eastAsia="en-GB"/>
        </w:rPr>
        <w:t>Pillar assessment (step 3)</w:t>
      </w:r>
      <w:bookmarkEnd w:id="244"/>
    </w:p>
    <w:p w14:paraId="74B4366A"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_Ref231772930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Table 38</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_Ref231772938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Table 39</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and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_Ref231772952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Table 40</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present the materiality assessment for Pillars I, II and III respectively, drawing on the sector characterisation in Section 7.12, the broader empirical literature findings in Section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_Ref231121284 \r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7.4</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and the analytical framework in Section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_Ref230281726 \r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7.5</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w:t>
      </w:r>
    </w:p>
    <w:p w14:paraId="40987745"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lang w:val="en-CA" w:eastAsia="en-GB"/>
        </w:rPr>
        <w:t xml:space="preserve">The cosmetics sector faces Moderate materiality on substantive compliance costs for downstream branded firms, driven by the highest effective contribution rate of any Indicative Enclosure I sector and the proportionality concern that is most critical for firms with limited direct DSI dependence contributing on the same financial base as DSI-intensive ingredient developers. Upstream active ingredient developers face Moderate materiality in Pillar II on R&amp;D investment and product innovation capacity, given long development pipelines for biotechnology-derived actives where ABS governance fragmentation is already the primary constraint on innovation investment. Pillar III is assessed as Low across both firm types, reflecting the significant presence of European CBD Party-based competitors in both branded cosmetics and active ingredient </w:t>
      </w:r>
      <w:r w:rsidRPr="005F0A67">
        <w:rPr>
          <w:rFonts w:asciiTheme="majorBidi" w:eastAsia="Times New Roman" w:hAnsiTheme="majorBidi" w:cstheme="majorBidi"/>
          <w:lang w:val="en-CA" w:eastAsia="en-GB"/>
        </w:rPr>
        <w:lastRenderedPageBreak/>
        <w:t>markets, which limits non-Party asymmetry relative to more US-dominated sectors. The intra-sector pass-through channel, where ingredient developers pass contribution costs forward via ingredient pricing, is distinctive and increases the effective burden on downstream branded firms beyond their own contribution obligation.</w:t>
      </w:r>
    </w:p>
    <w:p w14:paraId="34246829"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Where competitive effects do materialise, their downstream implications would differ substantially between firm types. For downstream branded firms, cost absorption is the most likely response given limited pass-through capacity in consumer-facing markets, particularly in mass beauty segments facing intensifying competition from independent brands; at indicative rates, the effect on product pricing would be negligible relative to the cost differentials already shaping competitive dynamics. For upstream active ingredient developers, the more significant concern is that margin compression could affect long-horizon development programmes for biotechnology-derived actives, where ABS governance fragmentation is already a primary constraint on innovation investment; the Cali Fund adds a further layer of regulatory uncertainty without resolving the underlying fragmentation. The intra-sector pass-forward channel is the most distinctive downstream consequence in this sector, as it concentrates the effective burden on downstream firms regardless of their own DSI intensity.</w:t>
      </w:r>
    </w:p>
    <w:p w14:paraId="73BCBB6B"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sectPr w:rsidR="005F0A67" w:rsidRPr="005F0A67" w:rsidSect="005F0A67">
          <w:pgSz w:w="12240" w:h="15840"/>
          <w:pgMar w:top="1080" w:right="1260" w:bottom="1080" w:left="1260" w:header="706" w:footer="706" w:gutter="0"/>
          <w:cols w:space="720"/>
          <w:docGrid w:linePitch="360"/>
        </w:sectPr>
      </w:pPr>
    </w:p>
    <w:p w14:paraId="2A6EDF80" w14:textId="77777777" w:rsidR="005F0A67" w:rsidRPr="005F0A67" w:rsidRDefault="005F0A67" w:rsidP="005F0A67">
      <w:pPr>
        <w:tabs>
          <w:tab w:val="clear" w:pos="567"/>
          <w:tab w:val="clear" w:pos="1134"/>
          <w:tab w:val="clear" w:pos="1701"/>
          <w:tab w:val="clear" w:pos="2268"/>
        </w:tabs>
        <w:spacing w:after="200" w:line="312" w:lineRule="auto"/>
        <w:contextualSpacing/>
        <w:rPr>
          <w:rFonts w:asciiTheme="majorBidi" w:eastAsia="Georgia" w:hAnsiTheme="majorBidi" w:cstheme="majorBidi"/>
          <w:b/>
          <w:bCs/>
          <w:color w:val="419844"/>
          <w:lang w:eastAsia="en-GB"/>
        </w:rPr>
      </w:pPr>
      <w:bookmarkStart w:id="245" w:name="_Ref231772930"/>
      <w:r w:rsidRPr="005F0A67">
        <w:rPr>
          <w:rFonts w:asciiTheme="majorBidi" w:eastAsia="Georgia" w:hAnsiTheme="majorBidi" w:cstheme="majorBidi"/>
          <w:b/>
          <w:bCs/>
          <w:color w:val="419844"/>
          <w:lang w:val="en-US" w:eastAsia="ja-JP"/>
        </w:rPr>
        <w:lastRenderedPageBreak/>
        <w:t xml:space="preserve">Table </w:t>
      </w:r>
      <w:r w:rsidRPr="005F0A67">
        <w:rPr>
          <w:rFonts w:asciiTheme="majorBidi" w:eastAsia="Georgia" w:hAnsiTheme="majorBidi" w:cstheme="majorBidi"/>
          <w:b/>
          <w:bCs/>
          <w:color w:val="419844"/>
          <w:lang w:eastAsia="en-GB"/>
        </w:rPr>
        <w:fldChar w:fldCharType="begin"/>
      </w:r>
      <w:r w:rsidRPr="005F0A67">
        <w:rPr>
          <w:rFonts w:asciiTheme="majorBidi" w:eastAsia="Georgia" w:hAnsiTheme="majorBidi" w:cstheme="majorBidi"/>
          <w:b/>
          <w:bCs/>
          <w:color w:val="419844"/>
          <w:lang w:eastAsia="en-GB"/>
        </w:rPr>
        <w:instrText xml:space="preserve"> SEQ Table \* ARABIC </w:instrText>
      </w:r>
      <w:r w:rsidRPr="005F0A67">
        <w:rPr>
          <w:rFonts w:asciiTheme="majorBidi" w:eastAsia="Georgia" w:hAnsiTheme="majorBidi" w:cstheme="majorBidi"/>
          <w:b/>
          <w:bCs/>
          <w:color w:val="419844"/>
          <w:lang w:eastAsia="en-GB"/>
        </w:rPr>
        <w:fldChar w:fldCharType="separate"/>
      </w:r>
      <w:r w:rsidRPr="005F0A67">
        <w:rPr>
          <w:rFonts w:asciiTheme="majorBidi" w:eastAsia="Georgia" w:hAnsiTheme="majorBidi" w:cstheme="majorBidi"/>
          <w:b/>
          <w:bCs/>
          <w:noProof/>
          <w:color w:val="419844"/>
          <w:lang w:eastAsia="en-GB"/>
        </w:rPr>
        <w:t>38</w:t>
      </w:r>
      <w:r w:rsidRPr="005F0A67">
        <w:rPr>
          <w:rFonts w:asciiTheme="majorBidi" w:eastAsia="Georgia" w:hAnsiTheme="majorBidi" w:cstheme="majorBidi"/>
          <w:b/>
          <w:bCs/>
          <w:color w:val="419844"/>
          <w:lang w:eastAsia="en-GB"/>
        </w:rPr>
        <w:fldChar w:fldCharType="end"/>
      </w:r>
      <w:bookmarkEnd w:id="245"/>
      <w:r w:rsidRPr="005F0A67">
        <w:rPr>
          <w:rFonts w:asciiTheme="majorBidi" w:eastAsia="Georgia" w:hAnsiTheme="majorBidi" w:cstheme="majorBidi"/>
          <w:b/>
          <w:bCs/>
          <w:color w:val="419844"/>
          <w:lang w:val="en-US" w:eastAsia="ja-JP"/>
        </w:rPr>
        <w:t xml:space="preserve"> Pillar I: costs and price competitiveness impacts materiality assessment – Cosmetics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09"/>
        <w:gridCol w:w="1483"/>
        <w:gridCol w:w="1163"/>
        <w:gridCol w:w="1185"/>
        <w:gridCol w:w="5359"/>
        <w:gridCol w:w="1179"/>
      </w:tblGrid>
      <w:tr w:rsidR="005F0A67" w:rsidRPr="005F0A67" w14:paraId="60E617DC" w14:textId="77777777" w:rsidTr="00FB671B">
        <w:tc>
          <w:tcPr>
            <w:tcW w:w="1210" w:type="pct"/>
            <w:tcBorders>
              <w:top w:val="single" w:sz="1" w:space="0" w:color="AAAAAA"/>
              <w:left w:val="single" w:sz="1" w:space="0" w:color="AAAAAA"/>
              <w:right w:val="single" w:sz="1" w:space="0" w:color="AAAAAA"/>
            </w:tcBorders>
            <w:shd w:val="clear" w:color="auto" w:fill="1F4E6B"/>
            <w:tcMar>
              <w:top w:w="60" w:type="dxa"/>
              <w:left w:w="100" w:type="dxa"/>
              <w:bottom w:w="60" w:type="dxa"/>
              <w:right w:w="100" w:type="dxa"/>
            </w:tcMar>
          </w:tcPr>
          <w:p w14:paraId="7A80ED11"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color w:val="FFFFFF"/>
                <w:sz w:val="18"/>
                <w:szCs w:val="18"/>
                <w:lang w:val="en-CA" w:eastAsia="en-GB"/>
              </w:rPr>
              <w:t>Impact</w:t>
            </w:r>
          </w:p>
        </w:tc>
        <w:tc>
          <w:tcPr>
            <w:tcW w:w="542" w:type="pct"/>
            <w:tcBorders>
              <w:top w:val="single" w:sz="1" w:space="0" w:color="AAAAAA"/>
              <w:left w:val="single" w:sz="1" w:space="0" w:color="AAAAAA"/>
              <w:right w:val="single" w:sz="1" w:space="0" w:color="AAAAAA"/>
            </w:tcBorders>
            <w:shd w:val="clear" w:color="auto" w:fill="1F4E6B"/>
            <w:tcMar>
              <w:top w:w="60" w:type="dxa"/>
              <w:left w:w="100" w:type="dxa"/>
              <w:bottom w:w="60" w:type="dxa"/>
              <w:right w:w="100" w:type="dxa"/>
            </w:tcMar>
          </w:tcPr>
          <w:p w14:paraId="3F138E86"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color w:val="FFFFFF"/>
                <w:sz w:val="18"/>
                <w:szCs w:val="18"/>
                <w:lang w:val="en-CA" w:eastAsia="en-GB"/>
              </w:rPr>
              <w:t>Firm type</w:t>
            </w:r>
          </w:p>
        </w:tc>
        <w:tc>
          <w:tcPr>
            <w:tcW w:w="425" w:type="pct"/>
            <w:tcBorders>
              <w:top w:val="single" w:sz="1" w:space="0" w:color="AAAAAA"/>
              <w:left w:val="single" w:sz="1" w:space="0" w:color="AAAAAA"/>
              <w:right w:val="single" w:sz="1" w:space="0" w:color="AAAAAA"/>
            </w:tcBorders>
            <w:shd w:val="clear" w:color="auto" w:fill="1F4E6B"/>
            <w:tcMar>
              <w:top w:w="60" w:type="dxa"/>
              <w:left w:w="100" w:type="dxa"/>
              <w:bottom w:w="60" w:type="dxa"/>
              <w:right w:w="100" w:type="dxa"/>
            </w:tcMar>
          </w:tcPr>
          <w:p w14:paraId="6C4F9381"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color w:val="FFFFFF"/>
                <w:sz w:val="18"/>
                <w:szCs w:val="18"/>
                <w:lang w:val="en-CA" w:eastAsia="en-GB"/>
              </w:rPr>
              <w:t>Magnitude</w:t>
            </w:r>
          </w:p>
        </w:tc>
        <w:tc>
          <w:tcPr>
            <w:tcW w:w="433" w:type="pct"/>
            <w:tcBorders>
              <w:top w:val="single" w:sz="1" w:space="0" w:color="AAAAAA"/>
              <w:left w:val="single" w:sz="1" w:space="0" w:color="AAAAAA"/>
              <w:right w:val="single" w:sz="1" w:space="0" w:color="AAAAAA"/>
            </w:tcBorders>
            <w:shd w:val="clear" w:color="auto" w:fill="1F4E6B"/>
            <w:tcMar>
              <w:top w:w="60" w:type="dxa"/>
              <w:left w:w="100" w:type="dxa"/>
              <w:bottom w:w="60" w:type="dxa"/>
              <w:right w:w="100" w:type="dxa"/>
            </w:tcMar>
          </w:tcPr>
          <w:p w14:paraId="43DA9A20"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color w:val="FFFFFF"/>
                <w:sz w:val="18"/>
                <w:szCs w:val="18"/>
                <w:lang w:val="en-CA" w:eastAsia="en-GB"/>
              </w:rPr>
              <w:t>Probability</w:t>
            </w:r>
          </w:p>
        </w:tc>
        <w:tc>
          <w:tcPr>
            <w:tcW w:w="1959" w:type="pct"/>
            <w:tcBorders>
              <w:top w:val="single" w:sz="1" w:space="0" w:color="AAAAAA"/>
              <w:left w:val="single" w:sz="1" w:space="0" w:color="AAAAAA"/>
              <w:right w:val="single" w:sz="1" w:space="0" w:color="AAAAAA"/>
            </w:tcBorders>
            <w:shd w:val="clear" w:color="auto" w:fill="1F4E6B"/>
            <w:tcMar>
              <w:top w:w="60" w:type="dxa"/>
              <w:left w:w="100" w:type="dxa"/>
              <w:bottom w:w="60" w:type="dxa"/>
              <w:right w:w="100" w:type="dxa"/>
            </w:tcMar>
          </w:tcPr>
          <w:p w14:paraId="34578495"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color w:val="FFFFFF"/>
                <w:sz w:val="18"/>
                <w:szCs w:val="18"/>
                <w:lang w:val="en-CA" w:eastAsia="en-GB"/>
              </w:rPr>
              <w:t>Key conditions</w:t>
            </w:r>
          </w:p>
        </w:tc>
        <w:tc>
          <w:tcPr>
            <w:tcW w:w="431" w:type="pct"/>
            <w:tcBorders>
              <w:top w:val="single" w:sz="1" w:space="0" w:color="AAAAAA"/>
              <w:left w:val="single" w:sz="1" w:space="0" w:color="AAAAAA"/>
              <w:right w:val="single" w:sz="1" w:space="0" w:color="AAAAAA"/>
            </w:tcBorders>
            <w:shd w:val="clear" w:color="auto" w:fill="1F4E6B"/>
            <w:tcMar>
              <w:top w:w="60" w:type="dxa"/>
              <w:left w:w="100" w:type="dxa"/>
              <w:bottom w:w="60" w:type="dxa"/>
              <w:right w:w="100" w:type="dxa"/>
            </w:tcMar>
          </w:tcPr>
          <w:p w14:paraId="1C86227F"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color w:val="FFFFFF"/>
                <w:sz w:val="18"/>
                <w:szCs w:val="18"/>
                <w:lang w:val="en-CA" w:eastAsia="en-GB"/>
              </w:rPr>
              <w:t>Materiality</w:t>
            </w:r>
          </w:p>
        </w:tc>
      </w:tr>
      <w:tr w:rsidR="005F0A67" w:rsidRPr="005F0A67" w14:paraId="1372815A" w14:textId="77777777" w:rsidTr="005F0A67">
        <w:tc>
          <w:tcPr>
            <w:tcW w:w="1210" w:type="pct"/>
            <w:vMerge w:val="restar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762E35D3"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sz w:val="18"/>
                <w:szCs w:val="18"/>
                <w:lang w:val="en-CA" w:eastAsia="en-GB"/>
              </w:rPr>
              <w:t>Administrative burden</w:t>
            </w:r>
            <w:r w:rsidRPr="005F0A67">
              <w:rPr>
                <w:rFonts w:asciiTheme="majorBidi" w:eastAsia="Times New Roman" w:hAnsiTheme="majorBidi" w:cstheme="majorBidi"/>
                <w:sz w:val="18"/>
                <w:szCs w:val="18"/>
                <w:lang w:val="en-CA" w:eastAsia="en-GB"/>
              </w:rPr>
              <w:t xml:space="preserve"> Costs of calculating, reporting, and documenting the contribution. Low under current revenue/profit design. The proportionality concern is distinctive for downstream branded firms given contested DSI use intensity: documenting DSI use for contribution purposes is more complex where DSI dependence is indirect or varies across the product portfolio.</w:t>
            </w: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65D3D6DC"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Downstream branded cosmetics firms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0AE6B5D4"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4FDA3BD0"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02358471"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DSI exposure often indirect or acquired through external alliances (Sedita et al., 2021; Jefferson and Robinson, 2025); documenting DSI use for contribution purposes may be challenging where DSI dependence is contested or portfolio-level; contribution base definition (U12).</w:t>
            </w:r>
          </w:p>
        </w:tc>
        <w:tc>
          <w:tcPr>
            <w:tcW w:w="431" w:type="pct"/>
            <w:tcBorders>
              <w:top w:val="single" w:sz="1" w:space="0" w:color="AAAAAA"/>
              <w:left w:val="single" w:sz="1" w:space="0" w:color="AAAAAA"/>
              <w:right w:val="single" w:sz="1" w:space="0" w:color="AAAAAA"/>
            </w:tcBorders>
            <w:shd w:val="clear" w:color="auto" w:fill="D9F2D0"/>
            <w:tcMar>
              <w:top w:w="60" w:type="dxa"/>
              <w:left w:w="100" w:type="dxa"/>
              <w:bottom w:w="60" w:type="dxa"/>
              <w:right w:w="100" w:type="dxa"/>
            </w:tcMar>
          </w:tcPr>
          <w:p w14:paraId="5A26896A"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r>
      <w:tr w:rsidR="005F0A67" w:rsidRPr="005F0A67" w14:paraId="4FA1B020" w14:textId="77777777" w:rsidTr="005F0A67">
        <w:tc>
          <w:tcPr>
            <w:tcW w:w="1210" w:type="pct"/>
            <w:vMerge/>
            <w:tcMar>
              <w:top w:w="60" w:type="dxa"/>
              <w:left w:w="100" w:type="dxa"/>
              <w:bottom w:w="60" w:type="dxa"/>
              <w:right w:w="100" w:type="dxa"/>
            </w:tcMar>
          </w:tcPr>
          <w:p w14:paraId="2AD91C02"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6614490C"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Upstream active ingredient developers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334346C6"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36FEE59C"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6BBB56AE"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 xml:space="preserve">DSI central to product development via plant, marine, and fermentation systems (Rotter et al., 2024; </w:t>
            </w:r>
            <w:proofErr w:type="spellStart"/>
            <w:r w:rsidRPr="005F0A67">
              <w:rPr>
                <w:rFonts w:asciiTheme="majorBidi" w:eastAsia="Times New Roman" w:hAnsiTheme="majorBidi" w:cstheme="majorBidi"/>
                <w:sz w:val="18"/>
                <w:szCs w:val="18"/>
                <w:lang w:val="en-CA" w:eastAsia="en-GB"/>
              </w:rPr>
              <w:t>Bourgaud</w:t>
            </w:r>
            <w:proofErr w:type="spellEnd"/>
            <w:r w:rsidRPr="005F0A67">
              <w:rPr>
                <w:rFonts w:asciiTheme="majorBidi" w:eastAsia="Times New Roman" w:hAnsiTheme="majorBidi" w:cstheme="majorBidi"/>
                <w:sz w:val="18"/>
                <w:szCs w:val="18"/>
                <w:lang w:val="en-CA" w:eastAsia="en-GB"/>
              </w:rPr>
              <w:t>, Twyman and Oksman-Caldentey, 2025); documentation burden lower relative to downstream firms given clearer DSI use; ABS governance fragmentation and traceability obligations are the primary constraint (Klunker and Richter, 2022; Michiels et al., 2022). Contribution base definition (U12).</w:t>
            </w:r>
          </w:p>
        </w:tc>
        <w:tc>
          <w:tcPr>
            <w:tcW w:w="431" w:type="pct"/>
            <w:tcBorders>
              <w:top w:val="single" w:sz="1" w:space="0" w:color="AAAAAA"/>
              <w:left w:val="single" w:sz="1" w:space="0" w:color="AAAAAA"/>
              <w:right w:val="single" w:sz="1" w:space="0" w:color="AAAAAA"/>
            </w:tcBorders>
            <w:shd w:val="clear" w:color="auto" w:fill="D9F2D0"/>
            <w:tcMar>
              <w:top w:w="60" w:type="dxa"/>
              <w:left w:w="100" w:type="dxa"/>
              <w:bottom w:w="60" w:type="dxa"/>
              <w:right w:w="100" w:type="dxa"/>
            </w:tcMar>
          </w:tcPr>
          <w:p w14:paraId="0CF93638"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r>
      <w:tr w:rsidR="005F0A67" w:rsidRPr="005F0A67" w14:paraId="79EEF95D" w14:textId="77777777" w:rsidTr="005F0A67">
        <w:tc>
          <w:tcPr>
            <w:tcW w:w="1210" w:type="pct"/>
            <w:vMerge w:val="restar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08EE94CB"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sz w:val="18"/>
                <w:szCs w:val="18"/>
                <w:lang w:val="en-CA" w:eastAsia="en-GB"/>
              </w:rPr>
              <w:t>Substantive compliance costs</w:t>
            </w:r>
            <w:r w:rsidRPr="005F0A67">
              <w:rPr>
                <w:rFonts w:asciiTheme="majorBidi" w:eastAsia="Times New Roman" w:hAnsiTheme="majorBidi" w:cstheme="majorBidi"/>
                <w:sz w:val="18"/>
                <w:szCs w:val="18"/>
                <w:lang w:val="en-CA" w:eastAsia="en-GB"/>
              </w:rPr>
              <w:t xml:space="preserve"> The contribution payment itself as a direct cost burden. The sector has the highest effective contribution rate of any Indicative Enclosure I sector (0.071% of participating revenue, Table 20) due to its margin distribution. Contribution base varies significantly: premium branded multinationals with higher margins pay on revenue; mass beauty brands and some ingredient developers pay on profit. The proportionality concern is greatest for downstream branded firms with limited DSI dependence contributing on the same financial base as DSI-intensive ingredient developers (U12).</w:t>
            </w: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43CEE911"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Downstream branded cosmetics firms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73D0094A"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Moderate</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0F014D1A"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Medium</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3FF7A39B"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Premium multinationals with higher margins pay on revenue; mass beauty brands pay on profit with the burden more sensitive to margin compression. Proportionality concern most acute for firms with limited direct DSI dependence (U12); intensifying competition from independent brands and emerging rivals (McKinsey, 2025) constrains pass-through. Rate revision; entity definition (U3).</w:t>
            </w:r>
          </w:p>
        </w:tc>
        <w:tc>
          <w:tcPr>
            <w:tcW w:w="431" w:type="pct"/>
            <w:tcBorders>
              <w:top w:val="single" w:sz="1" w:space="0" w:color="AAAAAA"/>
              <w:left w:val="single" w:sz="1" w:space="0" w:color="AAAAAA"/>
              <w:right w:val="single" w:sz="1" w:space="0" w:color="AAAAAA"/>
            </w:tcBorders>
            <w:shd w:val="clear" w:color="auto" w:fill="FEF9CC"/>
            <w:tcMar>
              <w:top w:w="60" w:type="dxa"/>
              <w:left w:w="100" w:type="dxa"/>
              <w:bottom w:w="60" w:type="dxa"/>
              <w:right w:w="100" w:type="dxa"/>
            </w:tcMar>
          </w:tcPr>
          <w:p w14:paraId="1A4C3DE3"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Moderate</w:t>
            </w:r>
          </w:p>
        </w:tc>
      </w:tr>
      <w:tr w:rsidR="005F0A67" w:rsidRPr="005F0A67" w14:paraId="3969352F" w14:textId="77777777" w:rsidTr="005F0A67">
        <w:tc>
          <w:tcPr>
            <w:tcW w:w="1210" w:type="pct"/>
            <w:vMerge/>
            <w:tcMar>
              <w:top w:w="60" w:type="dxa"/>
              <w:left w:w="100" w:type="dxa"/>
              <w:bottom w:w="60" w:type="dxa"/>
              <w:right w:w="100" w:type="dxa"/>
            </w:tcMar>
          </w:tcPr>
          <w:p w14:paraId="5FE16510"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64EEEF73"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Upstream active ingredient developers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3D650A69"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684D2CBE"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Medium</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73BA639D"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Large consolidated suppliers with niche positions pay on revenue; smaller ingredient developers pay on profit. ABS governance fragmentation is a more immediate commercial constraint than the contribution payment (Klunker and Richter, 2022; Michiels et al., 2022). Upstream position enables some pass-forward of contribution costs via ingredient pricing. Rate revision; entity definition (U3).</w:t>
            </w:r>
          </w:p>
        </w:tc>
        <w:tc>
          <w:tcPr>
            <w:tcW w:w="431" w:type="pct"/>
            <w:tcBorders>
              <w:top w:val="single" w:sz="1" w:space="0" w:color="AAAAAA"/>
              <w:left w:val="single" w:sz="1" w:space="0" w:color="AAAAAA"/>
              <w:right w:val="single" w:sz="1" w:space="0" w:color="AAAAAA"/>
            </w:tcBorders>
            <w:shd w:val="clear" w:color="auto" w:fill="D9F3D0"/>
            <w:tcMar>
              <w:top w:w="60" w:type="dxa"/>
              <w:left w:w="100" w:type="dxa"/>
              <w:bottom w:w="60" w:type="dxa"/>
              <w:right w:w="100" w:type="dxa"/>
            </w:tcMar>
          </w:tcPr>
          <w:p w14:paraId="508C8222"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r>
      <w:tr w:rsidR="005F0A67" w:rsidRPr="005F0A67" w14:paraId="250CFB33" w14:textId="77777777" w:rsidTr="005F0A67">
        <w:tc>
          <w:tcPr>
            <w:tcW w:w="1210" w:type="pct"/>
            <w:vMerge w:val="restar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142A15F5"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sz w:val="18"/>
                <w:szCs w:val="18"/>
                <w:lang w:val="en-CA" w:eastAsia="en-GB"/>
              </w:rPr>
              <w:t>Cost of capital</w:t>
            </w:r>
            <w:r w:rsidRPr="005F0A67">
              <w:rPr>
                <w:rFonts w:asciiTheme="majorBidi" w:eastAsia="Times New Roman" w:hAnsiTheme="majorBidi" w:cstheme="majorBidi"/>
                <w:sz w:val="18"/>
                <w:szCs w:val="18"/>
                <w:lang w:val="en-CA" w:eastAsia="en-GB"/>
              </w:rPr>
              <w:t xml:space="preserve"> Changes in cost or availability of financing from margin compression or reduced free cash flow. Large well-capitalised firms are least responsive to profit-burden changes of higher magnitude (see Section 7.4). Voluntary opt-out constrains severe outcomes.</w:t>
            </w: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2D990F3A"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Downstream branded cosmetics firms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63E9F8E3"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21FE0DFC"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2A6B3724"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Large premium multinationals with high margins least exposed; mass beauty brands more constrained given margin pressure from intensifying competition (McKinsey, 2025). Voluntary opt-out limits severe outcomes. Rate revision.</w:t>
            </w:r>
          </w:p>
        </w:tc>
        <w:tc>
          <w:tcPr>
            <w:tcW w:w="431" w:type="pct"/>
            <w:tcBorders>
              <w:top w:val="single" w:sz="1" w:space="0" w:color="AAAAAA"/>
              <w:left w:val="single" w:sz="1" w:space="0" w:color="AAAAAA"/>
              <w:right w:val="single" w:sz="1" w:space="0" w:color="AAAAAA"/>
            </w:tcBorders>
            <w:shd w:val="clear" w:color="auto" w:fill="D9F2D0"/>
            <w:tcMar>
              <w:top w:w="60" w:type="dxa"/>
              <w:left w:w="100" w:type="dxa"/>
              <w:bottom w:w="60" w:type="dxa"/>
              <w:right w:w="100" w:type="dxa"/>
            </w:tcMar>
          </w:tcPr>
          <w:p w14:paraId="6E2F3B90"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r>
      <w:tr w:rsidR="005F0A67" w:rsidRPr="005F0A67" w14:paraId="52D937B6" w14:textId="77777777" w:rsidTr="005F0A67">
        <w:tc>
          <w:tcPr>
            <w:tcW w:w="1210" w:type="pct"/>
            <w:vMerge/>
            <w:tcMar>
              <w:top w:w="60" w:type="dxa"/>
              <w:left w:w="100" w:type="dxa"/>
              <w:bottom w:w="60" w:type="dxa"/>
              <w:right w:w="100" w:type="dxa"/>
            </w:tcMar>
          </w:tcPr>
          <w:p w14:paraId="7E0D9EFA"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6B98D9A6"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Upstream active ingredient developers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61E2A6D2"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4F26A752"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18EDD73F"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Smaller ingredient developers with high fixed development costs face somewhat higher exposure within this Low assessment; larger consolidated suppliers with niche positions least exposed. Rate revision.</w:t>
            </w:r>
          </w:p>
        </w:tc>
        <w:tc>
          <w:tcPr>
            <w:tcW w:w="431" w:type="pct"/>
            <w:tcBorders>
              <w:top w:val="single" w:sz="1" w:space="0" w:color="AAAAAA"/>
              <w:left w:val="single" w:sz="1" w:space="0" w:color="AAAAAA"/>
              <w:right w:val="single" w:sz="1" w:space="0" w:color="AAAAAA"/>
            </w:tcBorders>
            <w:shd w:val="clear" w:color="auto" w:fill="D9F2D0"/>
            <w:tcMar>
              <w:top w:w="60" w:type="dxa"/>
              <w:left w:w="100" w:type="dxa"/>
              <w:bottom w:w="60" w:type="dxa"/>
              <w:right w:w="100" w:type="dxa"/>
            </w:tcMar>
          </w:tcPr>
          <w:p w14:paraId="77675949"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r>
      <w:tr w:rsidR="005F0A67" w:rsidRPr="005F0A67" w14:paraId="45222EA1" w14:textId="77777777" w:rsidTr="005F0A67">
        <w:tc>
          <w:tcPr>
            <w:tcW w:w="1210" w:type="pct"/>
            <w:vMerge w:val="restar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723B140F"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sz w:val="18"/>
                <w:szCs w:val="18"/>
                <w:lang w:val="en-CA" w:eastAsia="en-GB"/>
              </w:rPr>
              <w:t>Cost of intermediate consumption</w:t>
            </w:r>
            <w:r w:rsidRPr="005F0A67">
              <w:rPr>
                <w:rFonts w:asciiTheme="majorBidi" w:eastAsia="Times New Roman" w:hAnsiTheme="majorBidi" w:cstheme="majorBidi"/>
                <w:sz w:val="18"/>
                <w:szCs w:val="18"/>
                <w:lang w:val="en-CA" w:eastAsia="en-GB"/>
              </w:rPr>
              <w:t xml:space="preserve"> Indirect cost increase from upstream contribution pass-through. The distinctive feature of cosmetics is the intra-sector </w:t>
            </w:r>
            <w:r w:rsidRPr="005F0A67">
              <w:rPr>
                <w:rFonts w:asciiTheme="majorBidi" w:eastAsia="Times New Roman" w:hAnsiTheme="majorBidi" w:cstheme="majorBidi"/>
                <w:sz w:val="18"/>
                <w:szCs w:val="18"/>
                <w:lang w:val="en-CA" w:eastAsia="en-GB"/>
              </w:rPr>
              <w:lastRenderedPageBreak/>
              <w:t>channel: if upstream active ingredient developers pass Cali Fund contributions forward via ingredient pricing, downstream branded firms face an additional cost burden beyond their own contribution obligation.</w:t>
            </w: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5F7D8692"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lastRenderedPageBreak/>
              <w:t>Downstream branded cosmetics firms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6DA08A72"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42EC1779"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Medium</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764D51B3"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Intra-sector pass-forward channel: if upstream active ingredient developers contribute and pass costs forward via ingredient pricing, downstream branded firms face indirect cost increase beyond their own contribution; conditional on upstream firm participation and pass-</w:t>
            </w:r>
            <w:r w:rsidRPr="005F0A67">
              <w:rPr>
                <w:rFonts w:asciiTheme="majorBidi" w:eastAsia="Times New Roman" w:hAnsiTheme="majorBidi" w:cstheme="majorBidi"/>
                <w:sz w:val="18"/>
                <w:szCs w:val="18"/>
                <w:lang w:val="en-CA" w:eastAsia="en-GB"/>
              </w:rPr>
              <w:lastRenderedPageBreak/>
              <w:t xml:space="preserve">through decision (Hiemstra, Brink and </w:t>
            </w:r>
            <w:proofErr w:type="spellStart"/>
            <w:r w:rsidRPr="005F0A67">
              <w:rPr>
                <w:rFonts w:asciiTheme="majorBidi" w:eastAsia="Times New Roman" w:hAnsiTheme="majorBidi" w:cstheme="majorBidi"/>
                <w:sz w:val="18"/>
                <w:szCs w:val="18"/>
                <w:lang w:val="en-CA" w:eastAsia="en-GB"/>
              </w:rPr>
              <w:t>Hintune</w:t>
            </w:r>
            <w:proofErr w:type="spellEnd"/>
            <w:r w:rsidRPr="005F0A67">
              <w:rPr>
                <w:rFonts w:asciiTheme="majorBidi" w:eastAsia="Times New Roman" w:hAnsiTheme="majorBidi" w:cstheme="majorBidi"/>
                <w:sz w:val="18"/>
                <w:szCs w:val="18"/>
                <w:lang w:val="en-CA" w:eastAsia="en-GB"/>
              </w:rPr>
              <w:t>, 2019). Direct vs indirect use boundary (U4).</w:t>
            </w:r>
          </w:p>
        </w:tc>
        <w:tc>
          <w:tcPr>
            <w:tcW w:w="431" w:type="pct"/>
            <w:tcBorders>
              <w:top w:val="single" w:sz="1" w:space="0" w:color="AAAAAA"/>
              <w:left w:val="single" w:sz="1" w:space="0" w:color="AAAAAA"/>
              <w:right w:val="single" w:sz="1" w:space="0" w:color="AAAAAA"/>
            </w:tcBorders>
            <w:shd w:val="clear" w:color="auto" w:fill="D9F2D0"/>
            <w:tcMar>
              <w:top w:w="60" w:type="dxa"/>
              <w:left w:w="100" w:type="dxa"/>
              <w:bottom w:w="60" w:type="dxa"/>
              <w:right w:w="100" w:type="dxa"/>
            </w:tcMar>
          </w:tcPr>
          <w:p w14:paraId="0F442A94"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lastRenderedPageBreak/>
              <w:t>Low</w:t>
            </w:r>
          </w:p>
        </w:tc>
      </w:tr>
      <w:tr w:rsidR="005F0A67" w:rsidRPr="005F0A67" w14:paraId="2CEBDFCE" w14:textId="77777777" w:rsidTr="005F0A67">
        <w:tc>
          <w:tcPr>
            <w:tcW w:w="1210" w:type="pct"/>
            <w:vMerge/>
            <w:tcMar>
              <w:top w:w="60" w:type="dxa"/>
              <w:left w:w="100" w:type="dxa"/>
              <w:bottom w:w="60" w:type="dxa"/>
              <w:right w:w="100" w:type="dxa"/>
            </w:tcMar>
          </w:tcPr>
          <w:p w14:paraId="4B63BF8A"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4CB7DDEF"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Upstream active ingredient developers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44C9FAA2"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13A0E668"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1EB3D72F"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Laboratory equipment dependence for precision fermentation and sequencing-based ingredient development; direct vs indirect use boundary (U4). If contribution costs can be passed forward to downstream branded clients, net burden is reduced.</w:t>
            </w:r>
          </w:p>
        </w:tc>
        <w:tc>
          <w:tcPr>
            <w:tcW w:w="431" w:type="pct"/>
            <w:tcBorders>
              <w:top w:val="single" w:sz="1" w:space="0" w:color="AAAAAA"/>
              <w:left w:val="single" w:sz="1" w:space="0" w:color="AAAAAA"/>
              <w:right w:val="single" w:sz="1" w:space="0" w:color="AAAAAA"/>
            </w:tcBorders>
            <w:shd w:val="clear" w:color="auto" w:fill="D9F2D0"/>
            <w:tcMar>
              <w:top w:w="60" w:type="dxa"/>
              <w:left w:w="100" w:type="dxa"/>
              <w:bottom w:w="60" w:type="dxa"/>
              <w:right w:w="100" w:type="dxa"/>
            </w:tcMar>
          </w:tcPr>
          <w:p w14:paraId="7452F0C6"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r>
      <w:tr w:rsidR="005F0A67" w:rsidRPr="005F0A67" w14:paraId="4079822A" w14:textId="77777777" w:rsidTr="005F0A67">
        <w:tc>
          <w:tcPr>
            <w:tcW w:w="1210" w:type="pct"/>
            <w:vMerge w:val="restar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6FF5AFAF"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sz w:val="18"/>
                <w:szCs w:val="18"/>
                <w:lang w:val="en-CA" w:eastAsia="en-GB"/>
              </w:rPr>
              <w:t>Pass-through to consumers</w:t>
            </w:r>
            <w:r w:rsidRPr="005F0A67">
              <w:rPr>
                <w:rFonts w:asciiTheme="majorBidi" w:eastAsia="Times New Roman" w:hAnsiTheme="majorBidi" w:cstheme="majorBidi"/>
                <w:sz w:val="18"/>
                <w:szCs w:val="18"/>
                <w:lang w:val="en-CA" w:eastAsia="en-GB"/>
              </w:rPr>
              <w:t xml:space="preserve"> Extent to which contribution cost is transferred to customers via output pricing. Consumer-facing markets with moderate price sensitivity. Some pass-through plausible for premium or differentiated products; limited for mass beauty segments facing intensifying competition from independent brands (McKinsey, 2025).</w:t>
            </w: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3F61C236"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Downstream branded cosmetics firms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2464725A"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3C83AD47"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Medium</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229B5AAE"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Premium branded multinationals with stronger brand positioning have some pass-through capacity; mass beauty brands face more price-sensitive consumers and intensifying competition constraining pass-through (McKinsey, 2025). National implementation divergence (U8).</w:t>
            </w:r>
          </w:p>
        </w:tc>
        <w:tc>
          <w:tcPr>
            <w:tcW w:w="431" w:type="pct"/>
            <w:tcBorders>
              <w:top w:val="single" w:sz="1" w:space="0" w:color="AAAAAA"/>
              <w:left w:val="single" w:sz="1" w:space="0" w:color="AAAAAA"/>
              <w:right w:val="single" w:sz="1" w:space="0" w:color="AAAAAA"/>
            </w:tcBorders>
            <w:shd w:val="clear" w:color="auto" w:fill="D9F3D0"/>
            <w:tcMar>
              <w:top w:w="60" w:type="dxa"/>
              <w:left w:w="100" w:type="dxa"/>
              <w:bottom w:w="60" w:type="dxa"/>
              <w:right w:w="100" w:type="dxa"/>
            </w:tcMar>
          </w:tcPr>
          <w:p w14:paraId="3CF28F8A"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r>
      <w:tr w:rsidR="005F0A67" w:rsidRPr="005F0A67" w14:paraId="243AF374" w14:textId="77777777" w:rsidTr="005F0A67">
        <w:tc>
          <w:tcPr>
            <w:tcW w:w="1210" w:type="pct"/>
            <w:vMerge/>
            <w:tcMar>
              <w:top w:w="60" w:type="dxa"/>
              <w:left w:w="100" w:type="dxa"/>
              <w:bottom w:w="60" w:type="dxa"/>
              <w:right w:w="100" w:type="dxa"/>
            </w:tcMar>
          </w:tcPr>
          <w:p w14:paraId="108367B8"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1C2EA4E2"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Upstream active ingredient developers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44783DEE"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Moderate</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53ECA668"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Medium</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38B8C08B"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Upstream position enables pass-forward of contribution costs via ingredient pricing to downstream clients; competitive concentration in active ingredients market (top five suppliers: 49% global market share, Global Market Insights, 2026a) supports some pricing power. National implementation divergence (U8).</w:t>
            </w:r>
          </w:p>
        </w:tc>
        <w:tc>
          <w:tcPr>
            <w:tcW w:w="431" w:type="pct"/>
            <w:tcBorders>
              <w:top w:val="single" w:sz="1" w:space="0" w:color="AAAAAA"/>
              <w:left w:val="single" w:sz="1" w:space="0" w:color="AAAAAA"/>
              <w:right w:val="single" w:sz="1" w:space="0" w:color="AAAAAA"/>
            </w:tcBorders>
            <w:shd w:val="clear" w:color="auto" w:fill="FEF9CC"/>
            <w:tcMar>
              <w:top w:w="60" w:type="dxa"/>
              <w:left w:w="100" w:type="dxa"/>
              <w:bottom w:w="60" w:type="dxa"/>
              <w:right w:w="100" w:type="dxa"/>
            </w:tcMar>
          </w:tcPr>
          <w:p w14:paraId="22BF6964"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Moderate</w:t>
            </w:r>
          </w:p>
        </w:tc>
      </w:tr>
    </w:tbl>
    <w:p w14:paraId="049A5F9E"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p>
    <w:p w14:paraId="5F7CFD4A" w14:textId="77777777" w:rsidR="00B009ED" w:rsidRDefault="00B009ED">
      <w:pPr>
        <w:tabs>
          <w:tab w:val="clear" w:pos="567"/>
          <w:tab w:val="clear" w:pos="1134"/>
          <w:tab w:val="clear" w:pos="1701"/>
          <w:tab w:val="clear" w:pos="2268"/>
        </w:tabs>
        <w:jc w:val="left"/>
        <w:rPr>
          <w:rFonts w:asciiTheme="majorBidi" w:eastAsia="Georgia" w:hAnsiTheme="majorBidi" w:cstheme="majorBidi"/>
          <w:b/>
          <w:bCs/>
          <w:color w:val="419844"/>
          <w:lang w:val="en-US" w:eastAsia="ja-JP"/>
        </w:rPr>
      </w:pPr>
      <w:bookmarkStart w:id="246" w:name="_Ref231772938"/>
      <w:r>
        <w:rPr>
          <w:rFonts w:asciiTheme="majorBidi" w:eastAsia="Georgia" w:hAnsiTheme="majorBidi" w:cstheme="majorBidi"/>
          <w:b/>
          <w:bCs/>
          <w:color w:val="419844"/>
          <w:lang w:val="en-US" w:eastAsia="ja-JP"/>
        </w:rPr>
        <w:br w:type="page"/>
      </w:r>
    </w:p>
    <w:p w14:paraId="3152E5E6" w14:textId="3935C96C" w:rsidR="005F0A67" w:rsidRPr="005F0A67" w:rsidRDefault="005F0A67" w:rsidP="005F0A67">
      <w:pPr>
        <w:tabs>
          <w:tab w:val="clear" w:pos="567"/>
          <w:tab w:val="clear" w:pos="1134"/>
          <w:tab w:val="clear" w:pos="1701"/>
          <w:tab w:val="clear" w:pos="2268"/>
        </w:tabs>
        <w:spacing w:after="200" w:line="312" w:lineRule="auto"/>
        <w:contextualSpacing/>
        <w:rPr>
          <w:rFonts w:asciiTheme="majorBidi" w:eastAsia="Georgia" w:hAnsiTheme="majorBidi" w:cstheme="majorBidi"/>
          <w:b/>
          <w:bCs/>
          <w:color w:val="419844"/>
          <w:lang w:eastAsia="en-GB"/>
        </w:rPr>
      </w:pPr>
      <w:r w:rsidRPr="005F0A67">
        <w:rPr>
          <w:rFonts w:asciiTheme="majorBidi" w:eastAsia="Georgia" w:hAnsiTheme="majorBidi" w:cstheme="majorBidi"/>
          <w:b/>
          <w:bCs/>
          <w:color w:val="419844"/>
          <w:lang w:val="en-US" w:eastAsia="ja-JP"/>
        </w:rPr>
        <w:lastRenderedPageBreak/>
        <w:t xml:space="preserve">Table </w:t>
      </w:r>
      <w:r w:rsidRPr="005F0A67">
        <w:rPr>
          <w:rFonts w:asciiTheme="majorBidi" w:eastAsia="Georgia" w:hAnsiTheme="majorBidi" w:cstheme="majorBidi"/>
          <w:b/>
          <w:bCs/>
          <w:color w:val="419844"/>
          <w:lang w:eastAsia="en-GB"/>
        </w:rPr>
        <w:fldChar w:fldCharType="begin"/>
      </w:r>
      <w:r w:rsidRPr="005F0A67">
        <w:rPr>
          <w:rFonts w:asciiTheme="majorBidi" w:eastAsia="Georgia" w:hAnsiTheme="majorBidi" w:cstheme="majorBidi"/>
          <w:b/>
          <w:bCs/>
          <w:color w:val="419844"/>
          <w:lang w:eastAsia="en-GB"/>
        </w:rPr>
        <w:instrText xml:space="preserve"> SEQ Table \* ARABIC </w:instrText>
      </w:r>
      <w:r w:rsidRPr="005F0A67">
        <w:rPr>
          <w:rFonts w:asciiTheme="majorBidi" w:eastAsia="Georgia" w:hAnsiTheme="majorBidi" w:cstheme="majorBidi"/>
          <w:b/>
          <w:bCs/>
          <w:color w:val="419844"/>
          <w:lang w:eastAsia="en-GB"/>
        </w:rPr>
        <w:fldChar w:fldCharType="separate"/>
      </w:r>
      <w:r w:rsidRPr="005F0A67">
        <w:rPr>
          <w:rFonts w:asciiTheme="majorBidi" w:eastAsia="Georgia" w:hAnsiTheme="majorBidi" w:cstheme="majorBidi"/>
          <w:b/>
          <w:bCs/>
          <w:noProof/>
          <w:color w:val="419844"/>
          <w:lang w:eastAsia="en-GB"/>
        </w:rPr>
        <w:t>39</w:t>
      </w:r>
      <w:r w:rsidRPr="005F0A67">
        <w:rPr>
          <w:rFonts w:asciiTheme="majorBidi" w:eastAsia="Georgia" w:hAnsiTheme="majorBidi" w:cstheme="majorBidi"/>
          <w:b/>
          <w:bCs/>
          <w:color w:val="419844"/>
          <w:lang w:eastAsia="en-GB"/>
        </w:rPr>
        <w:fldChar w:fldCharType="end"/>
      </w:r>
      <w:bookmarkEnd w:id="246"/>
      <w:r w:rsidRPr="005F0A67">
        <w:rPr>
          <w:rFonts w:asciiTheme="majorBidi" w:eastAsia="Georgia" w:hAnsiTheme="majorBidi" w:cstheme="majorBidi"/>
          <w:b/>
          <w:bCs/>
          <w:color w:val="419844"/>
          <w:lang w:val="en-US" w:eastAsia="ja-JP"/>
        </w:rPr>
        <w:t xml:space="preserve"> Pillar II: capacity to innovate impacts materiality assessment – Cosmetics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09"/>
        <w:gridCol w:w="1483"/>
        <w:gridCol w:w="1163"/>
        <w:gridCol w:w="1185"/>
        <w:gridCol w:w="5359"/>
        <w:gridCol w:w="1179"/>
      </w:tblGrid>
      <w:tr w:rsidR="005F0A67" w:rsidRPr="005F0A67" w14:paraId="34B63BB5" w14:textId="77777777" w:rsidTr="00FB671B">
        <w:tc>
          <w:tcPr>
            <w:tcW w:w="1210" w:type="pct"/>
            <w:tcBorders>
              <w:top w:val="single" w:sz="1" w:space="0" w:color="AAAAAA"/>
              <w:left w:val="single" w:sz="1" w:space="0" w:color="AAAAAA"/>
              <w:right w:val="single" w:sz="1" w:space="0" w:color="AAAAAA"/>
            </w:tcBorders>
            <w:shd w:val="clear" w:color="auto" w:fill="1F4E6B"/>
            <w:tcMar>
              <w:top w:w="60" w:type="dxa"/>
              <w:left w:w="100" w:type="dxa"/>
              <w:bottom w:w="60" w:type="dxa"/>
              <w:right w:w="100" w:type="dxa"/>
            </w:tcMar>
          </w:tcPr>
          <w:p w14:paraId="544A768E"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color w:val="FFFFFF"/>
                <w:sz w:val="18"/>
                <w:szCs w:val="18"/>
                <w:lang w:val="en-CA" w:eastAsia="en-GB"/>
              </w:rPr>
              <w:t>Impact</w:t>
            </w:r>
          </w:p>
        </w:tc>
        <w:tc>
          <w:tcPr>
            <w:tcW w:w="542" w:type="pct"/>
            <w:tcBorders>
              <w:top w:val="single" w:sz="1" w:space="0" w:color="AAAAAA"/>
              <w:left w:val="single" w:sz="1" w:space="0" w:color="AAAAAA"/>
              <w:right w:val="single" w:sz="1" w:space="0" w:color="AAAAAA"/>
            </w:tcBorders>
            <w:shd w:val="clear" w:color="auto" w:fill="1F4E6B"/>
            <w:tcMar>
              <w:top w:w="60" w:type="dxa"/>
              <w:left w:w="100" w:type="dxa"/>
              <w:bottom w:w="60" w:type="dxa"/>
              <w:right w:w="100" w:type="dxa"/>
            </w:tcMar>
          </w:tcPr>
          <w:p w14:paraId="47B302CC"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color w:val="FFFFFF"/>
                <w:sz w:val="18"/>
                <w:szCs w:val="18"/>
                <w:lang w:val="en-CA" w:eastAsia="en-GB"/>
              </w:rPr>
              <w:t>Firm type</w:t>
            </w:r>
          </w:p>
        </w:tc>
        <w:tc>
          <w:tcPr>
            <w:tcW w:w="425" w:type="pct"/>
            <w:tcBorders>
              <w:top w:val="single" w:sz="1" w:space="0" w:color="AAAAAA"/>
              <w:left w:val="single" w:sz="1" w:space="0" w:color="AAAAAA"/>
              <w:right w:val="single" w:sz="1" w:space="0" w:color="AAAAAA"/>
            </w:tcBorders>
            <w:shd w:val="clear" w:color="auto" w:fill="1F4E6B"/>
            <w:tcMar>
              <w:top w:w="60" w:type="dxa"/>
              <w:left w:w="100" w:type="dxa"/>
              <w:bottom w:w="60" w:type="dxa"/>
              <w:right w:w="100" w:type="dxa"/>
            </w:tcMar>
          </w:tcPr>
          <w:p w14:paraId="397F2473"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color w:val="FFFFFF"/>
                <w:sz w:val="18"/>
                <w:szCs w:val="18"/>
                <w:lang w:val="en-CA" w:eastAsia="en-GB"/>
              </w:rPr>
              <w:t>Magnitude</w:t>
            </w:r>
          </w:p>
        </w:tc>
        <w:tc>
          <w:tcPr>
            <w:tcW w:w="433" w:type="pct"/>
            <w:tcBorders>
              <w:top w:val="single" w:sz="1" w:space="0" w:color="AAAAAA"/>
              <w:left w:val="single" w:sz="1" w:space="0" w:color="AAAAAA"/>
              <w:right w:val="single" w:sz="1" w:space="0" w:color="AAAAAA"/>
            </w:tcBorders>
            <w:shd w:val="clear" w:color="auto" w:fill="1F4E6B"/>
            <w:tcMar>
              <w:top w:w="60" w:type="dxa"/>
              <w:left w:w="100" w:type="dxa"/>
              <w:bottom w:w="60" w:type="dxa"/>
              <w:right w:w="100" w:type="dxa"/>
            </w:tcMar>
          </w:tcPr>
          <w:p w14:paraId="5DA62F89"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color w:val="FFFFFF"/>
                <w:sz w:val="18"/>
                <w:szCs w:val="18"/>
                <w:lang w:val="en-CA" w:eastAsia="en-GB"/>
              </w:rPr>
              <w:t>Probability</w:t>
            </w:r>
          </w:p>
        </w:tc>
        <w:tc>
          <w:tcPr>
            <w:tcW w:w="1959" w:type="pct"/>
            <w:tcBorders>
              <w:top w:val="single" w:sz="1" w:space="0" w:color="AAAAAA"/>
              <w:left w:val="single" w:sz="1" w:space="0" w:color="AAAAAA"/>
              <w:right w:val="single" w:sz="1" w:space="0" w:color="AAAAAA"/>
            </w:tcBorders>
            <w:shd w:val="clear" w:color="auto" w:fill="1F4E6B"/>
            <w:tcMar>
              <w:top w:w="60" w:type="dxa"/>
              <w:left w:w="100" w:type="dxa"/>
              <w:bottom w:w="60" w:type="dxa"/>
              <w:right w:w="100" w:type="dxa"/>
            </w:tcMar>
          </w:tcPr>
          <w:p w14:paraId="4B7A79DA"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color w:val="FFFFFF"/>
                <w:sz w:val="18"/>
                <w:szCs w:val="18"/>
                <w:lang w:val="en-CA" w:eastAsia="en-GB"/>
              </w:rPr>
              <w:t>Key conditions</w:t>
            </w:r>
          </w:p>
        </w:tc>
        <w:tc>
          <w:tcPr>
            <w:tcW w:w="431" w:type="pct"/>
            <w:tcBorders>
              <w:top w:val="single" w:sz="1" w:space="0" w:color="AAAAAA"/>
              <w:left w:val="single" w:sz="1" w:space="0" w:color="AAAAAA"/>
              <w:right w:val="single" w:sz="1" w:space="0" w:color="AAAAAA"/>
            </w:tcBorders>
            <w:shd w:val="clear" w:color="auto" w:fill="1F4E6B"/>
            <w:tcMar>
              <w:top w:w="60" w:type="dxa"/>
              <w:left w:w="100" w:type="dxa"/>
              <w:bottom w:w="60" w:type="dxa"/>
              <w:right w:w="100" w:type="dxa"/>
            </w:tcMar>
          </w:tcPr>
          <w:p w14:paraId="34A18D4B"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color w:val="FFFFFF"/>
                <w:sz w:val="18"/>
                <w:szCs w:val="18"/>
                <w:lang w:val="en-CA" w:eastAsia="en-GB"/>
              </w:rPr>
              <w:t>Materiality</w:t>
            </w:r>
          </w:p>
        </w:tc>
      </w:tr>
      <w:tr w:rsidR="005F0A67" w:rsidRPr="005F0A67" w14:paraId="3FF3CE20" w14:textId="77777777" w:rsidTr="005F0A67">
        <w:tc>
          <w:tcPr>
            <w:tcW w:w="1210" w:type="pct"/>
            <w:vMerge w:val="restar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4E1D50D7"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sz w:val="18"/>
                <w:szCs w:val="18"/>
                <w:lang w:val="en-CA" w:eastAsia="en-GB"/>
              </w:rPr>
              <w:t>R&amp;D investment capacity</w:t>
            </w:r>
            <w:r w:rsidRPr="005F0A67">
              <w:rPr>
                <w:rFonts w:asciiTheme="majorBidi" w:eastAsia="Times New Roman" w:hAnsiTheme="majorBidi" w:cstheme="majorBidi"/>
                <w:sz w:val="18"/>
                <w:szCs w:val="18"/>
                <w:lang w:val="en-CA" w:eastAsia="en-GB"/>
              </w:rPr>
              <w:t xml:space="preserve"> Reduction in capital available for R&amp;D through margin compression or reduced free cash flow. A comparable 1pp profit tax burden reduces R&amp;D by ~6-7% over eight years, with effects concentrated in financially constrained firms (Lichter et al., 2025). R&amp;D investment capacity is more significant for upstream active ingredient developers with long pipelines for biotechnology-derived actives; low for downstream branded firms that acquire innovation externally.</w:t>
            </w: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55B329E3"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Downstream branded cosmetics firms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555AC4E0"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163FB64B"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25412AD2"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Downstream branded firms acquire innovation externally via acquisitions and alliances (Sedita et al., 2021); limited internal R&amp;D pipeline; innovation effects concentrated in financially constrained firms not representative of premium multinationals. Rate revision.</w:t>
            </w:r>
          </w:p>
        </w:tc>
        <w:tc>
          <w:tcPr>
            <w:tcW w:w="431" w:type="pct"/>
            <w:tcBorders>
              <w:top w:val="single" w:sz="1" w:space="0" w:color="AAAAAA"/>
              <w:left w:val="single" w:sz="1" w:space="0" w:color="AAAAAA"/>
              <w:right w:val="single" w:sz="1" w:space="0" w:color="AAAAAA"/>
            </w:tcBorders>
            <w:shd w:val="clear" w:color="auto" w:fill="D9F2D0"/>
            <w:tcMar>
              <w:top w:w="60" w:type="dxa"/>
              <w:left w:w="100" w:type="dxa"/>
              <w:bottom w:w="60" w:type="dxa"/>
              <w:right w:w="100" w:type="dxa"/>
            </w:tcMar>
          </w:tcPr>
          <w:p w14:paraId="50149062"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r>
      <w:tr w:rsidR="005F0A67" w:rsidRPr="005F0A67" w14:paraId="67983390" w14:textId="77777777" w:rsidTr="005F0A67">
        <w:tc>
          <w:tcPr>
            <w:tcW w:w="1210" w:type="pct"/>
            <w:vMerge/>
            <w:tcMar>
              <w:top w:w="60" w:type="dxa"/>
              <w:left w:w="100" w:type="dxa"/>
              <w:bottom w:w="60" w:type="dxa"/>
              <w:right w:w="100" w:type="dxa"/>
            </w:tcMar>
          </w:tcPr>
          <w:p w14:paraId="07378941"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78993E1A"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Upstream active ingredient developers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29F07431"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Moderate</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08A64250"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Medium</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6D4AA79D"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Long pipelines for biotechnology-derived active ingredients; high development costs for efficacy validation and regulatory acceptance (Bourgaud, Twyman and Oksman-Caldentey, 2025); ABS governance fragmentation is a primary constraint on innovation investment beyond contribution (Klunker and Richter, 2022; Michiels et al., 2022). Rate revision; potential obligation stacking uncertainty (U7).</w:t>
            </w:r>
          </w:p>
        </w:tc>
        <w:tc>
          <w:tcPr>
            <w:tcW w:w="431" w:type="pct"/>
            <w:tcBorders>
              <w:top w:val="single" w:sz="1" w:space="0" w:color="AAAAAA"/>
              <w:left w:val="single" w:sz="1" w:space="0" w:color="AAAAAA"/>
              <w:right w:val="single" w:sz="1" w:space="0" w:color="AAAAAA"/>
            </w:tcBorders>
            <w:shd w:val="clear" w:color="auto" w:fill="FEF9CC"/>
            <w:tcMar>
              <w:top w:w="60" w:type="dxa"/>
              <w:left w:w="100" w:type="dxa"/>
              <w:bottom w:w="60" w:type="dxa"/>
              <w:right w:w="100" w:type="dxa"/>
            </w:tcMar>
          </w:tcPr>
          <w:p w14:paraId="640D26D9"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Moderate</w:t>
            </w:r>
          </w:p>
        </w:tc>
      </w:tr>
      <w:tr w:rsidR="005F0A67" w:rsidRPr="005F0A67" w14:paraId="2AD71071" w14:textId="77777777" w:rsidTr="005F0A67">
        <w:tc>
          <w:tcPr>
            <w:tcW w:w="1210" w:type="pct"/>
            <w:vMerge w:val="restar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54FF0842"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sz w:val="18"/>
                <w:szCs w:val="18"/>
                <w:lang w:val="en-CA" w:eastAsia="en-GB"/>
              </w:rPr>
              <w:t>Product innovation capacity</w:t>
            </w:r>
            <w:r w:rsidRPr="005F0A67">
              <w:rPr>
                <w:rFonts w:asciiTheme="majorBidi" w:eastAsia="Times New Roman" w:hAnsiTheme="majorBidi" w:cstheme="majorBidi"/>
                <w:sz w:val="18"/>
                <w:szCs w:val="18"/>
                <w:lang w:val="en-CA" w:eastAsia="en-GB"/>
              </w:rPr>
              <w:t xml:space="preserve"> Reduction in capital for development and commercialisation of new products and actives. Most significant for upstream active ingredient developers with long pipelines and high development costs. Innovation effects most pronounced for financially constrained firms (Atanassov and Liu, 2020; Lichter et al., 2025).</w:t>
            </w: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56ECA9DC"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Downstream branded cosmetics firms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503D4D9D"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5AD76111"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13B3ABA2"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Product innovation primarily through external acquisition and formulation adaptation rather than internal R&amp;D pipelines; limited long-horizon investment exposure. Rate revision.</w:t>
            </w:r>
          </w:p>
        </w:tc>
        <w:tc>
          <w:tcPr>
            <w:tcW w:w="431" w:type="pct"/>
            <w:tcBorders>
              <w:top w:val="single" w:sz="1" w:space="0" w:color="AAAAAA"/>
              <w:left w:val="single" w:sz="1" w:space="0" w:color="AAAAAA"/>
              <w:right w:val="single" w:sz="1" w:space="0" w:color="AAAAAA"/>
            </w:tcBorders>
            <w:shd w:val="clear" w:color="auto" w:fill="D9F2D0"/>
            <w:tcMar>
              <w:top w:w="60" w:type="dxa"/>
              <w:left w:w="100" w:type="dxa"/>
              <w:bottom w:w="60" w:type="dxa"/>
              <w:right w:w="100" w:type="dxa"/>
            </w:tcMar>
          </w:tcPr>
          <w:p w14:paraId="6ECC3340"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r>
      <w:tr w:rsidR="005F0A67" w:rsidRPr="005F0A67" w14:paraId="3988284D" w14:textId="77777777" w:rsidTr="005F0A67">
        <w:tc>
          <w:tcPr>
            <w:tcW w:w="1210" w:type="pct"/>
            <w:vMerge/>
            <w:tcMar>
              <w:top w:w="60" w:type="dxa"/>
              <w:left w:w="100" w:type="dxa"/>
              <w:bottom w:w="60" w:type="dxa"/>
              <w:right w:w="100" w:type="dxa"/>
            </w:tcMar>
          </w:tcPr>
          <w:p w14:paraId="179E9200"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3953C066"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Upstream active ingredient developers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5D08DDF2"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Moderate</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38378566"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Medium</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450576E4"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Long development pipelines for novel active ingredients; ingredient approval, efficacy validation, and scale-up bottlenecks create high commercialisation costs (</w:t>
            </w:r>
            <w:proofErr w:type="spellStart"/>
            <w:r w:rsidRPr="005F0A67">
              <w:rPr>
                <w:rFonts w:asciiTheme="majorBidi" w:eastAsia="Times New Roman" w:hAnsiTheme="majorBidi" w:cstheme="majorBidi"/>
                <w:sz w:val="18"/>
                <w:szCs w:val="18"/>
                <w:lang w:val="en-CA" w:eastAsia="en-GB"/>
              </w:rPr>
              <w:t>Bourgaud</w:t>
            </w:r>
            <w:proofErr w:type="spellEnd"/>
            <w:r w:rsidRPr="005F0A67">
              <w:rPr>
                <w:rFonts w:asciiTheme="majorBidi" w:eastAsia="Times New Roman" w:hAnsiTheme="majorBidi" w:cstheme="majorBidi"/>
                <w:sz w:val="18"/>
                <w:szCs w:val="18"/>
                <w:lang w:val="en-CA" w:eastAsia="en-GB"/>
              </w:rPr>
              <w:t>, Twyman and Oksman-Caldentey, 2025). Rate revision; ABS governance fragmentation (U7).</w:t>
            </w:r>
          </w:p>
        </w:tc>
        <w:tc>
          <w:tcPr>
            <w:tcW w:w="431" w:type="pct"/>
            <w:tcBorders>
              <w:top w:val="single" w:sz="1" w:space="0" w:color="AAAAAA"/>
              <w:left w:val="single" w:sz="1" w:space="0" w:color="AAAAAA"/>
              <w:right w:val="single" w:sz="1" w:space="0" w:color="AAAAAA"/>
            </w:tcBorders>
            <w:shd w:val="clear" w:color="auto" w:fill="FEF9CC"/>
            <w:tcMar>
              <w:top w:w="60" w:type="dxa"/>
              <w:left w:w="100" w:type="dxa"/>
              <w:bottom w:w="60" w:type="dxa"/>
              <w:right w:w="100" w:type="dxa"/>
            </w:tcMar>
          </w:tcPr>
          <w:p w14:paraId="7DAEE4B0"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Moderate</w:t>
            </w:r>
          </w:p>
        </w:tc>
      </w:tr>
      <w:tr w:rsidR="005F0A67" w:rsidRPr="005F0A67" w14:paraId="74286A71" w14:textId="77777777" w:rsidTr="005F0A67">
        <w:tc>
          <w:tcPr>
            <w:tcW w:w="1210" w:type="pct"/>
            <w:vMerge w:val="restar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377EEF42"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sz w:val="18"/>
                <w:szCs w:val="18"/>
                <w:lang w:val="en-CA" w:eastAsia="en-GB"/>
              </w:rPr>
              <w:t>Access to risk capital</w:t>
            </w:r>
            <w:r w:rsidRPr="005F0A67">
              <w:rPr>
                <w:rFonts w:asciiTheme="majorBidi" w:eastAsia="Times New Roman" w:hAnsiTheme="majorBidi" w:cstheme="majorBidi"/>
                <w:sz w:val="18"/>
                <w:szCs w:val="18"/>
                <w:lang w:val="en-CA" w:eastAsia="en-GB"/>
              </w:rPr>
              <w:t xml:space="preserve"> Effect on ability to attract external financing for innovation where margin compression reduces perceived returns. Large well-capitalised firms are least exposed (Coles et al., 2022). Voluntary opt-out constrains severe outcomes.</w:t>
            </w: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1BAD964A"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Downstream branded cosmetics firms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6D6B4A28"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4808BFFD"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12BA36A3"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Large premium multinationals least exposed; voluntary opt-out constrains severe outcomes for mass beauty brands facing margin pressure. Rate revision.</w:t>
            </w:r>
          </w:p>
        </w:tc>
        <w:tc>
          <w:tcPr>
            <w:tcW w:w="431" w:type="pct"/>
            <w:tcBorders>
              <w:top w:val="single" w:sz="1" w:space="0" w:color="AAAAAA"/>
              <w:left w:val="single" w:sz="1" w:space="0" w:color="AAAAAA"/>
              <w:right w:val="single" w:sz="1" w:space="0" w:color="AAAAAA"/>
            </w:tcBorders>
            <w:shd w:val="clear" w:color="auto" w:fill="D9F2D0"/>
            <w:tcMar>
              <w:top w:w="60" w:type="dxa"/>
              <w:left w:w="100" w:type="dxa"/>
              <w:bottom w:w="60" w:type="dxa"/>
              <w:right w:w="100" w:type="dxa"/>
            </w:tcMar>
          </w:tcPr>
          <w:p w14:paraId="0CCECA02"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r>
      <w:tr w:rsidR="005F0A67" w:rsidRPr="005F0A67" w14:paraId="7490FF1A" w14:textId="77777777" w:rsidTr="005F0A67">
        <w:tc>
          <w:tcPr>
            <w:tcW w:w="1210" w:type="pct"/>
            <w:vMerge/>
            <w:tcMar>
              <w:top w:w="60" w:type="dxa"/>
              <w:left w:w="100" w:type="dxa"/>
              <w:bottom w:w="60" w:type="dxa"/>
              <w:right w:w="100" w:type="dxa"/>
            </w:tcMar>
          </w:tcPr>
          <w:p w14:paraId="4D886856"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05178BAE"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Upstream active ingredient developers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73563CEB"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4E6BF1BD"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1E25CEEE"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Smaller ingredient developers with constrained access to capital face somewhat higher exposure within this Low assessment; voluntary opt-out limits severe outcomes. Rate revision.</w:t>
            </w:r>
          </w:p>
        </w:tc>
        <w:tc>
          <w:tcPr>
            <w:tcW w:w="431" w:type="pct"/>
            <w:tcBorders>
              <w:top w:val="single" w:sz="1" w:space="0" w:color="AAAAAA"/>
              <w:left w:val="single" w:sz="1" w:space="0" w:color="AAAAAA"/>
              <w:right w:val="single" w:sz="1" w:space="0" w:color="AAAAAA"/>
            </w:tcBorders>
            <w:shd w:val="clear" w:color="auto" w:fill="D9F2D0"/>
            <w:tcMar>
              <w:top w:w="60" w:type="dxa"/>
              <w:left w:w="100" w:type="dxa"/>
              <w:bottom w:w="60" w:type="dxa"/>
              <w:right w:w="100" w:type="dxa"/>
            </w:tcMar>
          </w:tcPr>
          <w:p w14:paraId="2B805030"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r>
      <w:tr w:rsidR="005F0A67" w:rsidRPr="005F0A67" w14:paraId="68B6949B" w14:textId="77777777" w:rsidTr="005F0A67">
        <w:tc>
          <w:tcPr>
            <w:tcW w:w="1210" w:type="pct"/>
            <w:vMerge w:val="restar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79977517"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sz w:val="18"/>
                <w:szCs w:val="18"/>
                <w:lang w:val="en-CA" w:eastAsia="en-GB"/>
              </w:rPr>
              <w:t>Certainty and predictability</w:t>
            </w:r>
            <w:r w:rsidRPr="005F0A67">
              <w:rPr>
                <w:rFonts w:asciiTheme="majorBidi" w:eastAsia="Times New Roman" w:hAnsiTheme="majorBidi" w:cstheme="majorBidi"/>
                <w:sz w:val="18"/>
                <w:szCs w:val="18"/>
                <w:lang w:val="en-CA" w:eastAsia="en-GB"/>
              </w:rPr>
              <w:t xml:space="preserve"> Effect of unresolved Decision 16/2 design parameters on willingness to commit to long-term R&amp;D investments. Non-binding design means uncertainty primarily deters participation rather than investment. More significant for upstream active ingredient developers where ABS governance fragmentation is already the primary constraint on innovation.</w:t>
            </w: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4273DBE1"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Downstream branded cosmetics firms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71C72F8F"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01788594"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07A91F5D"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Downstream branded firms acquire innovation externally; limited long-run R&amp;D pipeline sensitivity. Certificate of contribution legal value (U6); rate revision.</w:t>
            </w:r>
          </w:p>
        </w:tc>
        <w:tc>
          <w:tcPr>
            <w:tcW w:w="431" w:type="pct"/>
            <w:tcBorders>
              <w:top w:val="single" w:sz="1" w:space="0" w:color="AAAAAA"/>
              <w:left w:val="single" w:sz="1" w:space="0" w:color="AAAAAA"/>
              <w:right w:val="single" w:sz="1" w:space="0" w:color="AAAAAA"/>
            </w:tcBorders>
            <w:shd w:val="clear" w:color="auto" w:fill="D9F2D0"/>
            <w:tcMar>
              <w:top w:w="60" w:type="dxa"/>
              <w:left w:w="100" w:type="dxa"/>
              <w:bottom w:w="60" w:type="dxa"/>
              <w:right w:w="100" w:type="dxa"/>
            </w:tcMar>
          </w:tcPr>
          <w:p w14:paraId="7E24E6C8"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r>
      <w:tr w:rsidR="005F0A67" w:rsidRPr="005F0A67" w14:paraId="34E594F2" w14:textId="77777777" w:rsidTr="005F0A67">
        <w:tc>
          <w:tcPr>
            <w:tcW w:w="1210" w:type="pct"/>
            <w:vMerge/>
            <w:tcMar>
              <w:top w:w="60" w:type="dxa"/>
              <w:left w:w="100" w:type="dxa"/>
              <w:bottom w:w="60" w:type="dxa"/>
              <w:right w:w="100" w:type="dxa"/>
            </w:tcMar>
          </w:tcPr>
          <w:p w14:paraId="3F6FEFFA"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4456125A"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Upstream active ingredient developers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350AD9F1"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7C57C4D2"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Medium</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4E269710"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Unresolved DSI scope and certificate legal value (U6) compound existing uncertainty; long development pipelines increase sensitivity to regulatory clarity. Rate revision.</w:t>
            </w:r>
          </w:p>
        </w:tc>
        <w:tc>
          <w:tcPr>
            <w:tcW w:w="431" w:type="pct"/>
            <w:tcBorders>
              <w:top w:val="single" w:sz="1" w:space="0" w:color="AAAAAA"/>
              <w:left w:val="single" w:sz="1" w:space="0" w:color="AAAAAA"/>
              <w:right w:val="single" w:sz="1" w:space="0" w:color="AAAAAA"/>
            </w:tcBorders>
            <w:shd w:val="clear" w:color="auto" w:fill="D9F3D0"/>
            <w:tcMar>
              <w:top w:w="60" w:type="dxa"/>
              <w:left w:w="100" w:type="dxa"/>
              <w:bottom w:w="60" w:type="dxa"/>
              <w:right w:w="100" w:type="dxa"/>
            </w:tcMar>
          </w:tcPr>
          <w:p w14:paraId="397E1482"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r>
    </w:tbl>
    <w:p w14:paraId="668FD9F5"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p>
    <w:p w14:paraId="37A9883C"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Georgia" w:hAnsiTheme="majorBidi" w:cstheme="majorBidi"/>
          <w:b/>
          <w:bCs/>
          <w:color w:val="419844"/>
          <w:lang w:val="en-CA" w:eastAsia="en-GB"/>
        </w:rPr>
      </w:pPr>
      <w:bookmarkStart w:id="247" w:name="_Ref231772952"/>
      <w:r w:rsidRPr="005F0A67">
        <w:rPr>
          <w:rFonts w:asciiTheme="majorBidi" w:eastAsia="Georgia" w:hAnsiTheme="majorBidi" w:cstheme="majorBidi"/>
          <w:b/>
          <w:bCs/>
          <w:color w:val="419844"/>
          <w:lang w:val="en-CA" w:eastAsia="en-GB"/>
        </w:rPr>
        <w:lastRenderedPageBreak/>
        <w:t xml:space="preserve">Table </w:t>
      </w:r>
      <w:r w:rsidRPr="005F0A67">
        <w:rPr>
          <w:rFonts w:asciiTheme="majorBidi" w:eastAsia="Georgia" w:hAnsiTheme="majorBidi" w:cstheme="majorBidi"/>
          <w:b/>
          <w:bCs/>
          <w:color w:val="419844"/>
          <w:lang w:val="en-CA" w:eastAsia="en-GB"/>
        </w:rPr>
        <w:fldChar w:fldCharType="begin"/>
      </w:r>
      <w:r w:rsidRPr="005F0A67">
        <w:rPr>
          <w:rFonts w:asciiTheme="majorBidi" w:eastAsia="Georgia" w:hAnsiTheme="majorBidi" w:cstheme="majorBidi"/>
          <w:b/>
          <w:bCs/>
          <w:color w:val="419844"/>
          <w:lang w:val="en-CA" w:eastAsia="en-GB"/>
        </w:rPr>
        <w:instrText xml:space="preserve"> SEQ Table \* ARABIC </w:instrText>
      </w:r>
      <w:r w:rsidRPr="005F0A67">
        <w:rPr>
          <w:rFonts w:asciiTheme="majorBidi" w:eastAsia="Georgia" w:hAnsiTheme="majorBidi" w:cstheme="majorBidi"/>
          <w:b/>
          <w:bCs/>
          <w:color w:val="419844"/>
          <w:lang w:val="en-CA" w:eastAsia="en-GB"/>
        </w:rPr>
        <w:fldChar w:fldCharType="separate"/>
      </w:r>
      <w:r w:rsidRPr="005F0A67">
        <w:rPr>
          <w:rFonts w:asciiTheme="majorBidi" w:eastAsia="Georgia" w:hAnsiTheme="majorBidi" w:cstheme="majorBidi"/>
          <w:b/>
          <w:bCs/>
          <w:noProof/>
          <w:color w:val="419844"/>
          <w:lang w:val="en-CA" w:eastAsia="en-GB"/>
        </w:rPr>
        <w:t>40</w:t>
      </w:r>
      <w:r w:rsidRPr="005F0A67">
        <w:rPr>
          <w:rFonts w:asciiTheme="majorBidi" w:eastAsia="Georgia" w:hAnsiTheme="majorBidi" w:cstheme="majorBidi"/>
          <w:b/>
          <w:bCs/>
          <w:color w:val="419844"/>
          <w:lang w:val="en-CA" w:eastAsia="en-GB"/>
        </w:rPr>
        <w:fldChar w:fldCharType="end"/>
      </w:r>
      <w:bookmarkEnd w:id="247"/>
      <w:r w:rsidRPr="005F0A67">
        <w:rPr>
          <w:rFonts w:asciiTheme="majorBidi" w:eastAsia="Georgia" w:hAnsiTheme="majorBidi" w:cstheme="majorBidi"/>
          <w:b/>
          <w:bCs/>
          <w:color w:val="419844"/>
          <w:lang w:val="en-CA" w:eastAsia="en-GB"/>
        </w:rPr>
        <w:t xml:space="preserve"> Pillar III: international competitiveness impacts materiality assessment - Cosmetics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09"/>
        <w:gridCol w:w="1483"/>
        <w:gridCol w:w="1163"/>
        <w:gridCol w:w="1185"/>
        <w:gridCol w:w="5359"/>
        <w:gridCol w:w="1179"/>
      </w:tblGrid>
      <w:tr w:rsidR="005F0A67" w:rsidRPr="005F0A67" w14:paraId="4A5E52D5" w14:textId="77777777" w:rsidTr="00FB671B">
        <w:tc>
          <w:tcPr>
            <w:tcW w:w="1210" w:type="pct"/>
            <w:tcBorders>
              <w:top w:val="single" w:sz="1" w:space="0" w:color="AAAAAA"/>
              <w:left w:val="single" w:sz="1" w:space="0" w:color="AAAAAA"/>
              <w:right w:val="single" w:sz="1" w:space="0" w:color="AAAAAA"/>
            </w:tcBorders>
            <w:shd w:val="clear" w:color="auto" w:fill="1F4E6B"/>
            <w:tcMar>
              <w:top w:w="60" w:type="dxa"/>
              <w:left w:w="100" w:type="dxa"/>
              <w:bottom w:w="60" w:type="dxa"/>
              <w:right w:w="100" w:type="dxa"/>
            </w:tcMar>
          </w:tcPr>
          <w:p w14:paraId="7DDC45C7"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color w:val="FFFFFF"/>
                <w:sz w:val="18"/>
                <w:szCs w:val="18"/>
                <w:lang w:val="en-CA" w:eastAsia="en-GB"/>
              </w:rPr>
              <w:t>Impact</w:t>
            </w:r>
          </w:p>
        </w:tc>
        <w:tc>
          <w:tcPr>
            <w:tcW w:w="542" w:type="pct"/>
            <w:tcBorders>
              <w:top w:val="single" w:sz="1" w:space="0" w:color="AAAAAA"/>
              <w:left w:val="single" w:sz="1" w:space="0" w:color="AAAAAA"/>
              <w:right w:val="single" w:sz="1" w:space="0" w:color="AAAAAA"/>
            </w:tcBorders>
            <w:shd w:val="clear" w:color="auto" w:fill="1F4E6B"/>
            <w:tcMar>
              <w:top w:w="60" w:type="dxa"/>
              <w:left w:w="100" w:type="dxa"/>
              <w:bottom w:w="60" w:type="dxa"/>
              <w:right w:w="100" w:type="dxa"/>
            </w:tcMar>
          </w:tcPr>
          <w:p w14:paraId="066DD749"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color w:val="FFFFFF"/>
                <w:sz w:val="18"/>
                <w:szCs w:val="18"/>
                <w:lang w:val="en-CA" w:eastAsia="en-GB"/>
              </w:rPr>
              <w:t>Firm type</w:t>
            </w:r>
          </w:p>
        </w:tc>
        <w:tc>
          <w:tcPr>
            <w:tcW w:w="425" w:type="pct"/>
            <w:tcBorders>
              <w:top w:val="single" w:sz="1" w:space="0" w:color="AAAAAA"/>
              <w:left w:val="single" w:sz="1" w:space="0" w:color="AAAAAA"/>
              <w:right w:val="single" w:sz="1" w:space="0" w:color="AAAAAA"/>
            </w:tcBorders>
            <w:shd w:val="clear" w:color="auto" w:fill="1F4E6B"/>
            <w:tcMar>
              <w:top w:w="60" w:type="dxa"/>
              <w:left w:w="100" w:type="dxa"/>
              <w:bottom w:w="60" w:type="dxa"/>
              <w:right w:w="100" w:type="dxa"/>
            </w:tcMar>
          </w:tcPr>
          <w:p w14:paraId="3EE8C5E4"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color w:val="FFFFFF"/>
                <w:sz w:val="18"/>
                <w:szCs w:val="18"/>
                <w:lang w:val="en-CA" w:eastAsia="en-GB"/>
              </w:rPr>
              <w:t>Magnitude</w:t>
            </w:r>
          </w:p>
        </w:tc>
        <w:tc>
          <w:tcPr>
            <w:tcW w:w="433" w:type="pct"/>
            <w:tcBorders>
              <w:top w:val="single" w:sz="1" w:space="0" w:color="AAAAAA"/>
              <w:left w:val="single" w:sz="1" w:space="0" w:color="AAAAAA"/>
              <w:right w:val="single" w:sz="1" w:space="0" w:color="AAAAAA"/>
            </w:tcBorders>
            <w:shd w:val="clear" w:color="auto" w:fill="1F4E6B"/>
            <w:tcMar>
              <w:top w:w="60" w:type="dxa"/>
              <w:left w:w="100" w:type="dxa"/>
              <w:bottom w:w="60" w:type="dxa"/>
              <w:right w:w="100" w:type="dxa"/>
            </w:tcMar>
          </w:tcPr>
          <w:p w14:paraId="02FC826A"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color w:val="FFFFFF"/>
                <w:sz w:val="18"/>
                <w:szCs w:val="18"/>
                <w:lang w:val="en-CA" w:eastAsia="en-GB"/>
              </w:rPr>
              <w:t>Probability</w:t>
            </w:r>
          </w:p>
        </w:tc>
        <w:tc>
          <w:tcPr>
            <w:tcW w:w="1959" w:type="pct"/>
            <w:tcBorders>
              <w:top w:val="single" w:sz="1" w:space="0" w:color="AAAAAA"/>
              <w:left w:val="single" w:sz="1" w:space="0" w:color="AAAAAA"/>
              <w:right w:val="single" w:sz="1" w:space="0" w:color="AAAAAA"/>
            </w:tcBorders>
            <w:shd w:val="clear" w:color="auto" w:fill="1F4E6B"/>
            <w:tcMar>
              <w:top w:w="60" w:type="dxa"/>
              <w:left w:w="100" w:type="dxa"/>
              <w:bottom w:w="60" w:type="dxa"/>
              <w:right w:w="100" w:type="dxa"/>
            </w:tcMar>
          </w:tcPr>
          <w:p w14:paraId="2C23D408"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color w:val="FFFFFF"/>
                <w:sz w:val="18"/>
                <w:szCs w:val="18"/>
                <w:lang w:val="en-CA" w:eastAsia="en-GB"/>
              </w:rPr>
              <w:t>Key conditions</w:t>
            </w:r>
          </w:p>
        </w:tc>
        <w:tc>
          <w:tcPr>
            <w:tcW w:w="431" w:type="pct"/>
            <w:tcBorders>
              <w:top w:val="single" w:sz="1" w:space="0" w:color="AAAAAA"/>
              <w:left w:val="single" w:sz="1" w:space="0" w:color="AAAAAA"/>
              <w:right w:val="single" w:sz="1" w:space="0" w:color="AAAAAA"/>
            </w:tcBorders>
            <w:shd w:val="clear" w:color="auto" w:fill="1F4E6B"/>
            <w:tcMar>
              <w:top w:w="60" w:type="dxa"/>
              <w:left w:w="100" w:type="dxa"/>
              <w:bottom w:w="60" w:type="dxa"/>
              <w:right w:w="100" w:type="dxa"/>
            </w:tcMar>
          </w:tcPr>
          <w:p w14:paraId="758A013C"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color w:val="FFFFFF"/>
                <w:sz w:val="18"/>
                <w:szCs w:val="18"/>
                <w:lang w:val="en-CA" w:eastAsia="en-GB"/>
              </w:rPr>
              <w:t>Materiality</w:t>
            </w:r>
          </w:p>
        </w:tc>
      </w:tr>
      <w:tr w:rsidR="005F0A67" w:rsidRPr="005F0A67" w14:paraId="123F8419" w14:textId="77777777" w:rsidTr="005F0A67">
        <w:tc>
          <w:tcPr>
            <w:tcW w:w="1210" w:type="pct"/>
            <w:vMerge w:val="restar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1F9C8EEC"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sz w:val="18"/>
                <w:szCs w:val="18"/>
                <w:lang w:val="en-CA" w:eastAsia="en-GB"/>
              </w:rPr>
              <w:t>Competitive position vs non-Party competitors</w:t>
            </w:r>
            <w:r w:rsidRPr="005F0A67">
              <w:rPr>
                <w:rFonts w:asciiTheme="majorBidi" w:eastAsia="Times New Roman" w:hAnsiTheme="majorBidi" w:cstheme="majorBidi"/>
                <w:sz w:val="18"/>
                <w:szCs w:val="18"/>
                <w:lang w:val="en-CA" w:eastAsia="en-GB"/>
              </w:rPr>
              <w:t xml:space="preserve"> Direct cost asymmetry with competitors headquartered in non-CBD-Party jurisdictions. Non-CBD-Party competitor exposure is moderate across the sector: North America accounts for 28% of the global cosmetics market (L'Oreal, 2026) and is the largest regional market for active ingredients (Global Market Insights, 2026a), but the competitive set includes a higher proportion of European and CBD Party-based firms than in pharmaceuticals or biotechnology. Competitiveness risks arise primarily where non-Party rivals are close commercial substitutes (Fowlie, 2009; </w:t>
            </w:r>
            <w:proofErr w:type="spellStart"/>
            <w:r w:rsidRPr="005F0A67">
              <w:rPr>
                <w:rFonts w:asciiTheme="majorBidi" w:eastAsia="Times New Roman" w:hAnsiTheme="majorBidi" w:cstheme="majorBidi"/>
                <w:sz w:val="18"/>
                <w:szCs w:val="18"/>
                <w:lang w:val="en-CA" w:eastAsia="en-GB"/>
              </w:rPr>
              <w:t>Dechezlepretre</w:t>
            </w:r>
            <w:proofErr w:type="spellEnd"/>
            <w:r w:rsidRPr="005F0A67">
              <w:rPr>
                <w:rFonts w:asciiTheme="majorBidi" w:eastAsia="Times New Roman" w:hAnsiTheme="majorBidi" w:cstheme="majorBidi"/>
                <w:sz w:val="18"/>
                <w:szCs w:val="18"/>
                <w:lang w:val="en-CA" w:eastAsia="en-GB"/>
              </w:rPr>
              <w:t xml:space="preserve"> and Sato, 2017).</w:t>
            </w: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5423A988"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Downstream branded cosmetics firms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772BB047"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621686E2"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Medium</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154165F2"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North America holds 28% of global cosmetics market (L'Oreal, 2026) with US-based brands not subject to equivalent obligations; however European and CBD Party-based brands form a significant part of the competitive landscape, limiting asymmetry relative to pharmaceuticals. Intensifying competition from independent brands and emerging rivals (McKinsey, 2025) amplifies sensitivity to cost differentials. National implementation divergence (U8).</w:t>
            </w:r>
          </w:p>
        </w:tc>
        <w:tc>
          <w:tcPr>
            <w:tcW w:w="431" w:type="pct"/>
            <w:tcBorders>
              <w:top w:val="single" w:sz="1" w:space="0" w:color="AAAAAA"/>
              <w:left w:val="single" w:sz="1" w:space="0" w:color="AAAAAA"/>
              <w:right w:val="single" w:sz="1" w:space="0" w:color="AAAAAA"/>
            </w:tcBorders>
            <w:shd w:val="clear" w:color="auto" w:fill="D9F3D0"/>
            <w:tcMar>
              <w:top w:w="60" w:type="dxa"/>
              <w:left w:w="100" w:type="dxa"/>
              <w:bottom w:w="60" w:type="dxa"/>
              <w:right w:w="100" w:type="dxa"/>
            </w:tcMar>
          </w:tcPr>
          <w:p w14:paraId="08F0A03A"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r>
      <w:tr w:rsidR="005F0A67" w:rsidRPr="005F0A67" w14:paraId="62AF335A" w14:textId="77777777" w:rsidTr="005F0A67">
        <w:tc>
          <w:tcPr>
            <w:tcW w:w="1210" w:type="pct"/>
            <w:vMerge/>
            <w:tcMar>
              <w:top w:w="60" w:type="dxa"/>
              <w:left w:w="100" w:type="dxa"/>
              <w:bottom w:w="60" w:type="dxa"/>
              <w:right w:w="100" w:type="dxa"/>
            </w:tcMar>
          </w:tcPr>
          <w:p w14:paraId="29BB814F"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195C7F74"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Upstream active ingredient developers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0C92511F"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643ECCC7"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Medium</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5842E92D"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North America largest regional market for active ingredients (Global Market Insights, 2026a); US-headquartered ingredient suppliers not subject to equivalent obligations; top five suppliers capture 49% of global market (Global Market Insights, 2026a), but significant European CBD Party-based suppliers limit asymmetry. National implementation divergence (U8).</w:t>
            </w:r>
          </w:p>
        </w:tc>
        <w:tc>
          <w:tcPr>
            <w:tcW w:w="431" w:type="pct"/>
            <w:tcBorders>
              <w:top w:val="single" w:sz="1" w:space="0" w:color="AAAAAA"/>
              <w:left w:val="single" w:sz="1" w:space="0" w:color="AAAAAA"/>
              <w:right w:val="single" w:sz="1" w:space="0" w:color="AAAAAA"/>
            </w:tcBorders>
            <w:shd w:val="clear" w:color="auto" w:fill="D9F3D0"/>
            <w:tcMar>
              <w:top w:w="60" w:type="dxa"/>
              <w:left w:w="100" w:type="dxa"/>
              <w:bottom w:w="60" w:type="dxa"/>
              <w:right w:w="100" w:type="dxa"/>
            </w:tcMar>
          </w:tcPr>
          <w:p w14:paraId="19F838FE"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r>
      <w:tr w:rsidR="005F0A67" w:rsidRPr="005F0A67" w14:paraId="54B44EB7" w14:textId="77777777" w:rsidTr="005F0A67">
        <w:tc>
          <w:tcPr>
            <w:tcW w:w="1210" w:type="pct"/>
            <w:vMerge w:val="restar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7651DDAE"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sz w:val="18"/>
                <w:szCs w:val="18"/>
                <w:lang w:val="en-CA" w:eastAsia="en-GB"/>
              </w:rPr>
              <w:t>Export competitiveness</w:t>
            </w:r>
            <w:r w:rsidRPr="005F0A67">
              <w:rPr>
                <w:rFonts w:asciiTheme="majorBidi" w:eastAsia="Times New Roman" w:hAnsiTheme="majorBidi" w:cstheme="majorBidi"/>
                <w:sz w:val="18"/>
                <w:szCs w:val="18"/>
                <w:lang w:val="en-CA" w:eastAsia="en-GB"/>
              </w:rPr>
              <w:t xml:space="preserve"> Effects on export competitiveness where contribution cost cannot be fully passed through to export customers facing non-Party competition. Both firm types have significant export activity; premium branded firms have more pass-through capacity than mass beauty brands.</w:t>
            </w: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3DB2622F"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Downstream branded cosmetics firms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7F6D7638"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255D37AF"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Medium</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042DF970"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Export markets with moderate consumer price sensitivity; premium brands have more pass-through capacity than mass beauty brands; intensifying competition from non-Party independent brands constrains pass-through in export markets (McKinsey, 2025). National implementation divergence (U8); rate revision.</w:t>
            </w:r>
          </w:p>
        </w:tc>
        <w:tc>
          <w:tcPr>
            <w:tcW w:w="431" w:type="pct"/>
            <w:tcBorders>
              <w:top w:val="single" w:sz="1" w:space="0" w:color="AAAAAA"/>
              <w:left w:val="single" w:sz="1" w:space="0" w:color="AAAAAA"/>
              <w:right w:val="single" w:sz="1" w:space="0" w:color="AAAAAA"/>
            </w:tcBorders>
            <w:shd w:val="clear" w:color="auto" w:fill="D9F3D0"/>
            <w:tcMar>
              <w:top w:w="60" w:type="dxa"/>
              <w:left w:w="100" w:type="dxa"/>
              <w:bottom w:w="60" w:type="dxa"/>
              <w:right w:w="100" w:type="dxa"/>
            </w:tcMar>
          </w:tcPr>
          <w:p w14:paraId="72C6EE63"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Low</w:t>
            </w:r>
          </w:p>
        </w:tc>
      </w:tr>
      <w:tr w:rsidR="005F0A67" w:rsidRPr="005F0A67" w14:paraId="5F57E1C5" w14:textId="77777777" w:rsidTr="005F0A67">
        <w:tc>
          <w:tcPr>
            <w:tcW w:w="1210" w:type="pct"/>
            <w:vMerge/>
            <w:tcMar>
              <w:top w:w="60" w:type="dxa"/>
              <w:left w:w="100" w:type="dxa"/>
              <w:bottom w:w="60" w:type="dxa"/>
              <w:right w:w="100" w:type="dxa"/>
            </w:tcMar>
          </w:tcPr>
          <w:p w14:paraId="243C9AF9"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441209CA"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Upstream active ingredient developers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030E613B"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59B4B58D"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Medium</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04A5C702"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Export activity significant for active ingredient suppliers; some pricing power through niche concentration (49% top five market share) may support pass-through; pass-forward to downstream clients partially offsets export burden. National implementation divergence (U8); rate revision.</w:t>
            </w:r>
          </w:p>
        </w:tc>
        <w:tc>
          <w:tcPr>
            <w:tcW w:w="431" w:type="pct"/>
            <w:tcBorders>
              <w:top w:val="single" w:sz="1" w:space="0" w:color="AAAAAA"/>
              <w:left w:val="single" w:sz="1" w:space="0" w:color="AAAAAA"/>
              <w:right w:val="single" w:sz="1" w:space="0" w:color="AAAAAA"/>
            </w:tcBorders>
            <w:shd w:val="clear" w:color="auto" w:fill="D9F3D0"/>
            <w:tcMar>
              <w:top w:w="60" w:type="dxa"/>
              <w:left w:w="100" w:type="dxa"/>
              <w:bottom w:w="60" w:type="dxa"/>
              <w:right w:w="100" w:type="dxa"/>
            </w:tcMar>
          </w:tcPr>
          <w:p w14:paraId="66D0479B"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Low</w:t>
            </w:r>
          </w:p>
        </w:tc>
      </w:tr>
      <w:tr w:rsidR="005F0A67" w:rsidRPr="005F0A67" w14:paraId="37DEA60C" w14:textId="77777777" w:rsidTr="005F0A67">
        <w:tc>
          <w:tcPr>
            <w:tcW w:w="1210" w:type="pct"/>
            <w:vMerge w:val="restar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497D21F3"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sz w:val="18"/>
                <w:szCs w:val="18"/>
                <w:lang w:val="en-CA" w:eastAsia="en-GB"/>
              </w:rPr>
              <w:t>International standards and regulatory dialogues</w:t>
            </w:r>
            <w:r w:rsidRPr="005F0A67">
              <w:rPr>
                <w:rFonts w:asciiTheme="majorBidi" w:eastAsia="Times New Roman" w:hAnsiTheme="majorBidi" w:cstheme="majorBidi"/>
                <w:sz w:val="18"/>
                <w:szCs w:val="18"/>
                <w:lang w:val="en-CA" w:eastAsia="en-GB"/>
              </w:rPr>
              <w:t xml:space="preserve"> Divergence between the Cali Fund and other DSI-related instruments. Limited multi-framework DSI exposure for cosmetics; no potential ITPGRFA or WHO PABS overlap. The primary regulatory divergence risk is ABS governance fragmentation affecting upstream ingredient developers, which is a pre-existing constraint amplified by the Cali Fund.</w:t>
            </w: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608C49E2"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Downstream branded cosmetics firms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00FB3E71"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419738A3"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616498E9"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Limited multi-framework DSI exposure; regulatory classification divergence across jurisdictions is a pre-existing competitive factor; national implementation divergence (U8).</w:t>
            </w:r>
          </w:p>
        </w:tc>
        <w:tc>
          <w:tcPr>
            <w:tcW w:w="431" w:type="pct"/>
            <w:tcBorders>
              <w:top w:val="single" w:sz="1" w:space="0" w:color="AAAAAA"/>
              <w:left w:val="single" w:sz="1" w:space="0" w:color="AAAAAA"/>
              <w:right w:val="single" w:sz="1" w:space="0" w:color="AAAAAA"/>
            </w:tcBorders>
            <w:shd w:val="clear" w:color="auto" w:fill="D9F2D0"/>
            <w:tcMar>
              <w:top w:w="60" w:type="dxa"/>
              <w:left w:w="100" w:type="dxa"/>
              <w:bottom w:w="60" w:type="dxa"/>
              <w:right w:w="100" w:type="dxa"/>
            </w:tcMar>
          </w:tcPr>
          <w:p w14:paraId="6B4B03D3"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r>
      <w:tr w:rsidR="005F0A67" w:rsidRPr="005F0A67" w14:paraId="5929D555" w14:textId="77777777" w:rsidTr="005F0A67">
        <w:tc>
          <w:tcPr>
            <w:tcW w:w="1210" w:type="pct"/>
            <w:vMerge/>
            <w:tcMar>
              <w:top w:w="60" w:type="dxa"/>
              <w:left w:w="100" w:type="dxa"/>
              <w:bottom w:w="60" w:type="dxa"/>
              <w:right w:w="100" w:type="dxa"/>
            </w:tcMar>
          </w:tcPr>
          <w:p w14:paraId="7394DF84"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314FBDE5"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Upstream active ingredient developers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5B34C63E"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12A62061"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0A34D347"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ABS governance fragmentation is already a primary constraint (Klunker and Richter, 2022; Michiels et al., 2022); Cali Fund adds a further layer but does not resolve underlying fragmentation. National implementation divergence (U8).</w:t>
            </w:r>
          </w:p>
        </w:tc>
        <w:tc>
          <w:tcPr>
            <w:tcW w:w="431" w:type="pct"/>
            <w:tcBorders>
              <w:top w:val="single" w:sz="1" w:space="0" w:color="AAAAAA"/>
              <w:left w:val="single" w:sz="1" w:space="0" w:color="AAAAAA"/>
              <w:right w:val="single" w:sz="1" w:space="0" w:color="AAAAAA"/>
            </w:tcBorders>
            <w:shd w:val="clear" w:color="auto" w:fill="D9F2D0"/>
            <w:tcMar>
              <w:top w:w="60" w:type="dxa"/>
              <w:left w:w="100" w:type="dxa"/>
              <w:bottom w:w="60" w:type="dxa"/>
              <w:right w:w="100" w:type="dxa"/>
            </w:tcMar>
          </w:tcPr>
          <w:p w14:paraId="2799FA73"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r>
      <w:tr w:rsidR="005F0A67" w:rsidRPr="005F0A67" w14:paraId="192F8806" w14:textId="77777777" w:rsidTr="005F0A67">
        <w:tc>
          <w:tcPr>
            <w:tcW w:w="1210" w:type="pct"/>
            <w:vMerge w:val="restar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34EA09A0"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sz w:val="18"/>
                <w:szCs w:val="18"/>
                <w:lang w:val="en-CA" w:eastAsia="en-GB"/>
              </w:rPr>
              <w:lastRenderedPageBreak/>
              <w:t>FDI and relocation effects</w:t>
            </w:r>
            <w:r w:rsidRPr="005F0A67">
              <w:rPr>
                <w:rFonts w:asciiTheme="majorBidi" w:eastAsia="Times New Roman" w:hAnsiTheme="majorBidi" w:cstheme="majorBidi"/>
                <w:sz w:val="18"/>
                <w:szCs w:val="18"/>
                <w:lang w:val="en-CA" w:eastAsia="en-GB"/>
              </w:rPr>
              <w:t xml:space="preserve"> </w:t>
            </w:r>
            <w:proofErr w:type="spellStart"/>
            <w:r w:rsidRPr="005F0A67">
              <w:rPr>
                <w:rFonts w:asciiTheme="majorBidi" w:eastAsia="Times New Roman" w:hAnsiTheme="majorBidi" w:cstheme="majorBidi"/>
                <w:sz w:val="18"/>
                <w:szCs w:val="18"/>
                <w:lang w:val="en-CA" w:eastAsia="en-GB"/>
              </w:rPr>
              <w:t>Effects</w:t>
            </w:r>
            <w:proofErr w:type="spellEnd"/>
            <w:r w:rsidRPr="005F0A67">
              <w:rPr>
                <w:rFonts w:asciiTheme="majorBidi" w:eastAsia="Times New Roman" w:hAnsiTheme="majorBidi" w:cstheme="majorBidi"/>
                <w:sz w:val="18"/>
                <w:szCs w:val="18"/>
                <w:lang w:val="en-CA" w:eastAsia="en-GB"/>
              </w:rPr>
              <w:t xml:space="preserve"> on R&amp;D and investment location decisions. Manufacturing relocation implausible given consumer-facing product nature, regulatory classification requirements, and established supply chains. Limited R&amp;D base to relocate for downstream branded firms; more plausible at the margin for upstream ingredient developers.</w:t>
            </w: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1180209C"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Downstream branded cosmetics firms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7B6FC035"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092DB2A9"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392BA52F"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Manufacturing relocation implausible given regulatory classification requirements and established distribution channels; limited internal R&amp;D base to relocate. Rate revision.</w:t>
            </w:r>
          </w:p>
        </w:tc>
        <w:tc>
          <w:tcPr>
            <w:tcW w:w="431" w:type="pct"/>
            <w:tcBorders>
              <w:top w:val="single" w:sz="1" w:space="0" w:color="AAAAAA"/>
              <w:left w:val="single" w:sz="1" w:space="0" w:color="AAAAAA"/>
              <w:right w:val="single" w:sz="1" w:space="0" w:color="AAAAAA"/>
            </w:tcBorders>
            <w:shd w:val="clear" w:color="auto" w:fill="D9F2D0"/>
            <w:tcMar>
              <w:top w:w="60" w:type="dxa"/>
              <w:left w:w="100" w:type="dxa"/>
              <w:bottom w:w="60" w:type="dxa"/>
              <w:right w:w="100" w:type="dxa"/>
            </w:tcMar>
          </w:tcPr>
          <w:p w14:paraId="5A6CC0DB"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r>
      <w:tr w:rsidR="005F0A67" w:rsidRPr="005F0A67" w14:paraId="175C7F7A" w14:textId="77777777" w:rsidTr="005F0A67">
        <w:tc>
          <w:tcPr>
            <w:tcW w:w="1210" w:type="pct"/>
            <w:vMerge/>
            <w:tcMar>
              <w:top w:w="60" w:type="dxa"/>
              <w:left w:w="100" w:type="dxa"/>
              <w:bottom w:w="60" w:type="dxa"/>
              <w:right w:w="100" w:type="dxa"/>
            </w:tcMar>
          </w:tcPr>
          <w:p w14:paraId="4F820853"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4A863031"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Upstream active ingredient developers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18F3B20D"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580265ED"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6F0D20B1"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R&amp;D location effects plausible at the margin for ingredient developers with distributed precision fermentation or bioactive research operations; primary response is spending reduction not relocation (Lichter et al., 2025). Rate revision.</w:t>
            </w:r>
          </w:p>
        </w:tc>
        <w:tc>
          <w:tcPr>
            <w:tcW w:w="431" w:type="pct"/>
            <w:tcBorders>
              <w:top w:val="single" w:sz="1" w:space="0" w:color="AAAAAA"/>
              <w:left w:val="single" w:sz="1" w:space="0" w:color="AAAAAA"/>
              <w:right w:val="single" w:sz="1" w:space="0" w:color="AAAAAA"/>
            </w:tcBorders>
            <w:shd w:val="clear" w:color="auto" w:fill="D9F2D0"/>
            <w:tcMar>
              <w:top w:w="60" w:type="dxa"/>
              <w:left w:w="100" w:type="dxa"/>
              <w:bottom w:w="60" w:type="dxa"/>
              <w:right w:w="100" w:type="dxa"/>
            </w:tcMar>
          </w:tcPr>
          <w:p w14:paraId="65AC2035"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r>
    </w:tbl>
    <w:p w14:paraId="52932637"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sectPr w:rsidR="005F0A67" w:rsidRPr="005F0A67" w:rsidSect="005F0A67">
          <w:pgSz w:w="15840" w:h="12240" w:orient="landscape"/>
          <w:pgMar w:top="1260" w:right="1080" w:bottom="1260" w:left="1080" w:header="706" w:footer="706" w:gutter="0"/>
          <w:cols w:space="720"/>
          <w:docGrid w:linePitch="360"/>
        </w:sectPr>
      </w:pPr>
    </w:p>
    <w:p w14:paraId="722DDCFA" w14:textId="77777777" w:rsidR="005F0A67" w:rsidRPr="005F0A67" w:rsidRDefault="005F0A67" w:rsidP="005F0A67">
      <w:pPr>
        <w:numPr>
          <w:ilvl w:val="1"/>
          <w:numId w:val="12"/>
        </w:numPr>
        <w:tabs>
          <w:tab w:val="clear" w:pos="567"/>
          <w:tab w:val="clear" w:pos="1134"/>
          <w:tab w:val="clear" w:pos="1701"/>
          <w:tab w:val="clear" w:pos="2268"/>
        </w:tabs>
        <w:spacing w:before="320" w:after="160"/>
        <w:ind w:left="576" w:hanging="576"/>
        <w:jc w:val="left"/>
        <w:outlineLvl w:val="1"/>
        <w:rPr>
          <w:rFonts w:asciiTheme="majorBidi" w:eastAsia="Arial" w:hAnsiTheme="majorBidi" w:cstheme="majorBidi"/>
          <w:b/>
          <w:bCs/>
          <w:color w:val="1A1A1A"/>
          <w:sz w:val="23"/>
          <w:szCs w:val="23"/>
          <w:lang w:val="en-CA" w:eastAsia="en-GB"/>
        </w:rPr>
      </w:pPr>
      <w:bookmarkStart w:id="248" w:name="_Ref231897708"/>
      <w:bookmarkStart w:id="249" w:name="_Toc234579618"/>
      <w:r w:rsidRPr="005F0A67">
        <w:rPr>
          <w:rFonts w:asciiTheme="majorBidi" w:eastAsia="Arial" w:hAnsiTheme="majorBidi" w:cstheme="majorBidi"/>
          <w:b/>
          <w:bCs/>
          <w:color w:val="1A1A1A"/>
          <w:sz w:val="23"/>
          <w:szCs w:val="23"/>
          <w:lang w:val="en-CA" w:eastAsia="en-GB"/>
        </w:rPr>
        <w:lastRenderedPageBreak/>
        <w:t>Laboratory equipment</w:t>
      </w:r>
      <w:bookmarkEnd w:id="248"/>
      <w:bookmarkEnd w:id="249"/>
      <w:r w:rsidRPr="005F0A67">
        <w:rPr>
          <w:rFonts w:asciiTheme="majorBidi" w:eastAsia="Arial" w:hAnsiTheme="majorBidi" w:cstheme="majorBidi"/>
          <w:b/>
          <w:bCs/>
          <w:color w:val="1A1A1A"/>
          <w:sz w:val="23"/>
          <w:szCs w:val="23"/>
          <w:lang w:val="en-CA" w:eastAsia="en-GB"/>
        </w:rPr>
        <w:t xml:space="preserve"> </w:t>
      </w:r>
    </w:p>
    <w:p w14:paraId="64834A38" w14:textId="77777777" w:rsidR="005F0A67" w:rsidRPr="005F0A67" w:rsidRDefault="005F0A67" w:rsidP="00B009ED">
      <w:pPr>
        <w:tabs>
          <w:tab w:val="clear" w:pos="567"/>
          <w:tab w:val="clear" w:pos="1134"/>
          <w:tab w:val="clear" w:pos="1701"/>
          <w:tab w:val="clear" w:pos="2268"/>
        </w:tabs>
        <w:spacing w:before="320" w:after="160"/>
        <w:ind w:left="720"/>
        <w:jc w:val="left"/>
        <w:outlineLvl w:val="2"/>
        <w:rPr>
          <w:rFonts w:asciiTheme="majorBidi" w:eastAsia="Arial" w:hAnsiTheme="majorBidi" w:cstheme="majorBidi"/>
          <w:b/>
          <w:bCs/>
          <w:color w:val="7F7F7F"/>
          <w:sz w:val="23"/>
          <w:szCs w:val="23"/>
          <w:lang w:val="en-CA" w:eastAsia="en-GB"/>
        </w:rPr>
      </w:pPr>
      <w:bookmarkStart w:id="250" w:name="_Ref231773570"/>
      <w:bookmarkStart w:id="251" w:name="_Toc234579619"/>
      <w:r w:rsidRPr="005F0A67">
        <w:rPr>
          <w:rFonts w:asciiTheme="majorBidi" w:eastAsia="Arial" w:hAnsiTheme="majorBidi" w:cstheme="majorBidi"/>
          <w:b/>
          <w:bCs/>
          <w:color w:val="7F7F7F"/>
          <w:sz w:val="23"/>
          <w:szCs w:val="23"/>
          <w:lang w:val="en-CA" w:eastAsia="en-GB"/>
        </w:rPr>
        <w:t>Characterisation of affected firms (steps 1 &amp; 2)</w:t>
      </w:r>
      <w:bookmarkEnd w:id="250"/>
      <w:bookmarkEnd w:id="251"/>
    </w:p>
    <w:p w14:paraId="1BC339A9"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The laboratory equipment sector contains 2,846 eligible firms and accounts for 5.0% of estimated contributions, broadly in line with its 11.5% share under full compliance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_Ref230090932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Table 12</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and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_Ref230109751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Figure 5</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The decline between full compliance and the central scenario reflects the sector's lower participation calibration and DSI intensity adjustment, consistent with its indirect use rationale. With a median margin of 7.9%, most eligible firms pay on profit, though the sector sits closest to the 10% indifference threshold of any profit-base sector, meaning a meaningful share of firms may pay on revenue.</w:t>
      </w:r>
    </w:p>
    <w:p w14:paraId="2B87D0C7" w14:textId="77777777" w:rsidR="005F0A67" w:rsidRPr="005F0A67" w:rsidRDefault="005F0A67" w:rsidP="00B009ED">
      <w:pPr>
        <w:tabs>
          <w:tab w:val="clear" w:pos="567"/>
          <w:tab w:val="clear" w:pos="1134"/>
          <w:tab w:val="clear" w:pos="1701"/>
          <w:tab w:val="clear" w:pos="2268"/>
        </w:tabs>
        <w:spacing w:after="120"/>
        <w:jc w:val="left"/>
        <w:outlineLvl w:val="3"/>
        <w:rPr>
          <w:rFonts w:asciiTheme="majorBidi" w:eastAsia="Georgia" w:hAnsiTheme="majorBidi" w:cstheme="majorBidi"/>
          <w:b/>
          <w:bCs/>
          <w:color w:val="0F4761"/>
          <w:lang w:eastAsia="en-GB"/>
        </w:rPr>
      </w:pPr>
      <w:r w:rsidRPr="005F0A67">
        <w:rPr>
          <w:rFonts w:asciiTheme="majorBidi" w:eastAsia="Georgia" w:hAnsiTheme="majorBidi" w:cstheme="majorBidi"/>
          <w:b/>
          <w:bCs/>
          <w:color w:val="0F4761"/>
          <w:lang w:eastAsia="en-GB"/>
        </w:rPr>
        <w:t>Sector and structural features</w:t>
      </w:r>
    </w:p>
    <w:p w14:paraId="1461279B"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The sector is considered a single competitiveness group, unified by a common business model. Firms compete through platform solutions that integrate hardware, proprietary consumables, automation software, maintenance, and recurring service contracts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{"citationID":"JZdNwf3c","properties":{"unsorted":false,"formattedCitation":"(Meder {\\i{}et al.}, 2016; Raja, Frandsen and Mouritsen, 2017; Holland and Davies, 2020)","plainCitation":"(Meder et al., 2016; Raja, Frandsen and Mouritsen, 2017; Holland and Davies, 2020)","noteIndex":0},"citationItems":[{"id":34,"uris":["http://zotero.org/users/14977742/items/X3CE86MR"],"itemData":{"id":34,"type":"article-journal","abstract":"Core facilities have become an important resource in biomedical research, providing scientists with access to sophisticated instrumentation and expertise. To enable scientists to perform ever more complex and difficult experiments, core facilities not only need to constantly upgrade technology and expertise, but also cooperate and pool their assets.","citation-key":"mederInstitutionalCoreFacilities2016","container-title":"The EMBO Reports","DOI":"10.15252/embr.201642857","ISSN":"1469-3178","issue":"8","journalAbbreviation":"EMBO Rep","language":"en","page":"1088-1093","source":"Springer Link","title":"Institutional core facilities: prerequisite for breakthroughs in the life sciences","title-short":"Institutional core facilities","volume":"17","author":[{"family":"Meder","given":"Doris"},{"family":"Morales","given":"Mònica"},{"family":"Pepperkok","given":"Rainer"},{"family":"Schlapbach","given":"Ralph"},{"family":"Tiran","given":"Andreas"},{"family":"Van Minnebruggen","given":"Geert"}],"issued":{"date-parts":[["2016",8,1]]}}},{"id":32,"uris":["http://zotero.org/users/14977742/items/CVU5YMBR"],"itemData":{"id":32,"type":"article-journal","abstract":"This paper examines the dilemmas encountered by manufacturers of advanced analytical equipment in developing service-led growth strategies to expand their business in pursuit of more attractive revenue models. It does so by adopting a case-based research approach. The findings detail the challenges faced in providing advanced services to customers’ R&amp;D functions, while simultaneously attempting to scale up these services for a production context. The emergent complexities of operating in multiple arenas in order to explore and exploit technologies in different contexts—along the three trajectories of serviceability, scalability and solutions—with a view to expanding markets and developing solution-based business models, are discussed. It is argued that manufacturers of analytical equipment encounter certain dilemmas, as managing the different trajectories involves different needs in the technological sophistication of equipment. This does not necessarily mean that one context is less complex than the other, but rather suggests that the role of integration is qualitatively different and that the relationship between product and service varies when developing solutions in these different arenas.","citation-key":"rajaExploringManagerialDilemmas2017","collection-title":"Service Implementation in Manufacturing Firms: Strategy, Economics and Practice","container-title":"International Journal of Production Economics","DOI":"10.1016/j.ijpe.2016.12.034","ISSN":"0925-5273","journalAbbreviation":"International Journal of Production Economics","page":"120-132","source":"ScienceDirect","title":"Exploring the managerial dilemmas encountered by advanced analytical equipment providers in developing service-led growth strategies","volume":"192","author":[{"family":"Raja","given":"Jawwad Z."},{"family":"Frandsen","given":"Thomas"},{"family":"Mouritsen","given":"Jan"}],"issued":{"date-parts":[["2017",10,1]]}}},{"id":33,"uris":["http://zotero.org/users/14977742/items/QC37EXP7"],"itemData":{"id":33,"type":"article-journal","abstract":"Protocols in the academic life science laboratory are heavily reliant on the manual manipulation of tools, reagents and instruments by a host of research staff and students. In contrast to industrial and clinical laboratory environments, the usage of automation to augment or replace manual tasks is limited. Causes of this 'automation gap' are unique to academic research, with rigid short-term funding structures, high levels of protocol variability and a benevolent culture of investment in people over equipment. Automation, however, can bestow multiple benefits through improvements in reproducibility, researcher efficiency, clinical translation, and safety. Less immediately obvious are the accompanying limitations, including obsolescence and an inhibitory effect on the freedom to innovate. Growing the range of automation options suitable for research laboratories will require more flexible, modular and cheaper designs. Academic and commercial developers of automation will increasingly need to design with an environmental awareness and an understanding that large high-tech robotic solutions may not be appropriate for laboratories with constrained financial and spatial resources. To fully exploit the potential of laboratory automation, future generations of scientists will require both engineering and biology skills. Automation in the research laboratory is likely to be an increasingly critical component of future research programs and will continue the trend of combining engineering and science expertise together to answer novel research questions.","citation-key":"hollandAutomationLifeScience2020","container-title":"Frontiers in Bioengineering and Biotechnology","DOI":"10.3389/fbioe.2020.571777","ISSN":"2296-4185","journalAbbreviation":"Front. Bioeng. Biotechnol.","language":"English","publisher":"Frontiers","source":"Frontiers","title":"Automation in the Life Science Research Laboratory","URL":"https://www.frontiersin.org/journals/bioengineering-and-biotechnology/articles/10.3389/fbioe.2020.571777/full","volume":"8","author":[{"family":"Holland","given":"Ian"},{"family":"Davies","given":"Jamie A."}],"accessed":{"date-parts":[["2026",6,3]]},"issued":{"date-parts":[["2020",11,13]]}}}],"schema":"https://github.com/citation-style-language/schema/raw/master/csl-citation.json"}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Georgia" w:hAnsiTheme="majorBidi" w:cstheme="majorBidi"/>
          <w:lang w:val="en-CA" w:eastAsia="en-GB"/>
        </w:rPr>
        <w:t xml:space="preserve">(Meder </w:t>
      </w:r>
      <w:r w:rsidRPr="005F0A67">
        <w:rPr>
          <w:rFonts w:asciiTheme="majorBidi" w:eastAsia="Georgia" w:hAnsiTheme="majorBidi" w:cstheme="majorBidi"/>
          <w:i/>
          <w:iCs/>
          <w:lang w:val="en-CA" w:eastAsia="en-GB"/>
        </w:rPr>
        <w:t>et al.</w:t>
      </w:r>
      <w:r w:rsidRPr="005F0A67">
        <w:rPr>
          <w:rFonts w:asciiTheme="majorBidi" w:eastAsia="Georgia" w:hAnsiTheme="majorBidi" w:cstheme="majorBidi"/>
          <w:lang w:val="en-CA" w:eastAsia="en-GB"/>
        </w:rPr>
        <w:t>, 2016; Raja, Frandsen and Mouritsen, 2017; Holland and Davies, 2020)</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As a result, competitiveness relied on ongoing instrument improvement, rather than one-time hardware sales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{"citationID":"BctyERCh","properties":{"unsorted":false,"formattedCitation":"(Raja, Frandsen and Mouritsen, 2017; Holland and Davies, 2020)","plainCitation":"(Raja, Frandsen and Mouritsen, 2017; Holland and Davies, 2020)","noteIndex":0},"citationItems":[{"id":32,"uris":["http://zotero.org/users/14977742/items/CVU5YMBR"],"itemData":{"id":32,"type":"article-journal","abstract":"This paper examines the dilemmas encountered by manufacturers of advanced analytical equipment in developing service-led growth strategies to expand their business in pursuit of more attractive revenue models. It does so by adopting a case-based research approach. The findings detail the challenges faced in providing advanced services to customers’ R&amp;D functions, while simultaneously attempting to scale up these services for a production context. The emergent complexities of operating in multiple arenas in order to explore and exploit technologies in different contexts—along the three trajectories of serviceability, scalability and solutions—with a view to expanding markets and developing solution-based business models, are discussed. It is argued that manufacturers of analytical equipment encounter certain dilemmas, as managing the different trajectories involves different needs in the technological sophistication of equipment. This does not necessarily mean that one context is less complex than the other, but rather suggests that the role of integration is qualitatively different and that the relationship between product and service varies when developing solutions in these different arenas.","citation-key":"rajaExploringManagerialDilemmas2017","collection-title":"Service Implementation in Manufacturing Firms: Strategy, Economics and Practice","container-title":"International Journal of Production Economics","DOI":"10.1016/j.ijpe.2016.12.034","ISSN":"0925-5273","journalAbbreviation":"International Journal of Production Economics","page":"120-132","source":"ScienceDirect","title":"Exploring the managerial dilemmas encountered by advanced analytical equipment providers in developing service-led growth strategies","volume":"192","author":[{"family":"Raja","given":"Jawwad Z."},{"family":"Frandsen","given":"Thomas"},{"family":"Mouritsen","given":"Jan"}],"issued":{"date-parts":[["2017",10,1]]}}},{"id":33,"uris":["http://zotero.org/users/14977742/items/QC37EXP7"],"itemData":{"id":33,"type":"article-journal","abstract":"Protocols in the academic life science laboratory are heavily reliant on the manual manipulation of tools, reagents and instruments by a host of research staff and students. In contrast to industrial and clinical laboratory environments, the usage of automation to augment or replace manual tasks is limited. Causes of this 'automation gap' are unique to academic research, with rigid short-term funding structures, high levels of protocol variability and a benevolent culture of investment in people over equipment. Automation, however, can bestow multiple benefits through improvements in reproducibility, researcher efficiency, clinical translation, and safety. Less immediately obvious are the accompanying limitations, including obsolescence and an inhibitory effect on the freedom to innovate. Growing the range of automation options suitable for research laboratories will require more flexible, modular and cheaper designs. Academic and commercial developers of automation will increasingly need to design with an environmental awareness and an understanding that large high-tech robotic solutions may not be appropriate for laboratories with constrained financial and spatial resources. To fully exploit the potential of laboratory automation, future generations of scientists will require both engineering and biology skills. Automation in the research laboratory is likely to be an increasingly critical component of future research programs and will continue the trend of combining engineering and science expertise together to answer novel research questions.","citation-key":"hollandAutomationLifeScience2020","container-title":"Frontiers in Bioengineering and Biotechnology","DOI":"10.3389/fbioe.2020.571777","ISSN":"2296-4185","journalAbbreviation":"Front. Bioeng. Biotechnol.","language":"English","publisher":"Frontiers","source":"Frontiers","title":"Automation in the Life Science Research Laboratory","URL":"https://www.frontiersin.org/journals/bioengineering-and-biotechnology/articles/10.3389/fbioe.2020.571777/full","volume":"8","author":[{"family":"Holland","given":"Ian"},{"family":"Davies","given":"Jamie A."}],"accessed":{"date-parts":[["2026",6,3]]},"issued":{"date-parts":[["2020",11,13]]}}}],"schema":"https://github.com/citation-style-language/schema/raw/master/csl-citation.json"}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(Raja, Frandsen and Mouritsen, 2017; Holland and Davies, 2020)</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Innovation is also demand-driven, with research institutions and advanced users prompting suppliers to develop new products - for instance, by creating technical bottlenecks and performance requirements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{"citationID":"AIjwTlUm","properties":{"unsorted":false,"formattedCitation":"(Bianchini, Llerena and Patsali, 2019)","plainCitation":"(Bianchini, Llerena and Patsali, 2019)","noteIndex":0},"citationItems":[{"id":28,"uris":["http://zotero.org/users/14977742/items/DGGCSZWH"],"itemData":{"id":28,"type":"article-journal","abstract":"The paths via which university-generated knowledge reaches final users and creates value are traditionally considered to be the supply-side channels of the commercialisation of inventions, consultancy, and R&amp;D contracts. Yet, this focus limits universities to being “providers” of knowledge and technology for industrial applications and fails to account for the diversity of mechanisms responsible for the diffusion of academic activities. This paper aims to complete the existing understanding of the contribution made by universities to the corporate innovation process by recognising the impact of university demand on the innovative performance of firms in the scientific value chain. We study the impact of a large French public university on the innovative performance of its suppliers of scientific equipment. We perform micro-econometric analyses showing that university suppliers have a higher propensity to introduce new-to-the-market product innovations than do other firms belonging to the same sectors and with similar characteristics. Our results provide support to the conjecture that innovations and technological changes are the result not only of scientific and technical discoveries, but also of a complex chain reaction triggered by the interplay between specific demands and solutions designed to overcome technology bottlenecks.","citation-key":"bianchiniDemandpullInnovationScience2019","collection-title":"Articles initially published in Research Policy: X issue 1","container-title":"Research Policy","DOI":"10.1016/j.repolx.2019.100005","ISSN":"0048-7333","journalAbbreviation":"Research Policy","page":"100005","source":"ScienceDirect","title":"Demand-pull innovation in science: Empirical evidence from a research university’s suppliers","title-short":"Demand-pull innovation in science","volume":"48","author":[{"family":"Bianchini","given":"Stefano"},{"family":"Llerena","given":"Patrick"},{"family":"Patsali","given":"Sofia"}],"issued":{"date-parts":[["2019",12,1]]}}}],"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(Bianchini, Llerena and Patsali, 2019)</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w:t>
      </w:r>
    </w:p>
    <w:p w14:paraId="6E391975"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One internal distinction is particularly important. Within laboratory equipment, sequencing systems and related molecular technologies are the most clearly identifiable direct DSI enablers. Their competition extends beyond the instrument itself to include throughput, cost, compatibility with existing workflows, informatics capabilities, and ongoing consumables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{"citationID":"MNVZaVJe","properties":{"unsorted":false,"formattedCitation":"(Niedringhaus {\\i{}et al.}, 2011; Watson, 2014; Holland and Davies, 2020; Schwarze {\\i{}et al.}, 2020)","plainCitation":"(Niedringhaus et al., 2011; Watson, 2014; Holland and Davies, 2020; Schwarze et al., 2020)","noteIndex":0},"citationItems":[{"id":25,"uris":["http://zotero.org/users/14977742/items/QA9RMBII"],"itemData":{"id":25,"type":"article-journal","citation-key":"niedringhausLandscapeNextGenerationSequencing2011","container-title":"Analytical Chemistry","DOI":"10.1021/ac2010857","ISSN":"0003-2700","issue":"12","journalAbbreviation":"Anal. Chem.","page":"4327-4341","publisher":"American Chemical Society","source":"ACS Publications","title":"Landscape of Next-Generation Sequencing Technologies","volume":"83","author":[{"family":"Niedringhaus","given":"Thomas P."},{"family":"Milanova","given":"Denitsa"},{"family":"Kerby","given":"Matthew B."},{"family":"Snyder","given":"Michael P."},{"family":"Barron","given":"Annelise E."}],"issued":{"date-parts":[["2011",6,15]]}}},{"id":24,"uris":["http://zotero.org/users/14977742/items/TVZDKXRH"],"itemData":{"id":24,"type":"article-journal","citation-key":"watsonIlluminatingFutureDNA2014","container-title":"Genome Biology","DOI":"10.1186/gb4165","ISSN":"1474-760X","issue":"2","journalAbbreviation":"Genome Biol","language":"en","page":"108","source":"Springer Link","title":"Illuminating the future of DNA sequencing","volume":"15","author":[{"family":"Watson","given":"Mick"}],"issued":{"date-parts":[["2014",2,25]]}}},{"id":33,"uris":["http://zotero.org/users/14977742/items/QC37EXP7"],"itemData":{"id":33,"type":"article-journal","abstract":"Protocols in the academic life science laboratory are heavily reliant on the manual manipulation of tools, reagents and instruments by a host of research staff and students. In contrast to industrial and clinical laboratory environments, the usage of automation to augment or replace manual tasks is limited. Causes of this 'automation gap' are unique to academic research, with rigid short-term funding structures, high levels of protocol variability and a benevolent culture of investment in people over equipment. Automation, however, can bestow multiple benefits through improvements in reproducibility, researcher efficiency, clinical translation, and safety. Less immediately obvious are the accompanying limitations, including obsolescence and an inhibitory effect on the freedom to innovate. Growing the range of automation options suitable for research laboratories will require more flexible, modular and cheaper designs. Academic and commercial developers of automation will increasingly need to design with an environmental awareness and an understanding that large high-tech robotic solutions may not be appropriate for laboratories with constrained financial and spatial resources. To fully exploit the potential of laboratory automation, future generations of scientists will require both engineering and biology skills. Automation in the research laboratory is likely to be an increasingly critical component of future research programs and will continue the trend of combining engineering and science expertise together to answer novel research questions.","citation-key":"hollandAutomationLifeScience2020","container-title":"Frontiers in Bioengineering and Biotechnology","DOI":"10.3389/fbioe.2020.571777","ISSN":"2296-4185","journalAbbreviation":"Front. Bioeng. Biotechnol.","language":"English","publisher":"Frontiers","source":"Frontiers","title":"Automation in the Life Science Research Laboratory","URL":"https://www.frontiersin.org/journals/bioengineering-and-biotechnology/articles/10.3389/fbioe.2020.571777/full","volume":"8","author":[{"family":"Holland","given":"Ian"},{"family":"Davies","given":"Jamie A."}],"accessed":{"date-parts":[["2026",6,3]]},"issued":{"date-parts":[["2020",11,13]]}}},{"id":373,"uris":["http://zotero.org/users/14977742/items/NSZHIRYE"],"itemData":{"id":373,"type":"article-journal","citation-key":"schwarzeCompleteCostsGenome2020","container-title":"Genetics in Medicine","DOI":"10.1038/s41436-019-0618-7","ISSN":"1098-3600, 1530-0366","issue":"1","journalAbbreviation":"Genetics in Medicine","language":"English","page":"85-94","PMID":"31358947","publisher":"Elsevier","source":"www.gimjournal.org","title":"The complete costs of genome sequencing: a microcosting study in cancer and rare diseases from a single center in the United Kingdom","title-short":"The complete costs of genome sequencing","volume":"22","author":[{"family":"Schwarze","given":"Katharina"},{"family":"Buchanan","given":"James"},{"family":"Fermont","given":"Jilles M."},{"family":"Dreau","given":"Helene"},{"family":"Tilley","given":"Mark W."},{"family":"Taylor","given":"John M."},{"family":"Antoniou","given":"Pavlos"},{"family":"Knight","given":"Samantha J. L."},{"family":"Camps","given":"Carme"},{"family":"Pentony","given":"Melissa M."},{"family":"Kvikstad","given":"Erika M."},{"family":"Harris","given":"Steve"},{"family":"Popitsch","given":"Niko"},{"family":"Pagnamenta","given":"Alistair T."},{"family":"Schuh","given":"Anna"},{"family":"Taylor","given":"Jenny C."},{"family":"Wordsworth","given":"Sarah"}],"issued":{"date-parts":[["2020",1,1]]}}}],"schema":"https://github.com/citation-style-language/schema/raw/master/csl-citation.json"}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Georgia" w:hAnsiTheme="majorBidi" w:cstheme="majorBidi"/>
          <w:lang w:val="en-CA" w:eastAsia="en-GB"/>
        </w:rPr>
        <w:t xml:space="preserve">(Niedringhaus </w:t>
      </w:r>
      <w:r w:rsidRPr="005F0A67">
        <w:rPr>
          <w:rFonts w:asciiTheme="majorBidi" w:eastAsia="Georgia" w:hAnsiTheme="majorBidi" w:cstheme="majorBidi"/>
          <w:i/>
          <w:iCs/>
          <w:lang w:val="en-CA" w:eastAsia="en-GB"/>
        </w:rPr>
        <w:t>et al.</w:t>
      </w:r>
      <w:r w:rsidRPr="005F0A67">
        <w:rPr>
          <w:rFonts w:asciiTheme="majorBidi" w:eastAsia="Georgia" w:hAnsiTheme="majorBidi" w:cstheme="majorBidi"/>
          <w:lang w:val="en-CA" w:eastAsia="en-GB"/>
        </w:rPr>
        <w:t xml:space="preserve">, 2011; Watson, 2014; Holland and Davies, 2020; Schwarze </w:t>
      </w:r>
      <w:r w:rsidRPr="005F0A67">
        <w:rPr>
          <w:rFonts w:asciiTheme="majorBidi" w:eastAsia="Georgia" w:hAnsiTheme="majorBidi" w:cstheme="majorBidi"/>
          <w:i/>
          <w:iCs/>
          <w:lang w:val="en-CA" w:eastAsia="en-GB"/>
        </w:rPr>
        <w:t>et al.</w:t>
      </w:r>
      <w:r w:rsidRPr="005F0A67">
        <w:rPr>
          <w:rFonts w:asciiTheme="majorBidi" w:eastAsia="Georgia" w:hAnsiTheme="majorBidi" w:cstheme="majorBidi"/>
          <w:lang w:val="en-CA" w:eastAsia="en-GB"/>
        </w:rPr>
        <w:t>, 2020)</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In sequencing and molecular platforms, R&amp;D is closely linked with bioinformatics</w:t>
      </w:r>
      <w:r w:rsidRPr="005F0A67">
        <w:rPr>
          <w:rFonts w:asciiTheme="majorBidi" w:eastAsia="Times New Roman" w:hAnsiTheme="majorBidi" w:cstheme="majorBidi"/>
          <w:vertAlign w:val="superscript"/>
          <w:lang w:val="en-CA" w:eastAsia="en-GB"/>
        </w:rPr>
        <w:footnoteReference w:id="96"/>
      </w:r>
      <w:r w:rsidRPr="005F0A67">
        <w:rPr>
          <w:rFonts w:asciiTheme="majorBidi" w:eastAsia="Times New Roman" w:hAnsiTheme="majorBidi" w:cstheme="majorBidi"/>
          <w:lang w:val="en-CA" w:eastAsia="en-GB"/>
        </w:rPr>
        <w:t xml:space="preserve">, sample preparation, interpretation, and clinical or reimbursement constraints (see Section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_Ref231420184 \r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7.7</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on pharmaceuticals). Consequently, these businesses are more workflow- and systems-intensive than typical equipment markets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{"citationID":"dA53fmVz","properties":{"unsorted":false,"formattedCitation":"(Curnutte {\\i{}et al.}, 2014; Deverka, Kaufman and McGuire, 2014a; Schwarze {\\i{}et al.}, 2020)","plainCitation":"(Curnutte et al., 2014; Deverka, Kaufman and McGuire, 2014a; Schwarze et al., 2020)","noteIndex":0},"citationItems":[{"id":27,"uris":["http://zotero.org/users/14977742/items/WGSVCYXC"],"itemData":{"id":27,"type":"article-journal","citation-key":"curnutteDevelopmentClinicalNextgeneration2014","container-title":"Nature Biotechnology","DOI":"10.1038/nbt.3030","ISSN":"1546-1696","issue":"10","journalAbbreviation":"Nat Biotechnol","language":"en","license":"2014 Springer Nature America, Inc.","page":"980-982","publisher":"Nature Publishing Group","source":"www.nature.com","title":"Development of the clinical next-generation sequencing industry in a shifting policy climate","volume":"32","author":[{"family":"Curnutte","given":"Margaret A."},{"family":"Frumovitz","given":"Karen L."},{"family":"Bollinger","given":"Juli M."},{"family":"McGuire","given":"Amy L."},{"family":"Kaufman","given":"David J."}],"issued":{"date-parts":[["2014",10]]}}},{"id":26,"uris":["http://zotero.org/users/14977742/items/48H8I97S"],"itemData":{"id":26,"type":"article-journal","abstract":"Genomic tests using next-generation sequencing (NGS) technologies are increasingly being offered in a range of clinical settings. However, tests based on NGS may only transform clinical practice if patients and clinicians have access to them. This requires both favorable coverage decisions by public and private payers (eg, Medicare, Medicaid, commercial insurers) and adequate reimbursement levels to reward the development of innovative tests. Given that the hallmark of NGS technologies is the production of large amounts of data that require a bioinformatics infrastructure, sophisticated computational tools, and professional interpretation of the results, the current reimbursement and coding environment is not structured to necessarily recognize the value of NGS tests.","citation-key":"deverkaOvercomingReimbursementBarriers2014","container-title":"JAMA","DOI":"10.1001/jama.2014.14915","ISSN":"0098-7484","issue":"18","journalAbbreviation":"JAMA","page":"1857-1858","source":"Silverchair","title":"Overcoming the Reimbursement Barriers for Clinical Sequencing","volume":"312","author":[{"family":"Deverka","given":"Patricia A."},{"family":"Kaufman","given":"David"},{"family":"McGuire","given":"Amy L."}],"issued":{"date-parts":[["2014",11,12]]}}},{"id":373,"uris":["http://zotero.org/users/14977742/items/NSZHIRYE"],"itemData":{"id":373,"type":"article-journal","citation-key":"schwarzeCompleteCostsGenome2020","container-title":"Genetics in Medicine","DOI":"10.1038/s41436-019-0618-7","ISSN":"1098-3600, 1530-0366","issue":"1","journalAbbreviation":"Genetics in Medicine","language":"English","page":"85-94","PMID":"31358947","publisher":"Elsevier","source":"www.gimjournal.org","title":"The complete costs of genome sequencing: a microcosting study in cancer and rare diseases from a single center in the United Kingdom","title-short":"The complete costs of genome sequencing","volume":"22","author":[{"family":"Schwarze","given":"Katharina"},{"family":"Buchanan","given":"James"},{"family":"Fermont","given":"Jilles M."},{"family":"Dreau","given":"Helene"},{"family":"Tilley","given":"Mark W."},{"family":"Taylor","given":"John M."},{"family":"Antoniou","given":"Pavlos"},{"family":"Knight","given":"Samantha J. L."},{"family":"Camps","given":"Carme"},{"family":"Pentony","given":"Melissa M."},{"family":"Kvikstad","given":"Erika M."},{"family":"Harris","given":"Steve"},{"family":"Popitsch","given":"Niko"},{"family":"Pagnamenta","given":"Alistair T."},{"family":"Schuh","given":"Anna"},{"family":"Taylor","given":"Jenny C."},{"family":"Wordsworth","given":"Sarah"}],"issued":{"date-parts":[["2020",1,1]]}}}],"schema":"https://github.com/citation-style-language/schema/raw/master/csl-citation.json"}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Georgia" w:hAnsiTheme="majorBidi" w:cstheme="majorBidi"/>
          <w:lang w:val="en-CA" w:eastAsia="en-GB"/>
        </w:rPr>
        <w:t xml:space="preserve">(Curnutte </w:t>
      </w:r>
      <w:r w:rsidRPr="005F0A67">
        <w:rPr>
          <w:rFonts w:asciiTheme="majorBidi" w:eastAsia="Georgia" w:hAnsiTheme="majorBidi" w:cstheme="majorBidi"/>
          <w:i/>
          <w:iCs/>
          <w:lang w:val="en-CA" w:eastAsia="en-GB"/>
        </w:rPr>
        <w:t>et al.</w:t>
      </w:r>
      <w:r w:rsidRPr="005F0A67">
        <w:rPr>
          <w:rFonts w:asciiTheme="majorBidi" w:eastAsia="Georgia" w:hAnsiTheme="majorBidi" w:cstheme="majorBidi"/>
          <w:lang w:val="en-CA" w:eastAsia="en-GB"/>
        </w:rPr>
        <w:t xml:space="preserve">, 2014; Deverka, Kaufman and McGuire, 2014a; Schwarze </w:t>
      </w:r>
      <w:r w:rsidRPr="005F0A67">
        <w:rPr>
          <w:rFonts w:asciiTheme="majorBidi" w:eastAsia="Georgia" w:hAnsiTheme="majorBidi" w:cstheme="majorBidi"/>
          <w:i/>
          <w:iCs/>
          <w:lang w:val="en-CA" w:eastAsia="en-GB"/>
        </w:rPr>
        <w:t>et al.</w:t>
      </w:r>
      <w:r w:rsidRPr="005F0A67">
        <w:rPr>
          <w:rFonts w:asciiTheme="majorBidi" w:eastAsia="Georgia" w:hAnsiTheme="majorBidi" w:cstheme="majorBidi"/>
          <w:lang w:val="en-CA" w:eastAsia="en-GB"/>
        </w:rPr>
        <w:t>, 2020)</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In clinical environments, reimbursement structures, demonstrated clinical utility, and regulatory requirements introduce an additional competitive dimension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{"citationID":"EtNgPOVW","properties":{"unsorted":false,"formattedCitation":"(Curnutte {\\i{}et al.}, 2014; Deverka, Kaufman and McGuire, 2014b)","plainCitation":"(Curnutte et al., 2014; Deverka, Kaufman and McGuire, 2014b)","noteIndex":0},"citationItems":[{"id":27,"uris":["http://zotero.org/users/14977742/items/WGSVCYXC"],"itemData":{"id":27,"type":"article-journal","citation-key":"curnutteDevelopmentClinicalNextgeneration2014","container-title":"Nature Biotechnology","DOI":"10.1038/nbt.3030","ISSN":"1546-1696","issue":"10","journalAbbreviation":"Nat Biotechnol","language":"en","license":"2014 Springer Nature America, Inc.","page":"980-982","publisher":"Nature Publishing Group","source":"www.nature.com","title":"Development of the clinical next-generation sequencing industry in a shifting policy climate","volume":"32","author":[{"family":"Curnutte","given":"Margaret A."},{"family":"Frumovitz","given":"Karen L."},{"family":"Bollinger","given":"Juli M."},{"family":"McGuire","given":"Amy L."},{"family":"Kaufman","given":"David J."}],"issued":{"date-parts":[["2014",10]]}}},{"id":23,"uris":["http://zotero.org/users/14977742/items/IA6US49L"],"itemData":{"id":23,"type":"article-journal","abstract":"Genomic tests using next-generation sequencing (NGS) technologies are increasingly being offered in a range of clinical settings. However, tests based on NGS may only transform clinical practice if patients and clinicians have access to them. This requires both favorable coverage decisions by public and private payers (eg, Medicare, Medicaid, commercial insurers) and adequate reimbursement levels to reward the development of innovative tests. Given that the hallmark of NGS technologies is the production of large amounts of data that require a bioinformatics infrastructure, sophisticated computational tools, and professional interpretation of the results, the current reimbursement and coding environment is not structured to necessarily recognize the value of NGS tests.","citation-key":"deverkaOvercomingReimbursementBarriers2014a","container-title":"JAMA","DOI":"10.1001/jama.2014.14915","ISSN":"0098-7484","issue":"18","journalAbbreviation":"JAMA","page":"1857-1858","source":"Silverchair","title":"Overcoming the Reimbursement Barriers for Clinical Sequencing","volume":"312","author":[{"family":"Deverka","given":"Patricia A."},{"family":"Kaufman","given":"David"},{"family":"McGuire","given":"Amy L."}],"issued":{"date-parts":[["2014",11,12]]}}}],"schema":"https://github.com/citation-style-language/schema/raw/master/csl-citation.json"}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Georgia" w:hAnsiTheme="majorBidi" w:cstheme="majorBidi"/>
          <w:lang w:val="en-CA" w:eastAsia="en-GB"/>
        </w:rPr>
        <w:t xml:space="preserve">(Curnutte </w:t>
      </w:r>
      <w:r w:rsidRPr="005F0A67">
        <w:rPr>
          <w:rFonts w:asciiTheme="majorBidi" w:eastAsia="Georgia" w:hAnsiTheme="majorBidi" w:cstheme="majorBidi"/>
          <w:i/>
          <w:iCs/>
          <w:lang w:val="en-CA" w:eastAsia="en-GB"/>
        </w:rPr>
        <w:t>et al.</w:t>
      </w:r>
      <w:r w:rsidRPr="005F0A67">
        <w:rPr>
          <w:rFonts w:asciiTheme="majorBidi" w:eastAsia="Georgia" w:hAnsiTheme="majorBidi" w:cstheme="majorBidi"/>
          <w:lang w:val="en-CA" w:eastAsia="en-GB"/>
        </w:rPr>
        <w:t>, 2014; Deverka, Kaufman and McGuire, 2014b)</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w:t>
      </w:r>
    </w:p>
    <w:p w14:paraId="1F928788"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The sector is highly concentrated, with high entry costs associated with development of specialist equipment, regulatory compliance costs and technical maintenance support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{"citationID":"kAAIiwQa","properties":{"unsorted":false,"formattedCitation":"(Fortune Business Insights, 2026a)","plainCitation":"(Fortune Business Insights, 2026a)","noteIndex":0},"citationItems":[{"id":30,"uris":["http://zotero.org/users/14977742/items/RM459H3M"],"itemData":{"id":30,"type":"webpage","abstract":"The global laboratory equipment market to reach USD 64.43 billion by 2034, expanding at a 13.57% CAGR during the forecast period 2026-2034.","citation-key":"LaboratoryEquipmentMarket","language":"en","title":"Laboratory Equipment Market Size, Share &amp; Growth Report, 2034","URL":"https://www.fortunebusinessinsights.com/laboratory-equipment-market-111761","author":[{"literal":"Fortune Business Insights"}],"accessed":{"date-parts":[["2026",6,3]]},"issued":{"date-parts":[["2026",5]]}}}],"schema":"https://github.com/citation-style-language/schema/raw/master/csl-citation.json"}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(Fortune Business Insights, 2026a)</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This in turn corresponds to higher competition for the remaining companies, competing through pricing strategies, and effectively putting downward pressure on their margins. North America holds the largest regional share at 38%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ADDIN ZOTERO_ITEM CSL_CITATION {"citationID":"TawiFQl2","properties":{"unsorted":false,"formattedCitation":"(Grand View Research, 2025)","plainCitation":"(Grand View Research, 2025)","noteIndex":0},"citationItems":[{"id":29,"uris":["http://zotero.org/users/14977742/items/JEZ6JELZ"],"itemData":{"id":29,"type":"webpage","abstract":"The global laboratory equipment market size was estimated at USD 28.03 billion in 2022 and is expected to grow at a CAGR of 7.62% from 2023 to 2030","citation-key":"LaboratoryEquipmentMarket2025","language":"en","title":"Laboratory Equipment Market Size And Share Report, 2030","URL":"https://www.grandviewresearch.com/industry-analysis/laboratory-equipment-market-report","author":[{"literal":"Grand View Research"}],"accessed":{"date-parts":[["2026",6,3]]},"issued":{"date-parts":[["2025",8]]}}}],"schema":"https://github.com/citation-style-language/schema/raw/master/csl-citation.json"} </w:instrText>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(Grand View Research, 2025)</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which indicates a significant exposure to non-CBD-Party competitors. Pharmaceutical and biotechnology industries drive demand, positioning laboratory equipment firms as upstream suppliers to other Indicative Enclosure I sectors and creating a cost of intermediate consumption channel discussed in the pillar assessments.</w:t>
      </w:r>
    </w:p>
    <w:p w14:paraId="536620C8" w14:textId="77777777" w:rsidR="005F0A67" w:rsidRPr="005F0A67" w:rsidRDefault="005F0A67" w:rsidP="00B009ED">
      <w:pPr>
        <w:tabs>
          <w:tab w:val="clear" w:pos="567"/>
          <w:tab w:val="clear" w:pos="1134"/>
          <w:tab w:val="clear" w:pos="1701"/>
          <w:tab w:val="clear" w:pos="2268"/>
        </w:tabs>
        <w:spacing w:after="120"/>
        <w:jc w:val="left"/>
        <w:outlineLvl w:val="3"/>
        <w:rPr>
          <w:rFonts w:asciiTheme="majorBidi" w:eastAsia="Georgia" w:hAnsiTheme="majorBidi" w:cstheme="majorBidi"/>
          <w:b/>
          <w:bCs/>
          <w:color w:val="0F4761"/>
          <w:lang w:eastAsia="en-GB"/>
        </w:rPr>
      </w:pPr>
      <w:r w:rsidRPr="005F0A67">
        <w:rPr>
          <w:rFonts w:asciiTheme="majorBidi" w:eastAsia="Georgia" w:hAnsiTheme="majorBidi" w:cstheme="majorBidi"/>
          <w:b/>
          <w:bCs/>
          <w:color w:val="0F4761"/>
          <w:lang w:eastAsia="en-GB"/>
        </w:rPr>
        <w:lastRenderedPageBreak/>
        <w:t>Value chain position and DSI use intensity</w:t>
      </w:r>
    </w:p>
    <w:p w14:paraId="1004713A"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DSI use emerges as indirect across most of the sector and direct primarily in the sequencing sub-group, which itself generates sequence data. For the rest of the sector, instruments are used in DSI-intensive laboratories, but the equipment manufacturer is not a direct DSI user in the same sense as pharmaceutical or biotechnology firms. These companies are more accurately described as DSI enablers: their products and services underpin the research and diagnostic workflows through which sequence data are produced, processed, and used; this creates a commercial reliance on DSI-intensive activities. Effectively, they constitute upstream providers who, if contributing to the Fund, could pass on those costs onto downstream buyers of their products and services, many of which are also listed under Enclosure I. </w:t>
      </w:r>
    </w:p>
    <w:p w14:paraId="15786603" w14:textId="77777777" w:rsidR="005F0A67" w:rsidRPr="005F0A67" w:rsidRDefault="005F0A67" w:rsidP="00B009ED">
      <w:pPr>
        <w:tabs>
          <w:tab w:val="clear" w:pos="567"/>
          <w:tab w:val="clear" w:pos="1134"/>
          <w:tab w:val="clear" w:pos="1701"/>
          <w:tab w:val="clear" w:pos="2268"/>
        </w:tabs>
        <w:spacing w:after="120"/>
        <w:jc w:val="left"/>
        <w:outlineLvl w:val="3"/>
        <w:rPr>
          <w:rFonts w:asciiTheme="majorBidi" w:eastAsia="Georgia" w:hAnsiTheme="majorBidi" w:cstheme="majorBidi"/>
          <w:b/>
          <w:bCs/>
          <w:color w:val="0F4761"/>
          <w:lang w:eastAsia="en-GB"/>
        </w:rPr>
      </w:pPr>
      <w:r w:rsidRPr="005F0A67">
        <w:rPr>
          <w:rFonts w:asciiTheme="majorBidi" w:eastAsia="Georgia" w:hAnsiTheme="majorBidi" w:cstheme="majorBidi"/>
          <w:b/>
          <w:bCs/>
          <w:color w:val="0F4761"/>
          <w:lang w:eastAsia="en-GB"/>
        </w:rPr>
        <w:t xml:space="preserve">Expected contribution base </w:t>
      </w:r>
    </w:p>
    <w:p w14:paraId="46EE2D73"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With a median margin of 7.9%, most eligible laboratory equipment firms pay on profit. A meaningful share sits close to the 10% indifference threshold, particularly among larger integrated platform suppliers with stronger margins, some of whom may pay on revenue. The proportionality concern is present here, with the all-in contribution base treating sequencing platform providers and generic consumable suppliers identically, despite the potential substantial difference in their DSI dependence. For the sector as a whole, the contribution operates more as a downstream commercial cost than as a direct charge on DSI-derived value. </w:t>
      </w:r>
    </w:p>
    <w:p w14:paraId="3A525CA2" w14:textId="77777777" w:rsidR="005F0A67" w:rsidRPr="005F0A67" w:rsidRDefault="005F0A67" w:rsidP="00B009ED">
      <w:pPr>
        <w:tabs>
          <w:tab w:val="clear" w:pos="567"/>
          <w:tab w:val="clear" w:pos="1134"/>
          <w:tab w:val="clear" w:pos="1701"/>
          <w:tab w:val="clear" w:pos="2268"/>
        </w:tabs>
        <w:spacing w:before="320" w:after="160"/>
        <w:ind w:left="720"/>
        <w:jc w:val="left"/>
        <w:outlineLvl w:val="2"/>
        <w:rPr>
          <w:rFonts w:asciiTheme="majorBidi" w:eastAsia="Arial" w:hAnsiTheme="majorBidi" w:cstheme="majorBidi"/>
          <w:b/>
          <w:bCs/>
          <w:color w:val="7F7F7F"/>
          <w:sz w:val="23"/>
          <w:szCs w:val="23"/>
          <w:lang w:val="en-CA" w:eastAsia="en-GB"/>
        </w:rPr>
      </w:pPr>
      <w:bookmarkStart w:id="252" w:name="_Toc234579620"/>
      <w:r w:rsidRPr="005F0A67">
        <w:rPr>
          <w:rFonts w:asciiTheme="majorBidi" w:eastAsia="Arial" w:hAnsiTheme="majorBidi" w:cstheme="majorBidi"/>
          <w:b/>
          <w:bCs/>
          <w:color w:val="7F7F7F"/>
          <w:sz w:val="23"/>
          <w:szCs w:val="23"/>
          <w:lang w:val="en-CA" w:eastAsia="en-GB"/>
        </w:rPr>
        <w:t>Pillar assessment (step 3)</w:t>
      </w:r>
      <w:bookmarkEnd w:id="252"/>
    </w:p>
    <w:p w14:paraId="04B8941D"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_Ref231773529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Table 41</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_Ref231773537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Table 42</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and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_Ref231773545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Table 43</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present the materiality assessment for Pillars I, II and III respectively, drawing on the sector characterisation in Section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_Ref231773570 \r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7.13.1</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the broader empirical literature findings in Section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_Ref231121284 \r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7.4</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and the analytical framework in Section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_Ref230281726 \r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7.5</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w:t>
      </w:r>
    </w:p>
    <w:p w14:paraId="3816C72C"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The laboratory equipment sector faces a high materiality finding for integrated platform suppliers on competitive position versus non-Party competitors, driven by North America's 38% market share and direct competition from major US-headquartered sequencing platform providers not subject to equivalent obligations. Substantive compliance costs and pass-through capacity are Moderate for integrated platform suppliers (given platform lock-in supporting some pricing power) and Low for general supplies firms where commodity competition constrains both cost absorption and cost recovery. Across Pillar II, both firm types are consistently Low given demand-driven short innovation cycles. The sector's inclusion in Enclosure I based on indirect DSI benefit rather than direct DSI use for most firms creates a distinctive eligibility and documentation challenge, with the direct vs indirect use boundary (U4) the most relevant unresolved design parameter. The upstream position of the sector means that contribution costs can be partially passed forward to downstream pharmaceutical, biotechnology, breeding, and cosmetics clients, which is a mitigating factor that distinguishes this sector from most other Indicative Enclosure I sectors.</w:t>
      </w:r>
    </w:p>
    <w:p w14:paraId="5CE3A405"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Where competitive effects do materialise, their downstream implications would differ between firm types. For integrated platform suppliers, the primary concern is competitive position, namely the structural asymmetry with US-headquartered sequencing platform providers creates a permanent cost differential in markets where switching costs partially but do not fully insulate from new instrument procurement competition. The ability to pass contribution costs forward to downstream clients partially offsets the direct burden, though pass-through capacity depends on the degree of platform lock-in and the availability of competing instruments from non-contributing US rivals. For general supplies firms, cost absorption is the more likely response given commodity-like competitive conditions and limited pricing power; the proportionality concern is the most significant </w:t>
      </w:r>
      <w:r w:rsidRPr="005F0A67">
        <w:rPr>
          <w:rFonts w:asciiTheme="majorBidi" w:eastAsia="Times New Roman" w:hAnsiTheme="majorBidi" w:cstheme="majorBidi"/>
          <w:lang w:val="en-CA" w:eastAsia="en-GB"/>
        </w:rPr>
        <w:lastRenderedPageBreak/>
        <w:t>downstream risk, as these firms contribute on the same financial base as sequencing platform providers despite substantially more indirect DSI benefit. The upstream position of the sector means that the laboratory equipment contribution has downstream cost implications for pharmaceutical, biotechnology, animal and plant breeding, and cosmetics firms that rely on sequencing infrastructure - an indirect cost channel assessed separately in those sector assessments.</w:t>
      </w:r>
    </w:p>
    <w:p w14:paraId="24184722"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p>
    <w:p w14:paraId="526DABBB"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sectPr w:rsidR="005F0A67" w:rsidRPr="005F0A67" w:rsidSect="005F0A67">
          <w:pgSz w:w="12240" w:h="15840"/>
          <w:pgMar w:top="1080" w:right="1260" w:bottom="1080" w:left="1260" w:header="706" w:footer="706" w:gutter="0"/>
          <w:cols w:space="720"/>
          <w:docGrid w:linePitch="360"/>
        </w:sectPr>
      </w:pPr>
    </w:p>
    <w:p w14:paraId="5462109B" w14:textId="77777777" w:rsidR="005F0A67" w:rsidRPr="005F0A67" w:rsidRDefault="005F0A67" w:rsidP="005F0A67">
      <w:pPr>
        <w:tabs>
          <w:tab w:val="clear" w:pos="567"/>
          <w:tab w:val="clear" w:pos="1134"/>
          <w:tab w:val="clear" w:pos="1701"/>
          <w:tab w:val="clear" w:pos="2268"/>
        </w:tabs>
        <w:spacing w:after="200" w:line="312" w:lineRule="auto"/>
        <w:contextualSpacing/>
        <w:rPr>
          <w:rFonts w:asciiTheme="majorBidi" w:eastAsia="Georgia" w:hAnsiTheme="majorBidi" w:cstheme="majorBidi"/>
          <w:b/>
          <w:bCs/>
          <w:color w:val="419844"/>
          <w:lang w:eastAsia="en-GB"/>
        </w:rPr>
      </w:pPr>
      <w:bookmarkStart w:id="253" w:name="_Ref231773529"/>
      <w:r w:rsidRPr="005F0A67">
        <w:rPr>
          <w:rFonts w:asciiTheme="majorBidi" w:eastAsia="Georgia" w:hAnsiTheme="majorBidi" w:cstheme="majorBidi"/>
          <w:b/>
          <w:bCs/>
          <w:color w:val="419844"/>
          <w:lang w:val="en-US" w:eastAsia="ja-JP"/>
        </w:rPr>
        <w:lastRenderedPageBreak/>
        <w:t xml:space="preserve">Table </w:t>
      </w:r>
      <w:r w:rsidRPr="005F0A67">
        <w:rPr>
          <w:rFonts w:asciiTheme="majorBidi" w:eastAsia="Georgia" w:hAnsiTheme="majorBidi" w:cstheme="majorBidi"/>
          <w:b/>
          <w:bCs/>
          <w:color w:val="419844"/>
          <w:lang w:eastAsia="en-GB"/>
        </w:rPr>
        <w:fldChar w:fldCharType="begin"/>
      </w:r>
      <w:r w:rsidRPr="005F0A67">
        <w:rPr>
          <w:rFonts w:asciiTheme="majorBidi" w:eastAsia="Georgia" w:hAnsiTheme="majorBidi" w:cstheme="majorBidi"/>
          <w:b/>
          <w:bCs/>
          <w:color w:val="419844"/>
          <w:lang w:eastAsia="en-GB"/>
        </w:rPr>
        <w:instrText xml:space="preserve"> SEQ Table \* ARABIC </w:instrText>
      </w:r>
      <w:r w:rsidRPr="005F0A67">
        <w:rPr>
          <w:rFonts w:asciiTheme="majorBidi" w:eastAsia="Georgia" w:hAnsiTheme="majorBidi" w:cstheme="majorBidi"/>
          <w:b/>
          <w:bCs/>
          <w:color w:val="419844"/>
          <w:lang w:eastAsia="en-GB"/>
        </w:rPr>
        <w:fldChar w:fldCharType="separate"/>
      </w:r>
      <w:r w:rsidRPr="005F0A67">
        <w:rPr>
          <w:rFonts w:asciiTheme="majorBidi" w:eastAsia="Georgia" w:hAnsiTheme="majorBidi" w:cstheme="majorBidi"/>
          <w:b/>
          <w:bCs/>
          <w:noProof/>
          <w:color w:val="419844"/>
          <w:lang w:eastAsia="en-GB"/>
        </w:rPr>
        <w:t>41</w:t>
      </w:r>
      <w:r w:rsidRPr="005F0A67">
        <w:rPr>
          <w:rFonts w:asciiTheme="majorBidi" w:eastAsia="Georgia" w:hAnsiTheme="majorBidi" w:cstheme="majorBidi"/>
          <w:b/>
          <w:bCs/>
          <w:color w:val="419844"/>
          <w:lang w:eastAsia="en-GB"/>
        </w:rPr>
        <w:fldChar w:fldCharType="end"/>
      </w:r>
      <w:bookmarkEnd w:id="253"/>
      <w:r w:rsidRPr="005F0A67">
        <w:rPr>
          <w:rFonts w:asciiTheme="majorBidi" w:eastAsia="Georgia" w:hAnsiTheme="majorBidi" w:cstheme="majorBidi"/>
          <w:b/>
          <w:bCs/>
          <w:color w:val="419844"/>
          <w:lang w:val="en-US" w:eastAsia="ja-JP"/>
        </w:rPr>
        <w:t xml:space="preserve"> Pillar I: costs and price competitiveness impacts materiality assessment – Laboratory equipment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09"/>
        <w:gridCol w:w="1483"/>
        <w:gridCol w:w="1163"/>
        <w:gridCol w:w="1185"/>
        <w:gridCol w:w="5359"/>
        <w:gridCol w:w="1179"/>
      </w:tblGrid>
      <w:tr w:rsidR="005F0A67" w:rsidRPr="005F0A67" w14:paraId="652BF158" w14:textId="77777777" w:rsidTr="00FB671B">
        <w:tc>
          <w:tcPr>
            <w:tcW w:w="1210" w:type="pct"/>
            <w:tcBorders>
              <w:top w:val="single" w:sz="1" w:space="0" w:color="AAAAAA"/>
              <w:left w:val="single" w:sz="1" w:space="0" w:color="AAAAAA"/>
              <w:right w:val="single" w:sz="1" w:space="0" w:color="AAAAAA"/>
            </w:tcBorders>
            <w:shd w:val="clear" w:color="auto" w:fill="1F4E6B"/>
            <w:tcMar>
              <w:top w:w="60" w:type="dxa"/>
              <w:left w:w="100" w:type="dxa"/>
              <w:bottom w:w="60" w:type="dxa"/>
              <w:right w:w="100" w:type="dxa"/>
            </w:tcMar>
          </w:tcPr>
          <w:p w14:paraId="5123E4D2"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color w:val="FFFFFF"/>
                <w:sz w:val="18"/>
                <w:szCs w:val="18"/>
                <w:lang w:val="en-CA" w:eastAsia="en-GB"/>
              </w:rPr>
              <w:t>Impact</w:t>
            </w:r>
          </w:p>
        </w:tc>
        <w:tc>
          <w:tcPr>
            <w:tcW w:w="542" w:type="pct"/>
            <w:tcBorders>
              <w:top w:val="single" w:sz="1" w:space="0" w:color="AAAAAA"/>
              <w:left w:val="single" w:sz="1" w:space="0" w:color="AAAAAA"/>
              <w:right w:val="single" w:sz="1" w:space="0" w:color="AAAAAA"/>
            </w:tcBorders>
            <w:shd w:val="clear" w:color="auto" w:fill="1F4E6B"/>
            <w:tcMar>
              <w:top w:w="60" w:type="dxa"/>
              <w:left w:w="100" w:type="dxa"/>
              <w:bottom w:w="60" w:type="dxa"/>
              <w:right w:w="100" w:type="dxa"/>
            </w:tcMar>
          </w:tcPr>
          <w:p w14:paraId="690E364F"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color w:val="FFFFFF"/>
                <w:sz w:val="18"/>
                <w:szCs w:val="18"/>
                <w:lang w:val="en-CA" w:eastAsia="en-GB"/>
              </w:rPr>
              <w:t>Firm type</w:t>
            </w:r>
          </w:p>
        </w:tc>
        <w:tc>
          <w:tcPr>
            <w:tcW w:w="425" w:type="pct"/>
            <w:tcBorders>
              <w:top w:val="single" w:sz="1" w:space="0" w:color="AAAAAA"/>
              <w:left w:val="single" w:sz="1" w:space="0" w:color="AAAAAA"/>
              <w:right w:val="single" w:sz="1" w:space="0" w:color="AAAAAA"/>
            </w:tcBorders>
            <w:shd w:val="clear" w:color="auto" w:fill="1F4E6B"/>
            <w:tcMar>
              <w:top w:w="60" w:type="dxa"/>
              <w:left w:w="100" w:type="dxa"/>
              <w:bottom w:w="60" w:type="dxa"/>
              <w:right w:w="100" w:type="dxa"/>
            </w:tcMar>
          </w:tcPr>
          <w:p w14:paraId="614675B9"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color w:val="FFFFFF"/>
                <w:sz w:val="18"/>
                <w:szCs w:val="18"/>
                <w:lang w:val="en-CA" w:eastAsia="en-GB"/>
              </w:rPr>
              <w:t>Magnitude</w:t>
            </w:r>
          </w:p>
        </w:tc>
        <w:tc>
          <w:tcPr>
            <w:tcW w:w="433" w:type="pct"/>
            <w:tcBorders>
              <w:top w:val="single" w:sz="1" w:space="0" w:color="AAAAAA"/>
              <w:left w:val="single" w:sz="1" w:space="0" w:color="AAAAAA"/>
              <w:right w:val="single" w:sz="1" w:space="0" w:color="AAAAAA"/>
            </w:tcBorders>
            <w:shd w:val="clear" w:color="auto" w:fill="1F4E6B"/>
            <w:tcMar>
              <w:top w:w="60" w:type="dxa"/>
              <w:left w:w="100" w:type="dxa"/>
              <w:bottom w:w="60" w:type="dxa"/>
              <w:right w:w="100" w:type="dxa"/>
            </w:tcMar>
          </w:tcPr>
          <w:p w14:paraId="671F322A"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color w:val="FFFFFF"/>
                <w:sz w:val="18"/>
                <w:szCs w:val="18"/>
                <w:lang w:val="en-CA" w:eastAsia="en-GB"/>
              </w:rPr>
              <w:t>Probability</w:t>
            </w:r>
          </w:p>
        </w:tc>
        <w:tc>
          <w:tcPr>
            <w:tcW w:w="1959" w:type="pct"/>
            <w:tcBorders>
              <w:top w:val="single" w:sz="1" w:space="0" w:color="AAAAAA"/>
              <w:left w:val="single" w:sz="1" w:space="0" w:color="AAAAAA"/>
              <w:right w:val="single" w:sz="1" w:space="0" w:color="AAAAAA"/>
            </w:tcBorders>
            <w:shd w:val="clear" w:color="auto" w:fill="1F4E6B"/>
            <w:tcMar>
              <w:top w:w="60" w:type="dxa"/>
              <w:left w:w="100" w:type="dxa"/>
              <w:bottom w:w="60" w:type="dxa"/>
              <w:right w:w="100" w:type="dxa"/>
            </w:tcMar>
          </w:tcPr>
          <w:p w14:paraId="32D46E0B"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color w:val="FFFFFF"/>
                <w:sz w:val="18"/>
                <w:szCs w:val="18"/>
                <w:lang w:val="en-CA" w:eastAsia="en-GB"/>
              </w:rPr>
              <w:t>Key conditions</w:t>
            </w:r>
          </w:p>
        </w:tc>
        <w:tc>
          <w:tcPr>
            <w:tcW w:w="431" w:type="pct"/>
            <w:tcBorders>
              <w:top w:val="single" w:sz="1" w:space="0" w:color="AAAAAA"/>
              <w:left w:val="single" w:sz="1" w:space="0" w:color="AAAAAA"/>
              <w:right w:val="single" w:sz="1" w:space="0" w:color="AAAAAA"/>
            </w:tcBorders>
            <w:shd w:val="clear" w:color="auto" w:fill="1F4E6B"/>
            <w:tcMar>
              <w:top w:w="60" w:type="dxa"/>
              <w:left w:w="100" w:type="dxa"/>
              <w:bottom w:w="60" w:type="dxa"/>
              <w:right w:w="100" w:type="dxa"/>
            </w:tcMar>
          </w:tcPr>
          <w:p w14:paraId="1A8E6E58"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color w:val="FFFFFF"/>
                <w:sz w:val="18"/>
                <w:szCs w:val="18"/>
                <w:lang w:val="en-CA" w:eastAsia="en-GB"/>
              </w:rPr>
              <w:t>Materiality</w:t>
            </w:r>
          </w:p>
        </w:tc>
      </w:tr>
      <w:tr w:rsidR="005F0A67" w:rsidRPr="005F0A67" w14:paraId="322BAC3B" w14:textId="77777777" w:rsidTr="005F0A67">
        <w:tc>
          <w:tcPr>
            <w:tcW w:w="1210"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61D6B2D4"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sz w:val="18"/>
                <w:szCs w:val="18"/>
                <w:lang w:val="en-CA" w:eastAsia="en-GB"/>
              </w:rPr>
              <w:t>Administrative burden</w:t>
            </w:r>
            <w:r w:rsidRPr="005F0A67">
              <w:rPr>
                <w:rFonts w:asciiTheme="majorBidi" w:eastAsia="Times New Roman" w:hAnsiTheme="majorBidi" w:cstheme="majorBidi"/>
                <w:sz w:val="18"/>
                <w:szCs w:val="18"/>
                <w:lang w:val="en-CA" w:eastAsia="en-GB"/>
              </w:rPr>
              <w:t xml:space="preserve"> Costs of calculating, reporting, and documenting the contribution. Low under current revenue/profit design. The sector's inclusion in Enclosure I is based on indirect DSI benefit for most firms rather than direct use, creating a distinctive documentation challenge: demonstrating eligibility requires establishing commercial benefit from DSI without necessarily using DSI directly.</w:t>
            </w: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04976482"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Laboratory equipment firms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3EF77B82"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374A117B"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2F8D5AB3"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Contribution base definition (U12) and direct vs indirect use boundary (U4) are the most relevant uncertainties. Integrated platform suppliers: eligibility clearer given direct DSI generation and use in sequencing. General supplies firms: eligibility contested given indirect benefit; documenting DSI reliance challenging where commercial benefit is mediated through instrument sales to DSI-intensive customers.</w:t>
            </w:r>
          </w:p>
        </w:tc>
        <w:tc>
          <w:tcPr>
            <w:tcW w:w="431" w:type="pct"/>
            <w:tcBorders>
              <w:top w:val="single" w:sz="1" w:space="0" w:color="AAAAAA"/>
              <w:left w:val="single" w:sz="1" w:space="0" w:color="AAAAAA"/>
              <w:right w:val="single" w:sz="1" w:space="0" w:color="AAAAAA"/>
            </w:tcBorders>
            <w:shd w:val="clear" w:color="auto" w:fill="D9F2D0"/>
            <w:tcMar>
              <w:top w:w="60" w:type="dxa"/>
              <w:left w:w="100" w:type="dxa"/>
              <w:bottom w:w="60" w:type="dxa"/>
              <w:right w:w="100" w:type="dxa"/>
            </w:tcMar>
          </w:tcPr>
          <w:p w14:paraId="5CDD55A6"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r>
      <w:tr w:rsidR="005F0A67" w:rsidRPr="005F0A67" w14:paraId="34239EAC" w14:textId="77777777" w:rsidTr="005F0A67">
        <w:tc>
          <w:tcPr>
            <w:tcW w:w="1210"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507B0EA0"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sz w:val="18"/>
                <w:szCs w:val="18"/>
                <w:lang w:val="en-CA" w:eastAsia="en-GB"/>
              </w:rPr>
              <w:t>Substantive compliance costs</w:t>
            </w:r>
            <w:r w:rsidRPr="005F0A67">
              <w:rPr>
                <w:rFonts w:asciiTheme="majorBidi" w:eastAsia="Times New Roman" w:hAnsiTheme="majorBidi" w:cstheme="majorBidi"/>
                <w:sz w:val="18"/>
                <w:szCs w:val="18"/>
                <w:lang w:val="en-CA" w:eastAsia="en-GB"/>
              </w:rPr>
              <w:t xml:space="preserve"> the contribution payment itself as a direct cost burden. With a median margin of 7.9%, the sector sits closest to the 10% indifference threshold of any profit-base sector; a meaningful share of integrated platform suppliers may pay on revenue. The all-in contribution base treats sequencing platform providers and generic consumable suppliers identically despite substantially different DSI dependence, with the proportionality concern most acute for general supplies firms (U12). The contribution operates more as a downstream commercial cost than a direct charge on DSI-derived value. The sector-specific analogue, the US medical-device excise tax of 2.3%, reduced R&amp;D and margins (Lee, 2018), but that rate is over twenty times higher than the Cali Fund revenue rate and is not directly transferable.</w:t>
            </w: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1BECFD00"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Laboratory equipment firms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6DB2998D"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Moderate</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77B9AB08"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Medium</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28E35901"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Integrated platform suppliers: higher margins may place some of them in the revenue-base group; lower proportionality concern given stronger DSI dependence; upstream position enables pass-forward of contribution costs to downstream pharma, biotech, and breeding clients. General supplies firms: profit-base payers with margin pressure from price competition (Fortune Business Insights, 2026a); proportionality concern more acute given indirect DSI benefit (U12). North America's 38% market share (Grand View Research, 2025) creates non-Party asymmetry for both sub-groups. Rate revision; direct vs indirect use boundary (U4); entity definition (U3).</w:t>
            </w:r>
          </w:p>
        </w:tc>
        <w:tc>
          <w:tcPr>
            <w:tcW w:w="431" w:type="pct"/>
            <w:tcBorders>
              <w:top w:val="single" w:sz="1" w:space="0" w:color="AAAAAA"/>
              <w:left w:val="single" w:sz="1" w:space="0" w:color="AAAAAA"/>
              <w:right w:val="single" w:sz="1" w:space="0" w:color="AAAAAA"/>
            </w:tcBorders>
            <w:shd w:val="clear" w:color="auto" w:fill="FEF9CC"/>
            <w:tcMar>
              <w:top w:w="60" w:type="dxa"/>
              <w:left w:w="100" w:type="dxa"/>
              <w:bottom w:w="60" w:type="dxa"/>
              <w:right w:w="100" w:type="dxa"/>
            </w:tcMar>
          </w:tcPr>
          <w:p w14:paraId="34DA4206"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Moderate</w:t>
            </w:r>
          </w:p>
        </w:tc>
      </w:tr>
      <w:tr w:rsidR="005F0A67" w:rsidRPr="005F0A67" w14:paraId="716C6DE1" w14:textId="77777777" w:rsidTr="005F0A67">
        <w:tc>
          <w:tcPr>
            <w:tcW w:w="1210"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558AF2B1"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sz w:val="18"/>
                <w:szCs w:val="18"/>
                <w:lang w:val="en-CA" w:eastAsia="en-GB"/>
              </w:rPr>
              <w:t>Cost of capital</w:t>
            </w:r>
            <w:r w:rsidRPr="005F0A67">
              <w:rPr>
                <w:rFonts w:asciiTheme="majorBidi" w:eastAsia="Times New Roman" w:hAnsiTheme="majorBidi" w:cstheme="majorBidi"/>
                <w:sz w:val="18"/>
                <w:szCs w:val="18"/>
                <w:lang w:val="en-CA" w:eastAsia="en-GB"/>
              </w:rPr>
              <w:t xml:space="preserve"> Changes in cost or availability of financing from margin compression or reduced free cash flow. Large well-capitalised firms are least responsive to profit-burden changes of higher magnitude (see Section 7.4). Voluntary opt-out constrains severe outcomes.</w:t>
            </w: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4E8D51B5"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Laboratory equipment firms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1E846BB1"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59241E18"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59A372C8"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Integrated platform suppliers with higher margins and stronger market positions least exposed. General supplies firms face somewhat higher conditional exposure given margin pressure from price competition; voluntary opt-out limits severe outcomes. Rate revision.</w:t>
            </w:r>
          </w:p>
        </w:tc>
        <w:tc>
          <w:tcPr>
            <w:tcW w:w="431" w:type="pct"/>
            <w:tcBorders>
              <w:top w:val="single" w:sz="1" w:space="0" w:color="AAAAAA"/>
              <w:left w:val="single" w:sz="1" w:space="0" w:color="AAAAAA"/>
              <w:right w:val="single" w:sz="1" w:space="0" w:color="AAAAAA"/>
            </w:tcBorders>
            <w:shd w:val="clear" w:color="auto" w:fill="D9F2D0"/>
            <w:tcMar>
              <w:top w:w="60" w:type="dxa"/>
              <w:left w:w="100" w:type="dxa"/>
              <w:bottom w:w="60" w:type="dxa"/>
              <w:right w:w="100" w:type="dxa"/>
            </w:tcMar>
          </w:tcPr>
          <w:p w14:paraId="6E774A5B"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r>
      <w:tr w:rsidR="005F0A67" w:rsidRPr="005F0A67" w14:paraId="49D70C07" w14:textId="77777777" w:rsidTr="005F0A67">
        <w:tc>
          <w:tcPr>
            <w:tcW w:w="1210"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67C0556F"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sz w:val="18"/>
                <w:szCs w:val="18"/>
                <w:lang w:val="en-CA" w:eastAsia="en-GB"/>
              </w:rPr>
              <w:lastRenderedPageBreak/>
              <w:t>Cost of intermediate consumption</w:t>
            </w:r>
            <w:r w:rsidRPr="005F0A67">
              <w:rPr>
                <w:rFonts w:asciiTheme="majorBidi" w:eastAsia="Times New Roman" w:hAnsiTheme="majorBidi" w:cstheme="majorBidi"/>
                <w:sz w:val="18"/>
                <w:szCs w:val="18"/>
                <w:lang w:val="en-CA" w:eastAsia="en-GB"/>
              </w:rPr>
              <w:t xml:space="preserve"> For laboratory equipment, this channel operates in reverse relative to most other Indicative Enclosure I sectors: laboratory equipment firms are themselves upstream suppliers whose contribution costs may be passed forward to pharmaceutical, biotechnology, breeding, and cosmetics firms downstream. This is assessed from the perspective of the laboratory equipment firm's own cost structure.</w:t>
            </w: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589A7789"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Laboratory equipment firms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38E8B868"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52F74E5D"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748624CB"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Laboratory equipment firms do not face significant upstream contribution pass-through from their own suppliers in this context; their contribution costs are primarily passed forward to downstream clients. The magnitude of their own cost of intermediate consumption impact is minor. Rate revision.</w:t>
            </w:r>
          </w:p>
        </w:tc>
        <w:tc>
          <w:tcPr>
            <w:tcW w:w="431" w:type="pct"/>
            <w:tcBorders>
              <w:top w:val="single" w:sz="1" w:space="0" w:color="AAAAAA"/>
              <w:left w:val="single" w:sz="1" w:space="0" w:color="AAAAAA"/>
              <w:right w:val="single" w:sz="1" w:space="0" w:color="AAAAAA"/>
            </w:tcBorders>
            <w:shd w:val="clear" w:color="auto" w:fill="D9F2D0"/>
            <w:tcMar>
              <w:top w:w="60" w:type="dxa"/>
              <w:left w:w="100" w:type="dxa"/>
              <w:bottom w:w="60" w:type="dxa"/>
              <w:right w:w="100" w:type="dxa"/>
            </w:tcMar>
          </w:tcPr>
          <w:p w14:paraId="593E65DF"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r>
      <w:tr w:rsidR="005F0A67" w:rsidRPr="005F0A67" w14:paraId="5F908F87" w14:textId="77777777" w:rsidTr="005F0A67">
        <w:tc>
          <w:tcPr>
            <w:tcW w:w="1210"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59F55796"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sz w:val="18"/>
                <w:szCs w:val="18"/>
                <w:lang w:val="en-CA" w:eastAsia="en-GB"/>
              </w:rPr>
              <w:t>Pass-through to consumers</w:t>
            </w:r>
            <w:r w:rsidRPr="005F0A67">
              <w:rPr>
                <w:rFonts w:asciiTheme="majorBidi" w:eastAsia="Times New Roman" w:hAnsiTheme="majorBidi" w:cstheme="majorBidi"/>
                <w:sz w:val="18"/>
                <w:szCs w:val="18"/>
                <w:lang w:val="en-CA" w:eastAsia="en-GB"/>
              </w:rPr>
              <w:t xml:space="preserve"> Extent to which contribution cost is transferred to customers via output pricing. Integrated platform suppliers have some pricing power through platform lock-in and ecosystem switching costs; general laboratory and consumable supplies firms face more commodity-like market constraints.</w:t>
            </w: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342DF6AD"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Laboratory equipment firms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625D14E0"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Moderate</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27F6C0E6"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Medium</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40530422"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Integrated platform suppliers: platform lock-in and high switching costs for integrated sequencing systems provide some pricing power (Holland and Davies, 2020; Schwarze et al., 2020). Clinical and reimbursement constraints limit pass-through in some markets (Curnutte et al., 2014). General supplies firms: commodity-like competition limits pricing flexibility. National implementation divergence (U8).</w:t>
            </w:r>
          </w:p>
        </w:tc>
        <w:tc>
          <w:tcPr>
            <w:tcW w:w="431" w:type="pct"/>
            <w:tcBorders>
              <w:top w:val="single" w:sz="1" w:space="0" w:color="AAAAAA"/>
              <w:left w:val="single" w:sz="1" w:space="0" w:color="AAAAAA"/>
              <w:right w:val="single" w:sz="1" w:space="0" w:color="AAAAAA"/>
            </w:tcBorders>
            <w:shd w:val="clear" w:color="auto" w:fill="FEF9CC"/>
            <w:tcMar>
              <w:top w:w="60" w:type="dxa"/>
              <w:left w:w="100" w:type="dxa"/>
              <w:bottom w:w="60" w:type="dxa"/>
              <w:right w:w="100" w:type="dxa"/>
            </w:tcMar>
          </w:tcPr>
          <w:p w14:paraId="4BD25841"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Moderate</w:t>
            </w:r>
          </w:p>
        </w:tc>
      </w:tr>
    </w:tbl>
    <w:p w14:paraId="47DF06AF"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p>
    <w:p w14:paraId="4546D646" w14:textId="77777777" w:rsidR="00B009ED" w:rsidRDefault="00B009ED">
      <w:pPr>
        <w:tabs>
          <w:tab w:val="clear" w:pos="567"/>
          <w:tab w:val="clear" w:pos="1134"/>
          <w:tab w:val="clear" w:pos="1701"/>
          <w:tab w:val="clear" w:pos="2268"/>
        </w:tabs>
        <w:jc w:val="left"/>
        <w:rPr>
          <w:rFonts w:asciiTheme="majorBidi" w:eastAsia="Georgia" w:hAnsiTheme="majorBidi" w:cstheme="majorBidi"/>
          <w:b/>
          <w:bCs/>
          <w:color w:val="419844"/>
          <w:lang w:val="en-US" w:eastAsia="ja-JP"/>
        </w:rPr>
      </w:pPr>
      <w:bookmarkStart w:id="254" w:name="_Ref231773537"/>
      <w:r>
        <w:rPr>
          <w:rFonts w:asciiTheme="majorBidi" w:eastAsia="Georgia" w:hAnsiTheme="majorBidi" w:cstheme="majorBidi"/>
          <w:b/>
          <w:bCs/>
          <w:color w:val="419844"/>
          <w:lang w:val="en-US" w:eastAsia="ja-JP"/>
        </w:rPr>
        <w:br w:type="page"/>
      </w:r>
    </w:p>
    <w:p w14:paraId="52103CD8" w14:textId="4AA8B57A" w:rsidR="005F0A67" w:rsidRPr="005F0A67" w:rsidRDefault="005F0A67" w:rsidP="005F0A67">
      <w:pPr>
        <w:tabs>
          <w:tab w:val="clear" w:pos="567"/>
          <w:tab w:val="clear" w:pos="1134"/>
          <w:tab w:val="clear" w:pos="1701"/>
          <w:tab w:val="clear" w:pos="2268"/>
        </w:tabs>
        <w:spacing w:after="200" w:line="312" w:lineRule="auto"/>
        <w:contextualSpacing/>
        <w:rPr>
          <w:rFonts w:asciiTheme="majorBidi" w:eastAsia="Georgia" w:hAnsiTheme="majorBidi" w:cstheme="majorBidi"/>
          <w:b/>
          <w:bCs/>
          <w:color w:val="419844"/>
          <w:lang w:eastAsia="en-GB"/>
        </w:rPr>
      </w:pPr>
      <w:r w:rsidRPr="005F0A67">
        <w:rPr>
          <w:rFonts w:asciiTheme="majorBidi" w:eastAsia="Georgia" w:hAnsiTheme="majorBidi" w:cstheme="majorBidi"/>
          <w:b/>
          <w:bCs/>
          <w:color w:val="419844"/>
          <w:lang w:val="en-US" w:eastAsia="ja-JP"/>
        </w:rPr>
        <w:lastRenderedPageBreak/>
        <w:t xml:space="preserve">Table </w:t>
      </w:r>
      <w:r w:rsidRPr="005F0A67">
        <w:rPr>
          <w:rFonts w:asciiTheme="majorBidi" w:eastAsia="Georgia" w:hAnsiTheme="majorBidi" w:cstheme="majorBidi"/>
          <w:b/>
          <w:bCs/>
          <w:color w:val="419844"/>
          <w:lang w:eastAsia="en-GB"/>
        </w:rPr>
        <w:fldChar w:fldCharType="begin"/>
      </w:r>
      <w:r w:rsidRPr="005F0A67">
        <w:rPr>
          <w:rFonts w:asciiTheme="majorBidi" w:eastAsia="Georgia" w:hAnsiTheme="majorBidi" w:cstheme="majorBidi"/>
          <w:b/>
          <w:bCs/>
          <w:color w:val="419844"/>
          <w:lang w:eastAsia="en-GB"/>
        </w:rPr>
        <w:instrText xml:space="preserve"> SEQ Table \* ARABIC </w:instrText>
      </w:r>
      <w:r w:rsidRPr="005F0A67">
        <w:rPr>
          <w:rFonts w:asciiTheme="majorBidi" w:eastAsia="Georgia" w:hAnsiTheme="majorBidi" w:cstheme="majorBidi"/>
          <w:b/>
          <w:bCs/>
          <w:color w:val="419844"/>
          <w:lang w:eastAsia="en-GB"/>
        </w:rPr>
        <w:fldChar w:fldCharType="separate"/>
      </w:r>
      <w:r w:rsidRPr="005F0A67">
        <w:rPr>
          <w:rFonts w:asciiTheme="majorBidi" w:eastAsia="Georgia" w:hAnsiTheme="majorBidi" w:cstheme="majorBidi"/>
          <w:b/>
          <w:bCs/>
          <w:noProof/>
          <w:color w:val="419844"/>
          <w:lang w:eastAsia="en-GB"/>
        </w:rPr>
        <w:t>42</w:t>
      </w:r>
      <w:r w:rsidRPr="005F0A67">
        <w:rPr>
          <w:rFonts w:asciiTheme="majorBidi" w:eastAsia="Georgia" w:hAnsiTheme="majorBidi" w:cstheme="majorBidi"/>
          <w:b/>
          <w:bCs/>
          <w:color w:val="419844"/>
          <w:lang w:eastAsia="en-GB"/>
        </w:rPr>
        <w:fldChar w:fldCharType="end"/>
      </w:r>
      <w:bookmarkEnd w:id="254"/>
      <w:r w:rsidRPr="005F0A67">
        <w:rPr>
          <w:rFonts w:asciiTheme="majorBidi" w:eastAsia="Georgia" w:hAnsiTheme="majorBidi" w:cstheme="majorBidi"/>
          <w:b/>
          <w:bCs/>
          <w:color w:val="419844"/>
          <w:lang w:val="en-US" w:eastAsia="ja-JP"/>
        </w:rPr>
        <w:t xml:space="preserve"> Pillar II: capacity to innovate impacts materiality assessment – Laboratory equipment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09"/>
        <w:gridCol w:w="1483"/>
        <w:gridCol w:w="1163"/>
        <w:gridCol w:w="1185"/>
        <w:gridCol w:w="5359"/>
        <w:gridCol w:w="1179"/>
      </w:tblGrid>
      <w:tr w:rsidR="005F0A67" w:rsidRPr="005F0A67" w14:paraId="65B90CCA" w14:textId="77777777" w:rsidTr="00FB671B">
        <w:tc>
          <w:tcPr>
            <w:tcW w:w="1210" w:type="pct"/>
            <w:tcBorders>
              <w:top w:val="single" w:sz="1" w:space="0" w:color="AAAAAA"/>
              <w:left w:val="single" w:sz="1" w:space="0" w:color="AAAAAA"/>
              <w:right w:val="single" w:sz="1" w:space="0" w:color="AAAAAA"/>
            </w:tcBorders>
            <w:shd w:val="clear" w:color="auto" w:fill="1F4E6B"/>
            <w:tcMar>
              <w:top w:w="60" w:type="dxa"/>
              <w:left w:w="100" w:type="dxa"/>
              <w:bottom w:w="60" w:type="dxa"/>
              <w:right w:w="100" w:type="dxa"/>
            </w:tcMar>
          </w:tcPr>
          <w:p w14:paraId="53FAF911"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color w:val="FFFFFF"/>
                <w:sz w:val="18"/>
                <w:szCs w:val="18"/>
                <w:lang w:val="en-CA" w:eastAsia="en-GB"/>
              </w:rPr>
              <w:t>Impact</w:t>
            </w:r>
          </w:p>
        </w:tc>
        <w:tc>
          <w:tcPr>
            <w:tcW w:w="542" w:type="pct"/>
            <w:tcBorders>
              <w:top w:val="single" w:sz="1" w:space="0" w:color="AAAAAA"/>
              <w:left w:val="single" w:sz="1" w:space="0" w:color="AAAAAA"/>
              <w:right w:val="single" w:sz="1" w:space="0" w:color="AAAAAA"/>
            </w:tcBorders>
            <w:shd w:val="clear" w:color="auto" w:fill="1F4E6B"/>
            <w:tcMar>
              <w:top w:w="60" w:type="dxa"/>
              <w:left w:w="100" w:type="dxa"/>
              <w:bottom w:w="60" w:type="dxa"/>
              <w:right w:w="100" w:type="dxa"/>
            </w:tcMar>
          </w:tcPr>
          <w:p w14:paraId="5E31EFC5"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color w:val="FFFFFF"/>
                <w:sz w:val="18"/>
                <w:szCs w:val="18"/>
                <w:lang w:val="en-CA" w:eastAsia="en-GB"/>
              </w:rPr>
              <w:t>Firm type</w:t>
            </w:r>
          </w:p>
        </w:tc>
        <w:tc>
          <w:tcPr>
            <w:tcW w:w="425" w:type="pct"/>
            <w:tcBorders>
              <w:top w:val="single" w:sz="1" w:space="0" w:color="AAAAAA"/>
              <w:left w:val="single" w:sz="1" w:space="0" w:color="AAAAAA"/>
              <w:right w:val="single" w:sz="1" w:space="0" w:color="AAAAAA"/>
            </w:tcBorders>
            <w:shd w:val="clear" w:color="auto" w:fill="1F4E6B"/>
            <w:tcMar>
              <w:top w:w="60" w:type="dxa"/>
              <w:left w:w="100" w:type="dxa"/>
              <w:bottom w:w="60" w:type="dxa"/>
              <w:right w:w="100" w:type="dxa"/>
            </w:tcMar>
          </w:tcPr>
          <w:p w14:paraId="3CC8364D"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color w:val="FFFFFF"/>
                <w:sz w:val="18"/>
                <w:szCs w:val="18"/>
                <w:lang w:val="en-CA" w:eastAsia="en-GB"/>
              </w:rPr>
              <w:t>Magnitude</w:t>
            </w:r>
          </w:p>
        </w:tc>
        <w:tc>
          <w:tcPr>
            <w:tcW w:w="433" w:type="pct"/>
            <w:tcBorders>
              <w:top w:val="single" w:sz="1" w:space="0" w:color="AAAAAA"/>
              <w:left w:val="single" w:sz="1" w:space="0" w:color="AAAAAA"/>
              <w:right w:val="single" w:sz="1" w:space="0" w:color="AAAAAA"/>
            </w:tcBorders>
            <w:shd w:val="clear" w:color="auto" w:fill="1F4E6B"/>
            <w:tcMar>
              <w:top w:w="60" w:type="dxa"/>
              <w:left w:w="100" w:type="dxa"/>
              <w:bottom w:w="60" w:type="dxa"/>
              <w:right w:w="100" w:type="dxa"/>
            </w:tcMar>
          </w:tcPr>
          <w:p w14:paraId="67D80ABA"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color w:val="FFFFFF"/>
                <w:sz w:val="18"/>
                <w:szCs w:val="18"/>
                <w:lang w:val="en-CA" w:eastAsia="en-GB"/>
              </w:rPr>
              <w:t>Probability</w:t>
            </w:r>
          </w:p>
        </w:tc>
        <w:tc>
          <w:tcPr>
            <w:tcW w:w="1959" w:type="pct"/>
            <w:tcBorders>
              <w:top w:val="single" w:sz="1" w:space="0" w:color="AAAAAA"/>
              <w:left w:val="single" w:sz="1" w:space="0" w:color="AAAAAA"/>
              <w:right w:val="single" w:sz="1" w:space="0" w:color="AAAAAA"/>
            </w:tcBorders>
            <w:shd w:val="clear" w:color="auto" w:fill="1F4E6B"/>
            <w:tcMar>
              <w:top w:w="60" w:type="dxa"/>
              <w:left w:w="100" w:type="dxa"/>
              <w:bottom w:w="60" w:type="dxa"/>
              <w:right w:w="100" w:type="dxa"/>
            </w:tcMar>
          </w:tcPr>
          <w:p w14:paraId="66206AD8"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color w:val="FFFFFF"/>
                <w:sz w:val="18"/>
                <w:szCs w:val="18"/>
                <w:lang w:val="en-CA" w:eastAsia="en-GB"/>
              </w:rPr>
              <w:t>Key conditions</w:t>
            </w:r>
          </w:p>
        </w:tc>
        <w:tc>
          <w:tcPr>
            <w:tcW w:w="431" w:type="pct"/>
            <w:tcBorders>
              <w:top w:val="single" w:sz="1" w:space="0" w:color="AAAAAA"/>
              <w:left w:val="single" w:sz="1" w:space="0" w:color="AAAAAA"/>
              <w:right w:val="single" w:sz="1" w:space="0" w:color="AAAAAA"/>
            </w:tcBorders>
            <w:shd w:val="clear" w:color="auto" w:fill="1F4E6B"/>
            <w:tcMar>
              <w:top w:w="60" w:type="dxa"/>
              <w:left w:w="100" w:type="dxa"/>
              <w:bottom w:w="60" w:type="dxa"/>
              <w:right w:w="100" w:type="dxa"/>
            </w:tcMar>
          </w:tcPr>
          <w:p w14:paraId="04AFC22E"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color w:val="FFFFFF"/>
                <w:sz w:val="18"/>
                <w:szCs w:val="18"/>
                <w:lang w:val="en-CA" w:eastAsia="en-GB"/>
              </w:rPr>
              <w:t>Materiality</w:t>
            </w:r>
          </w:p>
        </w:tc>
      </w:tr>
      <w:tr w:rsidR="005F0A67" w:rsidRPr="005F0A67" w14:paraId="7A52D8E0" w14:textId="77777777" w:rsidTr="005F0A67">
        <w:tc>
          <w:tcPr>
            <w:tcW w:w="1210"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072C966D"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sz w:val="18"/>
                <w:szCs w:val="18"/>
                <w:lang w:val="en-CA" w:eastAsia="en-GB"/>
              </w:rPr>
              <w:t>R&amp;D investment capacity</w:t>
            </w:r>
            <w:r w:rsidRPr="005F0A67">
              <w:rPr>
                <w:rFonts w:asciiTheme="majorBidi" w:eastAsia="Times New Roman" w:hAnsiTheme="majorBidi" w:cstheme="majorBidi"/>
                <w:sz w:val="18"/>
                <w:szCs w:val="18"/>
                <w:lang w:val="en-CA" w:eastAsia="en-GB"/>
              </w:rPr>
              <w:t xml:space="preserve"> Reduction in capital available for R&amp;D through margin compression or reduced free cash flow. Laboratory equipment innovation is demand-driven, with research institutions and advanced users prompting product development (Bianchini, Llerena and </w:t>
            </w:r>
            <w:proofErr w:type="spellStart"/>
            <w:r w:rsidRPr="005F0A67">
              <w:rPr>
                <w:rFonts w:asciiTheme="majorBidi" w:eastAsia="Times New Roman" w:hAnsiTheme="majorBidi" w:cstheme="majorBidi"/>
                <w:sz w:val="18"/>
                <w:szCs w:val="18"/>
                <w:lang w:val="en-CA" w:eastAsia="en-GB"/>
              </w:rPr>
              <w:t>Patsali</w:t>
            </w:r>
            <w:proofErr w:type="spellEnd"/>
            <w:r w:rsidRPr="005F0A67">
              <w:rPr>
                <w:rFonts w:asciiTheme="majorBidi" w:eastAsia="Times New Roman" w:hAnsiTheme="majorBidi" w:cstheme="majorBidi"/>
                <w:sz w:val="18"/>
                <w:szCs w:val="18"/>
                <w:lang w:val="en-CA" w:eastAsia="en-GB"/>
              </w:rPr>
              <w:t>, 2019). A comparable 1pp profit tax burden reduces R&amp;D by ~6-7% over eight years, with effects concentrated in financially constrained firms (Lichter et al., 2025).</w:t>
            </w: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54937C6F"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Laboratory equipment firms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391987F0"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2380E552"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22EA3A2E"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Demand-driven innovation with shorter cycles than pharmaceuticals or biotechnology; integrated platform suppliers more R&amp;D intensive than general supplies but still shorter-horizon than drug development; large well-capitalised firms least financially constrained (Coles et al., 2022). Rate revision.</w:t>
            </w:r>
          </w:p>
        </w:tc>
        <w:tc>
          <w:tcPr>
            <w:tcW w:w="431" w:type="pct"/>
            <w:tcBorders>
              <w:top w:val="single" w:sz="1" w:space="0" w:color="AAAAAA"/>
              <w:left w:val="single" w:sz="1" w:space="0" w:color="AAAAAA"/>
              <w:right w:val="single" w:sz="1" w:space="0" w:color="AAAAAA"/>
            </w:tcBorders>
            <w:shd w:val="clear" w:color="auto" w:fill="D9F2D0"/>
            <w:tcMar>
              <w:top w:w="60" w:type="dxa"/>
              <w:left w:w="100" w:type="dxa"/>
              <w:bottom w:w="60" w:type="dxa"/>
              <w:right w:w="100" w:type="dxa"/>
            </w:tcMar>
          </w:tcPr>
          <w:p w14:paraId="0EC6C3D1"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r>
      <w:tr w:rsidR="005F0A67" w:rsidRPr="005F0A67" w14:paraId="27C58E61" w14:textId="77777777" w:rsidTr="005F0A67">
        <w:tc>
          <w:tcPr>
            <w:tcW w:w="1210"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5757132B"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sz w:val="18"/>
                <w:szCs w:val="18"/>
                <w:lang w:val="en-CA" w:eastAsia="en-GB"/>
              </w:rPr>
              <w:t>Product innovation capacity</w:t>
            </w:r>
            <w:r w:rsidRPr="005F0A67">
              <w:rPr>
                <w:rFonts w:asciiTheme="majorBidi" w:eastAsia="Times New Roman" w:hAnsiTheme="majorBidi" w:cstheme="majorBidi"/>
                <w:sz w:val="18"/>
                <w:szCs w:val="18"/>
                <w:lang w:val="en-CA" w:eastAsia="en-GB"/>
              </w:rPr>
              <w:t xml:space="preserve"> Reduction in capital for development and commercialisation of new instruments and consumables. Innovation is demand-driven with shorter cycles than pharmaceuticals. Innovation effects most pronounced for financially constrained firms (Atanassov and Liu, 2020; Lichter et al., 2025).</w:t>
            </w: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428733F5"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Laboratory equipment firms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57E127F4"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73C68F55"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2375ABF6"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Ongoing instrument improvement is core to competitiveness (Raja, Frandsen and Mouritsen, 2017; Holland and Davies, 2020) but contribution burden too small to materially constrain product development at indicative rates. General supplies firms: limited product innovation relative to integrated platform suppliers. Rate revision.</w:t>
            </w:r>
          </w:p>
        </w:tc>
        <w:tc>
          <w:tcPr>
            <w:tcW w:w="431" w:type="pct"/>
            <w:tcBorders>
              <w:top w:val="single" w:sz="1" w:space="0" w:color="AAAAAA"/>
              <w:left w:val="single" w:sz="1" w:space="0" w:color="AAAAAA"/>
              <w:right w:val="single" w:sz="1" w:space="0" w:color="AAAAAA"/>
            </w:tcBorders>
            <w:shd w:val="clear" w:color="auto" w:fill="D9F2D0"/>
            <w:tcMar>
              <w:top w:w="60" w:type="dxa"/>
              <w:left w:w="100" w:type="dxa"/>
              <w:bottom w:w="60" w:type="dxa"/>
              <w:right w:w="100" w:type="dxa"/>
            </w:tcMar>
          </w:tcPr>
          <w:p w14:paraId="7452CE69"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r>
      <w:tr w:rsidR="005F0A67" w:rsidRPr="005F0A67" w14:paraId="6EB95917" w14:textId="77777777" w:rsidTr="005F0A67">
        <w:tc>
          <w:tcPr>
            <w:tcW w:w="1210"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60F3D902"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sz w:val="18"/>
                <w:szCs w:val="18"/>
                <w:lang w:val="en-CA" w:eastAsia="en-GB"/>
              </w:rPr>
              <w:t>Access to risk capital</w:t>
            </w:r>
            <w:r w:rsidRPr="005F0A67">
              <w:rPr>
                <w:rFonts w:asciiTheme="majorBidi" w:eastAsia="Times New Roman" w:hAnsiTheme="majorBidi" w:cstheme="majorBidi"/>
                <w:sz w:val="18"/>
                <w:szCs w:val="18"/>
                <w:lang w:val="en-CA" w:eastAsia="en-GB"/>
              </w:rPr>
              <w:t xml:space="preserve"> Effect on ability to attract external financing for innovation where margin compression reduces perceived returns. Large well-capitalised firms are least exposed. Voluntary opt-out constrains severe outcomes.</w:t>
            </w: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05D8FD4B"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Laboratory equipment firms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7079D85F"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0D6EA236"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6851A218"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Integrated platform suppliers with stronger margins and market positions least exposed. General supplies firms face somewhat higher conditional exposure from margin pressure; voluntary opt-out limits severe outcomes. Rate revision.</w:t>
            </w:r>
          </w:p>
        </w:tc>
        <w:tc>
          <w:tcPr>
            <w:tcW w:w="431" w:type="pct"/>
            <w:tcBorders>
              <w:top w:val="single" w:sz="1" w:space="0" w:color="AAAAAA"/>
              <w:left w:val="single" w:sz="1" w:space="0" w:color="AAAAAA"/>
              <w:right w:val="single" w:sz="1" w:space="0" w:color="AAAAAA"/>
            </w:tcBorders>
            <w:shd w:val="clear" w:color="auto" w:fill="D9F2D0"/>
            <w:tcMar>
              <w:top w:w="60" w:type="dxa"/>
              <w:left w:w="100" w:type="dxa"/>
              <w:bottom w:w="60" w:type="dxa"/>
              <w:right w:w="100" w:type="dxa"/>
            </w:tcMar>
          </w:tcPr>
          <w:p w14:paraId="1EC46091"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r>
      <w:tr w:rsidR="005F0A67" w:rsidRPr="005F0A67" w14:paraId="3FB23E61" w14:textId="77777777" w:rsidTr="005F0A67">
        <w:tc>
          <w:tcPr>
            <w:tcW w:w="1210"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579BACF5"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sz w:val="18"/>
                <w:szCs w:val="18"/>
                <w:lang w:val="en-CA" w:eastAsia="en-GB"/>
              </w:rPr>
              <w:t>Certainty and predictability</w:t>
            </w:r>
            <w:r w:rsidRPr="005F0A67">
              <w:rPr>
                <w:rFonts w:asciiTheme="majorBidi" w:eastAsia="Times New Roman" w:hAnsiTheme="majorBidi" w:cstheme="majorBidi"/>
                <w:sz w:val="18"/>
                <w:szCs w:val="18"/>
                <w:lang w:val="en-CA" w:eastAsia="en-GB"/>
              </w:rPr>
              <w:t xml:space="preserve"> Effect of unresolved Decision 16/2 design parameters on willingness to commit to product development investments. Non-binding design means uncertainty primarily deters participation rather than investment. The direct vs indirect use boundary (U4) creates eligibility uncertainty that may affect participation decisions more than investment decisions.</w:t>
            </w: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0A471889"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Laboratory equipment firms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6484F7F7"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5C29A169"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44221B73"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Short innovation cycles reduce long-run regulatory sensitivity; direct vs indirect use boundary (U4) most relevant for general supplies firms whose eligibility is less clear; certificate of contribution legal value (U6); rate revision.</w:t>
            </w:r>
          </w:p>
        </w:tc>
        <w:tc>
          <w:tcPr>
            <w:tcW w:w="431" w:type="pct"/>
            <w:tcBorders>
              <w:top w:val="single" w:sz="1" w:space="0" w:color="AAAAAA"/>
              <w:left w:val="single" w:sz="1" w:space="0" w:color="AAAAAA"/>
              <w:right w:val="single" w:sz="1" w:space="0" w:color="AAAAAA"/>
            </w:tcBorders>
            <w:shd w:val="clear" w:color="auto" w:fill="D9F2D0"/>
            <w:tcMar>
              <w:top w:w="60" w:type="dxa"/>
              <w:left w:w="100" w:type="dxa"/>
              <w:bottom w:w="60" w:type="dxa"/>
              <w:right w:w="100" w:type="dxa"/>
            </w:tcMar>
          </w:tcPr>
          <w:p w14:paraId="6B83F09A"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r>
    </w:tbl>
    <w:p w14:paraId="340FE196"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p>
    <w:p w14:paraId="12288EB5" w14:textId="77777777" w:rsidR="00B009ED" w:rsidRDefault="00B009ED">
      <w:pPr>
        <w:tabs>
          <w:tab w:val="clear" w:pos="567"/>
          <w:tab w:val="clear" w:pos="1134"/>
          <w:tab w:val="clear" w:pos="1701"/>
          <w:tab w:val="clear" w:pos="2268"/>
        </w:tabs>
        <w:jc w:val="left"/>
        <w:rPr>
          <w:rFonts w:asciiTheme="majorBidi" w:eastAsia="Georgia" w:hAnsiTheme="majorBidi" w:cstheme="majorBidi"/>
          <w:b/>
          <w:bCs/>
          <w:color w:val="419844"/>
          <w:lang w:val="en-CA" w:eastAsia="en-GB"/>
        </w:rPr>
      </w:pPr>
      <w:bookmarkStart w:id="255" w:name="_Ref231773545"/>
      <w:r>
        <w:rPr>
          <w:rFonts w:asciiTheme="majorBidi" w:eastAsia="Georgia" w:hAnsiTheme="majorBidi" w:cstheme="majorBidi"/>
          <w:b/>
          <w:bCs/>
          <w:color w:val="419844"/>
          <w:lang w:val="en-CA" w:eastAsia="en-GB"/>
        </w:rPr>
        <w:br w:type="page"/>
      </w:r>
    </w:p>
    <w:p w14:paraId="604E02DE" w14:textId="018CD087" w:rsidR="005F0A67" w:rsidRPr="005F0A67" w:rsidRDefault="005F0A67" w:rsidP="005F0A67">
      <w:pPr>
        <w:tabs>
          <w:tab w:val="clear" w:pos="567"/>
          <w:tab w:val="clear" w:pos="1134"/>
          <w:tab w:val="clear" w:pos="1701"/>
          <w:tab w:val="clear" w:pos="2268"/>
        </w:tabs>
        <w:spacing w:after="180" w:line="292" w:lineRule="auto"/>
        <w:rPr>
          <w:rFonts w:asciiTheme="majorBidi" w:eastAsia="Georgia" w:hAnsiTheme="majorBidi" w:cstheme="majorBidi"/>
          <w:b/>
          <w:bCs/>
          <w:color w:val="419844"/>
          <w:lang w:val="en-CA" w:eastAsia="en-GB"/>
        </w:rPr>
      </w:pPr>
      <w:r w:rsidRPr="005F0A67">
        <w:rPr>
          <w:rFonts w:asciiTheme="majorBidi" w:eastAsia="Georgia" w:hAnsiTheme="majorBidi" w:cstheme="majorBidi"/>
          <w:b/>
          <w:bCs/>
          <w:color w:val="419844"/>
          <w:lang w:val="en-CA" w:eastAsia="en-GB"/>
        </w:rPr>
        <w:lastRenderedPageBreak/>
        <w:t xml:space="preserve">Table </w:t>
      </w:r>
      <w:r w:rsidRPr="005F0A67">
        <w:rPr>
          <w:rFonts w:asciiTheme="majorBidi" w:eastAsia="Georgia" w:hAnsiTheme="majorBidi" w:cstheme="majorBidi"/>
          <w:b/>
          <w:bCs/>
          <w:color w:val="419844"/>
          <w:lang w:val="en-CA" w:eastAsia="en-GB"/>
        </w:rPr>
        <w:fldChar w:fldCharType="begin"/>
      </w:r>
      <w:r w:rsidRPr="005F0A67">
        <w:rPr>
          <w:rFonts w:asciiTheme="majorBidi" w:eastAsia="Georgia" w:hAnsiTheme="majorBidi" w:cstheme="majorBidi"/>
          <w:b/>
          <w:bCs/>
          <w:color w:val="419844"/>
          <w:lang w:val="en-CA" w:eastAsia="en-GB"/>
        </w:rPr>
        <w:instrText xml:space="preserve"> SEQ Table \* ARABIC </w:instrText>
      </w:r>
      <w:r w:rsidRPr="005F0A67">
        <w:rPr>
          <w:rFonts w:asciiTheme="majorBidi" w:eastAsia="Georgia" w:hAnsiTheme="majorBidi" w:cstheme="majorBidi"/>
          <w:b/>
          <w:bCs/>
          <w:color w:val="419844"/>
          <w:lang w:val="en-CA" w:eastAsia="en-GB"/>
        </w:rPr>
        <w:fldChar w:fldCharType="separate"/>
      </w:r>
      <w:r w:rsidRPr="005F0A67">
        <w:rPr>
          <w:rFonts w:asciiTheme="majorBidi" w:eastAsia="Georgia" w:hAnsiTheme="majorBidi" w:cstheme="majorBidi"/>
          <w:b/>
          <w:bCs/>
          <w:noProof/>
          <w:color w:val="419844"/>
          <w:lang w:val="en-CA" w:eastAsia="en-GB"/>
        </w:rPr>
        <w:t>43</w:t>
      </w:r>
      <w:r w:rsidRPr="005F0A67">
        <w:rPr>
          <w:rFonts w:asciiTheme="majorBidi" w:eastAsia="Georgia" w:hAnsiTheme="majorBidi" w:cstheme="majorBidi"/>
          <w:b/>
          <w:bCs/>
          <w:color w:val="419844"/>
          <w:lang w:val="en-CA" w:eastAsia="en-GB"/>
        </w:rPr>
        <w:fldChar w:fldCharType="end"/>
      </w:r>
      <w:bookmarkEnd w:id="255"/>
      <w:r w:rsidRPr="005F0A67">
        <w:rPr>
          <w:rFonts w:asciiTheme="majorBidi" w:eastAsia="Georgia" w:hAnsiTheme="majorBidi" w:cstheme="majorBidi"/>
          <w:b/>
          <w:bCs/>
          <w:color w:val="419844"/>
          <w:lang w:val="en-CA" w:eastAsia="en-GB"/>
        </w:rPr>
        <w:t xml:space="preserve"> Pillar III: international competitiveness impacts materiality assessment </w:t>
      </w:r>
      <w:r w:rsidRPr="005F0A67">
        <w:rPr>
          <w:rFonts w:asciiTheme="majorBidi" w:eastAsia="Georgia" w:hAnsiTheme="majorBidi" w:cstheme="majorBidi"/>
          <w:b/>
          <w:bCs/>
          <w:i/>
          <w:iCs/>
          <w:color w:val="419844"/>
          <w:lang w:val="en-CA" w:eastAsia="en-GB"/>
        </w:rPr>
        <w:t xml:space="preserve">– </w:t>
      </w:r>
      <w:r w:rsidRPr="005F0A67">
        <w:rPr>
          <w:rFonts w:asciiTheme="majorBidi" w:eastAsia="Georgia" w:hAnsiTheme="majorBidi" w:cstheme="majorBidi"/>
          <w:b/>
          <w:bCs/>
          <w:color w:val="419844"/>
          <w:lang w:val="en-CA" w:eastAsia="en-GB"/>
        </w:rPr>
        <w:t>Laboratory equipment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09"/>
        <w:gridCol w:w="1483"/>
        <w:gridCol w:w="1163"/>
        <w:gridCol w:w="1185"/>
        <w:gridCol w:w="5359"/>
        <w:gridCol w:w="1179"/>
      </w:tblGrid>
      <w:tr w:rsidR="005F0A67" w:rsidRPr="005F0A67" w14:paraId="64EF29DF" w14:textId="77777777" w:rsidTr="00FB671B">
        <w:tc>
          <w:tcPr>
            <w:tcW w:w="1210" w:type="pct"/>
            <w:tcBorders>
              <w:top w:val="single" w:sz="1" w:space="0" w:color="AAAAAA"/>
              <w:left w:val="single" w:sz="1" w:space="0" w:color="AAAAAA"/>
              <w:right w:val="single" w:sz="1" w:space="0" w:color="AAAAAA"/>
            </w:tcBorders>
            <w:shd w:val="clear" w:color="auto" w:fill="1F4E6B"/>
            <w:tcMar>
              <w:top w:w="60" w:type="dxa"/>
              <w:left w:w="100" w:type="dxa"/>
              <w:bottom w:w="60" w:type="dxa"/>
              <w:right w:w="100" w:type="dxa"/>
            </w:tcMar>
          </w:tcPr>
          <w:p w14:paraId="2BD0F483"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color w:val="FFFFFF"/>
                <w:sz w:val="18"/>
                <w:szCs w:val="18"/>
                <w:lang w:val="en-CA" w:eastAsia="en-GB"/>
              </w:rPr>
              <w:t>Impact</w:t>
            </w:r>
          </w:p>
        </w:tc>
        <w:tc>
          <w:tcPr>
            <w:tcW w:w="542" w:type="pct"/>
            <w:tcBorders>
              <w:top w:val="single" w:sz="1" w:space="0" w:color="AAAAAA"/>
              <w:left w:val="single" w:sz="1" w:space="0" w:color="AAAAAA"/>
              <w:right w:val="single" w:sz="1" w:space="0" w:color="AAAAAA"/>
            </w:tcBorders>
            <w:shd w:val="clear" w:color="auto" w:fill="1F4E6B"/>
            <w:tcMar>
              <w:top w:w="60" w:type="dxa"/>
              <w:left w:w="100" w:type="dxa"/>
              <w:bottom w:w="60" w:type="dxa"/>
              <w:right w:w="100" w:type="dxa"/>
            </w:tcMar>
          </w:tcPr>
          <w:p w14:paraId="0A4114B8"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color w:val="FFFFFF"/>
                <w:sz w:val="18"/>
                <w:szCs w:val="18"/>
                <w:lang w:val="en-CA" w:eastAsia="en-GB"/>
              </w:rPr>
              <w:t>Firm type</w:t>
            </w:r>
          </w:p>
        </w:tc>
        <w:tc>
          <w:tcPr>
            <w:tcW w:w="425" w:type="pct"/>
            <w:tcBorders>
              <w:top w:val="single" w:sz="1" w:space="0" w:color="AAAAAA"/>
              <w:left w:val="single" w:sz="1" w:space="0" w:color="AAAAAA"/>
              <w:right w:val="single" w:sz="1" w:space="0" w:color="AAAAAA"/>
            </w:tcBorders>
            <w:shd w:val="clear" w:color="auto" w:fill="1F4E6B"/>
            <w:tcMar>
              <w:top w:w="60" w:type="dxa"/>
              <w:left w:w="100" w:type="dxa"/>
              <w:bottom w:w="60" w:type="dxa"/>
              <w:right w:w="100" w:type="dxa"/>
            </w:tcMar>
          </w:tcPr>
          <w:p w14:paraId="7DC4831F"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color w:val="FFFFFF"/>
                <w:sz w:val="18"/>
                <w:szCs w:val="18"/>
                <w:lang w:val="en-CA" w:eastAsia="en-GB"/>
              </w:rPr>
              <w:t>Magnitude</w:t>
            </w:r>
          </w:p>
        </w:tc>
        <w:tc>
          <w:tcPr>
            <w:tcW w:w="433" w:type="pct"/>
            <w:tcBorders>
              <w:top w:val="single" w:sz="1" w:space="0" w:color="AAAAAA"/>
              <w:left w:val="single" w:sz="1" w:space="0" w:color="AAAAAA"/>
              <w:right w:val="single" w:sz="1" w:space="0" w:color="AAAAAA"/>
            </w:tcBorders>
            <w:shd w:val="clear" w:color="auto" w:fill="1F4E6B"/>
            <w:tcMar>
              <w:top w:w="60" w:type="dxa"/>
              <w:left w:w="100" w:type="dxa"/>
              <w:bottom w:w="60" w:type="dxa"/>
              <w:right w:w="100" w:type="dxa"/>
            </w:tcMar>
          </w:tcPr>
          <w:p w14:paraId="76E749E0"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color w:val="FFFFFF"/>
                <w:sz w:val="18"/>
                <w:szCs w:val="18"/>
                <w:lang w:val="en-CA" w:eastAsia="en-GB"/>
              </w:rPr>
              <w:t>Probability</w:t>
            </w:r>
          </w:p>
        </w:tc>
        <w:tc>
          <w:tcPr>
            <w:tcW w:w="1959" w:type="pct"/>
            <w:tcBorders>
              <w:top w:val="single" w:sz="1" w:space="0" w:color="AAAAAA"/>
              <w:left w:val="single" w:sz="1" w:space="0" w:color="AAAAAA"/>
              <w:right w:val="single" w:sz="1" w:space="0" w:color="AAAAAA"/>
            </w:tcBorders>
            <w:shd w:val="clear" w:color="auto" w:fill="1F4E6B"/>
            <w:tcMar>
              <w:top w:w="60" w:type="dxa"/>
              <w:left w:w="100" w:type="dxa"/>
              <w:bottom w:w="60" w:type="dxa"/>
              <w:right w:w="100" w:type="dxa"/>
            </w:tcMar>
          </w:tcPr>
          <w:p w14:paraId="2209FBE8"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color w:val="FFFFFF"/>
                <w:sz w:val="18"/>
                <w:szCs w:val="18"/>
                <w:lang w:val="en-CA" w:eastAsia="en-GB"/>
              </w:rPr>
              <w:t>Key conditions</w:t>
            </w:r>
          </w:p>
        </w:tc>
        <w:tc>
          <w:tcPr>
            <w:tcW w:w="431" w:type="pct"/>
            <w:tcBorders>
              <w:top w:val="single" w:sz="1" w:space="0" w:color="AAAAAA"/>
              <w:left w:val="single" w:sz="1" w:space="0" w:color="AAAAAA"/>
              <w:right w:val="single" w:sz="1" w:space="0" w:color="AAAAAA"/>
            </w:tcBorders>
            <w:shd w:val="clear" w:color="auto" w:fill="1F4E6B"/>
            <w:tcMar>
              <w:top w:w="60" w:type="dxa"/>
              <w:left w:w="100" w:type="dxa"/>
              <w:bottom w:w="60" w:type="dxa"/>
              <w:right w:w="100" w:type="dxa"/>
            </w:tcMar>
          </w:tcPr>
          <w:p w14:paraId="7411AB8D"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color w:val="FFFFFF"/>
                <w:sz w:val="18"/>
                <w:szCs w:val="18"/>
                <w:lang w:val="en-CA" w:eastAsia="en-GB"/>
              </w:rPr>
              <w:t>Materiality</w:t>
            </w:r>
          </w:p>
        </w:tc>
      </w:tr>
      <w:tr w:rsidR="005F0A67" w:rsidRPr="005F0A67" w14:paraId="56AD5ECE" w14:textId="77777777" w:rsidTr="005F0A67">
        <w:tc>
          <w:tcPr>
            <w:tcW w:w="1210"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46262E59"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sz w:val="18"/>
                <w:szCs w:val="18"/>
                <w:lang w:val="en-CA" w:eastAsia="en-GB"/>
              </w:rPr>
              <w:t>Competitive position vs non-Party competitors</w:t>
            </w:r>
            <w:r w:rsidRPr="005F0A67">
              <w:rPr>
                <w:rFonts w:asciiTheme="majorBidi" w:eastAsia="Times New Roman" w:hAnsiTheme="majorBidi" w:cstheme="majorBidi"/>
                <w:sz w:val="18"/>
                <w:szCs w:val="18"/>
                <w:lang w:val="en-CA" w:eastAsia="en-GB"/>
              </w:rPr>
              <w:t xml:space="preserve"> Direct cost asymmetry with competitors headquartered in non-CBD-Party jurisdictions. North America holds the largest regional share at 38% (Grand View Research, 2025), with major US-headquartered sequencing and molecular technology firms not subject to equivalent obligations. Competitiveness risks arise primarily where non-Party rivals are close commercial substitutes (Fowlie, 2009; </w:t>
            </w:r>
            <w:proofErr w:type="spellStart"/>
            <w:r w:rsidRPr="005F0A67">
              <w:rPr>
                <w:rFonts w:asciiTheme="majorBidi" w:eastAsia="Times New Roman" w:hAnsiTheme="majorBidi" w:cstheme="majorBidi"/>
                <w:sz w:val="18"/>
                <w:szCs w:val="18"/>
                <w:lang w:val="en-CA" w:eastAsia="en-GB"/>
              </w:rPr>
              <w:t>Dechezlepretre</w:t>
            </w:r>
            <w:proofErr w:type="spellEnd"/>
            <w:r w:rsidRPr="005F0A67">
              <w:rPr>
                <w:rFonts w:asciiTheme="majorBidi" w:eastAsia="Times New Roman" w:hAnsiTheme="majorBidi" w:cstheme="majorBidi"/>
                <w:sz w:val="18"/>
                <w:szCs w:val="18"/>
                <w:lang w:val="en-CA" w:eastAsia="en-GB"/>
              </w:rPr>
              <w:t xml:space="preserve"> and Sato, 2017).</w:t>
            </w: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41CCDA1C"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Laboratory equipment firms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6AD82C7A"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Moderate</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022F2907"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High</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6645A9D0"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Integrated platform suppliers: North America's 38% market share (Grand View Research, 2025) with major US-headquartered sequencing platform providers not subject to equivalent obligations; direct commercial competition in global sequencing and molecular diagnostics markets; platform lock-in partially insulates but does not eliminate asymmetry for new instrument procurement. General supplies firms: non-Party competitor presence significant but more fragmented, with higher proportion of CBD Party-based suppliers limiting asymmetry. Asymmetry permanent under current mechanism design. National implementation divergence (U8).</w:t>
            </w:r>
          </w:p>
        </w:tc>
        <w:tc>
          <w:tcPr>
            <w:tcW w:w="431" w:type="pct"/>
            <w:tcBorders>
              <w:top w:val="single" w:sz="1" w:space="0" w:color="AAAAAA"/>
              <w:left w:val="single" w:sz="1" w:space="0" w:color="AAAAAA"/>
              <w:right w:val="single" w:sz="1" w:space="0" w:color="AAAAAA"/>
            </w:tcBorders>
            <w:shd w:val="clear" w:color="auto" w:fill="FFDCD8"/>
            <w:tcMar>
              <w:top w:w="60" w:type="dxa"/>
              <w:left w:w="100" w:type="dxa"/>
              <w:bottom w:w="60" w:type="dxa"/>
              <w:right w:w="100" w:type="dxa"/>
            </w:tcMar>
          </w:tcPr>
          <w:p w14:paraId="19907A37"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High</w:t>
            </w:r>
          </w:p>
        </w:tc>
      </w:tr>
      <w:tr w:rsidR="005F0A67" w:rsidRPr="005F0A67" w14:paraId="6AD15DEF" w14:textId="77777777" w:rsidTr="005F0A67">
        <w:tc>
          <w:tcPr>
            <w:tcW w:w="1210"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541AE1F9"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sz w:val="18"/>
                <w:szCs w:val="18"/>
                <w:lang w:val="en-CA" w:eastAsia="en-GB"/>
              </w:rPr>
              <w:t>Export competitiveness</w:t>
            </w:r>
            <w:r w:rsidRPr="005F0A67">
              <w:rPr>
                <w:rFonts w:asciiTheme="majorBidi" w:eastAsia="Times New Roman" w:hAnsiTheme="majorBidi" w:cstheme="majorBidi"/>
                <w:sz w:val="18"/>
                <w:szCs w:val="18"/>
                <w:lang w:val="en-CA" w:eastAsia="en-GB"/>
              </w:rPr>
              <w:t xml:space="preserve"> Effects on export competitiveness where contribution cost cannot be fully passed through to export customers facing non-Party competition. Integrated platform suppliers have significant cross-border instrument sales with direct US competition; general supplies firms trade internationally in more fragmented markets.</w:t>
            </w: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265BDED5"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Laboratory equipment firms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2D804EE6"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2E5F85E7"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Medium</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21A0B92D"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Integrated platform suppliers: global instrument markets with direct competition from US-headquartered sequencing platform providers in export markets; platform lock-in partially supports pricing in installed base. General supplies firms: more commoditised export markets with broader mix of CBD Party and non-Party suppliers. National implementation divergence (U8); rate revision.</w:t>
            </w:r>
          </w:p>
        </w:tc>
        <w:tc>
          <w:tcPr>
            <w:tcW w:w="431" w:type="pct"/>
            <w:tcBorders>
              <w:top w:val="single" w:sz="1" w:space="0" w:color="AAAAAA"/>
              <w:left w:val="single" w:sz="1" w:space="0" w:color="AAAAAA"/>
              <w:right w:val="single" w:sz="1" w:space="0" w:color="AAAAAA"/>
            </w:tcBorders>
            <w:shd w:val="clear" w:color="auto" w:fill="D9F3D0"/>
            <w:tcMar>
              <w:top w:w="60" w:type="dxa"/>
              <w:left w:w="100" w:type="dxa"/>
              <w:bottom w:w="60" w:type="dxa"/>
              <w:right w:w="100" w:type="dxa"/>
            </w:tcMar>
          </w:tcPr>
          <w:p w14:paraId="2DECA70D"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Low</w:t>
            </w:r>
          </w:p>
        </w:tc>
      </w:tr>
      <w:tr w:rsidR="005F0A67" w:rsidRPr="005F0A67" w14:paraId="3543F38A" w14:textId="77777777" w:rsidTr="005F0A67">
        <w:tc>
          <w:tcPr>
            <w:tcW w:w="1210"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7D0D8D36"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sz w:val="18"/>
                <w:szCs w:val="18"/>
                <w:lang w:val="en-CA" w:eastAsia="en-GB"/>
              </w:rPr>
              <w:t>International standards and regulatory dialogues</w:t>
            </w:r>
            <w:r w:rsidRPr="005F0A67">
              <w:rPr>
                <w:rFonts w:asciiTheme="majorBidi" w:eastAsia="Times New Roman" w:hAnsiTheme="majorBidi" w:cstheme="majorBidi"/>
                <w:sz w:val="18"/>
                <w:szCs w:val="18"/>
                <w:lang w:val="en-CA" w:eastAsia="en-GB"/>
              </w:rPr>
              <w:t xml:space="preserve"> Divergence between the Cali Fund and other DSI-related instruments. Limited multi-framework DSI exposure. The primary regulatory complexity is the unresolved direct vs indirect use boundary (U4), which affects how the sector's upstream position relative to DSI use is interpreted across national implementations.</w:t>
            </w: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0BEF4655"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Laboratory equipment firms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7569EC23"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7B9502EE"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1E9E6D5B"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Limited multi-framework DSI exposure; direct vs indirect use boundary (U4) most relevant for general supplies firms whose eligibility rests on indirect benefit; certificate of contribution recognition (U6); national implementation divergence (U8).</w:t>
            </w:r>
          </w:p>
        </w:tc>
        <w:tc>
          <w:tcPr>
            <w:tcW w:w="431" w:type="pct"/>
            <w:tcBorders>
              <w:top w:val="single" w:sz="1" w:space="0" w:color="AAAAAA"/>
              <w:left w:val="single" w:sz="1" w:space="0" w:color="AAAAAA"/>
              <w:right w:val="single" w:sz="1" w:space="0" w:color="AAAAAA"/>
            </w:tcBorders>
            <w:shd w:val="clear" w:color="auto" w:fill="D9F2D0"/>
            <w:tcMar>
              <w:top w:w="60" w:type="dxa"/>
              <w:left w:w="100" w:type="dxa"/>
              <w:bottom w:w="60" w:type="dxa"/>
              <w:right w:w="100" w:type="dxa"/>
            </w:tcMar>
          </w:tcPr>
          <w:p w14:paraId="3ED61081"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r>
      <w:tr w:rsidR="005F0A67" w:rsidRPr="005F0A67" w14:paraId="0E8ACC6A" w14:textId="77777777" w:rsidTr="005F0A67">
        <w:tc>
          <w:tcPr>
            <w:tcW w:w="1210"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0AE2C456"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b/>
                <w:bCs/>
                <w:sz w:val="18"/>
                <w:szCs w:val="18"/>
                <w:lang w:val="en-CA" w:eastAsia="en-GB"/>
              </w:rPr>
              <w:t>FDI and relocation effects</w:t>
            </w:r>
            <w:r w:rsidRPr="005F0A67">
              <w:rPr>
                <w:rFonts w:asciiTheme="majorBidi" w:eastAsia="Times New Roman" w:hAnsiTheme="majorBidi" w:cstheme="majorBidi"/>
                <w:sz w:val="18"/>
                <w:szCs w:val="18"/>
                <w:lang w:val="en-CA" w:eastAsia="en-GB"/>
              </w:rPr>
              <w:t xml:space="preserve"> </w:t>
            </w:r>
            <w:proofErr w:type="spellStart"/>
            <w:r w:rsidRPr="005F0A67">
              <w:rPr>
                <w:rFonts w:asciiTheme="majorBidi" w:eastAsia="Times New Roman" w:hAnsiTheme="majorBidi" w:cstheme="majorBidi"/>
                <w:sz w:val="18"/>
                <w:szCs w:val="18"/>
                <w:lang w:val="en-CA" w:eastAsia="en-GB"/>
              </w:rPr>
              <w:t>Effects</w:t>
            </w:r>
            <w:proofErr w:type="spellEnd"/>
            <w:r w:rsidRPr="005F0A67">
              <w:rPr>
                <w:rFonts w:asciiTheme="majorBidi" w:eastAsia="Times New Roman" w:hAnsiTheme="majorBidi" w:cstheme="majorBidi"/>
                <w:sz w:val="18"/>
                <w:szCs w:val="18"/>
                <w:lang w:val="en-CA" w:eastAsia="en-GB"/>
              </w:rPr>
              <w:t xml:space="preserve"> on R&amp;D and investment location decisions. Manufacturing relocation implausible given high capital intensity of specialist equipment manufacturing and established supply chains. Primary firm response to a comparable profit burden is spending reduction rather than relocation (Lichter et al., 2025).</w:t>
            </w:r>
          </w:p>
        </w:tc>
        <w:tc>
          <w:tcPr>
            <w:tcW w:w="542"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3892CA7E"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Laboratory equipment firms</w:t>
            </w:r>
          </w:p>
        </w:tc>
        <w:tc>
          <w:tcPr>
            <w:tcW w:w="425"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726F26E7"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Minor</w:t>
            </w:r>
          </w:p>
        </w:tc>
        <w:tc>
          <w:tcPr>
            <w:tcW w:w="433"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2D3451AC"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c>
          <w:tcPr>
            <w:tcW w:w="1959" w:type="pct"/>
            <w:tcBorders>
              <w:top w:val="single" w:sz="1" w:space="0" w:color="AAAAAA"/>
              <w:left w:val="single" w:sz="1" w:space="0" w:color="AAAAAA"/>
              <w:right w:val="single" w:sz="1" w:space="0" w:color="AAAAAA"/>
            </w:tcBorders>
            <w:shd w:val="clear" w:color="auto" w:fill="FFFFFF"/>
            <w:tcMar>
              <w:top w:w="60" w:type="dxa"/>
              <w:left w:w="100" w:type="dxa"/>
              <w:bottom w:w="60" w:type="dxa"/>
              <w:right w:w="100" w:type="dxa"/>
            </w:tcMar>
          </w:tcPr>
          <w:p w14:paraId="4B2E00BC"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Manufacturing relocation implausible given capital intensity and regulatory compliance requirements for specialist instruments; R&amp;D location effects limited at indicative rates; primary response is spending reduction not relocation (Lichter et al., 2025). Rate revision.</w:t>
            </w:r>
          </w:p>
        </w:tc>
        <w:tc>
          <w:tcPr>
            <w:tcW w:w="431" w:type="pct"/>
            <w:tcBorders>
              <w:top w:val="single" w:sz="1" w:space="0" w:color="AAAAAA"/>
              <w:left w:val="single" w:sz="1" w:space="0" w:color="AAAAAA"/>
              <w:right w:val="single" w:sz="1" w:space="0" w:color="AAAAAA"/>
            </w:tcBorders>
            <w:shd w:val="clear" w:color="auto" w:fill="D9F2D0"/>
            <w:tcMar>
              <w:top w:w="60" w:type="dxa"/>
              <w:left w:w="100" w:type="dxa"/>
              <w:bottom w:w="60" w:type="dxa"/>
              <w:right w:w="100" w:type="dxa"/>
            </w:tcMar>
          </w:tcPr>
          <w:p w14:paraId="3EDF108D"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24"/>
                <w:szCs w:val="24"/>
                <w:lang w:val="en-CA" w:eastAsia="en-GB"/>
              </w:rPr>
            </w:pPr>
            <w:r w:rsidRPr="005F0A67">
              <w:rPr>
                <w:rFonts w:asciiTheme="majorBidi" w:eastAsia="Times New Roman" w:hAnsiTheme="majorBidi" w:cstheme="majorBidi"/>
                <w:sz w:val="18"/>
                <w:szCs w:val="18"/>
                <w:lang w:val="en-CA" w:eastAsia="en-GB"/>
              </w:rPr>
              <w:t>Low</w:t>
            </w:r>
          </w:p>
        </w:tc>
      </w:tr>
    </w:tbl>
    <w:p w14:paraId="7DD0B427" w14:textId="77777777" w:rsidR="005F0A67" w:rsidRPr="005F0A67" w:rsidRDefault="005F0A67" w:rsidP="005F0A67">
      <w:pPr>
        <w:numPr>
          <w:ilvl w:val="1"/>
          <w:numId w:val="12"/>
        </w:numPr>
        <w:tabs>
          <w:tab w:val="clear" w:pos="567"/>
          <w:tab w:val="clear" w:pos="1134"/>
          <w:tab w:val="clear" w:pos="1701"/>
          <w:tab w:val="clear" w:pos="2268"/>
        </w:tabs>
        <w:spacing w:before="320" w:after="160"/>
        <w:ind w:left="576" w:hanging="576"/>
        <w:jc w:val="left"/>
        <w:outlineLvl w:val="1"/>
        <w:rPr>
          <w:rFonts w:asciiTheme="majorBidi" w:eastAsia="Arial" w:hAnsiTheme="majorBidi" w:cstheme="majorBidi"/>
          <w:b/>
          <w:bCs/>
          <w:color w:val="1A1A1A"/>
          <w:sz w:val="23"/>
          <w:szCs w:val="23"/>
          <w:lang w:val="en-CA" w:eastAsia="en-GB"/>
        </w:rPr>
      </w:pPr>
      <w:bookmarkStart w:id="256" w:name="_Ref231899209"/>
      <w:bookmarkStart w:id="257" w:name="_Toc234579621"/>
      <w:r w:rsidRPr="005F0A67">
        <w:rPr>
          <w:rFonts w:asciiTheme="majorBidi" w:eastAsia="Arial" w:hAnsiTheme="majorBidi" w:cstheme="majorBidi"/>
          <w:b/>
          <w:bCs/>
          <w:color w:val="1A1A1A"/>
          <w:sz w:val="23"/>
          <w:szCs w:val="23"/>
          <w:lang w:val="en-CA" w:eastAsia="en-GB"/>
        </w:rPr>
        <w:lastRenderedPageBreak/>
        <w:t xml:space="preserve">Summary materiality assessment across </w:t>
      </w:r>
      <w:bookmarkEnd w:id="256"/>
      <w:bookmarkEnd w:id="257"/>
      <w:r w:rsidRPr="005F0A67">
        <w:rPr>
          <w:rFonts w:asciiTheme="majorBidi" w:eastAsia="Arial" w:hAnsiTheme="majorBidi" w:cstheme="majorBidi"/>
          <w:b/>
          <w:bCs/>
          <w:color w:val="1A1A1A"/>
          <w:sz w:val="23"/>
          <w:szCs w:val="23"/>
          <w:lang w:val="en-CA" w:eastAsia="en-GB"/>
        </w:rPr>
        <w:t>Indicative Enclosure I sectors</w:t>
      </w:r>
    </w:p>
    <w:p w14:paraId="4A9C3E78"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_Ref231774881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Table 44</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presents the materiality findings for all carried-forward impacts across all seven Indicative Enclosure I sectors and three pillars. For each impact, the Low, Moderate, and High columns list the sectors and firm types recording that materiality level; where no distinction exists within a sector, all firm types are listed collectively. The final column provides a cross-sector narrative drawing on the findings of Sections 7.7 to 7.13. Impacts screened out at the classification stage are excluded. Sector abbreviations: PH = Pharmaceuticals; BT = Biotechnology; APB = Animal and plant breeding; NU = Nutraceuticals; IA = Information and AI; CO = Cosmetics; LE = Laboratory equipment.</w:t>
      </w:r>
    </w:p>
    <w:p w14:paraId="671556A3"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Georgia" w:hAnsiTheme="majorBidi" w:cstheme="majorBidi"/>
          <w:b/>
          <w:bCs/>
          <w:color w:val="419844"/>
          <w:lang w:val="en-CA" w:eastAsia="en-GB"/>
        </w:rPr>
      </w:pPr>
      <w:bookmarkStart w:id="258" w:name="_Ref231774881"/>
      <w:r w:rsidRPr="005F0A67">
        <w:rPr>
          <w:rFonts w:asciiTheme="majorBidi" w:eastAsia="Georgia" w:hAnsiTheme="majorBidi" w:cstheme="majorBidi"/>
          <w:b/>
          <w:bCs/>
          <w:color w:val="419844"/>
          <w:lang w:val="en-CA" w:eastAsia="en-GB"/>
        </w:rPr>
        <w:t xml:space="preserve">Table </w:t>
      </w:r>
      <w:r w:rsidRPr="005F0A67">
        <w:rPr>
          <w:rFonts w:asciiTheme="majorBidi" w:eastAsia="Georgia" w:hAnsiTheme="majorBidi" w:cstheme="majorBidi"/>
          <w:b/>
          <w:bCs/>
          <w:color w:val="419844"/>
          <w:lang w:val="en-CA" w:eastAsia="en-GB"/>
        </w:rPr>
        <w:fldChar w:fldCharType="begin"/>
      </w:r>
      <w:r w:rsidRPr="005F0A67">
        <w:rPr>
          <w:rFonts w:asciiTheme="majorBidi" w:eastAsia="Georgia" w:hAnsiTheme="majorBidi" w:cstheme="majorBidi"/>
          <w:b/>
          <w:bCs/>
          <w:color w:val="419844"/>
          <w:lang w:val="en-CA" w:eastAsia="en-GB"/>
        </w:rPr>
        <w:instrText xml:space="preserve"> SEQ Table \* ARABIC </w:instrText>
      </w:r>
      <w:r w:rsidRPr="005F0A67">
        <w:rPr>
          <w:rFonts w:asciiTheme="majorBidi" w:eastAsia="Georgia" w:hAnsiTheme="majorBidi" w:cstheme="majorBidi"/>
          <w:b/>
          <w:bCs/>
          <w:color w:val="419844"/>
          <w:lang w:val="en-CA" w:eastAsia="en-GB"/>
        </w:rPr>
        <w:fldChar w:fldCharType="separate"/>
      </w:r>
      <w:r w:rsidRPr="005F0A67">
        <w:rPr>
          <w:rFonts w:asciiTheme="majorBidi" w:eastAsia="Georgia" w:hAnsiTheme="majorBidi" w:cstheme="majorBidi"/>
          <w:b/>
          <w:bCs/>
          <w:noProof/>
          <w:color w:val="419844"/>
          <w:lang w:val="en-CA" w:eastAsia="en-GB"/>
        </w:rPr>
        <w:t>44</w:t>
      </w:r>
      <w:r w:rsidRPr="005F0A67">
        <w:rPr>
          <w:rFonts w:asciiTheme="majorBidi" w:eastAsia="Georgia" w:hAnsiTheme="majorBidi" w:cstheme="majorBidi"/>
          <w:b/>
          <w:bCs/>
          <w:color w:val="419844"/>
          <w:lang w:val="en-CA" w:eastAsia="en-GB"/>
        </w:rPr>
        <w:fldChar w:fldCharType="end"/>
      </w:r>
      <w:bookmarkEnd w:id="258"/>
      <w:r w:rsidRPr="005F0A67">
        <w:rPr>
          <w:rFonts w:asciiTheme="majorBidi" w:eastAsia="Georgia" w:hAnsiTheme="majorBidi" w:cstheme="majorBidi"/>
          <w:b/>
          <w:bCs/>
          <w:color w:val="419844"/>
          <w:lang w:val="en-CA" w:eastAsia="en-GB"/>
        </w:rPr>
        <w:t xml:space="preserve"> Materiality assessment –</w:t>
      </w:r>
      <w:r w:rsidRPr="005F0A67">
        <w:rPr>
          <w:rFonts w:asciiTheme="majorBidi" w:eastAsia="Georgia" w:hAnsiTheme="majorBidi" w:cstheme="majorBidi"/>
          <w:b/>
          <w:bCs/>
          <w:i/>
          <w:iCs/>
          <w:color w:val="419844"/>
          <w:lang w:val="en-CA" w:eastAsia="en-GB"/>
        </w:rPr>
        <w:t xml:space="preserve"> </w:t>
      </w:r>
      <w:r w:rsidRPr="005F0A67">
        <w:rPr>
          <w:rFonts w:asciiTheme="majorBidi" w:eastAsia="Georgia" w:hAnsiTheme="majorBidi" w:cstheme="majorBidi"/>
          <w:b/>
          <w:bCs/>
          <w:color w:val="419844"/>
          <w:lang w:val="en-CA" w:eastAsia="en-GB"/>
        </w:rPr>
        <w:t>summary across sectors (Enclosure 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
        <w:gridCol w:w="2173"/>
        <w:gridCol w:w="2173"/>
        <w:gridCol w:w="2173"/>
        <w:gridCol w:w="6449"/>
      </w:tblGrid>
      <w:tr w:rsidR="005F0A67" w:rsidRPr="005F0A67" w14:paraId="46AE1C33" w14:textId="77777777" w:rsidTr="00FB671B">
        <w:tc>
          <w:tcPr>
            <w:tcW w:w="0" w:type="auto"/>
            <w:tcBorders>
              <w:top w:val="single" w:sz="1" w:space="0" w:color="AAAAAA"/>
              <w:left w:val="single" w:sz="1" w:space="0" w:color="AAAAAA"/>
              <w:bottom w:val="single" w:sz="1" w:space="0" w:color="AAAAAA"/>
              <w:right w:val="single" w:sz="1" w:space="0" w:color="AAAAAA"/>
            </w:tcBorders>
            <w:shd w:val="clear" w:color="auto" w:fill="1F4E6B"/>
            <w:tcMar>
              <w:top w:w="40" w:type="dxa"/>
              <w:left w:w="80" w:type="dxa"/>
              <w:bottom w:w="40" w:type="dxa"/>
              <w:right w:w="80" w:type="dxa"/>
            </w:tcMar>
          </w:tcPr>
          <w:p w14:paraId="38A98B46"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b/>
                <w:bCs/>
                <w:color w:val="FFFFFF"/>
                <w:sz w:val="18"/>
                <w:szCs w:val="18"/>
                <w:lang w:val="en-CA" w:eastAsia="en-GB"/>
              </w:rPr>
              <w:t>Impact</w:t>
            </w:r>
          </w:p>
        </w:tc>
        <w:tc>
          <w:tcPr>
            <w:tcW w:w="2173" w:type="dxa"/>
            <w:tcBorders>
              <w:top w:val="single" w:sz="1" w:space="0" w:color="AAAAAA"/>
              <w:left w:val="single" w:sz="1" w:space="0" w:color="AAAAAA"/>
              <w:bottom w:val="single" w:sz="1" w:space="0" w:color="AAAAAA"/>
              <w:right w:val="single" w:sz="1" w:space="0" w:color="AAAAAA"/>
            </w:tcBorders>
            <w:shd w:val="clear" w:color="auto" w:fill="1F4E6B"/>
            <w:tcMar>
              <w:top w:w="40" w:type="dxa"/>
              <w:left w:w="80" w:type="dxa"/>
              <w:bottom w:w="40" w:type="dxa"/>
              <w:right w:w="80" w:type="dxa"/>
            </w:tcMar>
          </w:tcPr>
          <w:p w14:paraId="5B50D106"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b/>
                <w:bCs/>
                <w:color w:val="FFFFFF"/>
                <w:sz w:val="18"/>
                <w:szCs w:val="18"/>
                <w:lang w:val="en-CA" w:eastAsia="en-GB"/>
              </w:rPr>
              <w:t>Low</w:t>
            </w:r>
          </w:p>
        </w:tc>
        <w:tc>
          <w:tcPr>
            <w:tcW w:w="2173" w:type="dxa"/>
            <w:tcBorders>
              <w:top w:val="single" w:sz="1" w:space="0" w:color="AAAAAA"/>
              <w:left w:val="single" w:sz="1" w:space="0" w:color="AAAAAA"/>
              <w:bottom w:val="single" w:sz="1" w:space="0" w:color="AAAAAA"/>
              <w:right w:val="single" w:sz="1" w:space="0" w:color="AAAAAA"/>
            </w:tcBorders>
            <w:shd w:val="clear" w:color="auto" w:fill="1F4E6B"/>
            <w:tcMar>
              <w:top w:w="40" w:type="dxa"/>
              <w:left w:w="80" w:type="dxa"/>
              <w:bottom w:w="40" w:type="dxa"/>
              <w:right w:w="80" w:type="dxa"/>
            </w:tcMar>
          </w:tcPr>
          <w:p w14:paraId="466FAFCA"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b/>
                <w:bCs/>
                <w:color w:val="FFFFFF"/>
                <w:sz w:val="18"/>
                <w:szCs w:val="18"/>
                <w:lang w:val="en-CA" w:eastAsia="en-GB"/>
              </w:rPr>
              <w:t>Moderate</w:t>
            </w:r>
          </w:p>
        </w:tc>
        <w:tc>
          <w:tcPr>
            <w:tcW w:w="2173" w:type="dxa"/>
            <w:tcBorders>
              <w:top w:val="single" w:sz="1" w:space="0" w:color="AAAAAA"/>
              <w:left w:val="single" w:sz="1" w:space="0" w:color="AAAAAA"/>
              <w:bottom w:val="single" w:sz="1" w:space="0" w:color="AAAAAA"/>
              <w:right w:val="single" w:sz="1" w:space="0" w:color="AAAAAA"/>
            </w:tcBorders>
            <w:shd w:val="clear" w:color="auto" w:fill="1F4E6B"/>
            <w:tcMar>
              <w:top w:w="40" w:type="dxa"/>
              <w:left w:w="80" w:type="dxa"/>
              <w:bottom w:w="40" w:type="dxa"/>
              <w:right w:w="80" w:type="dxa"/>
            </w:tcMar>
          </w:tcPr>
          <w:p w14:paraId="45B7C5B4"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b/>
                <w:bCs/>
                <w:color w:val="FFFFFF"/>
                <w:sz w:val="18"/>
                <w:szCs w:val="18"/>
                <w:lang w:val="en-CA" w:eastAsia="en-GB"/>
              </w:rPr>
              <w:t>High</w:t>
            </w:r>
          </w:p>
        </w:tc>
        <w:tc>
          <w:tcPr>
            <w:tcW w:w="0" w:type="auto"/>
            <w:tcBorders>
              <w:top w:val="single" w:sz="1" w:space="0" w:color="AAAAAA"/>
              <w:left w:val="single" w:sz="1" w:space="0" w:color="AAAAAA"/>
              <w:bottom w:val="single" w:sz="1" w:space="0" w:color="AAAAAA"/>
              <w:right w:val="single" w:sz="1" w:space="0" w:color="AAAAAA"/>
            </w:tcBorders>
            <w:shd w:val="clear" w:color="auto" w:fill="1F4E6B"/>
            <w:tcMar>
              <w:top w:w="40" w:type="dxa"/>
              <w:left w:w="80" w:type="dxa"/>
              <w:bottom w:w="40" w:type="dxa"/>
              <w:right w:w="80" w:type="dxa"/>
            </w:tcMar>
          </w:tcPr>
          <w:p w14:paraId="362864C1"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b/>
                <w:bCs/>
                <w:color w:val="FFFFFF"/>
                <w:sz w:val="18"/>
                <w:szCs w:val="18"/>
                <w:lang w:val="en-CA" w:eastAsia="en-GB"/>
              </w:rPr>
              <w:t>Cross-sector narrative</w:t>
            </w:r>
          </w:p>
        </w:tc>
      </w:tr>
      <w:tr w:rsidR="005F0A67" w:rsidRPr="005F0A67" w14:paraId="6AFC7A2B" w14:textId="77777777" w:rsidTr="00FB671B">
        <w:tc>
          <w:tcPr>
            <w:tcW w:w="0" w:type="auto"/>
            <w:gridSpan w:val="5"/>
            <w:tcBorders>
              <w:top w:val="single" w:sz="1" w:space="0" w:color="AAAAAA"/>
              <w:left w:val="single" w:sz="1" w:space="0" w:color="AAAAAA"/>
              <w:bottom w:val="single" w:sz="1" w:space="0" w:color="AAAAAA"/>
              <w:right w:val="single" w:sz="1" w:space="0" w:color="AAAAAA"/>
            </w:tcBorders>
            <w:shd w:val="clear" w:color="auto" w:fill="D6E4F0"/>
            <w:tcMar>
              <w:top w:w="40" w:type="dxa"/>
              <w:left w:w="80" w:type="dxa"/>
              <w:bottom w:w="40" w:type="dxa"/>
              <w:right w:w="80" w:type="dxa"/>
            </w:tcMar>
          </w:tcPr>
          <w:p w14:paraId="207CB36F"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b/>
                <w:bCs/>
                <w:sz w:val="18"/>
                <w:szCs w:val="18"/>
                <w:lang w:val="en-CA" w:eastAsia="en-GB"/>
              </w:rPr>
              <w:t>Pillar I: Cost and price competitiveness</w:t>
            </w:r>
          </w:p>
        </w:tc>
      </w:tr>
      <w:tr w:rsidR="005F0A67" w:rsidRPr="005F0A67" w14:paraId="32EFA719" w14:textId="77777777" w:rsidTr="005F0A67">
        <w:trPr>
          <w:cantSplit/>
          <w:trHeight w:val="1134"/>
        </w:trPr>
        <w:tc>
          <w:tcPr>
            <w:tcW w:w="0" w:type="auto"/>
            <w:tcBorders>
              <w:top w:val="single" w:sz="1" w:space="0" w:color="AAAAAA"/>
              <w:left w:val="single" w:sz="1" w:space="0" w:color="AAAAAA"/>
              <w:bottom w:val="single" w:sz="1" w:space="0" w:color="AAAAAA"/>
              <w:right w:val="single" w:sz="1" w:space="0" w:color="AAAAAA"/>
            </w:tcBorders>
            <w:shd w:val="clear" w:color="auto" w:fill="FFFFFF"/>
            <w:tcMar>
              <w:top w:w="40" w:type="dxa"/>
              <w:left w:w="80" w:type="dxa"/>
              <w:bottom w:w="40" w:type="dxa"/>
              <w:right w:w="80" w:type="dxa"/>
            </w:tcMar>
            <w:textDirection w:val="btLr"/>
            <w:vAlign w:val="center"/>
          </w:tcPr>
          <w:p w14:paraId="72E7C372" w14:textId="77777777" w:rsidR="005F0A67" w:rsidRPr="005F0A67" w:rsidRDefault="005F0A67" w:rsidP="005F0A67">
            <w:pPr>
              <w:tabs>
                <w:tab w:val="clear" w:pos="567"/>
                <w:tab w:val="clear" w:pos="1134"/>
                <w:tab w:val="clear" w:pos="1701"/>
                <w:tab w:val="clear" w:pos="2268"/>
              </w:tabs>
              <w:spacing w:after="60"/>
              <w:ind w:left="113" w:right="113"/>
              <w:jc w:val="center"/>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b/>
                <w:bCs/>
                <w:sz w:val="18"/>
                <w:szCs w:val="18"/>
                <w:lang w:val="en-CA" w:eastAsia="en-GB"/>
              </w:rPr>
              <w:t>Administrative burden</w:t>
            </w:r>
          </w:p>
        </w:tc>
        <w:tc>
          <w:tcPr>
            <w:tcW w:w="2173" w:type="dxa"/>
            <w:tcBorders>
              <w:top w:val="single" w:sz="1" w:space="0" w:color="AAAAAA"/>
              <w:left w:val="single" w:sz="1" w:space="0" w:color="AAAAAA"/>
              <w:bottom w:val="single" w:sz="1" w:space="0" w:color="AAAAAA"/>
              <w:right w:val="single" w:sz="1" w:space="0" w:color="AAAAAA"/>
            </w:tcBorders>
            <w:shd w:val="clear" w:color="auto" w:fill="D9F2D0"/>
            <w:tcMar>
              <w:top w:w="40" w:type="dxa"/>
              <w:left w:w="80" w:type="dxa"/>
              <w:bottom w:w="40" w:type="dxa"/>
              <w:right w:w="80" w:type="dxa"/>
            </w:tcMar>
            <w:vAlign w:val="center"/>
          </w:tcPr>
          <w:p w14:paraId="4041E81F" w14:textId="77777777" w:rsidR="005F0A67" w:rsidRPr="005F0A67" w:rsidRDefault="005F0A67" w:rsidP="005F0A67">
            <w:pPr>
              <w:tabs>
                <w:tab w:val="clear" w:pos="567"/>
                <w:tab w:val="clear" w:pos="1134"/>
                <w:tab w:val="clear" w:pos="1701"/>
                <w:tab w:val="clear" w:pos="2268"/>
              </w:tabs>
              <w:spacing w:after="60"/>
              <w:jc w:val="center"/>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 xml:space="preserve">All sectors &amp; all firm </w:t>
            </w:r>
          </w:p>
          <w:p w14:paraId="3B72C2E8" w14:textId="77777777" w:rsidR="005F0A67" w:rsidRPr="005F0A67" w:rsidRDefault="005F0A67" w:rsidP="005F0A67">
            <w:pPr>
              <w:tabs>
                <w:tab w:val="clear" w:pos="567"/>
                <w:tab w:val="clear" w:pos="1134"/>
                <w:tab w:val="clear" w:pos="1701"/>
                <w:tab w:val="clear" w:pos="2268"/>
              </w:tabs>
              <w:spacing w:after="60"/>
              <w:jc w:val="center"/>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types</w:t>
            </w:r>
          </w:p>
        </w:tc>
        <w:tc>
          <w:tcPr>
            <w:tcW w:w="2173" w:type="dxa"/>
            <w:tcBorders>
              <w:top w:val="single" w:sz="1" w:space="0" w:color="AAAAAA"/>
              <w:left w:val="single" w:sz="1" w:space="0" w:color="AAAAAA"/>
              <w:bottom w:val="single" w:sz="1" w:space="0" w:color="AAAAAA"/>
              <w:right w:val="single" w:sz="1" w:space="0" w:color="AAAAAA"/>
            </w:tcBorders>
            <w:shd w:val="clear" w:color="auto" w:fill="D9D9D9"/>
            <w:tcMar>
              <w:top w:w="40" w:type="dxa"/>
              <w:left w:w="80" w:type="dxa"/>
              <w:bottom w:w="40" w:type="dxa"/>
              <w:right w:w="80" w:type="dxa"/>
            </w:tcMar>
            <w:vAlign w:val="center"/>
          </w:tcPr>
          <w:p w14:paraId="3CAC095C" w14:textId="77777777" w:rsidR="005F0A67" w:rsidRPr="005F0A67" w:rsidRDefault="005F0A67" w:rsidP="005F0A67">
            <w:pPr>
              <w:tabs>
                <w:tab w:val="clear" w:pos="567"/>
                <w:tab w:val="clear" w:pos="1134"/>
                <w:tab w:val="clear" w:pos="1701"/>
                <w:tab w:val="clear" w:pos="2268"/>
              </w:tabs>
              <w:spacing w:after="60"/>
              <w:jc w:val="center"/>
              <w:rPr>
                <w:rFonts w:asciiTheme="majorBidi" w:eastAsia="Times New Roman" w:hAnsiTheme="majorBidi" w:cstheme="majorBidi"/>
                <w:sz w:val="18"/>
                <w:szCs w:val="18"/>
                <w:lang w:val="en-CA" w:eastAsia="en-GB"/>
              </w:rPr>
            </w:pPr>
          </w:p>
        </w:tc>
        <w:tc>
          <w:tcPr>
            <w:tcW w:w="2173" w:type="dxa"/>
            <w:tcBorders>
              <w:top w:val="single" w:sz="1" w:space="0" w:color="AAAAAA"/>
              <w:left w:val="single" w:sz="1" w:space="0" w:color="AAAAAA"/>
              <w:bottom w:val="single" w:sz="1" w:space="0" w:color="AAAAAA"/>
              <w:right w:val="single" w:sz="1" w:space="0" w:color="AAAAAA"/>
            </w:tcBorders>
            <w:shd w:val="clear" w:color="auto" w:fill="D9D9D9"/>
            <w:tcMar>
              <w:top w:w="40" w:type="dxa"/>
              <w:left w:w="80" w:type="dxa"/>
              <w:bottom w:w="40" w:type="dxa"/>
              <w:right w:w="80" w:type="dxa"/>
            </w:tcMar>
            <w:vAlign w:val="center"/>
          </w:tcPr>
          <w:p w14:paraId="2EEFE86A" w14:textId="77777777" w:rsidR="005F0A67" w:rsidRPr="005F0A67" w:rsidRDefault="005F0A67" w:rsidP="005F0A67">
            <w:pPr>
              <w:tabs>
                <w:tab w:val="clear" w:pos="567"/>
                <w:tab w:val="clear" w:pos="1134"/>
                <w:tab w:val="clear" w:pos="1701"/>
                <w:tab w:val="clear" w:pos="2268"/>
              </w:tabs>
              <w:spacing w:after="60"/>
              <w:jc w:val="center"/>
              <w:rPr>
                <w:rFonts w:asciiTheme="majorBidi" w:eastAsia="Times New Roman" w:hAnsiTheme="majorBidi" w:cstheme="majorBidi"/>
                <w:sz w:val="18"/>
                <w:szCs w:val="18"/>
                <w:lang w:val="en-CA" w:eastAsia="en-GB"/>
              </w:rPr>
            </w:pP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40" w:type="dxa"/>
              <w:left w:w="80" w:type="dxa"/>
              <w:bottom w:w="40" w:type="dxa"/>
              <w:right w:w="80" w:type="dxa"/>
            </w:tcMar>
          </w:tcPr>
          <w:p w14:paraId="44B3E3C1"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b/>
                <w:bCs/>
                <w:sz w:val="18"/>
                <w:szCs w:val="18"/>
                <w:lang w:val="en-CA" w:eastAsia="en-GB"/>
              </w:rPr>
              <w:t>Low across all sectors and firm types</w:t>
            </w:r>
            <w:r w:rsidRPr="005F0A67">
              <w:rPr>
                <w:rFonts w:asciiTheme="majorBidi" w:eastAsia="Times New Roman" w:hAnsiTheme="majorBidi" w:cstheme="majorBidi"/>
                <w:sz w:val="18"/>
                <w:szCs w:val="18"/>
                <w:lang w:val="en-CA" w:eastAsia="en-GB"/>
              </w:rPr>
              <w:t>. The current revenue- and profit-based design uses indicators already reported for tax and accounting, so most firms face minimal additional reporting requirements. The main condition is a potential shift toward product- or use-based attribution, which would substantially increase tracking and documentation requirements. This is conditional on the contribution base definition (U12).</w:t>
            </w:r>
          </w:p>
          <w:p w14:paraId="44353443"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PH/BT: potential obligation stacking with WHO PABS adds administrative complexity for vaccine producers and biopharmaceutical innovators (U7).</w:t>
            </w:r>
          </w:p>
          <w:p w14:paraId="4822BD50"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 xml:space="preserve">APB: Germplasm collection managers may face additional burden from their use of DSI in managing those physical collections (U7). </w:t>
            </w:r>
          </w:p>
          <w:p w14:paraId="77C59122"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LE: eligibility documentation may be challenging given indirect use rationale, conditional on the introduction of a product- or use-based contributions.</w:t>
            </w:r>
          </w:p>
          <w:p w14:paraId="715DB4D8"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p>
        </w:tc>
      </w:tr>
      <w:tr w:rsidR="005F0A67" w:rsidRPr="005F0A67" w14:paraId="0A45D971" w14:textId="77777777" w:rsidTr="005F0A67">
        <w:trPr>
          <w:cantSplit/>
          <w:trHeight w:val="1134"/>
        </w:trPr>
        <w:tc>
          <w:tcPr>
            <w:tcW w:w="0" w:type="auto"/>
            <w:tcBorders>
              <w:top w:val="single" w:sz="1" w:space="0" w:color="AAAAAA"/>
              <w:left w:val="single" w:sz="1" w:space="0" w:color="AAAAAA"/>
              <w:bottom w:val="single" w:sz="1" w:space="0" w:color="AAAAAA"/>
              <w:right w:val="single" w:sz="1" w:space="0" w:color="AAAAAA"/>
            </w:tcBorders>
            <w:shd w:val="clear" w:color="auto" w:fill="FFFFFF"/>
            <w:tcMar>
              <w:top w:w="40" w:type="dxa"/>
              <w:left w:w="80" w:type="dxa"/>
              <w:bottom w:w="40" w:type="dxa"/>
              <w:right w:w="80" w:type="dxa"/>
            </w:tcMar>
            <w:textDirection w:val="btLr"/>
            <w:vAlign w:val="center"/>
          </w:tcPr>
          <w:p w14:paraId="2EEA41D3" w14:textId="77777777" w:rsidR="005F0A67" w:rsidRPr="005F0A67" w:rsidRDefault="005F0A67" w:rsidP="005F0A67">
            <w:pPr>
              <w:tabs>
                <w:tab w:val="clear" w:pos="567"/>
                <w:tab w:val="clear" w:pos="1134"/>
                <w:tab w:val="clear" w:pos="1701"/>
                <w:tab w:val="clear" w:pos="2268"/>
              </w:tabs>
              <w:spacing w:after="60"/>
              <w:ind w:left="113" w:right="113"/>
              <w:jc w:val="center"/>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b/>
                <w:bCs/>
                <w:sz w:val="18"/>
                <w:szCs w:val="18"/>
                <w:lang w:val="en-CA" w:eastAsia="en-GB"/>
              </w:rPr>
              <w:lastRenderedPageBreak/>
              <w:t>Substantive compliance costs</w:t>
            </w:r>
          </w:p>
        </w:tc>
        <w:tc>
          <w:tcPr>
            <w:tcW w:w="2173" w:type="dxa"/>
            <w:tcBorders>
              <w:top w:val="single" w:sz="1" w:space="0" w:color="AAAAAA"/>
              <w:left w:val="single" w:sz="1" w:space="0" w:color="AAAAAA"/>
              <w:bottom w:val="single" w:sz="1" w:space="0" w:color="AAAAAA"/>
              <w:right w:val="single" w:sz="1" w:space="0" w:color="AAAAAA"/>
            </w:tcBorders>
            <w:shd w:val="clear" w:color="auto" w:fill="D9F2D0"/>
            <w:tcMar>
              <w:top w:w="40" w:type="dxa"/>
              <w:left w:w="80" w:type="dxa"/>
              <w:bottom w:w="40" w:type="dxa"/>
              <w:right w:w="80" w:type="dxa"/>
            </w:tcMar>
            <w:vAlign w:val="center"/>
          </w:tcPr>
          <w:p w14:paraId="6BEC0A06" w14:textId="77777777" w:rsidR="005F0A67" w:rsidRPr="005F0A67" w:rsidRDefault="005F0A67" w:rsidP="005F0A67">
            <w:pPr>
              <w:tabs>
                <w:tab w:val="clear" w:pos="567"/>
                <w:tab w:val="clear" w:pos="1134"/>
                <w:tab w:val="clear" w:pos="1701"/>
                <w:tab w:val="clear" w:pos="2268"/>
              </w:tabs>
              <w:spacing w:after="60"/>
              <w:jc w:val="center"/>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PH: pharmaceuticals innovators, biosimilars</w:t>
            </w:r>
          </w:p>
          <w:p w14:paraId="5949883B" w14:textId="77777777" w:rsidR="005F0A67" w:rsidRPr="005F0A67" w:rsidRDefault="005F0A67" w:rsidP="005F0A67">
            <w:pPr>
              <w:tabs>
                <w:tab w:val="clear" w:pos="567"/>
                <w:tab w:val="clear" w:pos="1134"/>
                <w:tab w:val="clear" w:pos="1701"/>
                <w:tab w:val="clear" w:pos="2268"/>
              </w:tabs>
              <w:spacing w:after="60"/>
              <w:jc w:val="center"/>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BT: innovators, molecular diagnostics and R&amp;D service and platform</w:t>
            </w:r>
          </w:p>
          <w:p w14:paraId="74FC299B" w14:textId="77777777" w:rsidR="005F0A67" w:rsidRPr="005F0A67" w:rsidRDefault="005F0A67" w:rsidP="005F0A67">
            <w:pPr>
              <w:tabs>
                <w:tab w:val="clear" w:pos="567"/>
                <w:tab w:val="clear" w:pos="1134"/>
                <w:tab w:val="clear" w:pos="1701"/>
                <w:tab w:val="clear" w:pos="2268"/>
              </w:tabs>
              <w:spacing w:after="60"/>
              <w:jc w:val="center"/>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APB: all</w:t>
            </w:r>
          </w:p>
          <w:p w14:paraId="08D507EA" w14:textId="77777777" w:rsidR="005F0A67" w:rsidRPr="005F0A67" w:rsidRDefault="005F0A67" w:rsidP="005F0A67">
            <w:pPr>
              <w:tabs>
                <w:tab w:val="clear" w:pos="567"/>
                <w:tab w:val="clear" w:pos="1134"/>
                <w:tab w:val="clear" w:pos="1701"/>
                <w:tab w:val="clear" w:pos="2268"/>
              </w:tabs>
              <w:spacing w:after="60"/>
              <w:jc w:val="center"/>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IA: direct DSI services providers</w:t>
            </w:r>
          </w:p>
          <w:p w14:paraId="6F9D3EFF" w14:textId="77777777" w:rsidR="005F0A67" w:rsidRPr="005F0A67" w:rsidRDefault="005F0A67" w:rsidP="005F0A67">
            <w:pPr>
              <w:tabs>
                <w:tab w:val="clear" w:pos="567"/>
                <w:tab w:val="clear" w:pos="1134"/>
                <w:tab w:val="clear" w:pos="1701"/>
                <w:tab w:val="clear" w:pos="2268"/>
              </w:tabs>
              <w:spacing w:after="60"/>
              <w:jc w:val="center"/>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LE: integrated platform suppliers</w:t>
            </w:r>
          </w:p>
          <w:p w14:paraId="7E86B62B" w14:textId="77777777" w:rsidR="005F0A67" w:rsidRPr="005F0A67" w:rsidRDefault="005F0A67" w:rsidP="005F0A67">
            <w:pPr>
              <w:tabs>
                <w:tab w:val="clear" w:pos="567"/>
                <w:tab w:val="clear" w:pos="1134"/>
                <w:tab w:val="clear" w:pos="1701"/>
                <w:tab w:val="clear" w:pos="2268"/>
              </w:tabs>
              <w:spacing w:after="60"/>
              <w:jc w:val="center"/>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 xml:space="preserve">CO: upstream active ingredient developers </w:t>
            </w:r>
          </w:p>
        </w:tc>
        <w:tc>
          <w:tcPr>
            <w:tcW w:w="2173" w:type="dxa"/>
            <w:tcBorders>
              <w:top w:val="single" w:sz="1" w:space="0" w:color="AAAAAA"/>
              <w:left w:val="single" w:sz="1" w:space="0" w:color="AAAAAA"/>
              <w:bottom w:val="single" w:sz="1" w:space="0" w:color="AAAAAA"/>
              <w:right w:val="single" w:sz="1" w:space="0" w:color="AAAAAA"/>
            </w:tcBorders>
            <w:shd w:val="clear" w:color="auto" w:fill="FEF9CC"/>
            <w:tcMar>
              <w:top w:w="40" w:type="dxa"/>
              <w:left w:w="80" w:type="dxa"/>
              <w:bottom w:w="40" w:type="dxa"/>
              <w:right w:w="80" w:type="dxa"/>
            </w:tcMar>
            <w:vAlign w:val="center"/>
          </w:tcPr>
          <w:p w14:paraId="11078171" w14:textId="77777777" w:rsidR="005F0A67" w:rsidRPr="005F0A67" w:rsidRDefault="005F0A67" w:rsidP="005F0A67">
            <w:pPr>
              <w:tabs>
                <w:tab w:val="clear" w:pos="567"/>
                <w:tab w:val="clear" w:pos="1134"/>
                <w:tab w:val="clear" w:pos="1701"/>
                <w:tab w:val="clear" w:pos="2268"/>
              </w:tabs>
              <w:spacing w:after="60"/>
              <w:jc w:val="center"/>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PH: generics producers, (some) biosimilars producers</w:t>
            </w:r>
          </w:p>
          <w:p w14:paraId="67FD7C3A" w14:textId="77777777" w:rsidR="005F0A67" w:rsidRPr="005F0A67" w:rsidRDefault="005F0A67" w:rsidP="005F0A67">
            <w:pPr>
              <w:tabs>
                <w:tab w:val="clear" w:pos="567"/>
                <w:tab w:val="clear" w:pos="1134"/>
                <w:tab w:val="clear" w:pos="1701"/>
                <w:tab w:val="clear" w:pos="2268"/>
              </w:tabs>
              <w:spacing w:after="60"/>
              <w:jc w:val="center"/>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BT: industrial biotech</w:t>
            </w:r>
          </w:p>
          <w:p w14:paraId="0293B569" w14:textId="77777777" w:rsidR="005F0A67" w:rsidRPr="005F0A67" w:rsidRDefault="005F0A67" w:rsidP="005F0A67">
            <w:pPr>
              <w:tabs>
                <w:tab w:val="clear" w:pos="567"/>
                <w:tab w:val="clear" w:pos="1134"/>
                <w:tab w:val="clear" w:pos="1701"/>
                <w:tab w:val="clear" w:pos="2268"/>
              </w:tabs>
              <w:spacing w:after="60"/>
              <w:jc w:val="center"/>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NU: all firm types</w:t>
            </w:r>
          </w:p>
          <w:p w14:paraId="77A325AD" w14:textId="77777777" w:rsidR="005F0A67" w:rsidRPr="005F0A67" w:rsidRDefault="005F0A67" w:rsidP="005F0A67">
            <w:pPr>
              <w:tabs>
                <w:tab w:val="clear" w:pos="567"/>
                <w:tab w:val="clear" w:pos="1134"/>
                <w:tab w:val="clear" w:pos="1701"/>
                <w:tab w:val="clear" w:pos="2268"/>
              </w:tabs>
              <w:spacing w:after="60"/>
              <w:jc w:val="center"/>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IA: indirect DSI service providers</w:t>
            </w:r>
          </w:p>
          <w:p w14:paraId="48E96851" w14:textId="77777777" w:rsidR="005F0A67" w:rsidRPr="005F0A67" w:rsidRDefault="005F0A67" w:rsidP="005F0A67">
            <w:pPr>
              <w:tabs>
                <w:tab w:val="clear" w:pos="567"/>
                <w:tab w:val="clear" w:pos="1134"/>
                <w:tab w:val="clear" w:pos="1701"/>
                <w:tab w:val="clear" w:pos="2268"/>
              </w:tabs>
              <w:spacing w:after="60"/>
              <w:jc w:val="center"/>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LE: general supplies firms</w:t>
            </w:r>
          </w:p>
          <w:p w14:paraId="3D53CFC1" w14:textId="77777777" w:rsidR="005F0A67" w:rsidRPr="005F0A67" w:rsidRDefault="005F0A67" w:rsidP="005F0A67">
            <w:pPr>
              <w:tabs>
                <w:tab w:val="clear" w:pos="567"/>
                <w:tab w:val="clear" w:pos="1134"/>
                <w:tab w:val="clear" w:pos="1701"/>
                <w:tab w:val="clear" w:pos="2268"/>
              </w:tabs>
              <w:spacing w:after="60"/>
              <w:jc w:val="center"/>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 xml:space="preserve">CO: downstream branded cosmetics </w:t>
            </w:r>
          </w:p>
        </w:tc>
        <w:tc>
          <w:tcPr>
            <w:tcW w:w="2173" w:type="dxa"/>
            <w:tcBorders>
              <w:top w:val="single" w:sz="1" w:space="0" w:color="AAAAAA"/>
              <w:left w:val="single" w:sz="1" w:space="0" w:color="AAAAAA"/>
              <w:bottom w:val="single" w:sz="1" w:space="0" w:color="AAAAAA"/>
              <w:right w:val="single" w:sz="1" w:space="0" w:color="AAAAAA"/>
            </w:tcBorders>
            <w:shd w:val="clear" w:color="auto" w:fill="D9D9D9"/>
            <w:tcMar>
              <w:top w:w="40" w:type="dxa"/>
              <w:left w:w="80" w:type="dxa"/>
              <w:bottom w:w="40" w:type="dxa"/>
              <w:right w:w="80" w:type="dxa"/>
            </w:tcMar>
            <w:vAlign w:val="center"/>
          </w:tcPr>
          <w:p w14:paraId="53560145" w14:textId="77777777" w:rsidR="005F0A67" w:rsidRPr="005F0A67" w:rsidRDefault="005F0A67" w:rsidP="005F0A67">
            <w:pPr>
              <w:tabs>
                <w:tab w:val="clear" w:pos="567"/>
                <w:tab w:val="clear" w:pos="1134"/>
                <w:tab w:val="clear" w:pos="1701"/>
                <w:tab w:val="clear" w:pos="2268"/>
              </w:tabs>
              <w:spacing w:after="60"/>
              <w:jc w:val="center"/>
              <w:rPr>
                <w:rFonts w:asciiTheme="majorBidi" w:eastAsia="Times New Roman" w:hAnsiTheme="majorBidi" w:cstheme="majorBidi"/>
                <w:sz w:val="18"/>
                <w:szCs w:val="18"/>
                <w:lang w:val="en-CA" w:eastAsia="en-GB"/>
              </w:rPr>
            </w:pP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40" w:type="dxa"/>
              <w:left w:w="80" w:type="dxa"/>
              <w:bottom w:w="40" w:type="dxa"/>
              <w:right w:w="80" w:type="dxa"/>
            </w:tcMar>
          </w:tcPr>
          <w:p w14:paraId="257B8BF6"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b/>
                <w:bCs/>
                <w:sz w:val="18"/>
                <w:szCs w:val="18"/>
                <w:lang w:val="en-CA" w:eastAsia="en-GB"/>
              </w:rPr>
              <w:t>Moderate for firms with thin margins and proportionality concerns</w:t>
            </w:r>
            <w:r w:rsidRPr="005F0A67">
              <w:rPr>
                <w:rFonts w:asciiTheme="majorBidi" w:eastAsia="Times New Roman" w:hAnsiTheme="majorBidi" w:cstheme="majorBidi"/>
                <w:sz w:val="18"/>
                <w:szCs w:val="18"/>
                <w:lang w:val="en-CA" w:eastAsia="en-GB"/>
              </w:rPr>
              <w:t xml:space="preserve">, reflecting medium probability of materialisation rather than large absolute magnitude. </w:t>
            </w:r>
            <w:r w:rsidRPr="005F0A67">
              <w:rPr>
                <w:rFonts w:asciiTheme="majorBidi" w:eastAsia="Times New Roman" w:hAnsiTheme="majorBidi" w:cstheme="majorBidi"/>
                <w:b/>
                <w:bCs/>
                <w:sz w:val="18"/>
                <w:szCs w:val="18"/>
                <w:lang w:val="en-CA" w:eastAsia="en-GB"/>
              </w:rPr>
              <w:t>For most innovative, research-intensive producers contributing on revenue at high margins, the burden is Low at indicative rates</w:t>
            </w:r>
            <w:r w:rsidRPr="005F0A67">
              <w:rPr>
                <w:rFonts w:asciiTheme="majorBidi" w:eastAsia="Times New Roman" w:hAnsiTheme="majorBidi" w:cstheme="majorBidi"/>
                <w:sz w:val="18"/>
                <w:szCs w:val="18"/>
                <w:lang w:val="en-CA" w:eastAsia="en-GB"/>
              </w:rPr>
              <w:t xml:space="preserve">. Competitive significance derives primarily from asymmetry with non-Party competitors rather than from direct cost burden. Conditional on rate revision and contribution base definition (U12). </w:t>
            </w:r>
          </w:p>
          <w:p w14:paraId="0FB51252"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PH: generics most exposed given thin margins and all-in contribution base despite weaker DSI dependence.</w:t>
            </w:r>
          </w:p>
          <w:p w14:paraId="308C7EE0"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 xml:space="preserve">BT: most significant for industrial biotech competing against petrochemical benchmarks. </w:t>
            </w:r>
          </w:p>
          <w:p w14:paraId="18EC1BDD"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 xml:space="preserve">NU: thin margins (4% median) mean proportionally higher profit-base burden. </w:t>
            </w:r>
          </w:p>
          <w:p w14:paraId="34F5A183"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 xml:space="preserve">IA: proportionality concern most acute for indirect providers whose DSI use is limited relative to their full financial base. </w:t>
            </w:r>
          </w:p>
          <w:p w14:paraId="4E41E938"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 xml:space="preserve">CO: downstream branded firms face highest effective rate (0.071%) despite limited direct DSI dependence. </w:t>
            </w:r>
          </w:p>
          <w:p w14:paraId="519CDFE3"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LE: both sub-groups face proportionality concern given indirect DSI benefit underpinning eligibility.</w:t>
            </w:r>
          </w:p>
        </w:tc>
      </w:tr>
      <w:tr w:rsidR="005F0A67" w:rsidRPr="005F0A67" w14:paraId="2DB898A5" w14:textId="77777777" w:rsidTr="005F0A67">
        <w:trPr>
          <w:cantSplit/>
          <w:trHeight w:val="1134"/>
        </w:trPr>
        <w:tc>
          <w:tcPr>
            <w:tcW w:w="0" w:type="auto"/>
            <w:tcBorders>
              <w:top w:val="single" w:sz="1" w:space="0" w:color="AAAAAA"/>
              <w:left w:val="single" w:sz="1" w:space="0" w:color="AAAAAA"/>
              <w:bottom w:val="single" w:sz="1" w:space="0" w:color="AAAAAA"/>
              <w:right w:val="single" w:sz="1" w:space="0" w:color="AAAAAA"/>
            </w:tcBorders>
            <w:shd w:val="clear" w:color="auto" w:fill="FFFFFF"/>
            <w:tcMar>
              <w:top w:w="40" w:type="dxa"/>
              <w:left w:w="80" w:type="dxa"/>
              <w:bottom w:w="40" w:type="dxa"/>
              <w:right w:w="80" w:type="dxa"/>
            </w:tcMar>
            <w:textDirection w:val="btLr"/>
            <w:vAlign w:val="center"/>
          </w:tcPr>
          <w:p w14:paraId="34B36C97" w14:textId="77777777" w:rsidR="005F0A67" w:rsidRPr="005F0A67" w:rsidRDefault="005F0A67" w:rsidP="005F0A67">
            <w:pPr>
              <w:tabs>
                <w:tab w:val="clear" w:pos="567"/>
                <w:tab w:val="clear" w:pos="1134"/>
                <w:tab w:val="clear" w:pos="1701"/>
                <w:tab w:val="clear" w:pos="2268"/>
              </w:tabs>
              <w:spacing w:after="60"/>
              <w:ind w:left="113" w:right="113"/>
              <w:jc w:val="center"/>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b/>
                <w:bCs/>
                <w:sz w:val="18"/>
                <w:szCs w:val="18"/>
                <w:lang w:val="en-CA" w:eastAsia="en-GB"/>
              </w:rPr>
              <w:t>Cost of capital</w:t>
            </w:r>
          </w:p>
        </w:tc>
        <w:tc>
          <w:tcPr>
            <w:tcW w:w="2173" w:type="dxa"/>
            <w:tcBorders>
              <w:top w:val="single" w:sz="1" w:space="0" w:color="AAAAAA"/>
              <w:left w:val="single" w:sz="1" w:space="0" w:color="AAAAAA"/>
              <w:bottom w:val="single" w:sz="1" w:space="0" w:color="AAAAAA"/>
              <w:right w:val="single" w:sz="1" w:space="0" w:color="AAAAAA"/>
            </w:tcBorders>
            <w:shd w:val="clear" w:color="auto" w:fill="D9F2D0"/>
            <w:tcMar>
              <w:top w:w="40" w:type="dxa"/>
              <w:left w:w="80" w:type="dxa"/>
              <w:bottom w:w="40" w:type="dxa"/>
              <w:right w:w="80" w:type="dxa"/>
            </w:tcMar>
            <w:vAlign w:val="center"/>
          </w:tcPr>
          <w:p w14:paraId="62599A98" w14:textId="77777777" w:rsidR="005F0A67" w:rsidRPr="005F0A67" w:rsidRDefault="005F0A67" w:rsidP="005F0A67">
            <w:pPr>
              <w:tabs>
                <w:tab w:val="clear" w:pos="567"/>
                <w:tab w:val="clear" w:pos="1134"/>
                <w:tab w:val="clear" w:pos="1701"/>
                <w:tab w:val="clear" w:pos="2268"/>
              </w:tabs>
              <w:spacing w:after="60"/>
              <w:jc w:val="center"/>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All sectors &amp; all firm types</w:t>
            </w:r>
          </w:p>
        </w:tc>
        <w:tc>
          <w:tcPr>
            <w:tcW w:w="2173" w:type="dxa"/>
            <w:tcBorders>
              <w:top w:val="single" w:sz="1" w:space="0" w:color="AAAAAA"/>
              <w:left w:val="single" w:sz="1" w:space="0" w:color="AAAAAA"/>
              <w:bottom w:val="single" w:sz="1" w:space="0" w:color="AAAAAA"/>
              <w:right w:val="single" w:sz="1" w:space="0" w:color="AAAAAA"/>
            </w:tcBorders>
            <w:shd w:val="clear" w:color="auto" w:fill="D9D9D9"/>
            <w:tcMar>
              <w:top w:w="40" w:type="dxa"/>
              <w:left w:w="80" w:type="dxa"/>
              <w:bottom w:w="40" w:type="dxa"/>
              <w:right w:w="80" w:type="dxa"/>
            </w:tcMar>
            <w:vAlign w:val="center"/>
          </w:tcPr>
          <w:p w14:paraId="228CACD6" w14:textId="77777777" w:rsidR="005F0A67" w:rsidRPr="005F0A67" w:rsidRDefault="005F0A67" w:rsidP="005F0A67">
            <w:pPr>
              <w:tabs>
                <w:tab w:val="clear" w:pos="567"/>
                <w:tab w:val="clear" w:pos="1134"/>
                <w:tab w:val="clear" w:pos="1701"/>
                <w:tab w:val="clear" w:pos="2268"/>
              </w:tabs>
              <w:spacing w:after="60"/>
              <w:jc w:val="center"/>
              <w:rPr>
                <w:rFonts w:asciiTheme="majorBidi" w:eastAsia="Times New Roman" w:hAnsiTheme="majorBidi" w:cstheme="majorBidi"/>
                <w:sz w:val="18"/>
                <w:szCs w:val="18"/>
                <w:lang w:val="en-CA" w:eastAsia="en-GB"/>
              </w:rPr>
            </w:pPr>
          </w:p>
        </w:tc>
        <w:tc>
          <w:tcPr>
            <w:tcW w:w="2173" w:type="dxa"/>
            <w:tcBorders>
              <w:top w:val="single" w:sz="1" w:space="0" w:color="AAAAAA"/>
              <w:left w:val="single" w:sz="1" w:space="0" w:color="AAAAAA"/>
              <w:bottom w:val="single" w:sz="1" w:space="0" w:color="AAAAAA"/>
              <w:right w:val="single" w:sz="1" w:space="0" w:color="AAAAAA"/>
            </w:tcBorders>
            <w:shd w:val="clear" w:color="auto" w:fill="D9D9D9"/>
            <w:tcMar>
              <w:top w:w="40" w:type="dxa"/>
              <w:left w:w="80" w:type="dxa"/>
              <w:bottom w:w="40" w:type="dxa"/>
              <w:right w:w="80" w:type="dxa"/>
            </w:tcMar>
            <w:vAlign w:val="center"/>
          </w:tcPr>
          <w:p w14:paraId="09CF4BA3" w14:textId="77777777" w:rsidR="005F0A67" w:rsidRPr="005F0A67" w:rsidRDefault="005F0A67" w:rsidP="005F0A67">
            <w:pPr>
              <w:tabs>
                <w:tab w:val="clear" w:pos="567"/>
                <w:tab w:val="clear" w:pos="1134"/>
                <w:tab w:val="clear" w:pos="1701"/>
                <w:tab w:val="clear" w:pos="2268"/>
              </w:tabs>
              <w:spacing w:after="60"/>
              <w:jc w:val="center"/>
              <w:rPr>
                <w:rFonts w:asciiTheme="majorBidi" w:eastAsia="Times New Roman" w:hAnsiTheme="majorBidi" w:cstheme="majorBidi"/>
                <w:sz w:val="18"/>
                <w:szCs w:val="18"/>
                <w:lang w:val="en-CA" w:eastAsia="en-GB"/>
              </w:rPr>
            </w:pP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40" w:type="dxa"/>
              <w:left w:w="80" w:type="dxa"/>
              <w:bottom w:w="40" w:type="dxa"/>
              <w:right w:w="80" w:type="dxa"/>
            </w:tcMar>
          </w:tcPr>
          <w:p w14:paraId="70956109"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b/>
                <w:bCs/>
                <w:sz w:val="18"/>
                <w:szCs w:val="18"/>
                <w:lang w:val="en-CA" w:eastAsia="en-GB"/>
              </w:rPr>
              <w:t>Low across all sectors and firm types</w:t>
            </w:r>
            <w:r w:rsidRPr="005F0A67">
              <w:rPr>
                <w:rFonts w:asciiTheme="majorBidi" w:eastAsia="Times New Roman" w:hAnsiTheme="majorBidi" w:cstheme="majorBidi"/>
                <w:sz w:val="18"/>
                <w:szCs w:val="18"/>
                <w:lang w:val="en-CA" w:eastAsia="en-GB"/>
              </w:rPr>
              <w:t>. Research-intensive producers are among the largest and most well-capitalised firms in the eligible population, and large firms are least responsive to profit tax changes at comparable rates (Coles et al., 2022). The voluntary design further limits this risk, as firms for whom the contribution would materially affect creditworthiness retain the option of non-participation. PH: most plausible for unbranded generic producers where margins are thin. BT: early-stage firms exempt under profit floor; smaller biopharmaceutical innovators with limited retained earnings most exposed within sector. APB: P25 margin of 0.5% indicates a meaningful tail of very thin-margin firms. NU: thin margins (4% median) create most plausible cost of capital exposure of any sector.</w:t>
            </w:r>
          </w:p>
        </w:tc>
      </w:tr>
      <w:tr w:rsidR="005F0A67" w:rsidRPr="005F0A67" w14:paraId="2752E58C" w14:textId="77777777" w:rsidTr="005F0A67">
        <w:trPr>
          <w:cantSplit/>
          <w:trHeight w:val="1134"/>
        </w:trPr>
        <w:tc>
          <w:tcPr>
            <w:tcW w:w="0" w:type="auto"/>
            <w:tcBorders>
              <w:top w:val="single" w:sz="1" w:space="0" w:color="AAAAAA"/>
              <w:left w:val="single" w:sz="1" w:space="0" w:color="AAAAAA"/>
              <w:bottom w:val="single" w:sz="1" w:space="0" w:color="AAAAAA"/>
              <w:right w:val="single" w:sz="1" w:space="0" w:color="AAAAAA"/>
            </w:tcBorders>
            <w:shd w:val="clear" w:color="auto" w:fill="FFFFFF"/>
            <w:tcMar>
              <w:top w:w="40" w:type="dxa"/>
              <w:left w:w="80" w:type="dxa"/>
              <w:bottom w:w="40" w:type="dxa"/>
              <w:right w:w="80" w:type="dxa"/>
            </w:tcMar>
            <w:textDirection w:val="btLr"/>
            <w:vAlign w:val="center"/>
          </w:tcPr>
          <w:p w14:paraId="1DC4CDE1" w14:textId="77777777" w:rsidR="005F0A67" w:rsidRPr="005F0A67" w:rsidRDefault="005F0A67" w:rsidP="005F0A67">
            <w:pPr>
              <w:tabs>
                <w:tab w:val="clear" w:pos="567"/>
                <w:tab w:val="clear" w:pos="1134"/>
                <w:tab w:val="clear" w:pos="1701"/>
                <w:tab w:val="clear" w:pos="2268"/>
              </w:tabs>
              <w:spacing w:after="60"/>
              <w:ind w:left="113" w:right="113"/>
              <w:jc w:val="center"/>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b/>
                <w:bCs/>
                <w:sz w:val="18"/>
                <w:szCs w:val="18"/>
                <w:lang w:val="en-CA" w:eastAsia="en-GB"/>
              </w:rPr>
              <w:t>Cost of intermediate consumption</w:t>
            </w:r>
          </w:p>
        </w:tc>
        <w:tc>
          <w:tcPr>
            <w:tcW w:w="2173" w:type="dxa"/>
            <w:tcBorders>
              <w:top w:val="single" w:sz="1" w:space="0" w:color="AAAAAA"/>
              <w:left w:val="single" w:sz="1" w:space="0" w:color="AAAAAA"/>
              <w:bottom w:val="single" w:sz="1" w:space="0" w:color="AAAAAA"/>
              <w:right w:val="single" w:sz="1" w:space="0" w:color="AAAAAA"/>
            </w:tcBorders>
            <w:shd w:val="clear" w:color="auto" w:fill="D9F2D0"/>
            <w:tcMar>
              <w:top w:w="40" w:type="dxa"/>
              <w:left w:w="80" w:type="dxa"/>
              <w:bottom w:w="40" w:type="dxa"/>
              <w:right w:w="80" w:type="dxa"/>
            </w:tcMar>
            <w:vAlign w:val="center"/>
          </w:tcPr>
          <w:p w14:paraId="221B05B6" w14:textId="77777777" w:rsidR="005F0A67" w:rsidRPr="005F0A67" w:rsidRDefault="005F0A67" w:rsidP="005F0A67">
            <w:pPr>
              <w:tabs>
                <w:tab w:val="clear" w:pos="567"/>
                <w:tab w:val="clear" w:pos="1134"/>
                <w:tab w:val="clear" w:pos="1701"/>
                <w:tab w:val="clear" w:pos="2268"/>
              </w:tabs>
              <w:spacing w:after="60"/>
              <w:jc w:val="center"/>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All sectors &amp; all firm types</w:t>
            </w:r>
          </w:p>
        </w:tc>
        <w:tc>
          <w:tcPr>
            <w:tcW w:w="2173" w:type="dxa"/>
            <w:tcBorders>
              <w:top w:val="single" w:sz="1" w:space="0" w:color="AAAAAA"/>
              <w:left w:val="single" w:sz="1" w:space="0" w:color="AAAAAA"/>
              <w:bottom w:val="single" w:sz="1" w:space="0" w:color="AAAAAA"/>
              <w:right w:val="single" w:sz="1" w:space="0" w:color="AAAAAA"/>
            </w:tcBorders>
            <w:shd w:val="clear" w:color="auto" w:fill="D9D9D9"/>
            <w:tcMar>
              <w:top w:w="40" w:type="dxa"/>
              <w:left w:w="80" w:type="dxa"/>
              <w:bottom w:w="40" w:type="dxa"/>
              <w:right w:w="80" w:type="dxa"/>
            </w:tcMar>
            <w:vAlign w:val="center"/>
          </w:tcPr>
          <w:p w14:paraId="01B6C9D9" w14:textId="77777777" w:rsidR="005F0A67" w:rsidRPr="005F0A67" w:rsidRDefault="005F0A67" w:rsidP="005F0A67">
            <w:pPr>
              <w:tabs>
                <w:tab w:val="clear" w:pos="567"/>
                <w:tab w:val="clear" w:pos="1134"/>
                <w:tab w:val="clear" w:pos="1701"/>
                <w:tab w:val="clear" w:pos="2268"/>
              </w:tabs>
              <w:spacing w:after="60"/>
              <w:jc w:val="center"/>
              <w:rPr>
                <w:rFonts w:asciiTheme="majorBidi" w:eastAsia="Times New Roman" w:hAnsiTheme="majorBidi" w:cstheme="majorBidi"/>
                <w:sz w:val="18"/>
                <w:szCs w:val="18"/>
                <w:lang w:val="en-CA" w:eastAsia="en-GB"/>
              </w:rPr>
            </w:pPr>
          </w:p>
        </w:tc>
        <w:tc>
          <w:tcPr>
            <w:tcW w:w="2173" w:type="dxa"/>
            <w:tcBorders>
              <w:top w:val="single" w:sz="1" w:space="0" w:color="AAAAAA"/>
              <w:left w:val="single" w:sz="1" w:space="0" w:color="AAAAAA"/>
              <w:bottom w:val="single" w:sz="1" w:space="0" w:color="AAAAAA"/>
              <w:right w:val="single" w:sz="1" w:space="0" w:color="AAAAAA"/>
            </w:tcBorders>
            <w:shd w:val="clear" w:color="auto" w:fill="D9D9D9"/>
            <w:tcMar>
              <w:top w:w="40" w:type="dxa"/>
              <w:left w:w="80" w:type="dxa"/>
              <w:bottom w:w="40" w:type="dxa"/>
              <w:right w:w="80" w:type="dxa"/>
            </w:tcMar>
            <w:vAlign w:val="center"/>
          </w:tcPr>
          <w:p w14:paraId="5C6A3C2F" w14:textId="77777777" w:rsidR="005F0A67" w:rsidRPr="005F0A67" w:rsidRDefault="005F0A67" w:rsidP="005F0A67">
            <w:pPr>
              <w:tabs>
                <w:tab w:val="clear" w:pos="567"/>
                <w:tab w:val="clear" w:pos="1134"/>
                <w:tab w:val="clear" w:pos="1701"/>
                <w:tab w:val="clear" w:pos="2268"/>
              </w:tabs>
              <w:spacing w:after="60"/>
              <w:jc w:val="center"/>
              <w:rPr>
                <w:rFonts w:asciiTheme="majorBidi" w:eastAsia="Times New Roman" w:hAnsiTheme="majorBidi" w:cstheme="majorBidi"/>
                <w:sz w:val="18"/>
                <w:szCs w:val="18"/>
                <w:lang w:val="en-CA" w:eastAsia="en-GB"/>
              </w:rPr>
            </w:pP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40" w:type="dxa"/>
              <w:left w:w="80" w:type="dxa"/>
              <w:bottom w:w="40" w:type="dxa"/>
              <w:right w:w="80" w:type="dxa"/>
            </w:tcMar>
          </w:tcPr>
          <w:p w14:paraId="7293B34F"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b/>
                <w:bCs/>
                <w:sz w:val="18"/>
                <w:szCs w:val="18"/>
                <w:lang w:val="en-CA" w:eastAsia="en-GB"/>
              </w:rPr>
              <w:t>Low across all sectors and firm types</w:t>
            </w:r>
            <w:r w:rsidRPr="005F0A67">
              <w:rPr>
                <w:rFonts w:asciiTheme="majorBidi" w:eastAsia="Times New Roman" w:hAnsiTheme="majorBidi" w:cstheme="majorBidi"/>
                <w:sz w:val="18"/>
                <w:szCs w:val="18"/>
                <w:lang w:val="en-CA" w:eastAsia="en-GB"/>
              </w:rPr>
              <w:t>, but with medium probability for research-intensive producers linked to eligible laboratory equipment firms in their supply chains: PH innovators, BT innovators, APB plant breeders using sequencing services, and downstream CO producers. If laboratory equipment firms pass their contribution costs forward through input pricing, downstream sectors face an indirect cost increase. This is conditional on laboratory equipment firm participation and pass-on behaviour. The magnitude remains minor because laboratory equipment firms contribute on the same small effective rate as other sectors under the non-binding design. CO: distinctive intra-sector channel where upstream active ingredient developers may pass costs forward to downstream branded firms.</w:t>
            </w:r>
          </w:p>
        </w:tc>
      </w:tr>
      <w:tr w:rsidR="005F0A67" w:rsidRPr="005F0A67" w14:paraId="3416B3AF" w14:textId="77777777" w:rsidTr="005F0A67">
        <w:trPr>
          <w:cantSplit/>
          <w:trHeight w:val="1134"/>
        </w:trPr>
        <w:tc>
          <w:tcPr>
            <w:tcW w:w="0" w:type="auto"/>
            <w:tcBorders>
              <w:top w:val="single" w:sz="1" w:space="0" w:color="AAAAAA"/>
              <w:left w:val="single" w:sz="1" w:space="0" w:color="AAAAAA"/>
              <w:bottom w:val="single" w:sz="1" w:space="0" w:color="AAAAAA"/>
              <w:right w:val="single" w:sz="1" w:space="0" w:color="AAAAAA"/>
            </w:tcBorders>
            <w:shd w:val="clear" w:color="auto" w:fill="FFFFFF"/>
            <w:tcMar>
              <w:top w:w="40" w:type="dxa"/>
              <w:left w:w="80" w:type="dxa"/>
              <w:bottom w:w="40" w:type="dxa"/>
              <w:right w:w="80" w:type="dxa"/>
            </w:tcMar>
            <w:textDirection w:val="btLr"/>
            <w:vAlign w:val="center"/>
          </w:tcPr>
          <w:p w14:paraId="323CEB7A" w14:textId="77777777" w:rsidR="005F0A67" w:rsidRPr="005F0A67" w:rsidRDefault="005F0A67" w:rsidP="005F0A67">
            <w:pPr>
              <w:tabs>
                <w:tab w:val="clear" w:pos="567"/>
                <w:tab w:val="clear" w:pos="1134"/>
                <w:tab w:val="clear" w:pos="1701"/>
                <w:tab w:val="clear" w:pos="2268"/>
              </w:tabs>
              <w:spacing w:after="60"/>
              <w:ind w:left="113" w:right="113"/>
              <w:jc w:val="center"/>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b/>
                <w:bCs/>
                <w:sz w:val="18"/>
                <w:szCs w:val="18"/>
                <w:lang w:val="en-CA" w:eastAsia="en-GB"/>
              </w:rPr>
              <w:lastRenderedPageBreak/>
              <w:t>Pass-through to consumers</w:t>
            </w:r>
          </w:p>
        </w:tc>
        <w:tc>
          <w:tcPr>
            <w:tcW w:w="2173" w:type="dxa"/>
            <w:tcBorders>
              <w:top w:val="single" w:sz="1" w:space="0" w:color="AAAAAA"/>
              <w:left w:val="single" w:sz="1" w:space="0" w:color="AAAAAA"/>
              <w:bottom w:val="single" w:sz="1" w:space="0" w:color="AAAAAA"/>
              <w:right w:val="single" w:sz="1" w:space="0" w:color="AAAAAA"/>
            </w:tcBorders>
            <w:shd w:val="clear" w:color="auto" w:fill="D9F2D0"/>
            <w:tcMar>
              <w:top w:w="40" w:type="dxa"/>
              <w:left w:w="80" w:type="dxa"/>
              <w:bottom w:w="40" w:type="dxa"/>
              <w:right w:w="80" w:type="dxa"/>
            </w:tcMar>
            <w:vAlign w:val="center"/>
          </w:tcPr>
          <w:p w14:paraId="662262F6"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 xml:space="preserve">PH: generics producers, biosimilars producers; BT: molecular diagnostics, industrial biotechnology, </w:t>
            </w:r>
          </w:p>
          <w:p w14:paraId="503B67AF"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 xml:space="preserve">R&amp;D service and platform organisations; </w:t>
            </w:r>
          </w:p>
          <w:p w14:paraId="12058922"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 xml:space="preserve">APB: vegetable/horticultural breeders, animal breeders; </w:t>
            </w:r>
          </w:p>
          <w:p w14:paraId="796A87AF"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 xml:space="preserve">NU: all firm types; </w:t>
            </w:r>
          </w:p>
          <w:p w14:paraId="06E43678"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 xml:space="preserve">IA: direct and indirect DSI service providers; </w:t>
            </w:r>
          </w:p>
          <w:p w14:paraId="7C0A50AA"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 xml:space="preserve">CO: downstream branded cosmetics firms; </w:t>
            </w:r>
          </w:p>
          <w:p w14:paraId="32C57701"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LE: all firm types.</w:t>
            </w:r>
          </w:p>
        </w:tc>
        <w:tc>
          <w:tcPr>
            <w:tcW w:w="2173" w:type="dxa"/>
            <w:tcBorders>
              <w:top w:val="single" w:sz="1" w:space="0" w:color="AAAAAA"/>
              <w:left w:val="single" w:sz="1" w:space="0" w:color="AAAAAA"/>
              <w:bottom w:val="single" w:sz="1" w:space="0" w:color="AAAAAA"/>
              <w:right w:val="single" w:sz="1" w:space="0" w:color="AAAAAA"/>
            </w:tcBorders>
            <w:shd w:val="clear" w:color="auto" w:fill="FEF9CC"/>
            <w:tcMar>
              <w:top w:w="40" w:type="dxa"/>
              <w:left w:w="80" w:type="dxa"/>
              <w:bottom w:w="40" w:type="dxa"/>
              <w:right w:w="80" w:type="dxa"/>
            </w:tcMar>
            <w:vAlign w:val="center"/>
          </w:tcPr>
          <w:p w14:paraId="5C7334E8"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 xml:space="preserve">PH: innovators; </w:t>
            </w:r>
          </w:p>
          <w:p w14:paraId="4AC1966D"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 xml:space="preserve">BT: biopharmaceutical innovators; </w:t>
            </w:r>
          </w:p>
          <w:p w14:paraId="7FB4ADE2"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 xml:space="preserve">APB: large seed multinationals; </w:t>
            </w:r>
          </w:p>
          <w:p w14:paraId="517FB295"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CO: upstream active ingredient developers.</w:t>
            </w:r>
          </w:p>
        </w:tc>
        <w:tc>
          <w:tcPr>
            <w:tcW w:w="2173" w:type="dxa"/>
            <w:tcBorders>
              <w:top w:val="single" w:sz="1" w:space="0" w:color="AAAAAA"/>
              <w:left w:val="single" w:sz="1" w:space="0" w:color="AAAAAA"/>
              <w:bottom w:val="single" w:sz="1" w:space="0" w:color="AAAAAA"/>
              <w:right w:val="single" w:sz="1" w:space="0" w:color="AAAAAA"/>
            </w:tcBorders>
            <w:shd w:val="clear" w:color="auto" w:fill="D9D9D9"/>
            <w:tcMar>
              <w:top w:w="40" w:type="dxa"/>
              <w:left w:w="80" w:type="dxa"/>
              <w:bottom w:w="40" w:type="dxa"/>
              <w:right w:w="80" w:type="dxa"/>
            </w:tcMar>
            <w:vAlign w:val="center"/>
          </w:tcPr>
          <w:p w14:paraId="2AF2E528"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40" w:type="dxa"/>
              <w:left w:w="80" w:type="dxa"/>
              <w:bottom w:w="40" w:type="dxa"/>
              <w:right w:w="80" w:type="dxa"/>
            </w:tcMar>
          </w:tcPr>
          <w:p w14:paraId="434E0001"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b/>
                <w:bCs/>
                <w:sz w:val="18"/>
                <w:szCs w:val="18"/>
                <w:lang w:val="en-CA" w:eastAsia="en-GB"/>
              </w:rPr>
              <w:t>Moderate for firms with meaningful pricing power</w:t>
            </w:r>
            <w:r w:rsidRPr="005F0A67">
              <w:rPr>
                <w:rFonts w:asciiTheme="majorBidi" w:eastAsia="Times New Roman" w:hAnsiTheme="majorBidi" w:cstheme="majorBidi"/>
                <w:sz w:val="18"/>
                <w:szCs w:val="18"/>
                <w:lang w:val="en-CA" w:eastAsia="en-GB"/>
              </w:rPr>
              <w:t xml:space="preserve"> in reimbursement-linked or IP-protected markets</w:t>
            </w:r>
            <w:r w:rsidRPr="005F0A67">
              <w:rPr>
                <w:rFonts w:asciiTheme="majorBidi" w:eastAsia="Times New Roman" w:hAnsiTheme="majorBidi" w:cstheme="majorBidi"/>
                <w:b/>
                <w:bCs/>
                <w:sz w:val="18"/>
                <w:szCs w:val="18"/>
                <w:lang w:val="en-CA" w:eastAsia="en-GB"/>
              </w:rPr>
              <w:t>; Low for firms with price-sensitive customers</w:t>
            </w:r>
            <w:r w:rsidRPr="005F0A67">
              <w:rPr>
                <w:rFonts w:asciiTheme="majorBidi" w:eastAsia="Times New Roman" w:hAnsiTheme="majorBidi" w:cstheme="majorBidi"/>
                <w:sz w:val="18"/>
                <w:szCs w:val="18"/>
                <w:lang w:val="en-CA" w:eastAsia="en-GB"/>
              </w:rPr>
              <w:t xml:space="preserve"> or procurement-driven market structures. </w:t>
            </w:r>
          </w:p>
          <w:p w14:paraId="2263035A"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 xml:space="preserve">PH: Moderate for innovators given some pricing power in patent-protected markets and US market exposure; Low for generics given structural barriers in procurement frameworks. </w:t>
            </w:r>
          </w:p>
          <w:p w14:paraId="4B845721"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 xml:space="preserve">BT: Moderate for biopharmaceutical innovators through reimbursement negotiations; Low for industrial biotech given petrochemical benchmarking and R&amp;D service firms which pass costs upstream. </w:t>
            </w:r>
          </w:p>
          <w:p w14:paraId="2F0F791C"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 xml:space="preserve">APB: Moderate for large seed multinationals via trait licensing in concentrated seed markets; Low for vegetable/horticultural and animal breeders given farmer price sensitivity. </w:t>
            </w:r>
          </w:p>
          <w:p w14:paraId="7FA60521"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 xml:space="preserve">CO: Moderate for upstream active ingredient developers via ingredient pricing to downstream clients; Low for downstream branded firms. </w:t>
            </w:r>
          </w:p>
          <w:p w14:paraId="1F1FBAA7"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 xml:space="preserve">IA/NU: consumer-facing and competitive markets constrain pass-through; some flexibility for premium segments. </w:t>
            </w:r>
          </w:p>
          <w:p w14:paraId="1F484F4B"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LE: Moderate pricing power for integrated platform suppliers through lock-in, but assessed as Low overall given commodity competition across the sector</w:t>
            </w:r>
          </w:p>
        </w:tc>
      </w:tr>
      <w:tr w:rsidR="005F0A67" w:rsidRPr="005F0A67" w14:paraId="7717C8D6" w14:textId="77777777" w:rsidTr="00FB671B">
        <w:tc>
          <w:tcPr>
            <w:tcW w:w="0" w:type="auto"/>
            <w:gridSpan w:val="5"/>
            <w:tcBorders>
              <w:top w:val="single" w:sz="1" w:space="0" w:color="AAAAAA"/>
              <w:left w:val="single" w:sz="1" w:space="0" w:color="AAAAAA"/>
              <w:bottom w:val="single" w:sz="1" w:space="0" w:color="AAAAAA"/>
              <w:right w:val="single" w:sz="1" w:space="0" w:color="AAAAAA"/>
            </w:tcBorders>
            <w:shd w:val="clear" w:color="auto" w:fill="D6E4F0"/>
            <w:tcMar>
              <w:top w:w="40" w:type="dxa"/>
              <w:left w:w="80" w:type="dxa"/>
              <w:bottom w:w="40" w:type="dxa"/>
              <w:right w:w="80" w:type="dxa"/>
            </w:tcMar>
          </w:tcPr>
          <w:p w14:paraId="65F80655"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b/>
                <w:bCs/>
                <w:sz w:val="18"/>
                <w:szCs w:val="18"/>
                <w:lang w:val="en-CA" w:eastAsia="en-GB"/>
              </w:rPr>
              <w:t>Pillar II: Capacity to innovate</w:t>
            </w:r>
          </w:p>
        </w:tc>
      </w:tr>
      <w:tr w:rsidR="005F0A67" w:rsidRPr="005F0A67" w14:paraId="44C827F8" w14:textId="77777777" w:rsidTr="005F0A67">
        <w:trPr>
          <w:cantSplit/>
          <w:trHeight w:val="1134"/>
        </w:trPr>
        <w:tc>
          <w:tcPr>
            <w:tcW w:w="0" w:type="auto"/>
            <w:tcBorders>
              <w:top w:val="single" w:sz="1" w:space="0" w:color="AAAAAA"/>
              <w:left w:val="single" w:sz="1" w:space="0" w:color="AAAAAA"/>
              <w:bottom w:val="single" w:sz="1" w:space="0" w:color="AAAAAA"/>
              <w:right w:val="single" w:sz="1" w:space="0" w:color="AAAAAA"/>
            </w:tcBorders>
            <w:shd w:val="clear" w:color="auto" w:fill="FFFFFF"/>
            <w:tcMar>
              <w:top w:w="40" w:type="dxa"/>
              <w:left w:w="80" w:type="dxa"/>
              <w:bottom w:w="40" w:type="dxa"/>
              <w:right w:w="80" w:type="dxa"/>
            </w:tcMar>
            <w:textDirection w:val="btLr"/>
            <w:vAlign w:val="center"/>
          </w:tcPr>
          <w:p w14:paraId="6680B167" w14:textId="77777777" w:rsidR="005F0A67" w:rsidRPr="005F0A67" w:rsidRDefault="005F0A67" w:rsidP="005F0A67">
            <w:pPr>
              <w:tabs>
                <w:tab w:val="clear" w:pos="567"/>
                <w:tab w:val="clear" w:pos="1134"/>
                <w:tab w:val="clear" w:pos="1701"/>
                <w:tab w:val="clear" w:pos="2268"/>
              </w:tabs>
              <w:spacing w:after="60"/>
              <w:ind w:left="113" w:right="113"/>
              <w:jc w:val="center"/>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b/>
                <w:bCs/>
                <w:sz w:val="18"/>
                <w:szCs w:val="18"/>
                <w:lang w:val="en-CA" w:eastAsia="en-GB"/>
              </w:rPr>
              <w:t>R&amp;D investment capacity</w:t>
            </w:r>
          </w:p>
        </w:tc>
        <w:tc>
          <w:tcPr>
            <w:tcW w:w="2173" w:type="dxa"/>
            <w:tcBorders>
              <w:top w:val="single" w:sz="1" w:space="0" w:color="AAAAAA"/>
              <w:left w:val="single" w:sz="1" w:space="0" w:color="AAAAAA"/>
              <w:bottom w:val="single" w:sz="1" w:space="0" w:color="AAAAAA"/>
              <w:right w:val="single" w:sz="1" w:space="0" w:color="AAAAAA"/>
            </w:tcBorders>
            <w:shd w:val="clear" w:color="auto" w:fill="D9F2D0"/>
            <w:tcMar>
              <w:top w:w="40" w:type="dxa"/>
              <w:left w:w="80" w:type="dxa"/>
              <w:bottom w:w="40" w:type="dxa"/>
              <w:right w:w="80" w:type="dxa"/>
            </w:tcMar>
            <w:vAlign w:val="center"/>
          </w:tcPr>
          <w:p w14:paraId="72229967"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 xml:space="preserve">PH: generics producers, biosimilars producers; BT: molecular diagnostics, industrial biotechnology, R&amp;D service and platform organisations; </w:t>
            </w:r>
          </w:p>
          <w:p w14:paraId="3463EE38"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 xml:space="preserve">APB: vegetable/horticultural breeders, animal breeders; </w:t>
            </w:r>
          </w:p>
          <w:p w14:paraId="78B6A019"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 xml:space="preserve">NU: all firm types; </w:t>
            </w:r>
          </w:p>
          <w:p w14:paraId="1128E369"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 xml:space="preserve">IA: all firm types; </w:t>
            </w:r>
          </w:p>
          <w:p w14:paraId="68A8DE3A"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CO: downstream branded cosmetics firms; LE: all firm types.</w:t>
            </w:r>
          </w:p>
        </w:tc>
        <w:tc>
          <w:tcPr>
            <w:tcW w:w="2173" w:type="dxa"/>
            <w:tcBorders>
              <w:top w:val="single" w:sz="1" w:space="0" w:color="AAAAAA"/>
              <w:left w:val="single" w:sz="1" w:space="0" w:color="AAAAAA"/>
              <w:bottom w:val="single" w:sz="1" w:space="0" w:color="AAAAAA"/>
              <w:right w:val="single" w:sz="1" w:space="0" w:color="AAAAAA"/>
            </w:tcBorders>
            <w:shd w:val="clear" w:color="auto" w:fill="FEF9CC"/>
            <w:tcMar>
              <w:top w:w="40" w:type="dxa"/>
              <w:left w:w="80" w:type="dxa"/>
              <w:bottom w:w="40" w:type="dxa"/>
              <w:right w:w="80" w:type="dxa"/>
            </w:tcMar>
            <w:vAlign w:val="center"/>
          </w:tcPr>
          <w:p w14:paraId="316241EB"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PH: innovators;</w:t>
            </w:r>
          </w:p>
          <w:p w14:paraId="2187AEF6"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 xml:space="preserve">BT: innovators; </w:t>
            </w:r>
          </w:p>
          <w:p w14:paraId="6D4FDDFE"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 xml:space="preserve">APB: large seed multinationals; </w:t>
            </w:r>
          </w:p>
          <w:p w14:paraId="2C04562E"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CO: upstream active ingredient developers</w:t>
            </w:r>
          </w:p>
        </w:tc>
        <w:tc>
          <w:tcPr>
            <w:tcW w:w="2173" w:type="dxa"/>
            <w:tcBorders>
              <w:top w:val="single" w:sz="1" w:space="0" w:color="AAAAAA"/>
              <w:left w:val="single" w:sz="1" w:space="0" w:color="AAAAAA"/>
              <w:bottom w:val="single" w:sz="1" w:space="0" w:color="AAAAAA"/>
              <w:right w:val="single" w:sz="1" w:space="0" w:color="AAAAAA"/>
            </w:tcBorders>
            <w:shd w:val="clear" w:color="auto" w:fill="D9D9D9"/>
            <w:tcMar>
              <w:top w:w="40" w:type="dxa"/>
              <w:left w:w="80" w:type="dxa"/>
              <w:bottom w:w="40" w:type="dxa"/>
              <w:right w:w="80" w:type="dxa"/>
            </w:tcMar>
            <w:vAlign w:val="center"/>
          </w:tcPr>
          <w:p w14:paraId="3D6AF4C2"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40" w:type="dxa"/>
              <w:left w:w="80" w:type="dxa"/>
              <w:bottom w:w="40" w:type="dxa"/>
              <w:right w:w="80" w:type="dxa"/>
            </w:tcMar>
          </w:tcPr>
          <w:p w14:paraId="4B3C8C58"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b/>
                <w:bCs/>
                <w:sz w:val="18"/>
                <w:szCs w:val="18"/>
                <w:lang w:val="en-CA" w:eastAsia="en-GB"/>
              </w:rPr>
              <w:t>Moderate for R&amp;D-intensive sectors with long development pipelines; Low for sectors with shorter development cycles or lower R&amp;D intensity</w:t>
            </w:r>
            <w:r w:rsidRPr="005F0A67">
              <w:rPr>
                <w:rFonts w:asciiTheme="majorBidi" w:eastAsia="Times New Roman" w:hAnsiTheme="majorBidi" w:cstheme="majorBidi"/>
                <w:sz w:val="18"/>
                <w:szCs w:val="18"/>
                <w:lang w:val="en-CA" w:eastAsia="en-GB"/>
              </w:rPr>
              <w:t xml:space="preserve">. The primary channel is margin compression reducing capital available for innovation investment. A comparable 1pp profit tax burden reduces R&amp;D by ~6-7% over eight years, with effects concentrated in financially constrained firms (Lichter et al., 2025); large well-capitalised firms are least responsive (Coles et al., 2022). Conditional on rate revision and obligation stacking (U7). </w:t>
            </w:r>
          </w:p>
          <w:p w14:paraId="6CE0EBF3"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 xml:space="preserve">PH: Moderate for research-intensive producers given long pipeline horizons; Low for generics. </w:t>
            </w:r>
          </w:p>
          <w:p w14:paraId="0BC8BD45"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 xml:space="preserve">BT: Moderate for biopharmaceutical innovators (~16% of sales in R&amp;D); Low for shorter-cycle sub-sectors. </w:t>
            </w:r>
          </w:p>
          <w:p w14:paraId="2F11BA70"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 xml:space="preserve">APB: Moderate for large seed multinationals with long breeding programme horizons. </w:t>
            </w:r>
          </w:p>
          <w:p w14:paraId="562A2145"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 xml:space="preserve">CO: Moderate for upstream active ingredient developers with long pipelines for biotechnology-derived actives. </w:t>
            </w:r>
          </w:p>
          <w:p w14:paraId="294B31F4"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All other sectors Low.</w:t>
            </w:r>
          </w:p>
        </w:tc>
      </w:tr>
      <w:tr w:rsidR="005F0A67" w:rsidRPr="005F0A67" w14:paraId="70F69440" w14:textId="77777777" w:rsidTr="005F0A67">
        <w:trPr>
          <w:cantSplit/>
          <w:trHeight w:val="1134"/>
        </w:trPr>
        <w:tc>
          <w:tcPr>
            <w:tcW w:w="0" w:type="auto"/>
            <w:tcBorders>
              <w:top w:val="single" w:sz="1" w:space="0" w:color="AAAAAA"/>
              <w:left w:val="single" w:sz="1" w:space="0" w:color="AAAAAA"/>
              <w:bottom w:val="single" w:sz="1" w:space="0" w:color="AAAAAA"/>
              <w:right w:val="single" w:sz="1" w:space="0" w:color="AAAAAA"/>
            </w:tcBorders>
            <w:shd w:val="clear" w:color="auto" w:fill="FFFFFF"/>
            <w:tcMar>
              <w:top w:w="40" w:type="dxa"/>
              <w:left w:w="80" w:type="dxa"/>
              <w:bottom w:w="40" w:type="dxa"/>
              <w:right w:w="80" w:type="dxa"/>
            </w:tcMar>
            <w:textDirection w:val="btLr"/>
            <w:vAlign w:val="center"/>
          </w:tcPr>
          <w:p w14:paraId="4DB23620" w14:textId="77777777" w:rsidR="005F0A67" w:rsidRPr="005F0A67" w:rsidRDefault="005F0A67" w:rsidP="005F0A67">
            <w:pPr>
              <w:tabs>
                <w:tab w:val="clear" w:pos="567"/>
                <w:tab w:val="clear" w:pos="1134"/>
                <w:tab w:val="clear" w:pos="1701"/>
                <w:tab w:val="clear" w:pos="2268"/>
              </w:tabs>
              <w:spacing w:after="60"/>
              <w:ind w:left="113" w:right="113"/>
              <w:jc w:val="center"/>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b/>
                <w:bCs/>
                <w:sz w:val="18"/>
                <w:szCs w:val="18"/>
                <w:lang w:val="en-CA" w:eastAsia="en-GB"/>
              </w:rPr>
              <w:lastRenderedPageBreak/>
              <w:t>Product innovation capacity</w:t>
            </w:r>
          </w:p>
        </w:tc>
        <w:tc>
          <w:tcPr>
            <w:tcW w:w="2173" w:type="dxa"/>
            <w:tcBorders>
              <w:top w:val="single" w:sz="1" w:space="0" w:color="AAAAAA"/>
              <w:left w:val="single" w:sz="1" w:space="0" w:color="AAAAAA"/>
              <w:bottom w:val="single" w:sz="1" w:space="0" w:color="AAAAAA"/>
              <w:right w:val="single" w:sz="1" w:space="0" w:color="AAAAAA"/>
            </w:tcBorders>
            <w:shd w:val="clear" w:color="auto" w:fill="D9F2D0"/>
            <w:tcMar>
              <w:top w:w="40" w:type="dxa"/>
              <w:left w:w="80" w:type="dxa"/>
              <w:bottom w:w="40" w:type="dxa"/>
              <w:right w:w="80" w:type="dxa"/>
            </w:tcMar>
            <w:vAlign w:val="center"/>
          </w:tcPr>
          <w:p w14:paraId="48D34C15"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 xml:space="preserve">PH: generics producers, biosimilars producers; BT: molecular diagnostics, industrial biotechnology, R&amp;D service and platform organisations; </w:t>
            </w:r>
          </w:p>
          <w:p w14:paraId="6D1A8F07"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APB: vegetable/horticultural breeders, animal breeders;</w:t>
            </w:r>
          </w:p>
          <w:p w14:paraId="2EEDF1BC"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 xml:space="preserve"> NU: all firm types; </w:t>
            </w:r>
          </w:p>
          <w:p w14:paraId="795F8C3D"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 xml:space="preserve">IA: all firm types; </w:t>
            </w:r>
          </w:p>
          <w:p w14:paraId="61940348"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 xml:space="preserve">CO: downstream branded cosmetics firms; </w:t>
            </w:r>
          </w:p>
          <w:p w14:paraId="064EDC91"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LE: all firm types.</w:t>
            </w:r>
          </w:p>
        </w:tc>
        <w:tc>
          <w:tcPr>
            <w:tcW w:w="2173" w:type="dxa"/>
            <w:tcBorders>
              <w:top w:val="single" w:sz="1" w:space="0" w:color="AAAAAA"/>
              <w:left w:val="single" w:sz="1" w:space="0" w:color="AAAAAA"/>
              <w:bottom w:val="single" w:sz="1" w:space="0" w:color="AAAAAA"/>
              <w:right w:val="single" w:sz="1" w:space="0" w:color="AAAAAA"/>
            </w:tcBorders>
            <w:shd w:val="clear" w:color="auto" w:fill="FEF9CC"/>
            <w:tcMar>
              <w:top w:w="40" w:type="dxa"/>
              <w:left w:w="80" w:type="dxa"/>
              <w:bottom w:w="40" w:type="dxa"/>
              <w:right w:w="80" w:type="dxa"/>
            </w:tcMar>
            <w:vAlign w:val="center"/>
          </w:tcPr>
          <w:p w14:paraId="1A706060"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 xml:space="preserve">PH: innovators; </w:t>
            </w:r>
          </w:p>
          <w:p w14:paraId="642DF11B"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 xml:space="preserve">BT: biopharmaceutical innovators; </w:t>
            </w:r>
          </w:p>
          <w:p w14:paraId="5187756B"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 xml:space="preserve">APB: large seed multinationals; </w:t>
            </w:r>
          </w:p>
          <w:p w14:paraId="54B07731"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CO: upstream active ingredient developers</w:t>
            </w:r>
          </w:p>
        </w:tc>
        <w:tc>
          <w:tcPr>
            <w:tcW w:w="2173" w:type="dxa"/>
            <w:tcBorders>
              <w:top w:val="single" w:sz="1" w:space="0" w:color="AAAAAA"/>
              <w:left w:val="single" w:sz="1" w:space="0" w:color="AAAAAA"/>
              <w:bottom w:val="single" w:sz="1" w:space="0" w:color="AAAAAA"/>
              <w:right w:val="single" w:sz="1" w:space="0" w:color="AAAAAA"/>
            </w:tcBorders>
            <w:shd w:val="clear" w:color="auto" w:fill="D9D9D9"/>
            <w:tcMar>
              <w:top w:w="40" w:type="dxa"/>
              <w:left w:w="80" w:type="dxa"/>
              <w:bottom w:w="40" w:type="dxa"/>
              <w:right w:w="80" w:type="dxa"/>
            </w:tcMar>
          </w:tcPr>
          <w:p w14:paraId="10D96D2B"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40" w:type="dxa"/>
              <w:left w:w="80" w:type="dxa"/>
              <w:bottom w:w="40" w:type="dxa"/>
              <w:right w:w="80" w:type="dxa"/>
            </w:tcMar>
          </w:tcPr>
          <w:p w14:paraId="003DC059"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b/>
                <w:bCs/>
                <w:sz w:val="18"/>
                <w:szCs w:val="18"/>
                <w:lang w:val="en-CA" w:eastAsia="en-GB"/>
              </w:rPr>
              <w:t>Moderate for R&amp;D-intensive sectors with long development pipelines; Low for sectors with shorter development cycles or lower R&amp;D intensity</w:t>
            </w:r>
            <w:r w:rsidRPr="005F0A67">
              <w:rPr>
                <w:rFonts w:asciiTheme="majorBidi" w:eastAsia="Times New Roman" w:hAnsiTheme="majorBidi" w:cstheme="majorBidi"/>
                <w:sz w:val="18"/>
                <w:szCs w:val="18"/>
                <w:lang w:val="en-CA" w:eastAsia="en-GB"/>
              </w:rPr>
              <w:t xml:space="preserve">. Follows the same capital constraint channel as R&amp;D investment capacity. Innovation effects most pronounced for financially constrained firms (Atanassov and Liu, 2020; Lichter et al., 2025). </w:t>
            </w:r>
          </w:p>
          <w:p w14:paraId="5C08D2DF"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 xml:space="preserve">PH: Moderate for research-intensive producers; Low for generics (no product innovation in the relevant sense) and biosimilars (affected only at the margin). </w:t>
            </w:r>
          </w:p>
          <w:p w14:paraId="598EAC39"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 xml:space="preserve">BT: Moderate for biopharmaceutical innovators; Low for other sub-sectors. </w:t>
            </w:r>
          </w:p>
          <w:p w14:paraId="5171EE8F"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 xml:space="preserve">APB: Moderate for large seed multinationals; Low for animal breeders. </w:t>
            </w:r>
          </w:p>
          <w:p w14:paraId="1AD9B45A"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 xml:space="preserve">CO: Moderate for upstream active ingredient developers; Low for downstream branded firms that acquire innovation externally. </w:t>
            </w:r>
          </w:p>
          <w:p w14:paraId="2CE8905A"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All other sectors Low.</w:t>
            </w:r>
          </w:p>
        </w:tc>
      </w:tr>
      <w:tr w:rsidR="005F0A67" w:rsidRPr="005F0A67" w14:paraId="6C2EFA4D" w14:textId="77777777" w:rsidTr="005F0A67">
        <w:trPr>
          <w:cantSplit/>
          <w:trHeight w:val="1134"/>
        </w:trPr>
        <w:tc>
          <w:tcPr>
            <w:tcW w:w="0" w:type="auto"/>
            <w:tcBorders>
              <w:top w:val="single" w:sz="1" w:space="0" w:color="AAAAAA"/>
              <w:left w:val="single" w:sz="1" w:space="0" w:color="AAAAAA"/>
              <w:bottom w:val="single" w:sz="1" w:space="0" w:color="AAAAAA"/>
              <w:right w:val="single" w:sz="1" w:space="0" w:color="AAAAAA"/>
            </w:tcBorders>
            <w:shd w:val="clear" w:color="auto" w:fill="FFFFFF"/>
            <w:tcMar>
              <w:top w:w="40" w:type="dxa"/>
              <w:left w:w="80" w:type="dxa"/>
              <w:bottom w:w="40" w:type="dxa"/>
              <w:right w:w="80" w:type="dxa"/>
            </w:tcMar>
            <w:textDirection w:val="btLr"/>
            <w:vAlign w:val="center"/>
          </w:tcPr>
          <w:p w14:paraId="3EA246FF" w14:textId="77777777" w:rsidR="005F0A67" w:rsidRPr="005F0A67" w:rsidRDefault="005F0A67" w:rsidP="005F0A67">
            <w:pPr>
              <w:tabs>
                <w:tab w:val="clear" w:pos="567"/>
                <w:tab w:val="clear" w:pos="1134"/>
                <w:tab w:val="clear" w:pos="1701"/>
                <w:tab w:val="clear" w:pos="2268"/>
              </w:tabs>
              <w:spacing w:after="60"/>
              <w:ind w:left="113" w:right="113"/>
              <w:jc w:val="center"/>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b/>
                <w:bCs/>
                <w:sz w:val="18"/>
                <w:szCs w:val="18"/>
                <w:lang w:val="en-CA" w:eastAsia="en-GB"/>
              </w:rPr>
              <w:t>Access to risk capital</w:t>
            </w:r>
          </w:p>
        </w:tc>
        <w:tc>
          <w:tcPr>
            <w:tcW w:w="2173" w:type="dxa"/>
            <w:tcBorders>
              <w:top w:val="single" w:sz="1" w:space="0" w:color="AAAAAA"/>
              <w:left w:val="single" w:sz="1" w:space="0" w:color="AAAAAA"/>
              <w:bottom w:val="single" w:sz="1" w:space="0" w:color="AAAAAA"/>
              <w:right w:val="single" w:sz="1" w:space="0" w:color="AAAAAA"/>
            </w:tcBorders>
            <w:shd w:val="clear" w:color="auto" w:fill="D9F2D0"/>
            <w:tcMar>
              <w:top w:w="40" w:type="dxa"/>
              <w:left w:w="80" w:type="dxa"/>
              <w:bottom w:w="40" w:type="dxa"/>
              <w:right w:w="80" w:type="dxa"/>
            </w:tcMar>
            <w:vAlign w:val="center"/>
          </w:tcPr>
          <w:p w14:paraId="728A8644" w14:textId="77777777" w:rsidR="005F0A67" w:rsidRPr="005F0A67" w:rsidRDefault="005F0A67" w:rsidP="005F0A67">
            <w:pPr>
              <w:tabs>
                <w:tab w:val="clear" w:pos="567"/>
                <w:tab w:val="clear" w:pos="1134"/>
                <w:tab w:val="clear" w:pos="1701"/>
                <w:tab w:val="clear" w:pos="2268"/>
              </w:tabs>
              <w:spacing w:after="60"/>
              <w:jc w:val="center"/>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All sectors &amp; all firm types</w:t>
            </w:r>
          </w:p>
        </w:tc>
        <w:tc>
          <w:tcPr>
            <w:tcW w:w="2173" w:type="dxa"/>
            <w:tcBorders>
              <w:top w:val="single" w:sz="1" w:space="0" w:color="AAAAAA"/>
              <w:left w:val="single" w:sz="1" w:space="0" w:color="AAAAAA"/>
              <w:bottom w:val="single" w:sz="1" w:space="0" w:color="AAAAAA"/>
              <w:right w:val="single" w:sz="1" w:space="0" w:color="AAAAAA"/>
            </w:tcBorders>
            <w:shd w:val="clear" w:color="auto" w:fill="D9D9D9"/>
            <w:tcMar>
              <w:top w:w="40" w:type="dxa"/>
              <w:left w:w="80" w:type="dxa"/>
              <w:bottom w:w="40" w:type="dxa"/>
              <w:right w:w="80" w:type="dxa"/>
            </w:tcMar>
          </w:tcPr>
          <w:p w14:paraId="474DD28B"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p>
        </w:tc>
        <w:tc>
          <w:tcPr>
            <w:tcW w:w="2173" w:type="dxa"/>
            <w:tcBorders>
              <w:top w:val="single" w:sz="1" w:space="0" w:color="AAAAAA"/>
              <w:left w:val="single" w:sz="1" w:space="0" w:color="AAAAAA"/>
              <w:bottom w:val="single" w:sz="1" w:space="0" w:color="AAAAAA"/>
              <w:right w:val="single" w:sz="1" w:space="0" w:color="AAAAAA"/>
            </w:tcBorders>
            <w:shd w:val="clear" w:color="auto" w:fill="D9D9D9"/>
            <w:tcMar>
              <w:top w:w="40" w:type="dxa"/>
              <w:left w:w="80" w:type="dxa"/>
              <w:bottom w:w="40" w:type="dxa"/>
              <w:right w:w="80" w:type="dxa"/>
            </w:tcMar>
          </w:tcPr>
          <w:p w14:paraId="0F92F172"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40" w:type="dxa"/>
              <w:left w:w="80" w:type="dxa"/>
              <w:bottom w:w="40" w:type="dxa"/>
              <w:right w:w="80" w:type="dxa"/>
            </w:tcMar>
          </w:tcPr>
          <w:p w14:paraId="134558D1"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b/>
                <w:bCs/>
                <w:sz w:val="18"/>
                <w:szCs w:val="18"/>
                <w:lang w:val="en-CA" w:eastAsia="en-GB"/>
              </w:rPr>
              <w:t>Low materiality across all sectors and firm types.</w:t>
            </w:r>
            <w:r w:rsidRPr="005F0A67">
              <w:rPr>
                <w:rFonts w:asciiTheme="majorBidi" w:eastAsia="Times New Roman" w:hAnsiTheme="majorBidi" w:cstheme="majorBidi"/>
                <w:sz w:val="18"/>
                <w:szCs w:val="18"/>
                <w:lang w:val="en-CA" w:eastAsia="en-GB"/>
              </w:rPr>
              <w:t xml:space="preserve"> Large well-capitalised firms are unlikely to face investor sensitivity to margin effects at indicative contribution rates. The non-binding design further limits the risk, as firms facing material financing constraints would rationally choose non-participation. Conditional on rate revision. </w:t>
            </w:r>
          </w:p>
          <w:p w14:paraId="666CF874"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 xml:space="preserve">PH: smaller biosimilar developers with high fixed development costs face somewhat higher exposure. </w:t>
            </w:r>
          </w:p>
          <w:p w14:paraId="7D84729F"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 xml:space="preserve">BT: most relevant for early-stage biopharmaceutical innovators, but typically loss-making and therefore exempt under the profit floor. </w:t>
            </w:r>
          </w:p>
          <w:p w14:paraId="5D2E40F6"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 xml:space="preserve">APB: smaller breeders and aquaculture firms with constrained capital access most exposed within Low. </w:t>
            </w:r>
          </w:p>
          <w:p w14:paraId="527EF94E"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NU: thin margins create the most plausible risk within the Low assessment.</w:t>
            </w:r>
          </w:p>
        </w:tc>
      </w:tr>
      <w:tr w:rsidR="005F0A67" w:rsidRPr="005F0A67" w14:paraId="2D460F3B" w14:textId="77777777" w:rsidTr="005F0A67">
        <w:trPr>
          <w:cantSplit/>
          <w:trHeight w:val="1134"/>
        </w:trPr>
        <w:tc>
          <w:tcPr>
            <w:tcW w:w="0" w:type="auto"/>
            <w:tcBorders>
              <w:top w:val="single" w:sz="1" w:space="0" w:color="AAAAAA"/>
              <w:left w:val="single" w:sz="1" w:space="0" w:color="AAAAAA"/>
              <w:bottom w:val="single" w:sz="1" w:space="0" w:color="AAAAAA"/>
              <w:right w:val="single" w:sz="1" w:space="0" w:color="AAAAAA"/>
            </w:tcBorders>
            <w:shd w:val="clear" w:color="auto" w:fill="FFFFFF"/>
            <w:tcMar>
              <w:top w:w="40" w:type="dxa"/>
              <w:left w:w="80" w:type="dxa"/>
              <w:bottom w:w="40" w:type="dxa"/>
              <w:right w:w="80" w:type="dxa"/>
            </w:tcMar>
            <w:textDirection w:val="btLr"/>
            <w:vAlign w:val="center"/>
          </w:tcPr>
          <w:p w14:paraId="61455B6D" w14:textId="77777777" w:rsidR="005F0A67" w:rsidRPr="005F0A67" w:rsidRDefault="005F0A67" w:rsidP="005F0A67">
            <w:pPr>
              <w:tabs>
                <w:tab w:val="clear" w:pos="567"/>
                <w:tab w:val="clear" w:pos="1134"/>
                <w:tab w:val="clear" w:pos="1701"/>
                <w:tab w:val="clear" w:pos="2268"/>
              </w:tabs>
              <w:spacing w:after="60"/>
              <w:ind w:left="113" w:right="113"/>
              <w:jc w:val="center"/>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b/>
                <w:bCs/>
                <w:sz w:val="18"/>
                <w:szCs w:val="18"/>
                <w:lang w:val="en-CA" w:eastAsia="en-GB"/>
              </w:rPr>
              <w:t>Certainty and predictability</w:t>
            </w:r>
          </w:p>
        </w:tc>
        <w:tc>
          <w:tcPr>
            <w:tcW w:w="2173" w:type="dxa"/>
            <w:tcBorders>
              <w:top w:val="single" w:sz="1" w:space="0" w:color="AAAAAA"/>
              <w:left w:val="single" w:sz="1" w:space="0" w:color="AAAAAA"/>
              <w:bottom w:val="single" w:sz="1" w:space="0" w:color="AAAAAA"/>
              <w:right w:val="single" w:sz="1" w:space="0" w:color="AAAAAA"/>
            </w:tcBorders>
            <w:shd w:val="clear" w:color="auto" w:fill="D9F2D0"/>
            <w:tcMar>
              <w:top w:w="40" w:type="dxa"/>
              <w:left w:w="80" w:type="dxa"/>
              <w:bottom w:w="40" w:type="dxa"/>
              <w:right w:w="80" w:type="dxa"/>
            </w:tcMar>
            <w:vAlign w:val="center"/>
          </w:tcPr>
          <w:p w14:paraId="3CD13D63"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 xml:space="preserve">PH: generics producers, biosimilars producers; </w:t>
            </w:r>
          </w:p>
          <w:p w14:paraId="422CE22C"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 xml:space="preserve">BT: molecular diagnostics, industrial biotechnology, R&amp;D service and platform organisations; </w:t>
            </w:r>
          </w:p>
          <w:p w14:paraId="4EED7857"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 xml:space="preserve">APB: vegetable/horticultural breeders, animal breeders; </w:t>
            </w:r>
          </w:p>
          <w:p w14:paraId="072E90F4"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 xml:space="preserve">NU: all firm types; </w:t>
            </w:r>
          </w:p>
          <w:p w14:paraId="207B90F9"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 xml:space="preserve">IA: all firm types; </w:t>
            </w:r>
          </w:p>
          <w:p w14:paraId="3F755A01"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 xml:space="preserve">CO: downstream branded cosmetics firms; </w:t>
            </w:r>
          </w:p>
          <w:p w14:paraId="140A9F06"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LE: all firm types.</w:t>
            </w:r>
          </w:p>
          <w:p w14:paraId="768367AB"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p>
        </w:tc>
        <w:tc>
          <w:tcPr>
            <w:tcW w:w="2173" w:type="dxa"/>
            <w:tcBorders>
              <w:top w:val="single" w:sz="1" w:space="0" w:color="AAAAAA"/>
              <w:left w:val="single" w:sz="1" w:space="0" w:color="AAAAAA"/>
              <w:bottom w:val="single" w:sz="1" w:space="0" w:color="AAAAAA"/>
              <w:right w:val="single" w:sz="1" w:space="0" w:color="AAAAAA"/>
            </w:tcBorders>
            <w:shd w:val="clear" w:color="auto" w:fill="FEF9CC"/>
            <w:tcMar>
              <w:top w:w="40" w:type="dxa"/>
              <w:left w:w="80" w:type="dxa"/>
              <w:bottom w:w="40" w:type="dxa"/>
              <w:right w:w="80" w:type="dxa"/>
            </w:tcMar>
            <w:vAlign w:val="center"/>
          </w:tcPr>
          <w:p w14:paraId="2A2CF7B2"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 xml:space="preserve">PH: innovators; </w:t>
            </w:r>
          </w:p>
          <w:p w14:paraId="1A2722C9"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 xml:space="preserve">BT: biopharmaceutical innovators; </w:t>
            </w:r>
          </w:p>
          <w:p w14:paraId="6A6E388E"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APB: large seed multinationals;</w:t>
            </w:r>
          </w:p>
          <w:p w14:paraId="217CA0FD"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CO: upstream active ingredient developers</w:t>
            </w:r>
          </w:p>
        </w:tc>
        <w:tc>
          <w:tcPr>
            <w:tcW w:w="2173" w:type="dxa"/>
            <w:tcBorders>
              <w:top w:val="single" w:sz="1" w:space="0" w:color="AAAAAA"/>
              <w:left w:val="single" w:sz="1" w:space="0" w:color="AAAAAA"/>
              <w:bottom w:val="single" w:sz="1" w:space="0" w:color="AAAAAA"/>
              <w:right w:val="single" w:sz="1" w:space="0" w:color="AAAAAA"/>
            </w:tcBorders>
            <w:shd w:val="clear" w:color="auto" w:fill="D9D9D9"/>
            <w:tcMar>
              <w:top w:w="40" w:type="dxa"/>
              <w:left w:w="80" w:type="dxa"/>
              <w:bottom w:w="40" w:type="dxa"/>
              <w:right w:w="80" w:type="dxa"/>
            </w:tcMar>
          </w:tcPr>
          <w:p w14:paraId="4538D7FC"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40" w:type="dxa"/>
              <w:left w:w="80" w:type="dxa"/>
              <w:bottom w:w="40" w:type="dxa"/>
              <w:right w:w="80" w:type="dxa"/>
            </w:tcMar>
          </w:tcPr>
          <w:p w14:paraId="30C2C2BA"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b/>
                <w:bCs/>
                <w:sz w:val="18"/>
                <w:szCs w:val="18"/>
                <w:lang w:val="en-CA" w:eastAsia="en-GB"/>
              </w:rPr>
              <w:t xml:space="preserve">Low to Moderate depending on R&amp;D horizon length and DSI access dependency. </w:t>
            </w:r>
            <w:r w:rsidRPr="005F0A67">
              <w:rPr>
                <w:rFonts w:asciiTheme="majorBidi" w:eastAsia="Times New Roman" w:hAnsiTheme="majorBidi" w:cstheme="majorBidi"/>
                <w:sz w:val="18"/>
                <w:szCs w:val="18"/>
                <w:lang w:val="en-CA" w:eastAsia="en-GB"/>
              </w:rPr>
              <w:t xml:space="preserve">The non-binding design means uncertainty primarily deters participation rather than investment. For sectors with long R&amp;D horizons, unresolved design parameters create background regulatory uncertainty that may delay participation decisions. Conditional on certificate of contribution legal value (U6), rate revision, and potential obligation stacking (U7). </w:t>
            </w:r>
          </w:p>
          <w:p w14:paraId="3AB52DCA"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 xml:space="preserve">PH: Moderate for research-intensive producers given long pipeline horizons and potential WHO PABS overlap. </w:t>
            </w:r>
          </w:p>
          <w:p w14:paraId="53AA7E84"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 xml:space="preserve">BT: Moderate for biopharmaceutical innovators; Low for shorter-cycle sub-sectors. </w:t>
            </w:r>
          </w:p>
          <w:p w14:paraId="4EC46984"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 xml:space="preserve">APB: Moderate for large seed multinationals given ITPGRFA stacking uncertainty and long programme commitments. </w:t>
            </w:r>
          </w:p>
          <w:p w14:paraId="6010C571"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CO: Moderate for upstream ingredient developers where ABS governance fragmentation is already the primary constraint on long-term innovation investment</w:t>
            </w:r>
          </w:p>
          <w:p w14:paraId="7E736DBE"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IA: direct vs indirect use boundary creates participation uncertainty but investment not materially affected at indicative rates.</w:t>
            </w:r>
          </w:p>
        </w:tc>
      </w:tr>
      <w:tr w:rsidR="005F0A67" w:rsidRPr="005F0A67" w14:paraId="1D9602A9" w14:textId="77777777" w:rsidTr="00FB671B">
        <w:tc>
          <w:tcPr>
            <w:tcW w:w="0" w:type="auto"/>
            <w:gridSpan w:val="5"/>
            <w:tcBorders>
              <w:top w:val="single" w:sz="1" w:space="0" w:color="AAAAAA"/>
              <w:left w:val="single" w:sz="1" w:space="0" w:color="AAAAAA"/>
              <w:bottom w:val="single" w:sz="1" w:space="0" w:color="AAAAAA"/>
              <w:right w:val="single" w:sz="1" w:space="0" w:color="AAAAAA"/>
            </w:tcBorders>
            <w:shd w:val="clear" w:color="auto" w:fill="D6E4F0"/>
            <w:tcMar>
              <w:top w:w="40" w:type="dxa"/>
              <w:left w:w="80" w:type="dxa"/>
              <w:bottom w:w="40" w:type="dxa"/>
              <w:right w:w="80" w:type="dxa"/>
            </w:tcMar>
          </w:tcPr>
          <w:p w14:paraId="73C311FD"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b/>
                <w:bCs/>
                <w:sz w:val="18"/>
                <w:szCs w:val="18"/>
                <w:lang w:val="en-CA" w:eastAsia="en-GB"/>
              </w:rPr>
              <w:lastRenderedPageBreak/>
              <w:t>Pillar III: International competitiveness</w:t>
            </w:r>
          </w:p>
        </w:tc>
      </w:tr>
      <w:tr w:rsidR="005F0A67" w:rsidRPr="005F0A67" w14:paraId="2C9F5A6F" w14:textId="77777777" w:rsidTr="005F0A67">
        <w:trPr>
          <w:cantSplit/>
          <w:trHeight w:val="1134"/>
        </w:trPr>
        <w:tc>
          <w:tcPr>
            <w:tcW w:w="0" w:type="auto"/>
            <w:tcBorders>
              <w:top w:val="single" w:sz="1" w:space="0" w:color="AAAAAA"/>
              <w:left w:val="single" w:sz="1" w:space="0" w:color="AAAAAA"/>
              <w:bottom w:val="single" w:sz="1" w:space="0" w:color="AAAAAA"/>
              <w:right w:val="single" w:sz="1" w:space="0" w:color="AAAAAA"/>
            </w:tcBorders>
            <w:shd w:val="clear" w:color="auto" w:fill="FFFFFF"/>
            <w:tcMar>
              <w:top w:w="40" w:type="dxa"/>
              <w:left w:w="80" w:type="dxa"/>
              <w:bottom w:w="40" w:type="dxa"/>
              <w:right w:w="80" w:type="dxa"/>
            </w:tcMar>
            <w:textDirection w:val="btLr"/>
            <w:vAlign w:val="center"/>
          </w:tcPr>
          <w:p w14:paraId="1EF0C8AA" w14:textId="77777777" w:rsidR="005F0A67" w:rsidRPr="005F0A67" w:rsidRDefault="005F0A67" w:rsidP="005F0A67">
            <w:pPr>
              <w:tabs>
                <w:tab w:val="clear" w:pos="567"/>
                <w:tab w:val="clear" w:pos="1134"/>
                <w:tab w:val="clear" w:pos="1701"/>
                <w:tab w:val="clear" w:pos="2268"/>
              </w:tabs>
              <w:spacing w:after="60"/>
              <w:ind w:left="113" w:right="113"/>
              <w:jc w:val="center"/>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b/>
                <w:bCs/>
                <w:sz w:val="18"/>
                <w:szCs w:val="18"/>
                <w:lang w:val="en-CA" w:eastAsia="en-GB"/>
              </w:rPr>
              <w:t>Competitive position vs non-Party competitors</w:t>
            </w:r>
          </w:p>
        </w:tc>
        <w:tc>
          <w:tcPr>
            <w:tcW w:w="2173" w:type="dxa"/>
            <w:tcBorders>
              <w:top w:val="single" w:sz="1" w:space="0" w:color="AAAAAA"/>
              <w:left w:val="single" w:sz="1" w:space="0" w:color="AAAAAA"/>
              <w:bottom w:val="single" w:sz="1" w:space="0" w:color="AAAAAA"/>
              <w:right w:val="single" w:sz="1" w:space="0" w:color="AAAAAA"/>
            </w:tcBorders>
            <w:shd w:val="clear" w:color="auto" w:fill="D9F2D0"/>
            <w:tcMar>
              <w:top w:w="40" w:type="dxa"/>
              <w:left w:w="80" w:type="dxa"/>
              <w:bottom w:w="40" w:type="dxa"/>
              <w:right w:w="80" w:type="dxa"/>
            </w:tcMar>
            <w:vAlign w:val="center"/>
          </w:tcPr>
          <w:p w14:paraId="164EEF3D"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BT: molecular diagnostics, R&amp;D service and platform organisations;</w:t>
            </w:r>
          </w:p>
          <w:p w14:paraId="6D3CA397"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 xml:space="preserve">APB: vegetable/horticultural breeders; </w:t>
            </w:r>
          </w:p>
          <w:p w14:paraId="4A5CCD0B"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 xml:space="preserve">NU: all firm types; </w:t>
            </w:r>
          </w:p>
          <w:p w14:paraId="6532FC21"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 xml:space="preserve">CO: all firm types; </w:t>
            </w:r>
          </w:p>
          <w:p w14:paraId="6FFF75B9"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IA: indirect DSI service providers.</w:t>
            </w:r>
          </w:p>
        </w:tc>
        <w:tc>
          <w:tcPr>
            <w:tcW w:w="2173" w:type="dxa"/>
            <w:tcBorders>
              <w:top w:val="single" w:sz="1" w:space="0" w:color="AAAAAA"/>
              <w:left w:val="single" w:sz="1" w:space="0" w:color="AAAAAA"/>
              <w:bottom w:val="single" w:sz="1" w:space="0" w:color="AAAAAA"/>
              <w:right w:val="single" w:sz="1" w:space="0" w:color="AAAAAA"/>
            </w:tcBorders>
            <w:shd w:val="clear" w:color="auto" w:fill="FEF9CC"/>
            <w:tcMar>
              <w:top w:w="40" w:type="dxa"/>
              <w:left w:w="80" w:type="dxa"/>
              <w:bottom w:w="40" w:type="dxa"/>
              <w:right w:w="80" w:type="dxa"/>
            </w:tcMar>
            <w:vAlign w:val="center"/>
          </w:tcPr>
          <w:p w14:paraId="36541E16"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 xml:space="preserve">PH: generics producers, biosimilars producers; BT: industrial biotechnology; </w:t>
            </w:r>
          </w:p>
          <w:p w14:paraId="541310C7"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APB: animal breeders; IA: indirect DSI service providers.</w:t>
            </w:r>
          </w:p>
        </w:tc>
        <w:tc>
          <w:tcPr>
            <w:tcW w:w="2173" w:type="dxa"/>
            <w:tcBorders>
              <w:top w:val="single" w:sz="1" w:space="0" w:color="AAAAAA"/>
              <w:left w:val="single" w:sz="1" w:space="0" w:color="AAAAAA"/>
              <w:bottom w:val="single" w:sz="1" w:space="0" w:color="AAAAAA"/>
              <w:right w:val="single" w:sz="1" w:space="0" w:color="AAAAAA"/>
            </w:tcBorders>
            <w:shd w:val="clear" w:color="auto" w:fill="FFDCD8"/>
            <w:tcMar>
              <w:top w:w="40" w:type="dxa"/>
              <w:left w:w="80" w:type="dxa"/>
              <w:bottom w:w="40" w:type="dxa"/>
              <w:right w:w="80" w:type="dxa"/>
            </w:tcMar>
            <w:vAlign w:val="center"/>
          </w:tcPr>
          <w:p w14:paraId="7A777383"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 xml:space="preserve">PH: innovators; </w:t>
            </w:r>
          </w:p>
          <w:p w14:paraId="539764E5"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 xml:space="preserve">BT: biopharmaceutical innovators; </w:t>
            </w:r>
          </w:p>
          <w:p w14:paraId="72068C37"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 xml:space="preserve">APB: large seed multinationals; </w:t>
            </w:r>
          </w:p>
          <w:p w14:paraId="003E10D2"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 xml:space="preserve">IA: direct DSI service providers; </w:t>
            </w:r>
          </w:p>
          <w:p w14:paraId="6817FF0F"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LE: all firm types.</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40" w:type="dxa"/>
              <w:left w:w="80" w:type="dxa"/>
              <w:bottom w:w="40" w:type="dxa"/>
              <w:right w:w="80" w:type="dxa"/>
            </w:tcMar>
          </w:tcPr>
          <w:p w14:paraId="7BA0DA2F"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b/>
                <w:bCs/>
                <w:sz w:val="18"/>
                <w:szCs w:val="18"/>
                <w:lang w:val="en-CA" w:eastAsia="en-GB"/>
              </w:rPr>
              <w:t>High to Moderate depending on non-CBD-Party competitor presence</w:t>
            </w:r>
            <w:r w:rsidRPr="005F0A67">
              <w:rPr>
                <w:rFonts w:asciiTheme="majorBidi" w:eastAsia="Times New Roman" w:hAnsiTheme="majorBidi" w:cstheme="majorBidi"/>
                <w:sz w:val="18"/>
                <w:szCs w:val="18"/>
                <w:lang w:val="en-CA" w:eastAsia="en-GB"/>
              </w:rPr>
              <w:t xml:space="preserve">. The US accounts for a dominant share of several key markets and is not a CBD Party. This structural asymmetry is permanent under the current mechanism design and is the single most significant cross-cutting competitive risk in this assessment. Conditional on national implementation divergence (U8) and participation rate among sector peers. </w:t>
            </w:r>
          </w:p>
          <w:p w14:paraId="64DF2F57"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 xml:space="preserve">PH: High for innovators (US 53.2% of global prescription market); Moderate for generics and biosimilars given US generic and biosimilar market presence. </w:t>
            </w:r>
          </w:p>
          <w:p w14:paraId="6127F698"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 xml:space="preserve">BT: High for biopharmaceutical innovators (US 48% of global biologics market); Moderate for industrial biotech (petrochemical competitor dominance). </w:t>
            </w:r>
          </w:p>
          <w:p w14:paraId="552C04D4"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 xml:space="preserve">APB: High for large seed multinationals (US 42.5% top five seed market share); Moderate for animal breeders (North America dominant in animal genetics supply). </w:t>
            </w:r>
          </w:p>
          <w:p w14:paraId="14C20A2A"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 xml:space="preserve">IA: High for direct DSI service providers (AWS, Google Cloud, Azure capture 63% of global cloud market). </w:t>
            </w:r>
          </w:p>
          <w:p w14:paraId="730CBC3B"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 xml:space="preserve">LE: High for all firm types (North America 38% market share). </w:t>
            </w:r>
          </w:p>
          <w:p w14:paraId="4A9E0E81"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NU/CO: Low, with higher proportion of CBD Party-based competitors limiting non-Party asymmetry</w:t>
            </w:r>
          </w:p>
        </w:tc>
      </w:tr>
      <w:tr w:rsidR="005F0A67" w:rsidRPr="005F0A67" w14:paraId="4C870A26" w14:textId="77777777" w:rsidTr="005F0A67">
        <w:trPr>
          <w:cantSplit/>
          <w:trHeight w:val="1134"/>
        </w:trPr>
        <w:tc>
          <w:tcPr>
            <w:tcW w:w="0" w:type="auto"/>
            <w:tcBorders>
              <w:top w:val="single" w:sz="1" w:space="0" w:color="AAAAAA"/>
              <w:left w:val="single" w:sz="1" w:space="0" w:color="AAAAAA"/>
              <w:bottom w:val="single" w:sz="1" w:space="0" w:color="AAAAAA"/>
              <w:right w:val="single" w:sz="1" w:space="0" w:color="AAAAAA"/>
            </w:tcBorders>
            <w:shd w:val="clear" w:color="auto" w:fill="FFFFFF"/>
            <w:tcMar>
              <w:top w:w="40" w:type="dxa"/>
              <w:left w:w="80" w:type="dxa"/>
              <w:bottom w:w="40" w:type="dxa"/>
              <w:right w:w="80" w:type="dxa"/>
            </w:tcMar>
            <w:textDirection w:val="btLr"/>
            <w:vAlign w:val="center"/>
          </w:tcPr>
          <w:p w14:paraId="785D198E" w14:textId="77777777" w:rsidR="005F0A67" w:rsidRPr="005F0A67" w:rsidRDefault="005F0A67" w:rsidP="005F0A67">
            <w:pPr>
              <w:tabs>
                <w:tab w:val="clear" w:pos="567"/>
                <w:tab w:val="clear" w:pos="1134"/>
                <w:tab w:val="clear" w:pos="1701"/>
                <w:tab w:val="clear" w:pos="2268"/>
              </w:tabs>
              <w:spacing w:after="60"/>
              <w:ind w:left="113" w:right="113"/>
              <w:jc w:val="center"/>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b/>
                <w:bCs/>
                <w:sz w:val="18"/>
                <w:szCs w:val="18"/>
                <w:lang w:val="en-CA" w:eastAsia="en-GB"/>
              </w:rPr>
              <w:t>Export competitiveness</w:t>
            </w:r>
          </w:p>
        </w:tc>
        <w:tc>
          <w:tcPr>
            <w:tcW w:w="2173" w:type="dxa"/>
            <w:tcBorders>
              <w:top w:val="single" w:sz="1" w:space="0" w:color="AAAAAA"/>
              <w:left w:val="single" w:sz="1" w:space="0" w:color="AAAAAA"/>
              <w:bottom w:val="single" w:sz="1" w:space="0" w:color="AAAAAA"/>
              <w:right w:val="single" w:sz="1" w:space="0" w:color="AAAAAA"/>
            </w:tcBorders>
            <w:shd w:val="clear" w:color="auto" w:fill="D9F2D0"/>
            <w:tcMar>
              <w:top w:w="40" w:type="dxa"/>
              <w:left w:w="80" w:type="dxa"/>
              <w:bottom w:w="40" w:type="dxa"/>
              <w:right w:w="80" w:type="dxa"/>
            </w:tcMar>
            <w:vAlign w:val="center"/>
          </w:tcPr>
          <w:p w14:paraId="26AA567F"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 xml:space="preserve">PH: innovators, biosimilars producers; </w:t>
            </w:r>
          </w:p>
          <w:p w14:paraId="6FC50DFE"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 xml:space="preserve">BT: biopharmaceutical innovators, molecular diagnostics, R&amp;D service and platform organisations; </w:t>
            </w:r>
          </w:p>
          <w:p w14:paraId="75B6AA87"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 xml:space="preserve">APB: all firm types; </w:t>
            </w:r>
          </w:p>
          <w:p w14:paraId="7BB8F48D"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 xml:space="preserve">NU: all firm types; </w:t>
            </w:r>
          </w:p>
          <w:p w14:paraId="018ABAA4"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 xml:space="preserve">IA: all firm types; </w:t>
            </w:r>
          </w:p>
          <w:p w14:paraId="4226CAF8"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 xml:space="preserve">CO: all firm types; </w:t>
            </w:r>
          </w:p>
          <w:p w14:paraId="65455812"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LE: all firm types</w:t>
            </w:r>
          </w:p>
        </w:tc>
        <w:tc>
          <w:tcPr>
            <w:tcW w:w="2173" w:type="dxa"/>
            <w:tcBorders>
              <w:top w:val="single" w:sz="1" w:space="0" w:color="AAAAAA"/>
              <w:left w:val="single" w:sz="1" w:space="0" w:color="AAAAAA"/>
              <w:bottom w:val="single" w:sz="1" w:space="0" w:color="AAAAAA"/>
              <w:right w:val="single" w:sz="1" w:space="0" w:color="AAAAAA"/>
            </w:tcBorders>
            <w:shd w:val="clear" w:color="auto" w:fill="FEF9CC"/>
            <w:tcMar>
              <w:top w:w="40" w:type="dxa"/>
              <w:left w:w="80" w:type="dxa"/>
              <w:bottom w:w="40" w:type="dxa"/>
              <w:right w:w="80" w:type="dxa"/>
            </w:tcMar>
            <w:vAlign w:val="center"/>
          </w:tcPr>
          <w:p w14:paraId="305096E3"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 xml:space="preserve">PH: generics </w:t>
            </w:r>
          </w:p>
          <w:p w14:paraId="1EB94EF8"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 xml:space="preserve">BT: industrial biotech; </w:t>
            </w:r>
          </w:p>
          <w:p w14:paraId="46174507"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p>
        </w:tc>
        <w:tc>
          <w:tcPr>
            <w:tcW w:w="2173" w:type="dxa"/>
            <w:tcBorders>
              <w:top w:val="single" w:sz="1" w:space="0" w:color="AAAAAA"/>
              <w:left w:val="single" w:sz="1" w:space="0" w:color="AAAAAA"/>
              <w:bottom w:val="single" w:sz="1" w:space="0" w:color="AAAAAA"/>
              <w:right w:val="single" w:sz="1" w:space="0" w:color="AAAAAA"/>
            </w:tcBorders>
            <w:shd w:val="clear" w:color="auto" w:fill="D9D9D9"/>
            <w:tcMar>
              <w:top w:w="40" w:type="dxa"/>
              <w:left w:w="80" w:type="dxa"/>
              <w:bottom w:w="40" w:type="dxa"/>
              <w:right w:w="80" w:type="dxa"/>
            </w:tcMar>
          </w:tcPr>
          <w:p w14:paraId="05BFFB95"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40" w:type="dxa"/>
              <w:left w:w="80" w:type="dxa"/>
              <w:bottom w:w="40" w:type="dxa"/>
              <w:right w:w="80" w:type="dxa"/>
            </w:tcMar>
          </w:tcPr>
          <w:p w14:paraId="31233508"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b/>
                <w:bCs/>
                <w:sz w:val="18"/>
                <w:szCs w:val="18"/>
                <w:lang w:val="en-CA" w:eastAsia="en-GB"/>
              </w:rPr>
              <w:t>Moderate for sectors with significant export activity where pass-through to export customers is structurally constrained by non-Party competition. Low where market positions are more nationally concentrated or where pass-through capacity exists.</w:t>
            </w:r>
            <w:r w:rsidRPr="005F0A67">
              <w:rPr>
                <w:rFonts w:asciiTheme="majorBidi" w:eastAsia="Times New Roman" w:hAnsiTheme="majorBidi" w:cstheme="majorBidi"/>
                <w:sz w:val="18"/>
                <w:szCs w:val="18"/>
                <w:lang w:val="en-CA" w:eastAsia="en-GB"/>
              </w:rPr>
              <w:t xml:space="preserve"> </w:t>
            </w:r>
          </w:p>
          <w:p w14:paraId="2EB64CB3"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 xml:space="preserve">PH: Moderate for generics producers in price-driven export tender markets; Low for innovators and biosimilars. </w:t>
            </w:r>
          </w:p>
          <w:p w14:paraId="22A92BDF"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 xml:space="preserve">BT: Moderate for industrial biotech competing against petrochemical alternatives in export markets; Low for biopharmaceutical innovators given some regulated market pass-through capacity. </w:t>
            </w:r>
          </w:p>
          <w:p w14:paraId="4F04D05E"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 xml:space="preserve">APB: Low for all firm types given price-sensitive agricultural export markets and limited pass-through. </w:t>
            </w:r>
          </w:p>
          <w:p w14:paraId="06BA957F"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 xml:space="preserve">IA: Low for all firm types. </w:t>
            </w:r>
          </w:p>
          <w:p w14:paraId="3F05D977"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 xml:space="preserve">CO: Low for both firm types. </w:t>
            </w:r>
          </w:p>
          <w:p w14:paraId="5E748A23"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 xml:space="preserve">NU: Low given nationally concentrated market positions. </w:t>
            </w:r>
          </w:p>
          <w:p w14:paraId="37E44DBC"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LE: Low for all firm types.</w:t>
            </w:r>
          </w:p>
        </w:tc>
      </w:tr>
      <w:tr w:rsidR="005F0A67" w:rsidRPr="005F0A67" w14:paraId="77FF3DE8" w14:textId="77777777" w:rsidTr="005F0A67">
        <w:trPr>
          <w:cantSplit/>
          <w:trHeight w:val="1134"/>
        </w:trPr>
        <w:tc>
          <w:tcPr>
            <w:tcW w:w="0" w:type="auto"/>
            <w:tcBorders>
              <w:top w:val="single" w:sz="1" w:space="0" w:color="AAAAAA"/>
              <w:left w:val="single" w:sz="1" w:space="0" w:color="AAAAAA"/>
              <w:bottom w:val="single" w:sz="1" w:space="0" w:color="AAAAAA"/>
              <w:right w:val="single" w:sz="1" w:space="0" w:color="AAAAAA"/>
            </w:tcBorders>
            <w:shd w:val="clear" w:color="auto" w:fill="FFFFFF"/>
            <w:tcMar>
              <w:top w:w="40" w:type="dxa"/>
              <w:left w:w="80" w:type="dxa"/>
              <w:bottom w:w="40" w:type="dxa"/>
              <w:right w:w="80" w:type="dxa"/>
            </w:tcMar>
            <w:textDirection w:val="btLr"/>
            <w:vAlign w:val="center"/>
          </w:tcPr>
          <w:p w14:paraId="739D405F" w14:textId="77777777" w:rsidR="005F0A67" w:rsidRPr="005F0A67" w:rsidRDefault="005F0A67" w:rsidP="005F0A67">
            <w:pPr>
              <w:tabs>
                <w:tab w:val="clear" w:pos="567"/>
                <w:tab w:val="clear" w:pos="1134"/>
                <w:tab w:val="clear" w:pos="1701"/>
                <w:tab w:val="clear" w:pos="2268"/>
              </w:tabs>
              <w:spacing w:after="60"/>
              <w:ind w:left="113" w:right="113"/>
              <w:jc w:val="center"/>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b/>
                <w:bCs/>
                <w:sz w:val="18"/>
                <w:szCs w:val="18"/>
                <w:lang w:val="en-CA" w:eastAsia="en-GB"/>
              </w:rPr>
              <w:lastRenderedPageBreak/>
              <w:t>International standards and regulatory dialogues</w:t>
            </w:r>
          </w:p>
        </w:tc>
        <w:tc>
          <w:tcPr>
            <w:tcW w:w="2173" w:type="dxa"/>
            <w:tcBorders>
              <w:top w:val="single" w:sz="1" w:space="0" w:color="AAAAAA"/>
              <w:left w:val="single" w:sz="1" w:space="0" w:color="AAAAAA"/>
              <w:bottom w:val="single" w:sz="1" w:space="0" w:color="AAAAAA"/>
              <w:right w:val="single" w:sz="1" w:space="0" w:color="AAAAAA"/>
            </w:tcBorders>
            <w:shd w:val="clear" w:color="auto" w:fill="D9F2D0"/>
            <w:tcMar>
              <w:top w:w="40" w:type="dxa"/>
              <w:left w:w="80" w:type="dxa"/>
              <w:bottom w:w="40" w:type="dxa"/>
              <w:right w:w="80" w:type="dxa"/>
            </w:tcMar>
            <w:vAlign w:val="center"/>
          </w:tcPr>
          <w:p w14:paraId="72BB8447"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 xml:space="preserve">PH: generics producers, biosimilars producers; BT: molecular diagnostics, industrial biotechnology, R&amp;D service and platform organisations; </w:t>
            </w:r>
          </w:p>
          <w:p w14:paraId="1ECE9D18"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 xml:space="preserve">APB: vegetable/horticultural breeders, animal breeders; </w:t>
            </w:r>
          </w:p>
          <w:p w14:paraId="776D5A96"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 xml:space="preserve">NU: all firm types; </w:t>
            </w:r>
          </w:p>
          <w:p w14:paraId="39392786"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 xml:space="preserve">CO: all firm types; </w:t>
            </w:r>
          </w:p>
          <w:p w14:paraId="60AE2368"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 xml:space="preserve">IA: indirect DSI service providers; </w:t>
            </w:r>
          </w:p>
          <w:p w14:paraId="139143EC"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LE: all firm types.</w:t>
            </w:r>
          </w:p>
        </w:tc>
        <w:tc>
          <w:tcPr>
            <w:tcW w:w="2173" w:type="dxa"/>
            <w:tcBorders>
              <w:top w:val="single" w:sz="1" w:space="0" w:color="AAAAAA"/>
              <w:left w:val="single" w:sz="1" w:space="0" w:color="AAAAAA"/>
              <w:bottom w:val="single" w:sz="1" w:space="0" w:color="AAAAAA"/>
              <w:right w:val="single" w:sz="1" w:space="0" w:color="AAAAAA"/>
            </w:tcBorders>
            <w:shd w:val="clear" w:color="auto" w:fill="FEF9CC"/>
            <w:tcMar>
              <w:top w:w="40" w:type="dxa"/>
              <w:left w:w="80" w:type="dxa"/>
              <w:bottom w:w="40" w:type="dxa"/>
              <w:right w:w="80" w:type="dxa"/>
            </w:tcMar>
            <w:vAlign w:val="center"/>
          </w:tcPr>
          <w:p w14:paraId="46E760DE"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 xml:space="preserve">PH: innovators; </w:t>
            </w:r>
          </w:p>
          <w:p w14:paraId="357BFDF7"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 xml:space="preserve">BT: biopharmaceutical innovators; </w:t>
            </w:r>
          </w:p>
          <w:p w14:paraId="70CAB3FC"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 xml:space="preserve">APB: large seed multinationals; </w:t>
            </w:r>
          </w:p>
          <w:p w14:paraId="2B67C0C9"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IA: direct DSI service providers.</w:t>
            </w:r>
          </w:p>
        </w:tc>
        <w:tc>
          <w:tcPr>
            <w:tcW w:w="2173" w:type="dxa"/>
            <w:tcBorders>
              <w:top w:val="single" w:sz="1" w:space="0" w:color="AAAAAA"/>
              <w:left w:val="single" w:sz="1" w:space="0" w:color="AAAAAA"/>
              <w:bottom w:val="single" w:sz="1" w:space="0" w:color="AAAAAA"/>
              <w:right w:val="single" w:sz="1" w:space="0" w:color="AAAAAA"/>
            </w:tcBorders>
            <w:shd w:val="clear" w:color="auto" w:fill="D9D9D9"/>
            <w:tcMar>
              <w:top w:w="40" w:type="dxa"/>
              <w:left w:w="80" w:type="dxa"/>
              <w:bottom w:w="40" w:type="dxa"/>
              <w:right w:w="80" w:type="dxa"/>
            </w:tcMar>
            <w:vAlign w:val="center"/>
          </w:tcPr>
          <w:p w14:paraId="465BAAC6"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40" w:type="dxa"/>
              <w:left w:w="80" w:type="dxa"/>
              <w:bottom w:w="40" w:type="dxa"/>
              <w:right w:w="80" w:type="dxa"/>
            </w:tcMar>
          </w:tcPr>
          <w:p w14:paraId="45B339E8"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b/>
                <w:bCs/>
                <w:sz w:val="18"/>
                <w:szCs w:val="18"/>
                <w:lang w:val="en-CA" w:eastAsia="en-GB"/>
              </w:rPr>
              <w:t>Low across most sectors; Moderate for sectors subject to overlapping international frameworks</w:t>
            </w:r>
            <w:r w:rsidRPr="005F0A67">
              <w:rPr>
                <w:rFonts w:asciiTheme="majorBidi" w:eastAsia="Times New Roman" w:hAnsiTheme="majorBidi" w:cstheme="majorBidi"/>
                <w:sz w:val="18"/>
                <w:szCs w:val="18"/>
                <w:lang w:val="en-CA" w:eastAsia="en-GB"/>
              </w:rPr>
              <w:t xml:space="preserve">. </w:t>
            </w:r>
          </w:p>
          <w:p w14:paraId="07C15A2B"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 xml:space="preserve">PH: Moderate for innovators given WHO PABS dual-framework obligations for vaccine producers and biopharmaceutical innovators. </w:t>
            </w:r>
          </w:p>
          <w:p w14:paraId="1FACD1C7"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 xml:space="preserve">BT: Moderate for biopharmaceutical innovators with pathogen-adjacent activities. </w:t>
            </w:r>
          </w:p>
          <w:p w14:paraId="43F894F0"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 xml:space="preserve">APB: Moderate for large seed multinationals navigating ITPGRFA obligations for crops covered by both instruments. </w:t>
            </w:r>
          </w:p>
          <w:p w14:paraId="32768644"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 xml:space="preserve">IA: Moderate for direct DSI service providers given interoperability standards and open data framework co-ordination needs. </w:t>
            </w:r>
          </w:p>
          <w:p w14:paraId="0809B8B2"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All other sectors and firm types Low.</w:t>
            </w:r>
          </w:p>
        </w:tc>
      </w:tr>
      <w:tr w:rsidR="005F0A67" w:rsidRPr="005F0A67" w14:paraId="4E167926" w14:textId="77777777" w:rsidTr="005F0A67">
        <w:trPr>
          <w:cantSplit/>
          <w:trHeight w:val="1134"/>
        </w:trPr>
        <w:tc>
          <w:tcPr>
            <w:tcW w:w="0" w:type="auto"/>
            <w:tcBorders>
              <w:top w:val="single" w:sz="1" w:space="0" w:color="AAAAAA"/>
              <w:left w:val="single" w:sz="1" w:space="0" w:color="AAAAAA"/>
              <w:bottom w:val="single" w:sz="1" w:space="0" w:color="AAAAAA"/>
              <w:right w:val="single" w:sz="1" w:space="0" w:color="AAAAAA"/>
            </w:tcBorders>
            <w:shd w:val="clear" w:color="auto" w:fill="FFFFFF"/>
            <w:tcMar>
              <w:top w:w="40" w:type="dxa"/>
              <w:left w:w="80" w:type="dxa"/>
              <w:bottom w:w="40" w:type="dxa"/>
              <w:right w:w="80" w:type="dxa"/>
            </w:tcMar>
            <w:textDirection w:val="btLr"/>
            <w:vAlign w:val="center"/>
          </w:tcPr>
          <w:p w14:paraId="15F6E4CB" w14:textId="77777777" w:rsidR="005F0A67" w:rsidRPr="005F0A67" w:rsidRDefault="005F0A67" w:rsidP="005F0A67">
            <w:pPr>
              <w:tabs>
                <w:tab w:val="clear" w:pos="567"/>
                <w:tab w:val="clear" w:pos="1134"/>
                <w:tab w:val="clear" w:pos="1701"/>
                <w:tab w:val="clear" w:pos="2268"/>
              </w:tabs>
              <w:spacing w:after="60"/>
              <w:ind w:left="113" w:right="113"/>
              <w:jc w:val="center"/>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b/>
                <w:bCs/>
                <w:sz w:val="18"/>
                <w:szCs w:val="18"/>
                <w:lang w:val="en-CA" w:eastAsia="en-GB"/>
              </w:rPr>
              <w:t>FDI and relocation effects</w:t>
            </w:r>
          </w:p>
        </w:tc>
        <w:tc>
          <w:tcPr>
            <w:tcW w:w="2173" w:type="dxa"/>
            <w:tcBorders>
              <w:top w:val="single" w:sz="1" w:space="0" w:color="AAAAAA"/>
              <w:left w:val="single" w:sz="1" w:space="0" w:color="AAAAAA"/>
              <w:bottom w:val="single" w:sz="1" w:space="0" w:color="AAAAAA"/>
              <w:right w:val="single" w:sz="1" w:space="0" w:color="AAAAAA"/>
            </w:tcBorders>
            <w:shd w:val="clear" w:color="auto" w:fill="D9F2D0"/>
            <w:tcMar>
              <w:top w:w="40" w:type="dxa"/>
              <w:left w:w="80" w:type="dxa"/>
              <w:bottom w:w="40" w:type="dxa"/>
              <w:right w:w="80" w:type="dxa"/>
            </w:tcMar>
            <w:vAlign w:val="center"/>
          </w:tcPr>
          <w:p w14:paraId="3BB40ECC" w14:textId="77777777" w:rsidR="005F0A67" w:rsidRPr="005F0A67" w:rsidRDefault="005F0A67" w:rsidP="005F0A67">
            <w:pPr>
              <w:tabs>
                <w:tab w:val="clear" w:pos="567"/>
                <w:tab w:val="clear" w:pos="1134"/>
                <w:tab w:val="clear" w:pos="1701"/>
                <w:tab w:val="clear" w:pos="2268"/>
              </w:tabs>
              <w:spacing w:after="60"/>
              <w:jc w:val="center"/>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All sectors &amp; all firm types</w:t>
            </w:r>
          </w:p>
        </w:tc>
        <w:tc>
          <w:tcPr>
            <w:tcW w:w="2173" w:type="dxa"/>
            <w:tcBorders>
              <w:top w:val="single" w:sz="1" w:space="0" w:color="AAAAAA"/>
              <w:left w:val="single" w:sz="1" w:space="0" w:color="AAAAAA"/>
              <w:bottom w:val="single" w:sz="1" w:space="0" w:color="AAAAAA"/>
              <w:right w:val="single" w:sz="1" w:space="0" w:color="AAAAAA"/>
            </w:tcBorders>
            <w:shd w:val="clear" w:color="auto" w:fill="D9D9D9"/>
            <w:tcMar>
              <w:top w:w="40" w:type="dxa"/>
              <w:left w:w="80" w:type="dxa"/>
              <w:bottom w:w="40" w:type="dxa"/>
              <w:right w:w="80" w:type="dxa"/>
            </w:tcMar>
          </w:tcPr>
          <w:p w14:paraId="05A873CA"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p>
        </w:tc>
        <w:tc>
          <w:tcPr>
            <w:tcW w:w="2173" w:type="dxa"/>
            <w:tcBorders>
              <w:top w:val="single" w:sz="1" w:space="0" w:color="AAAAAA"/>
              <w:left w:val="single" w:sz="1" w:space="0" w:color="AAAAAA"/>
              <w:bottom w:val="single" w:sz="1" w:space="0" w:color="AAAAAA"/>
              <w:right w:val="single" w:sz="1" w:space="0" w:color="AAAAAA"/>
            </w:tcBorders>
            <w:shd w:val="clear" w:color="auto" w:fill="D9D9D9"/>
            <w:tcMar>
              <w:top w:w="40" w:type="dxa"/>
              <w:left w:w="80" w:type="dxa"/>
              <w:bottom w:w="40" w:type="dxa"/>
              <w:right w:w="80" w:type="dxa"/>
            </w:tcMar>
          </w:tcPr>
          <w:p w14:paraId="2A6ED165"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40" w:type="dxa"/>
              <w:left w:w="80" w:type="dxa"/>
              <w:bottom w:w="40" w:type="dxa"/>
              <w:right w:w="80" w:type="dxa"/>
            </w:tcMar>
          </w:tcPr>
          <w:p w14:paraId="7863CE54"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b/>
                <w:bCs/>
                <w:sz w:val="18"/>
                <w:szCs w:val="18"/>
                <w:lang w:val="en-CA" w:eastAsia="en-GB"/>
              </w:rPr>
              <w:t>Low materiality across all sectors and firm types</w:t>
            </w:r>
            <w:r w:rsidRPr="005F0A67">
              <w:rPr>
                <w:rFonts w:asciiTheme="majorBidi" w:eastAsia="Times New Roman" w:hAnsiTheme="majorBidi" w:cstheme="majorBidi"/>
                <w:sz w:val="18"/>
                <w:szCs w:val="18"/>
                <w:lang w:val="en-CA" w:eastAsia="en-GB"/>
              </w:rPr>
              <w:t xml:space="preserve">. The non-binding design means non-participation is available as a less costly alternative to relocation, which constrains plausibility at indicative rates. R&amp;D spending reduction is a more plausible firm response than relocation at a comparable burden level (Lichter et al., 2025). Conditional on rate by the Conference of the Parties. </w:t>
            </w:r>
          </w:p>
          <w:p w14:paraId="27EF6706"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 xml:space="preserve">PH: R&amp;D location effects most plausible at the margin for research-intensive producers with globally distributed discovery operations; manufacturing relocation implausible. </w:t>
            </w:r>
          </w:p>
          <w:p w14:paraId="26502A6C"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 xml:space="preserve">BT: R&amp;D location effects plausible for biopharmaceutical innovators at the margin; industrial biotech manufacturing relocation implausible given scale-up requirements. </w:t>
            </w:r>
          </w:p>
          <w:p w14:paraId="6C783185"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 xml:space="preserve">APB: possible for large seed multinationals with distributed breeding operations; Low probability at indicative rates. </w:t>
            </w:r>
          </w:p>
          <w:p w14:paraId="5A10B5AC" w14:textId="77777777" w:rsidR="005F0A67" w:rsidRPr="005F0A67" w:rsidRDefault="005F0A67" w:rsidP="005F0A67">
            <w:pPr>
              <w:tabs>
                <w:tab w:val="clear" w:pos="567"/>
                <w:tab w:val="clear" w:pos="1134"/>
                <w:tab w:val="clear" w:pos="1701"/>
                <w:tab w:val="clear" w:pos="2268"/>
              </w:tabs>
              <w:spacing w:after="60"/>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IA: most plausible sector for location effects given digital service portability, but still Low at indicative rates.</w:t>
            </w:r>
          </w:p>
        </w:tc>
      </w:tr>
    </w:tbl>
    <w:p w14:paraId="4F3295B3" w14:textId="77777777" w:rsidR="005F0A67" w:rsidRPr="005F0A67" w:rsidRDefault="005F0A67" w:rsidP="005F0A67">
      <w:pPr>
        <w:tabs>
          <w:tab w:val="clear" w:pos="567"/>
          <w:tab w:val="clear" w:pos="1134"/>
          <w:tab w:val="clear" w:pos="1701"/>
          <w:tab w:val="clear" w:pos="2268"/>
        </w:tabs>
        <w:rPr>
          <w:rFonts w:asciiTheme="majorBidi" w:eastAsia="Times New Roman" w:hAnsiTheme="majorBidi" w:cstheme="majorBidi"/>
          <w:i/>
          <w:iCs/>
          <w:sz w:val="18"/>
          <w:szCs w:val="18"/>
          <w:lang w:val="en-CA" w:eastAsia="en-GB"/>
        </w:rPr>
        <w:sectPr w:rsidR="005F0A67" w:rsidRPr="005F0A67" w:rsidSect="005F0A67">
          <w:pgSz w:w="15840" w:h="12240" w:orient="landscape"/>
          <w:pgMar w:top="1260" w:right="1080" w:bottom="1260" w:left="1080" w:header="706" w:footer="706" w:gutter="0"/>
          <w:cols w:space="720"/>
          <w:docGrid w:linePitch="360"/>
        </w:sectPr>
      </w:pPr>
      <w:r w:rsidRPr="005F0A67">
        <w:rPr>
          <w:rFonts w:asciiTheme="majorBidi" w:eastAsia="Times New Roman" w:hAnsiTheme="majorBidi" w:cstheme="majorBidi"/>
          <w:i/>
          <w:iCs/>
          <w:sz w:val="18"/>
          <w:szCs w:val="18"/>
          <w:lang w:val="en-CA" w:eastAsia="en-GB"/>
        </w:rPr>
        <w:t xml:space="preserve">Note: </w:t>
      </w:r>
      <w:r w:rsidRPr="005F0A67">
        <w:rPr>
          <w:rFonts w:asciiTheme="majorBidi" w:eastAsia="Times New Roman" w:hAnsiTheme="majorBidi" w:cstheme="majorBidi"/>
          <w:sz w:val="18"/>
          <w:szCs w:val="18"/>
          <w:lang w:val="en-CA" w:eastAsia="en-GB"/>
        </w:rPr>
        <w:t>Each row lists the sector–firm type combinations recording Low, Moderate, or High materiality respectively. Grey cells indicate that no combination recorded that level for the impact in question. Sector abbreviations: PH = Pharmaceuticals; BT = Biotechnology; APB = Animal and plant breeding; NU = Nutraceuticals; IA = Information and AI; CO = Cosmetics; LE = Laboratory equipment</w:t>
      </w:r>
    </w:p>
    <w:p w14:paraId="62A5C745" w14:textId="77777777" w:rsidR="005F0A67" w:rsidRPr="005F0A67" w:rsidRDefault="005F0A67" w:rsidP="005F0A67">
      <w:pPr>
        <w:numPr>
          <w:ilvl w:val="1"/>
          <w:numId w:val="12"/>
        </w:numPr>
        <w:tabs>
          <w:tab w:val="clear" w:pos="567"/>
          <w:tab w:val="clear" w:pos="1134"/>
          <w:tab w:val="clear" w:pos="1701"/>
          <w:tab w:val="clear" w:pos="2268"/>
        </w:tabs>
        <w:spacing w:before="320" w:after="160"/>
        <w:ind w:left="576" w:hanging="576"/>
        <w:jc w:val="left"/>
        <w:outlineLvl w:val="1"/>
        <w:rPr>
          <w:rFonts w:asciiTheme="majorBidi" w:eastAsia="Arial" w:hAnsiTheme="majorBidi" w:cstheme="majorBidi"/>
          <w:b/>
          <w:bCs/>
          <w:color w:val="1A1A1A"/>
          <w:sz w:val="23"/>
          <w:szCs w:val="23"/>
          <w:lang w:val="en-CA" w:eastAsia="en-GB"/>
        </w:rPr>
      </w:pPr>
      <w:bookmarkStart w:id="259" w:name="_Toc234579622"/>
      <w:r w:rsidRPr="005F0A67">
        <w:rPr>
          <w:rFonts w:asciiTheme="majorBidi" w:eastAsia="Arial" w:hAnsiTheme="majorBidi" w:cstheme="majorBidi"/>
          <w:b/>
          <w:bCs/>
          <w:color w:val="1A1A1A"/>
          <w:sz w:val="23"/>
          <w:szCs w:val="23"/>
          <w:lang w:val="en-CA" w:eastAsia="en-GB"/>
        </w:rPr>
        <w:lastRenderedPageBreak/>
        <w:t>Discussion and implications</w:t>
      </w:r>
      <w:bookmarkEnd w:id="259"/>
      <w:r w:rsidRPr="005F0A67">
        <w:rPr>
          <w:rFonts w:asciiTheme="majorBidi" w:eastAsia="Arial" w:hAnsiTheme="majorBidi" w:cstheme="majorBidi"/>
          <w:b/>
          <w:bCs/>
          <w:color w:val="1A1A1A"/>
          <w:sz w:val="23"/>
          <w:szCs w:val="23"/>
          <w:lang w:val="en-CA" w:eastAsia="en-GB"/>
        </w:rPr>
        <w:t xml:space="preserve"> </w:t>
      </w:r>
    </w:p>
    <w:p w14:paraId="0CDA9AB4"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The findings in Sections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_Ref231420184 \r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7.7</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to </w:t>
      </w:r>
      <w:r w:rsidRPr="005F0A67">
        <w:rPr>
          <w:rFonts w:asciiTheme="majorBidi" w:eastAsia="Times New Roman" w:hAnsiTheme="majorBidi" w:cstheme="majorBidi"/>
          <w:lang w:val="en-CA" w:eastAsia="en-GB"/>
        </w:rPr>
        <w:fldChar w:fldCharType="begin"/>
      </w:r>
      <w:r w:rsidRPr="005F0A67">
        <w:rPr>
          <w:rFonts w:asciiTheme="majorBidi" w:eastAsia="Times New Roman" w:hAnsiTheme="majorBidi" w:cstheme="majorBidi"/>
          <w:lang w:val="en-CA" w:eastAsia="en-GB"/>
        </w:rPr>
        <w:instrText xml:space="preserve"> REF _Ref231897708 \r \h  \* MERGEFORMAT </w:instrText>
      </w:r>
      <w:r w:rsidRPr="005F0A67">
        <w:rPr>
          <w:rFonts w:asciiTheme="majorBidi" w:eastAsia="Times New Roman" w:hAnsiTheme="majorBidi" w:cstheme="majorBidi"/>
          <w:lang w:val="en-CA" w:eastAsia="en-GB"/>
        </w:rPr>
      </w:r>
      <w:r w:rsidRPr="005F0A67">
        <w:rPr>
          <w:rFonts w:asciiTheme="majorBidi" w:eastAsia="Times New Roman" w:hAnsiTheme="majorBidi" w:cstheme="majorBidi"/>
          <w:lang w:val="en-CA" w:eastAsia="en-GB"/>
        </w:rPr>
        <w:fldChar w:fldCharType="separate"/>
      </w:r>
      <w:r w:rsidRPr="005F0A67">
        <w:rPr>
          <w:rFonts w:asciiTheme="majorBidi" w:eastAsia="Times New Roman" w:hAnsiTheme="majorBidi" w:cstheme="majorBidi"/>
          <w:lang w:val="en-CA" w:eastAsia="en-GB"/>
        </w:rPr>
        <w:t>7.13</w:t>
      </w:r>
      <w:r w:rsidRPr="005F0A67">
        <w:rPr>
          <w:rFonts w:asciiTheme="majorBidi" w:eastAsia="Times New Roman" w:hAnsiTheme="majorBidi" w:cstheme="majorBidi"/>
          <w:lang w:val="en-CA" w:eastAsia="en-GB"/>
        </w:rPr>
        <w:fldChar w:fldCharType="end"/>
      </w:r>
      <w:r w:rsidRPr="005F0A67">
        <w:rPr>
          <w:rFonts w:asciiTheme="majorBidi" w:eastAsia="Times New Roman" w:hAnsiTheme="majorBidi" w:cstheme="majorBidi"/>
          <w:lang w:val="en-CA" w:eastAsia="en-GB"/>
        </w:rPr>
        <w:t xml:space="preserve"> point to five key implications for the design decisions open for the Conference of the Parties. They are presented here not as recommendations but as analytical observations about the consequences of the choices before Parties.</w:t>
      </w:r>
    </w:p>
    <w:p w14:paraId="396DAFCD" w14:textId="77777777" w:rsidR="005F0A67" w:rsidRPr="005F0A67" w:rsidRDefault="005F0A67" w:rsidP="003A387A">
      <w:pPr>
        <w:numPr>
          <w:ilvl w:val="0"/>
          <w:numId w:val="48"/>
        </w:numPr>
        <w:tabs>
          <w:tab w:val="clear" w:pos="567"/>
          <w:tab w:val="clear" w:pos="1134"/>
          <w:tab w:val="clear" w:pos="1701"/>
          <w:tab w:val="clear" w:pos="2268"/>
        </w:tabs>
        <w:spacing w:after="180" w:line="292" w:lineRule="auto"/>
        <w:jc w:val="left"/>
        <w:rPr>
          <w:rFonts w:asciiTheme="majorBidi" w:eastAsia="Times New Roman" w:hAnsiTheme="majorBidi" w:cstheme="majorBidi"/>
          <w:lang w:val="en-CA" w:eastAsia="en-GB"/>
        </w:rPr>
      </w:pPr>
      <w:r w:rsidRPr="005F0A67">
        <w:rPr>
          <w:rFonts w:asciiTheme="majorBidi" w:eastAsia="Times New Roman" w:hAnsiTheme="majorBidi" w:cstheme="majorBidi"/>
          <w:b/>
          <w:bCs/>
          <w:lang w:val="en-CA" w:eastAsia="en-GB"/>
        </w:rPr>
        <w:t>The principal competitive risk is structural, not cost-driven, and cannot be resolved through rate adjustment:</w:t>
      </w:r>
      <w:r w:rsidRPr="005F0A67">
        <w:rPr>
          <w:rFonts w:asciiTheme="majorBidi" w:eastAsia="Times New Roman" w:hAnsiTheme="majorBidi" w:cstheme="majorBidi"/>
          <w:lang w:val="en-CA" w:eastAsia="en-GB"/>
        </w:rPr>
        <w:t xml:space="preserve"> across all seven Indicative Enclosure I sectors, the most significant competitive finding is the asymmetry between CBD Party-headquartered firms and US-headquartered rivals that face no equivalent contribution expectation. This asymmetry generates High materiality findings for the most globally active firm types in five of seven sectors and is permanent under the current mechanism design. Revising rates downward would reduce the cost differential but would not eliminate the asymmetry; revising rates upward would widen it. The competitive risk from non-Party presence is therefore a function of scope, not rate, and can only be addressed through mechanisms that either broaden non-Party engagement or compensate contributing firms through the certificate of contribution system in ways that create commercially meaningful differentiation.</w:t>
      </w:r>
    </w:p>
    <w:p w14:paraId="3FFE1F18" w14:textId="77777777" w:rsidR="005F0A67" w:rsidRPr="005F0A67" w:rsidRDefault="005F0A67" w:rsidP="003A387A">
      <w:pPr>
        <w:numPr>
          <w:ilvl w:val="0"/>
          <w:numId w:val="48"/>
        </w:numPr>
        <w:tabs>
          <w:tab w:val="clear" w:pos="567"/>
          <w:tab w:val="clear" w:pos="1134"/>
          <w:tab w:val="clear" w:pos="1701"/>
          <w:tab w:val="clear" w:pos="2268"/>
        </w:tabs>
        <w:spacing w:after="180" w:line="292" w:lineRule="auto"/>
        <w:jc w:val="left"/>
        <w:rPr>
          <w:rFonts w:asciiTheme="majorBidi" w:eastAsia="Times New Roman" w:hAnsiTheme="majorBidi" w:cstheme="majorBidi"/>
          <w:lang w:val="en-CA" w:eastAsia="en-GB"/>
        </w:rPr>
      </w:pPr>
      <w:r w:rsidRPr="005F0A67">
        <w:rPr>
          <w:rFonts w:asciiTheme="majorBidi" w:eastAsia="Times New Roman" w:hAnsiTheme="majorBidi" w:cstheme="majorBidi"/>
          <w:b/>
          <w:bCs/>
          <w:lang w:val="en-CA" w:eastAsia="en-GB"/>
        </w:rPr>
        <w:t>The proportionality concern is the most material design-level competitive risk for several sectors:</w:t>
      </w:r>
      <w:r w:rsidRPr="005F0A67">
        <w:rPr>
          <w:rFonts w:asciiTheme="majorBidi" w:eastAsia="Times New Roman" w:hAnsiTheme="majorBidi" w:cstheme="majorBidi"/>
          <w:lang w:val="en-CA" w:eastAsia="en-GB"/>
        </w:rPr>
        <w:t xml:space="preserve"> the all-in contribution base, which treats firms identically regardless of DSI use intensity, generates disproportionate burdens for firm types with indirect or limited DSI dependence: unbranded generics producers, indirect DSI service providers, general laboratory supplies firms, and nutraceuticals producers. For these groups, the contribution functions effectively as a levy on commercial activity rather than a benefit-sharing obligation linked to DSI use. This is not resolved by rate adjustment and would require either a scope revision that narrows eligibility to firms with demonstrable direct DSI benefit, or a proportionality mechanism within the contribution base. Narrowing the definition of indirect use, or fixing a single point of contribution liability within the value chain, would reduce the risk of the same DSI use being captured at more than one stage.</w:t>
      </w:r>
    </w:p>
    <w:p w14:paraId="12FBAA79" w14:textId="77777777" w:rsidR="005F0A67" w:rsidRPr="005F0A67" w:rsidRDefault="005F0A67" w:rsidP="003A387A">
      <w:pPr>
        <w:numPr>
          <w:ilvl w:val="0"/>
          <w:numId w:val="48"/>
        </w:numPr>
        <w:tabs>
          <w:tab w:val="clear" w:pos="567"/>
          <w:tab w:val="clear" w:pos="1134"/>
          <w:tab w:val="clear" w:pos="1701"/>
          <w:tab w:val="clear" w:pos="2268"/>
        </w:tabs>
        <w:spacing w:after="180" w:line="292" w:lineRule="auto"/>
        <w:jc w:val="left"/>
        <w:rPr>
          <w:rFonts w:asciiTheme="majorBidi" w:eastAsia="Times New Roman" w:hAnsiTheme="majorBidi" w:cstheme="majorBidi"/>
          <w:lang w:val="en-CA" w:eastAsia="en-GB"/>
        </w:rPr>
      </w:pPr>
      <w:r w:rsidRPr="005F0A67">
        <w:rPr>
          <w:rFonts w:asciiTheme="majorBidi" w:eastAsia="Times New Roman" w:hAnsiTheme="majorBidi" w:cstheme="majorBidi"/>
          <w:b/>
          <w:bCs/>
          <w:lang w:val="en-CA" w:eastAsia="en-GB"/>
        </w:rPr>
        <w:t>Unresolved design parameters generate regulatory uncertainty that is analytically distinct from, and in some cases larger than, the direct cost burden:</w:t>
      </w:r>
      <w:r w:rsidRPr="005F0A67">
        <w:rPr>
          <w:rFonts w:asciiTheme="majorBidi" w:eastAsia="Times New Roman" w:hAnsiTheme="majorBidi" w:cstheme="majorBidi"/>
          <w:lang w:val="en-CA" w:eastAsia="en-GB"/>
        </w:rPr>
        <w:t xml:space="preserve"> for research-intensive producers with long development pipelines, the certainty and predictability channel generates Moderate materiality not because the contribution is large but because unresolved parameters, including the certificate of contribution's legal value, the rate revision trajectory, and the potential WHO PABS overlap for vaccine producers, make it difficult to model the contribution's long-run cost implications. A firm committing to a 10–15-year development programme cannot reliably assess what it will owe over that period. This uncertainty effect is most acute for pharmaceutical and biopharmaceutical innovators and large seed multinationals, and could be reduced by the establishment of a clear rate trajectory and resolve the multi-framework stacking question for sectors subject to both the Cali Fund and WHO PABS or ITPGRFA MLS obligations.</w:t>
      </w:r>
    </w:p>
    <w:p w14:paraId="5BC793C3" w14:textId="77777777" w:rsidR="005F0A67" w:rsidRPr="005F0A67" w:rsidRDefault="005F0A67" w:rsidP="003A387A">
      <w:pPr>
        <w:numPr>
          <w:ilvl w:val="0"/>
          <w:numId w:val="48"/>
        </w:numPr>
        <w:tabs>
          <w:tab w:val="clear" w:pos="567"/>
          <w:tab w:val="clear" w:pos="1134"/>
          <w:tab w:val="clear" w:pos="1701"/>
          <w:tab w:val="clear" w:pos="2268"/>
        </w:tabs>
        <w:spacing w:after="180" w:line="292" w:lineRule="auto"/>
        <w:jc w:val="left"/>
        <w:rPr>
          <w:rFonts w:asciiTheme="majorBidi" w:eastAsia="Times New Roman" w:hAnsiTheme="majorBidi" w:cstheme="majorBidi"/>
          <w:lang w:val="en-CA" w:eastAsia="en-GB"/>
        </w:rPr>
      </w:pPr>
      <w:r w:rsidRPr="005F0A67">
        <w:rPr>
          <w:rFonts w:asciiTheme="majorBidi" w:eastAsia="Times New Roman" w:hAnsiTheme="majorBidi" w:cstheme="majorBidi"/>
          <w:b/>
          <w:bCs/>
          <w:lang w:val="en-CA" w:eastAsia="en-GB"/>
        </w:rPr>
        <w:t>The voluntary design constrains severe competitive outcomes but creates a participation asymmetry among CBD Party-headquartered peers:</w:t>
      </w:r>
      <w:r w:rsidRPr="005F0A67">
        <w:rPr>
          <w:rFonts w:asciiTheme="majorBidi" w:eastAsia="Times New Roman" w:hAnsiTheme="majorBidi" w:cstheme="majorBidi"/>
          <w:lang w:val="en-CA" w:eastAsia="en-GB"/>
        </w:rPr>
        <w:t xml:space="preserve"> the option of non-participation means that firms for whom the contribution would generate material cost pressure can exit rather than absorb an unviable burden. This limits the most severe Pillar I outcomes across all sectors. However, it simultaneously creates a participation asymmetry within the CBD Party-headquartered population: </w:t>
      </w:r>
      <w:r w:rsidRPr="005F0A67">
        <w:rPr>
          <w:rFonts w:asciiTheme="majorBidi" w:eastAsia="Times New Roman" w:hAnsiTheme="majorBidi" w:cstheme="majorBidi"/>
          <w:lang w:val="en-CA" w:eastAsia="en-GB"/>
        </w:rPr>
        <w:lastRenderedPageBreak/>
        <w:t>firms that participate face costs that non-participating peers do not. This dynamic is self-limiting, since widespread non-participation by CBD Party firms would undermine both fund revenue and the legitimacy of the mechanism. Design features that increase the commercial value of participation, particularly a certificate of contribution that provides meaningful legal certainty over DSI access and is recognised across regulatory frameworks, are likely to be the most effective lever for aligning the competitive and participation incentives of eligible firms.</w:t>
      </w:r>
    </w:p>
    <w:p w14:paraId="127C7556" w14:textId="77777777" w:rsidR="005F0A67" w:rsidRPr="005F0A67" w:rsidRDefault="005F0A67" w:rsidP="003A387A">
      <w:pPr>
        <w:numPr>
          <w:ilvl w:val="0"/>
          <w:numId w:val="48"/>
        </w:numPr>
        <w:tabs>
          <w:tab w:val="clear" w:pos="567"/>
          <w:tab w:val="clear" w:pos="1134"/>
          <w:tab w:val="clear" w:pos="1701"/>
          <w:tab w:val="clear" w:pos="2268"/>
        </w:tabs>
        <w:spacing w:after="180" w:line="292" w:lineRule="auto"/>
        <w:jc w:val="left"/>
        <w:rPr>
          <w:rFonts w:asciiTheme="majorBidi" w:eastAsia="Times New Roman" w:hAnsiTheme="majorBidi" w:cstheme="majorBidi"/>
          <w:lang w:val="en-CA" w:eastAsia="en-GB"/>
        </w:rPr>
      </w:pPr>
      <w:r w:rsidRPr="005F0A67">
        <w:rPr>
          <w:rFonts w:asciiTheme="majorBidi" w:eastAsia="Times New Roman" w:hAnsiTheme="majorBidi" w:cstheme="majorBidi"/>
          <w:b/>
          <w:bCs/>
          <w:lang w:val="en-CA" w:eastAsia="en-GB"/>
        </w:rPr>
        <w:t>Sector-specific competitive exposure varies substantially and has implications for engagement strategy:</w:t>
      </w:r>
      <w:r w:rsidRPr="005F0A67">
        <w:rPr>
          <w:rFonts w:asciiTheme="majorBidi" w:eastAsia="Times New Roman" w:hAnsiTheme="majorBidi" w:cstheme="majorBidi"/>
          <w:lang w:val="en-CA" w:eastAsia="en-GB"/>
        </w:rPr>
        <w:t xml:space="preserve"> the competitiveness assessment reveals significant variation across sectors that is not visible in aggregate revenue projections. Sectors with the highest non-Party competitive asymmetry, principally information and AI and laboratory equipment, are also among those with potentially the highest eligibility uncertainty Sectors with the most stable and significant revenue contribution, principally pharmaceuticals, also face the multi-framework compliance uncertainty through the potential WHO PABS overlap. Sectors with the thinnest margins and strongest proportionality concerns, nutraceuticals and unbranded generics, are those where voluntary non-participation is most likely to be the firm response. These patterns suggest that decisions on certificate value, contribution scope, and obligation stacking resolution will affect sectors differently, and that engagement with the private sector could benefit from a sector-specific approach.</w:t>
      </w:r>
    </w:p>
    <w:p w14:paraId="4BAE2162"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sectPr w:rsidR="005F0A67" w:rsidRPr="005F0A67" w:rsidSect="005F0A67">
          <w:pgSz w:w="12240" w:h="15840"/>
          <w:pgMar w:top="1080" w:right="1260" w:bottom="1080" w:left="1260" w:header="706" w:footer="706" w:gutter="0"/>
          <w:cols w:space="720"/>
          <w:docGrid w:linePitch="360"/>
        </w:sectPr>
      </w:pPr>
    </w:p>
    <w:p w14:paraId="72438ED4" w14:textId="77777777" w:rsidR="005F0A67" w:rsidRPr="005F0A67" w:rsidRDefault="005F0A67" w:rsidP="005F0A67">
      <w:pPr>
        <w:pBdr>
          <w:bottom w:val="single" w:sz="2" w:space="6" w:color="D9D9D9"/>
        </w:pBdr>
        <w:tabs>
          <w:tab w:val="clear" w:pos="567"/>
          <w:tab w:val="clear" w:pos="1134"/>
          <w:tab w:val="clear" w:pos="1701"/>
          <w:tab w:val="clear" w:pos="2268"/>
        </w:tabs>
        <w:spacing w:before="400" w:after="60"/>
        <w:ind w:left="432" w:hanging="432"/>
        <w:jc w:val="left"/>
        <w:outlineLvl w:val="0"/>
        <w:rPr>
          <w:rFonts w:asciiTheme="majorBidi" w:eastAsia="Arial" w:hAnsiTheme="majorBidi" w:cstheme="majorBidi"/>
          <w:b/>
          <w:bCs/>
          <w:color w:val="1A1A1A"/>
          <w:sz w:val="28"/>
          <w:szCs w:val="28"/>
          <w:lang w:val="en-CA" w:eastAsia="en-GB"/>
        </w:rPr>
      </w:pPr>
      <w:bookmarkStart w:id="260" w:name="_Toc234579623"/>
      <w:bookmarkStart w:id="261" w:name="_Toc234579789"/>
      <w:r w:rsidRPr="005F0A67">
        <w:rPr>
          <w:rFonts w:asciiTheme="majorBidi" w:eastAsia="Arial" w:hAnsiTheme="majorBidi" w:cstheme="majorBidi"/>
          <w:b/>
          <w:bCs/>
          <w:color w:val="1A1A1A"/>
          <w:sz w:val="28"/>
          <w:szCs w:val="28"/>
          <w:lang w:val="en-CA" w:eastAsia="en-GB"/>
        </w:rPr>
        <w:lastRenderedPageBreak/>
        <w:t>Conclusion</w:t>
      </w:r>
      <w:bookmarkEnd w:id="260"/>
      <w:bookmarkEnd w:id="261"/>
    </w:p>
    <w:p w14:paraId="24CB603D"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This report has examined the Cali Fund established under CBD Decision 16/2 across three dimensions: the eligibility and threshold design, the revenue potential under alternative participation and design scenarios, and the competitiveness implications for eligible firms across all seven Indicative Enclosure I sectors. The analysis draws on the contribution rate modelling across 21,690 eligible firms, scenario-based revenue projections under four participation assumptions, and structured, expert-judged qualitative competitiveness assessment applied sector by sector, reflecting a prospective, model-based outlook given that the Fund is not yet operational and no contribution behaviour can be directly observed. These findings on contribution rates and competitiveness should be read alongside the broader context set out earlier: the mechanism reflects a negotiated balance between open DSI access and fair benefit-sharing, and depends on conservation work carried out largely by megadiverse countries.</w:t>
      </w:r>
    </w:p>
    <w:p w14:paraId="2937DC81"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On eligibility and threshold design, the analysis benchmarks the Decision 16/2 thresholds against six international SME frameworks and synthesises submissions received under CBD Notification 2024-116. The current thresholds broadly align with criteria for large enterprises across most reference frameworks, though the assets threshold falls below the EU medium-enterprise balance sheet ceiling and some medium-sized firms under Indian and Chinese classifications would fall within scope. The analysis identifies six design gaps of potential relevance for the Conference of the Parties: the absence of an explicit SME exemption or reduced-contribution tier, despite broad support for such protection in Party submissions; the use of absolute profit rather than a profit margin as a contribution criterion, which has no direct parallel in the frameworks reviewed; the absence of affiliation conditions comparable to those in EU and US frameworks, which leaves the entity-level design potentially vulnerable to corporate restructuring; the tension between a uniform threshold structure and the significant structural differences in financial characteristics across Indicative Enclosure I sectors, which are most pronounced for pharmaceuticals relative to the remaining six sectors; the absence of an employee count criterion, which diverges from almost all international frameworks reviewed, though Party submissions consistently viewed financial metrics as more relevant than employee numbers for determining contribution capacity; and the absence of a mechanism to periodically revise the thresholds for inflation or exchange rate movements, given they are currently fixed in nominal USD terms.</w:t>
      </w:r>
    </w:p>
    <w:p w14:paraId="5F12FA42"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On revenue potential, the central finding is that the fund's scale is highly sensitive to participation rather than to rate calibration. The uncertainty-adjusted range spans from approximately USD 5 million to USD 929 million per year at the same indicative rates, with the width of that range determined by unresolved structural features rather than by the rate level itself. These estimates are illustrative analytical scenarios, not forecasts; actual revenue will depend on COP17's decisions on thresholds and rates, subsequent national implementation, and how participation and corporate behaviour evolve in practice. The analysis suggests that participation is the binding constraint: the certificate of contribution's operational value, the clarity of contribution scope, and the resolution of obligation stacking determine how many firms contribute at all, while the rate level only determines how much each participating firm pays. Threshold design has important governance implications while also influencing participation, administrative efficiency and fund revenue. Under the scenarios analysed, doubling all thresholds removes 43.5% of eligible firms while reducing contributions by only 7.4%, because contributions are heavily concentrated among the largest firms regardless of where the cutoff is set. Pharmaceutical sector participation is the single most significant determinant of fund revenue under realistic participation scenarios, reflecting both the sector's above-threshold margin distribution and the stability of </w:t>
      </w:r>
      <w:r w:rsidRPr="005F0A67">
        <w:rPr>
          <w:rFonts w:asciiTheme="majorBidi" w:eastAsia="Times New Roman" w:hAnsiTheme="majorBidi" w:cstheme="majorBidi"/>
          <w:lang w:val="en-CA" w:eastAsia="en-GB"/>
        </w:rPr>
        <w:lastRenderedPageBreak/>
        <w:t>revenue-base contributions relative to profit-base contributors in other sectors. This concentration reflects current patterns of DSI use across the seven Enclosure I sectors and the assumptions and data underlying this analysis; it is not a predetermined or permanent feature of the mechanism. As DSI use expands in emerging fields such as artificial intelligence and synthetic biology, and as national implementation measures and participation evolve following COP17's decisions, the sectoral composition of Cali Fund contributions may shift over time.</w:t>
      </w:r>
    </w:p>
    <w:p w14:paraId="7617950F"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On competitiveness, the direct cost burden on eligible firms is modest relative to sector margins at indicative rates and is unlikely to generate material cost and price competitiveness effects for most firm types. The dominant competitive risk is the structural asymmetry with US-headquartered rivals operating outside the mechanism's scope, which is permanent under the current design and most acute for the globally active, research-intensive firm types that also account for the largest share of fund revenue. For research-intensive producers with long development pipelines, regulatory uncertainty around unresolved design parameters generates a Moderate competitiveness concern that is analytically distinct from, and in several sectors larger than, the direct cost burden. The proportionality concern, where firms contribute on the same financial base regardless of DSI use intensity, is the most acute design-level competitive risk for sectors with indirect or limited DSI dependence. The non-binding design is both the mechanism's most important protective feature and its most significant constraint: it limits severe outcomes for financially marginal firms while simultaneously creating the participation dynamics that determine whether the fund achieves meaningful scale.</w:t>
      </w:r>
    </w:p>
    <w:p w14:paraId="01BE4D8D"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5F0A67">
        <w:rPr>
          <w:rFonts w:asciiTheme="majorBidi" w:eastAsia="Times New Roman" w:hAnsiTheme="majorBidi" w:cstheme="majorBidi"/>
          <w:lang w:val="en-CA" w:eastAsia="en-GB"/>
        </w:rPr>
        <w:t xml:space="preserve">Several design parameters remain open ahead of COP17 and will materially shape both the revenue potential and the competitive implications of the mechanism: the rate revision trajectory, the legal value of the certificate of contribution, the resolution of potential obligation stacking with WHO PABS and ITPGRFA MLS, and the direct versus indirect use boundary for sectors whose eligibility rests on indirect DSI benefit. Since participation is the binding constraint on revenue, how these parameters are resolved will determine not only how much the Cali Fund raises, but whether the incentives for private entities to participate are strong enough to raise it in a way that is perceived as equitable and predictable. </w:t>
      </w:r>
    </w:p>
    <w:p w14:paraId="7CB1B951"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sectPr w:rsidR="005F0A67" w:rsidRPr="005F0A67" w:rsidSect="005F0A67">
          <w:pgSz w:w="12240" w:h="15840"/>
          <w:pgMar w:top="1080" w:right="1260" w:bottom="1080" w:left="1260" w:header="706" w:footer="706" w:gutter="0"/>
          <w:cols w:space="720"/>
          <w:docGrid w:linePitch="360"/>
        </w:sectPr>
      </w:pPr>
    </w:p>
    <w:p w14:paraId="491F40E1" w14:textId="77777777" w:rsidR="005F0A67" w:rsidRPr="005F0A67" w:rsidRDefault="005F0A67" w:rsidP="005F0A67">
      <w:pPr>
        <w:pBdr>
          <w:bottom w:val="single" w:sz="2" w:space="6" w:color="D9D9D9"/>
        </w:pBdr>
        <w:tabs>
          <w:tab w:val="clear" w:pos="567"/>
          <w:tab w:val="clear" w:pos="1134"/>
          <w:tab w:val="clear" w:pos="1701"/>
          <w:tab w:val="clear" w:pos="2268"/>
        </w:tabs>
        <w:spacing w:before="400" w:after="60"/>
        <w:jc w:val="left"/>
        <w:outlineLvl w:val="0"/>
        <w:rPr>
          <w:rFonts w:asciiTheme="majorBidi" w:eastAsia="Arial" w:hAnsiTheme="majorBidi" w:cstheme="majorBidi"/>
          <w:b/>
          <w:bCs/>
          <w:color w:val="1A1A1A"/>
          <w:sz w:val="28"/>
          <w:szCs w:val="28"/>
          <w:lang w:val="en-CA" w:eastAsia="en-GB"/>
        </w:rPr>
      </w:pPr>
      <w:bookmarkStart w:id="262" w:name="_Toc234579624"/>
      <w:bookmarkStart w:id="263" w:name="_Toc234579790"/>
      <w:bookmarkEnd w:id="161"/>
      <w:r w:rsidRPr="005F0A67">
        <w:rPr>
          <w:rFonts w:asciiTheme="majorBidi" w:eastAsia="Arial" w:hAnsiTheme="majorBidi" w:cstheme="majorBidi"/>
          <w:b/>
          <w:bCs/>
          <w:color w:val="1A1A1A"/>
          <w:sz w:val="28"/>
          <w:szCs w:val="28"/>
          <w:lang w:val="en-CA" w:eastAsia="en-GB"/>
        </w:rPr>
        <w:lastRenderedPageBreak/>
        <w:t>References</w:t>
      </w:r>
      <w:bookmarkEnd w:id="262"/>
      <w:bookmarkEnd w:id="263"/>
    </w:p>
    <w:p w14:paraId="5F23764C" w14:textId="77777777" w:rsidR="00330F71" w:rsidRPr="006D18BD"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val="fr-FR" w:eastAsia="en-GB"/>
        </w:rPr>
      </w:pPr>
      <w:r w:rsidRPr="00330F71">
        <w:rPr>
          <w:rFonts w:asciiTheme="majorBidi" w:eastAsia="Times New Roman" w:hAnsiTheme="majorBidi" w:cstheme="majorBidi"/>
          <w:lang w:val="en-CA" w:eastAsia="en-GB"/>
        </w:rPr>
        <w:fldChar w:fldCharType="begin"/>
      </w:r>
      <w:r w:rsidRPr="00330F71">
        <w:rPr>
          <w:rFonts w:asciiTheme="majorBidi" w:eastAsia="Times New Roman" w:hAnsiTheme="majorBidi" w:cstheme="majorBidi"/>
          <w:lang w:val="en-CA" w:eastAsia="en-GB"/>
        </w:rPr>
        <w:instrText xml:space="preserve"> ADDIN ZOTERO_BIBL {"uncited":[],"omitted":[],"custom":[]} CSL_BIBLIOGRAPHY </w:instrText>
      </w:r>
      <w:r w:rsidRPr="00330F71">
        <w:rPr>
          <w:rFonts w:asciiTheme="majorBidi" w:eastAsia="Times New Roman" w:hAnsiTheme="majorBidi" w:cstheme="majorBidi"/>
          <w:lang w:val="en-CA" w:eastAsia="en-GB"/>
        </w:rPr>
        <w:fldChar w:fldCharType="separate"/>
      </w:r>
      <w:r w:rsidRPr="00330F71">
        <w:rPr>
          <w:rFonts w:asciiTheme="majorBidi" w:eastAsia="Times New Roman" w:hAnsiTheme="majorBidi" w:cstheme="majorBidi"/>
          <w:lang w:eastAsia="en-GB"/>
        </w:rPr>
        <w:t xml:space="preserve">Abbate, E. </w:t>
      </w:r>
      <w:r w:rsidRPr="00330F71">
        <w:rPr>
          <w:rFonts w:asciiTheme="majorBidi" w:eastAsia="Times New Roman" w:hAnsiTheme="majorBidi" w:cstheme="majorBidi"/>
          <w:i/>
          <w:iCs/>
          <w:lang w:eastAsia="en-GB"/>
        </w:rPr>
        <w:t>et al.</w:t>
      </w:r>
      <w:r w:rsidRPr="00330F71">
        <w:rPr>
          <w:rFonts w:asciiTheme="majorBidi" w:eastAsia="Times New Roman" w:hAnsiTheme="majorBidi" w:cstheme="majorBidi"/>
          <w:lang w:eastAsia="en-GB"/>
        </w:rPr>
        <w:t xml:space="preserve"> (2023) ‘Optimizing the strain engineering process for industrial-scale production of bio-based molecules’, </w:t>
      </w:r>
      <w:r w:rsidRPr="00330F71">
        <w:rPr>
          <w:rFonts w:asciiTheme="majorBidi" w:eastAsia="Times New Roman" w:hAnsiTheme="majorBidi" w:cstheme="majorBidi"/>
          <w:i/>
          <w:iCs/>
          <w:lang w:eastAsia="en-GB"/>
        </w:rPr>
        <w:t>Journal of Industrial Microbiology &amp; Biotechnology</w:t>
      </w:r>
      <w:r w:rsidRPr="00330F71">
        <w:rPr>
          <w:rFonts w:asciiTheme="majorBidi" w:eastAsia="Times New Roman" w:hAnsiTheme="majorBidi" w:cstheme="majorBidi"/>
          <w:lang w:eastAsia="en-GB"/>
        </w:rPr>
        <w:t xml:space="preserve">, 50(1), p. kuad025. </w:t>
      </w:r>
      <w:r w:rsidRPr="006D18BD">
        <w:rPr>
          <w:rFonts w:asciiTheme="majorBidi" w:eastAsia="Times New Roman" w:hAnsiTheme="majorBidi" w:cstheme="majorBidi"/>
          <w:lang w:val="fr-FR" w:eastAsia="en-GB"/>
        </w:rPr>
        <w:t>Available at: https://doi.org/10.1093/jimb/kuad025.</w:t>
      </w:r>
    </w:p>
    <w:p w14:paraId="6E7E2D6E" w14:textId="77777777" w:rsidR="00330F71" w:rsidRPr="006D18BD"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val="fr-FR" w:eastAsia="en-GB"/>
        </w:rPr>
      </w:pPr>
      <w:r w:rsidRPr="006D18BD">
        <w:rPr>
          <w:rFonts w:asciiTheme="majorBidi" w:eastAsia="Times New Roman" w:hAnsiTheme="majorBidi" w:cstheme="majorBidi"/>
          <w:lang w:val="fr-FR" w:eastAsia="en-GB"/>
        </w:rPr>
        <w:t xml:space="preserve">Ahalt, S. </w:t>
      </w:r>
      <w:r w:rsidRPr="006D18BD">
        <w:rPr>
          <w:rFonts w:asciiTheme="majorBidi" w:eastAsia="Times New Roman" w:hAnsiTheme="majorBidi" w:cstheme="majorBidi"/>
          <w:i/>
          <w:iCs/>
          <w:lang w:val="fr-FR" w:eastAsia="en-GB"/>
        </w:rPr>
        <w:t>et al.</w:t>
      </w:r>
      <w:r w:rsidRPr="006D18BD">
        <w:rPr>
          <w:rFonts w:asciiTheme="majorBidi" w:eastAsia="Times New Roman" w:hAnsiTheme="majorBidi" w:cstheme="majorBidi"/>
          <w:lang w:val="fr-FR" w:eastAsia="en-GB"/>
        </w:rPr>
        <w:t xml:space="preserve"> </w:t>
      </w:r>
      <w:r w:rsidRPr="00330F71">
        <w:rPr>
          <w:rFonts w:asciiTheme="majorBidi" w:eastAsia="Times New Roman" w:hAnsiTheme="majorBidi" w:cstheme="majorBidi"/>
          <w:lang w:eastAsia="en-GB"/>
        </w:rPr>
        <w:t xml:space="preserve">(2023) ‘Building a collaborative cloud platform to accelerate heart, lung, blood, and sleep research’, </w:t>
      </w:r>
      <w:r w:rsidRPr="00330F71">
        <w:rPr>
          <w:rFonts w:asciiTheme="majorBidi" w:eastAsia="Times New Roman" w:hAnsiTheme="majorBidi" w:cstheme="majorBidi"/>
          <w:i/>
          <w:iCs/>
          <w:lang w:eastAsia="en-GB"/>
        </w:rPr>
        <w:t>Journal of the American Medical Informatics Association</w:t>
      </w:r>
      <w:r w:rsidRPr="00330F71">
        <w:rPr>
          <w:rFonts w:asciiTheme="majorBidi" w:eastAsia="Times New Roman" w:hAnsiTheme="majorBidi" w:cstheme="majorBidi"/>
          <w:lang w:eastAsia="en-GB"/>
        </w:rPr>
        <w:t xml:space="preserve">, 30(7), pp. 1293–1300. </w:t>
      </w:r>
      <w:r w:rsidRPr="006D18BD">
        <w:rPr>
          <w:rFonts w:asciiTheme="majorBidi" w:eastAsia="Times New Roman" w:hAnsiTheme="majorBidi" w:cstheme="majorBidi"/>
          <w:lang w:val="fr-FR" w:eastAsia="en-GB"/>
        </w:rPr>
        <w:t>Available at: https://doi.org/10.1093/jamia/ocad048.</w:t>
      </w:r>
    </w:p>
    <w:p w14:paraId="79A1BD68"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6D18BD">
        <w:rPr>
          <w:rFonts w:asciiTheme="majorBidi" w:eastAsia="Times New Roman" w:hAnsiTheme="majorBidi" w:cstheme="majorBidi"/>
          <w:lang w:val="fr-FR" w:eastAsia="en-GB"/>
        </w:rPr>
        <w:t xml:space="preserve">Akcigit, U. </w:t>
      </w:r>
      <w:r w:rsidRPr="006D18BD">
        <w:rPr>
          <w:rFonts w:asciiTheme="majorBidi" w:eastAsia="Times New Roman" w:hAnsiTheme="majorBidi" w:cstheme="majorBidi"/>
          <w:i/>
          <w:iCs/>
          <w:lang w:val="fr-FR" w:eastAsia="en-GB"/>
        </w:rPr>
        <w:t>et al.</w:t>
      </w:r>
      <w:r w:rsidRPr="006D18BD">
        <w:rPr>
          <w:rFonts w:asciiTheme="majorBidi" w:eastAsia="Times New Roman" w:hAnsiTheme="majorBidi" w:cstheme="majorBidi"/>
          <w:lang w:val="fr-FR" w:eastAsia="en-GB"/>
        </w:rPr>
        <w:t xml:space="preserve"> </w:t>
      </w:r>
      <w:r w:rsidRPr="00330F71">
        <w:rPr>
          <w:rFonts w:asciiTheme="majorBidi" w:eastAsia="Times New Roman" w:hAnsiTheme="majorBidi" w:cstheme="majorBidi"/>
          <w:lang w:eastAsia="en-GB"/>
        </w:rPr>
        <w:t xml:space="preserve">(2022) ‘Taxation and Innovation in the Twentieth Century’, </w:t>
      </w:r>
      <w:r w:rsidRPr="00330F71">
        <w:rPr>
          <w:rFonts w:asciiTheme="majorBidi" w:eastAsia="Times New Roman" w:hAnsiTheme="majorBidi" w:cstheme="majorBidi"/>
          <w:i/>
          <w:iCs/>
          <w:lang w:eastAsia="en-GB"/>
        </w:rPr>
        <w:t>The Quarterly Journal of Economics</w:t>
      </w:r>
      <w:r w:rsidRPr="00330F71">
        <w:rPr>
          <w:rFonts w:asciiTheme="majorBidi" w:eastAsia="Times New Roman" w:hAnsiTheme="majorBidi" w:cstheme="majorBidi"/>
          <w:lang w:eastAsia="en-GB"/>
        </w:rPr>
        <w:t>, 137(1), pp. 329–385. Available at: https://doi.org/10.1093/qje/qjab022.</w:t>
      </w:r>
    </w:p>
    <w:p w14:paraId="4CEC4713"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Arora, S. and Cason, T.N. (1996) ‘Why Do Firms Volunteer to Exceed Environmental Regulations? Understanding Participation in EPA’s 33/50 Program’, </w:t>
      </w:r>
      <w:r w:rsidRPr="00330F71">
        <w:rPr>
          <w:rFonts w:asciiTheme="majorBidi" w:eastAsia="Times New Roman" w:hAnsiTheme="majorBidi" w:cstheme="majorBidi"/>
          <w:i/>
          <w:iCs/>
          <w:lang w:eastAsia="en-GB"/>
        </w:rPr>
        <w:t>Land Economics</w:t>
      </w:r>
      <w:r w:rsidRPr="00330F71">
        <w:rPr>
          <w:rFonts w:asciiTheme="majorBidi" w:eastAsia="Times New Roman" w:hAnsiTheme="majorBidi" w:cstheme="majorBidi"/>
          <w:lang w:eastAsia="en-GB"/>
        </w:rPr>
        <w:t>, 72(4), pp. 413–432. Available at: https://doi.org/10.2307/3146906.</w:t>
      </w:r>
    </w:p>
    <w:p w14:paraId="1F6F8D54"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275AAD">
        <w:rPr>
          <w:rFonts w:asciiTheme="majorBidi" w:eastAsia="Times New Roman" w:hAnsiTheme="majorBidi" w:cstheme="majorBidi"/>
          <w:lang w:val="fr-FR" w:eastAsia="en-GB"/>
        </w:rPr>
        <w:t xml:space="preserve">Asin-Garcia, E. </w:t>
      </w:r>
      <w:r w:rsidRPr="00275AAD">
        <w:rPr>
          <w:rFonts w:asciiTheme="majorBidi" w:eastAsia="Times New Roman" w:hAnsiTheme="majorBidi" w:cstheme="majorBidi"/>
          <w:i/>
          <w:iCs/>
          <w:lang w:val="fr-FR" w:eastAsia="en-GB"/>
        </w:rPr>
        <w:t>et al.</w:t>
      </w:r>
      <w:r w:rsidRPr="00275AAD">
        <w:rPr>
          <w:rFonts w:asciiTheme="majorBidi" w:eastAsia="Times New Roman" w:hAnsiTheme="majorBidi" w:cstheme="majorBidi"/>
          <w:lang w:val="fr-FR" w:eastAsia="en-GB"/>
        </w:rPr>
        <w:t xml:space="preserve"> </w:t>
      </w:r>
      <w:r w:rsidRPr="00330F71">
        <w:rPr>
          <w:rFonts w:asciiTheme="majorBidi" w:eastAsia="Times New Roman" w:hAnsiTheme="majorBidi" w:cstheme="majorBidi"/>
          <w:lang w:eastAsia="en-GB"/>
        </w:rPr>
        <w:t xml:space="preserve">(2025) ‘A snapshot of biomanufacturing and the need for enabling research infrastructure’, </w:t>
      </w:r>
      <w:r w:rsidRPr="00330F71">
        <w:rPr>
          <w:rFonts w:asciiTheme="majorBidi" w:eastAsia="Times New Roman" w:hAnsiTheme="majorBidi" w:cstheme="majorBidi"/>
          <w:i/>
          <w:iCs/>
          <w:lang w:eastAsia="en-GB"/>
        </w:rPr>
        <w:t>Trends in Biotechnology</w:t>
      </w:r>
      <w:r w:rsidRPr="00330F71">
        <w:rPr>
          <w:rFonts w:asciiTheme="majorBidi" w:eastAsia="Times New Roman" w:hAnsiTheme="majorBidi" w:cstheme="majorBidi"/>
          <w:lang w:eastAsia="en-GB"/>
        </w:rPr>
        <w:t>, 43(5), pp. 1000–1014. Available at: https://doi.org/10.1016/j.tibtech.2024.10.014.</w:t>
      </w:r>
    </w:p>
    <w:p w14:paraId="158D98CC"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Atanassov, J. and Liu, X. (2020) ‘Can Corporate Income Tax Cuts Stimulate Innovation?’, </w:t>
      </w:r>
      <w:r w:rsidRPr="00330F71">
        <w:rPr>
          <w:rFonts w:asciiTheme="majorBidi" w:eastAsia="Times New Roman" w:hAnsiTheme="majorBidi" w:cstheme="majorBidi"/>
          <w:i/>
          <w:iCs/>
          <w:lang w:eastAsia="en-GB"/>
        </w:rPr>
        <w:t>Journal of Financial and Quantitative Analysis</w:t>
      </w:r>
      <w:r w:rsidRPr="00330F71">
        <w:rPr>
          <w:rFonts w:asciiTheme="majorBidi" w:eastAsia="Times New Roman" w:hAnsiTheme="majorBidi" w:cstheme="majorBidi"/>
          <w:lang w:eastAsia="en-GB"/>
        </w:rPr>
        <w:t>, 55(5), pp. 1415–1465. Available at: https://doi.org/10.1017/S0022109019000152.</w:t>
      </w:r>
    </w:p>
    <w:p w14:paraId="742B964F"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Aubry, S. (2019) ‘The Future of Digital Sequence Information for Plant Genetic Resources for Food and Agriculture’, </w:t>
      </w:r>
      <w:r w:rsidRPr="00330F71">
        <w:rPr>
          <w:rFonts w:asciiTheme="majorBidi" w:eastAsia="Times New Roman" w:hAnsiTheme="majorBidi" w:cstheme="majorBidi"/>
          <w:i/>
          <w:iCs/>
          <w:lang w:eastAsia="en-GB"/>
        </w:rPr>
        <w:t>Frontiers in Plant Science</w:t>
      </w:r>
      <w:r w:rsidRPr="00330F71">
        <w:rPr>
          <w:rFonts w:asciiTheme="majorBidi" w:eastAsia="Times New Roman" w:hAnsiTheme="majorBidi" w:cstheme="majorBidi"/>
          <w:lang w:eastAsia="en-GB"/>
        </w:rPr>
        <w:t>, 10. Available at: https://doi.org/10.3389/fpls.2019.01046.</w:t>
      </w:r>
    </w:p>
    <w:p w14:paraId="47324A7D"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Bailey, R.L. (2020) ‘Current regulatory guidelines and resources to support research of dietary supplements in the United States’, </w:t>
      </w:r>
      <w:r w:rsidRPr="00330F71">
        <w:rPr>
          <w:rFonts w:asciiTheme="majorBidi" w:eastAsia="Times New Roman" w:hAnsiTheme="majorBidi" w:cstheme="majorBidi"/>
          <w:i/>
          <w:iCs/>
          <w:lang w:eastAsia="en-GB"/>
        </w:rPr>
        <w:t>Critical Reviews in Food Science and Nutrition</w:t>
      </w:r>
      <w:r w:rsidRPr="00330F71">
        <w:rPr>
          <w:rFonts w:asciiTheme="majorBidi" w:eastAsia="Times New Roman" w:hAnsiTheme="majorBidi" w:cstheme="majorBidi"/>
          <w:lang w:eastAsia="en-GB"/>
        </w:rPr>
        <w:t>, 60(2), pp. 298–309. Available at: https://doi.org/10.1080/10408398.2018.1524364.</w:t>
      </w:r>
    </w:p>
    <w:p w14:paraId="6F606590"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Bajgar, M. </w:t>
      </w:r>
      <w:r w:rsidRPr="00330F71">
        <w:rPr>
          <w:rFonts w:asciiTheme="majorBidi" w:eastAsia="Times New Roman" w:hAnsiTheme="majorBidi" w:cstheme="majorBidi"/>
          <w:i/>
          <w:iCs/>
          <w:lang w:eastAsia="en-GB"/>
        </w:rPr>
        <w:t>et al.</w:t>
      </w:r>
      <w:r w:rsidRPr="00330F71">
        <w:rPr>
          <w:rFonts w:asciiTheme="majorBidi" w:eastAsia="Times New Roman" w:hAnsiTheme="majorBidi" w:cstheme="majorBidi"/>
          <w:lang w:eastAsia="en-GB"/>
        </w:rPr>
        <w:t xml:space="preserve"> (2019) ‘Industry Concentration in Europe and North America’, </w:t>
      </w:r>
      <w:r w:rsidRPr="00330F71">
        <w:rPr>
          <w:rFonts w:asciiTheme="majorBidi" w:eastAsia="Times New Roman" w:hAnsiTheme="majorBidi" w:cstheme="majorBidi"/>
          <w:i/>
          <w:iCs/>
          <w:lang w:eastAsia="en-GB"/>
        </w:rPr>
        <w:t>OECD Productivity Working Papers</w:t>
      </w:r>
      <w:r w:rsidRPr="00330F71">
        <w:rPr>
          <w:rFonts w:asciiTheme="majorBidi" w:eastAsia="Times New Roman" w:hAnsiTheme="majorBidi" w:cstheme="majorBidi"/>
          <w:lang w:eastAsia="en-GB"/>
        </w:rPr>
        <w:t xml:space="preserve"> [Preprint]. Available at: https://doi.org/10.1787/2ff98246-en.</w:t>
      </w:r>
    </w:p>
    <w:p w14:paraId="60254271"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Balconi, M. and Lorenzi, V. (2017a) ‘The increasing role of contract research organizations in the evolution of the biopharmaceutical industry’, </w:t>
      </w:r>
      <w:r w:rsidRPr="00330F71">
        <w:rPr>
          <w:rFonts w:asciiTheme="majorBidi" w:eastAsia="Times New Roman" w:hAnsiTheme="majorBidi" w:cstheme="majorBidi"/>
          <w:i/>
          <w:iCs/>
          <w:lang w:eastAsia="en-GB"/>
        </w:rPr>
        <w:t>African Journal of Business Management</w:t>
      </w:r>
      <w:r w:rsidRPr="00330F71">
        <w:rPr>
          <w:rFonts w:asciiTheme="majorBidi" w:eastAsia="Times New Roman" w:hAnsiTheme="majorBidi" w:cstheme="majorBidi"/>
          <w:lang w:eastAsia="en-GB"/>
        </w:rPr>
        <w:t>, 11(18), pp. 478–490. Available at: https://doi.org/10.5897/AJBM2017.8360.</w:t>
      </w:r>
    </w:p>
    <w:p w14:paraId="1072D015" w14:textId="77777777" w:rsidR="00330F71" w:rsidRPr="006D18BD"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val="fr-FR" w:eastAsia="en-GB"/>
        </w:rPr>
      </w:pPr>
      <w:r w:rsidRPr="00330F71">
        <w:rPr>
          <w:rFonts w:asciiTheme="majorBidi" w:eastAsia="Times New Roman" w:hAnsiTheme="majorBidi" w:cstheme="majorBidi"/>
          <w:lang w:eastAsia="en-GB"/>
        </w:rPr>
        <w:t xml:space="preserve">Balconi, M. and Lorenzi, V. (2017b) ‘The increasing role of contract research organizations in the evolution of the biopharmaceutical industry’, </w:t>
      </w:r>
      <w:r w:rsidRPr="00330F71">
        <w:rPr>
          <w:rFonts w:asciiTheme="majorBidi" w:eastAsia="Times New Roman" w:hAnsiTheme="majorBidi" w:cstheme="majorBidi"/>
          <w:i/>
          <w:iCs/>
          <w:lang w:eastAsia="en-GB"/>
        </w:rPr>
        <w:t>African Journal of Business Management</w:t>
      </w:r>
      <w:r w:rsidRPr="00330F71">
        <w:rPr>
          <w:rFonts w:asciiTheme="majorBidi" w:eastAsia="Times New Roman" w:hAnsiTheme="majorBidi" w:cstheme="majorBidi"/>
          <w:lang w:eastAsia="en-GB"/>
        </w:rPr>
        <w:t xml:space="preserve">, 11(18), pp. 478–490. </w:t>
      </w:r>
      <w:r w:rsidRPr="006D18BD">
        <w:rPr>
          <w:rFonts w:asciiTheme="majorBidi" w:eastAsia="Times New Roman" w:hAnsiTheme="majorBidi" w:cstheme="majorBidi"/>
          <w:lang w:val="fr-FR" w:eastAsia="en-GB"/>
        </w:rPr>
        <w:t>Available at: https://doi.org/10.5897/AJBM2017.8360.</w:t>
      </w:r>
    </w:p>
    <w:p w14:paraId="1FA55FBE"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6D18BD">
        <w:rPr>
          <w:rFonts w:asciiTheme="majorBidi" w:eastAsia="Times New Roman" w:hAnsiTheme="majorBidi" w:cstheme="majorBidi"/>
          <w:lang w:val="fr-FR" w:eastAsia="en-GB"/>
        </w:rPr>
        <w:t xml:space="preserve">Bassford, M. </w:t>
      </w:r>
      <w:r w:rsidRPr="006D18BD">
        <w:rPr>
          <w:rFonts w:asciiTheme="majorBidi" w:eastAsia="Times New Roman" w:hAnsiTheme="majorBidi" w:cstheme="majorBidi"/>
          <w:i/>
          <w:iCs/>
          <w:lang w:val="fr-FR" w:eastAsia="en-GB"/>
        </w:rPr>
        <w:t>et al.</w:t>
      </w:r>
      <w:r w:rsidRPr="006D18BD">
        <w:rPr>
          <w:rFonts w:asciiTheme="majorBidi" w:eastAsia="Times New Roman" w:hAnsiTheme="majorBidi" w:cstheme="majorBidi"/>
          <w:lang w:val="fr-FR" w:eastAsia="en-GB"/>
        </w:rPr>
        <w:t xml:space="preserve"> </w:t>
      </w:r>
      <w:r w:rsidRPr="00330F71">
        <w:rPr>
          <w:rFonts w:asciiTheme="majorBidi" w:eastAsia="Times New Roman" w:hAnsiTheme="majorBidi" w:cstheme="majorBidi"/>
          <w:lang w:eastAsia="en-GB"/>
        </w:rPr>
        <w:t xml:space="preserve">(2024) </w:t>
      </w:r>
      <w:r w:rsidRPr="00330F71">
        <w:rPr>
          <w:rFonts w:asciiTheme="majorBidi" w:eastAsia="Times New Roman" w:hAnsiTheme="majorBidi" w:cstheme="majorBidi"/>
          <w:i/>
          <w:iCs/>
          <w:lang w:eastAsia="en-GB"/>
        </w:rPr>
        <w:t>Understanding the impact of introducing an obligatory payment on commercial users of Digital Sequence Information for genetic resources</w:t>
      </w:r>
      <w:r w:rsidRPr="00330F71">
        <w:rPr>
          <w:rFonts w:asciiTheme="majorBidi" w:eastAsia="Times New Roman" w:hAnsiTheme="majorBidi" w:cstheme="majorBidi"/>
          <w:lang w:eastAsia="en-GB"/>
        </w:rPr>
        <w:t>. Defra.</w:t>
      </w:r>
    </w:p>
    <w:p w14:paraId="2656B2A6"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Beer, S., de Mooij, R. and Liu, L. (2020) ‘International Corporate Tax Avoidance: A Review of the Channels, Magnitudes, and Blind Spots’, </w:t>
      </w:r>
      <w:r w:rsidRPr="00330F71">
        <w:rPr>
          <w:rFonts w:asciiTheme="majorBidi" w:eastAsia="Times New Roman" w:hAnsiTheme="majorBidi" w:cstheme="majorBidi"/>
          <w:i/>
          <w:iCs/>
          <w:lang w:eastAsia="en-GB"/>
        </w:rPr>
        <w:t>Journal of Economic Surveys</w:t>
      </w:r>
      <w:r w:rsidRPr="00330F71">
        <w:rPr>
          <w:rFonts w:asciiTheme="majorBidi" w:eastAsia="Times New Roman" w:hAnsiTheme="majorBidi" w:cstheme="majorBidi"/>
          <w:lang w:eastAsia="en-GB"/>
        </w:rPr>
        <w:t>, 34(3), pp. 660–688. Available at: https://doi.org/10.1111/joes.12305.</w:t>
      </w:r>
    </w:p>
    <w:p w14:paraId="67104DBD"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val="fr-FR" w:eastAsia="en-GB"/>
        </w:rPr>
      </w:pPr>
      <w:r w:rsidRPr="00330F71">
        <w:rPr>
          <w:rFonts w:asciiTheme="majorBidi" w:eastAsia="Times New Roman" w:hAnsiTheme="majorBidi" w:cstheme="majorBidi"/>
          <w:lang w:eastAsia="en-GB"/>
        </w:rPr>
        <w:lastRenderedPageBreak/>
        <w:t xml:space="preserve">Berman, A. and Vooren, B.V. (2025) ‘Access and benefit sharing: streamlining legal frameworks for global health equity’, </w:t>
      </w:r>
      <w:r w:rsidRPr="00330F71">
        <w:rPr>
          <w:rFonts w:asciiTheme="majorBidi" w:eastAsia="Times New Roman" w:hAnsiTheme="majorBidi" w:cstheme="majorBidi"/>
          <w:i/>
          <w:iCs/>
          <w:lang w:eastAsia="en-GB"/>
        </w:rPr>
        <w:t>BMJ Public Health</w:t>
      </w:r>
      <w:r w:rsidRPr="00330F71">
        <w:rPr>
          <w:rFonts w:asciiTheme="majorBidi" w:eastAsia="Times New Roman" w:hAnsiTheme="majorBidi" w:cstheme="majorBidi"/>
          <w:lang w:eastAsia="en-GB"/>
        </w:rPr>
        <w:t xml:space="preserve">, 3(1). </w:t>
      </w:r>
      <w:r w:rsidRPr="00330F71">
        <w:rPr>
          <w:rFonts w:asciiTheme="majorBidi" w:eastAsia="Times New Roman" w:hAnsiTheme="majorBidi" w:cstheme="majorBidi"/>
          <w:lang w:val="fr-FR" w:eastAsia="en-GB"/>
        </w:rPr>
        <w:t>Available at: https://doi.org/10.1136/bmjph-2025-002830.</w:t>
      </w:r>
    </w:p>
    <w:p w14:paraId="778337C7"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val="fr-FR" w:eastAsia="en-GB"/>
        </w:rPr>
        <w:t xml:space="preserve">Best, M.C. </w:t>
      </w:r>
      <w:r w:rsidRPr="00330F71">
        <w:rPr>
          <w:rFonts w:asciiTheme="majorBidi" w:eastAsia="Times New Roman" w:hAnsiTheme="majorBidi" w:cstheme="majorBidi"/>
          <w:i/>
          <w:iCs/>
          <w:lang w:val="fr-FR" w:eastAsia="en-GB"/>
        </w:rPr>
        <w:t>et al.</w:t>
      </w:r>
      <w:r w:rsidRPr="00330F71">
        <w:rPr>
          <w:rFonts w:asciiTheme="majorBidi" w:eastAsia="Times New Roman" w:hAnsiTheme="majorBidi" w:cstheme="majorBidi"/>
          <w:lang w:val="fr-FR" w:eastAsia="en-GB"/>
        </w:rPr>
        <w:t xml:space="preserve"> </w:t>
      </w:r>
      <w:r w:rsidRPr="00330F71">
        <w:rPr>
          <w:rFonts w:asciiTheme="majorBidi" w:eastAsia="Times New Roman" w:hAnsiTheme="majorBidi" w:cstheme="majorBidi"/>
          <w:lang w:eastAsia="en-GB"/>
        </w:rPr>
        <w:t xml:space="preserve">(2015) ‘Production versus Revenue Efficiency with Limited Tax Capacity: Theory and Evidence from Pakistan’, </w:t>
      </w:r>
      <w:r w:rsidRPr="00330F71">
        <w:rPr>
          <w:rFonts w:asciiTheme="majorBidi" w:eastAsia="Times New Roman" w:hAnsiTheme="majorBidi" w:cstheme="majorBidi"/>
          <w:i/>
          <w:iCs/>
          <w:lang w:eastAsia="en-GB"/>
        </w:rPr>
        <w:t>Journal of Political Economy</w:t>
      </w:r>
      <w:r w:rsidRPr="00330F71">
        <w:rPr>
          <w:rFonts w:asciiTheme="majorBidi" w:eastAsia="Times New Roman" w:hAnsiTheme="majorBidi" w:cstheme="majorBidi"/>
          <w:lang w:eastAsia="en-GB"/>
        </w:rPr>
        <w:t>, 123(6), pp. 1311–1355. Available at: https://doi.org/10.1086/683849.</w:t>
      </w:r>
    </w:p>
    <w:p w14:paraId="7FFFD19D"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Bianchini, S., Llerena, P. and Patsali, S. (2019) ‘Demand-pull innovation in science: Empirical evidence from a research university’s suppliers’, </w:t>
      </w:r>
      <w:r w:rsidRPr="00330F71">
        <w:rPr>
          <w:rFonts w:asciiTheme="majorBidi" w:eastAsia="Times New Roman" w:hAnsiTheme="majorBidi" w:cstheme="majorBidi"/>
          <w:i/>
          <w:iCs/>
          <w:lang w:eastAsia="en-GB"/>
        </w:rPr>
        <w:t>Research Policy</w:t>
      </w:r>
      <w:r w:rsidRPr="00330F71">
        <w:rPr>
          <w:rFonts w:asciiTheme="majorBidi" w:eastAsia="Times New Roman" w:hAnsiTheme="majorBidi" w:cstheme="majorBidi"/>
          <w:lang w:eastAsia="en-GB"/>
        </w:rPr>
        <w:t>, 48, p. 100005. Available at: https://doi.org/10.1016/j.repolx.2019.100005.</w:t>
      </w:r>
    </w:p>
    <w:p w14:paraId="14196BD9"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Biggs, B.W. </w:t>
      </w:r>
      <w:r w:rsidRPr="00330F71">
        <w:rPr>
          <w:rFonts w:asciiTheme="majorBidi" w:eastAsia="Times New Roman" w:hAnsiTheme="majorBidi" w:cstheme="majorBidi"/>
          <w:i/>
          <w:iCs/>
          <w:lang w:eastAsia="en-GB"/>
        </w:rPr>
        <w:t>et al.</w:t>
      </w:r>
      <w:r w:rsidRPr="00330F71">
        <w:rPr>
          <w:rFonts w:asciiTheme="majorBidi" w:eastAsia="Times New Roman" w:hAnsiTheme="majorBidi" w:cstheme="majorBidi"/>
          <w:lang w:eastAsia="en-GB"/>
        </w:rPr>
        <w:t xml:space="preserve"> (2021) ‘Enabling commercial success of industrial biotechnology’, </w:t>
      </w:r>
      <w:r w:rsidRPr="00330F71">
        <w:rPr>
          <w:rFonts w:asciiTheme="majorBidi" w:eastAsia="Times New Roman" w:hAnsiTheme="majorBidi" w:cstheme="majorBidi"/>
          <w:i/>
          <w:iCs/>
          <w:lang w:eastAsia="en-GB"/>
        </w:rPr>
        <w:t>Science</w:t>
      </w:r>
      <w:r w:rsidRPr="00330F71">
        <w:rPr>
          <w:rFonts w:asciiTheme="majorBidi" w:eastAsia="Times New Roman" w:hAnsiTheme="majorBidi" w:cstheme="majorBidi"/>
          <w:lang w:eastAsia="en-GB"/>
        </w:rPr>
        <w:t>, 374(6575), pp. 1563–1565. Available at: https://doi.org/10.1126/science.abj5040.</w:t>
      </w:r>
    </w:p>
    <w:p w14:paraId="2E4B2865" w14:textId="77777777" w:rsidR="00330F71" w:rsidRPr="006D18BD"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val="fr-FR" w:eastAsia="en-GB"/>
        </w:rPr>
      </w:pPr>
      <w:r w:rsidRPr="00330F71">
        <w:rPr>
          <w:rFonts w:asciiTheme="majorBidi" w:eastAsia="Times New Roman" w:hAnsiTheme="majorBidi" w:cstheme="majorBidi"/>
          <w:lang w:eastAsia="en-GB"/>
        </w:rPr>
        <w:t xml:space="preserve">Billette de Villemeur, E., Scannell, J.W. and Versaevel, B. (2022) ‘Biopharmaceutical R&amp;D outsourcing: Short-term gain for long-term pain?’, </w:t>
      </w:r>
      <w:r w:rsidRPr="00330F71">
        <w:rPr>
          <w:rFonts w:asciiTheme="majorBidi" w:eastAsia="Times New Roman" w:hAnsiTheme="majorBidi" w:cstheme="majorBidi"/>
          <w:i/>
          <w:iCs/>
          <w:lang w:eastAsia="en-GB"/>
        </w:rPr>
        <w:t>Drug Discovery Today</w:t>
      </w:r>
      <w:r w:rsidRPr="00330F71">
        <w:rPr>
          <w:rFonts w:asciiTheme="majorBidi" w:eastAsia="Times New Roman" w:hAnsiTheme="majorBidi" w:cstheme="majorBidi"/>
          <w:lang w:eastAsia="en-GB"/>
        </w:rPr>
        <w:t xml:space="preserve">, 27(11), p. 103333. </w:t>
      </w:r>
      <w:r w:rsidRPr="006D18BD">
        <w:rPr>
          <w:rFonts w:asciiTheme="majorBidi" w:eastAsia="Times New Roman" w:hAnsiTheme="majorBidi" w:cstheme="majorBidi"/>
          <w:lang w:val="fr-FR" w:eastAsia="en-GB"/>
        </w:rPr>
        <w:t>Available at: https://doi.org/10.1016/j.drudis.2022.08.001.</w:t>
      </w:r>
    </w:p>
    <w:p w14:paraId="145965E3"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6D18BD">
        <w:rPr>
          <w:rFonts w:asciiTheme="majorBidi" w:eastAsia="Times New Roman" w:hAnsiTheme="majorBidi" w:cstheme="majorBidi"/>
          <w:lang w:val="fr-FR" w:eastAsia="en-GB"/>
        </w:rPr>
        <w:t xml:space="preserve">Blom, C. </w:t>
      </w:r>
      <w:r w:rsidRPr="006D18BD">
        <w:rPr>
          <w:rFonts w:asciiTheme="majorBidi" w:eastAsia="Times New Roman" w:hAnsiTheme="majorBidi" w:cstheme="majorBidi"/>
          <w:i/>
          <w:iCs/>
          <w:lang w:val="fr-FR" w:eastAsia="en-GB"/>
        </w:rPr>
        <w:t>et al.</w:t>
      </w:r>
      <w:r w:rsidRPr="006D18BD">
        <w:rPr>
          <w:rFonts w:asciiTheme="majorBidi" w:eastAsia="Times New Roman" w:hAnsiTheme="majorBidi" w:cstheme="majorBidi"/>
          <w:lang w:val="fr-FR" w:eastAsia="en-GB"/>
        </w:rPr>
        <w:t xml:space="preserve"> </w:t>
      </w:r>
      <w:r w:rsidRPr="00330F71">
        <w:rPr>
          <w:rFonts w:asciiTheme="majorBidi" w:eastAsia="Times New Roman" w:hAnsiTheme="majorBidi" w:cstheme="majorBidi"/>
          <w:lang w:eastAsia="en-GB"/>
        </w:rPr>
        <w:t xml:space="preserve">(2025) ‘From frameworks to finance: how sharing benefits from the use of digital sequence information can evolve to contribute to biodiversity conservation’, </w:t>
      </w:r>
      <w:r w:rsidRPr="00330F71">
        <w:rPr>
          <w:rFonts w:asciiTheme="majorBidi" w:eastAsia="Times New Roman" w:hAnsiTheme="majorBidi" w:cstheme="majorBidi"/>
          <w:i/>
          <w:iCs/>
          <w:lang w:eastAsia="en-GB"/>
        </w:rPr>
        <w:t>Nature Biotechnology</w:t>
      </w:r>
      <w:r w:rsidRPr="00330F71">
        <w:rPr>
          <w:rFonts w:asciiTheme="majorBidi" w:eastAsia="Times New Roman" w:hAnsiTheme="majorBidi" w:cstheme="majorBidi"/>
          <w:lang w:eastAsia="en-GB"/>
        </w:rPr>
        <w:t>, 43(10), pp. 1599–1602. Available at: https://doi.org/10.1038/s41587-025-02820-8.</w:t>
      </w:r>
    </w:p>
    <w:p w14:paraId="44A67BF9" w14:textId="77777777" w:rsidR="00330F71" w:rsidRPr="006D18BD"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val="fr-FR" w:eastAsia="en-GB"/>
        </w:rPr>
      </w:pPr>
      <w:r w:rsidRPr="00330F71">
        <w:rPr>
          <w:rFonts w:asciiTheme="majorBidi" w:eastAsia="Times New Roman" w:hAnsiTheme="majorBidi" w:cstheme="majorBidi"/>
          <w:lang w:eastAsia="en-GB"/>
        </w:rPr>
        <w:t xml:space="preserve">Bonny, S. (2017) ‘Corporate Concentration and Technological Change in the Global Seed Industry’, </w:t>
      </w:r>
      <w:r w:rsidRPr="00330F71">
        <w:rPr>
          <w:rFonts w:asciiTheme="majorBidi" w:eastAsia="Times New Roman" w:hAnsiTheme="majorBidi" w:cstheme="majorBidi"/>
          <w:i/>
          <w:iCs/>
          <w:lang w:eastAsia="en-GB"/>
        </w:rPr>
        <w:t>Sustainability</w:t>
      </w:r>
      <w:r w:rsidRPr="00330F71">
        <w:rPr>
          <w:rFonts w:asciiTheme="majorBidi" w:eastAsia="Times New Roman" w:hAnsiTheme="majorBidi" w:cstheme="majorBidi"/>
          <w:lang w:eastAsia="en-GB"/>
        </w:rPr>
        <w:t xml:space="preserve">, 9(9), p. 1632. </w:t>
      </w:r>
      <w:r w:rsidRPr="006D18BD">
        <w:rPr>
          <w:rFonts w:asciiTheme="majorBidi" w:eastAsia="Times New Roman" w:hAnsiTheme="majorBidi" w:cstheme="majorBidi"/>
          <w:lang w:val="fr-FR" w:eastAsia="en-GB"/>
        </w:rPr>
        <w:t>Available at: https://doi.org/10.3390/su9091632.</w:t>
      </w:r>
    </w:p>
    <w:p w14:paraId="41EED660"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6D18BD">
        <w:rPr>
          <w:rFonts w:asciiTheme="majorBidi" w:eastAsia="Times New Roman" w:hAnsiTheme="majorBidi" w:cstheme="majorBidi"/>
          <w:lang w:val="fr-FR" w:eastAsia="en-GB"/>
        </w:rPr>
        <w:t xml:space="preserve">Borchert, F. </w:t>
      </w:r>
      <w:r w:rsidRPr="006D18BD">
        <w:rPr>
          <w:rFonts w:asciiTheme="majorBidi" w:eastAsia="Times New Roman" w:hAnsiTheme="majorBidi" w:cstheme="majorBidi"/>
          <w:i/>
          <w:iCs/>
          <w:lang w:val="fr-FR" w:eastAsia="en-GB"/>
        </w:rPr>
        <w:t>et al.</w:t>
      </w:r>
      <w:r w:rsidRPr="006D18BD">
        <w:rPr>
          <w:rFonts w:asciiTheme="majorBidi" w:eastAsia="Times New Roman" w:hAnsiTheme="majorBidi" w:cstheme="majorBidi"/>
          <w:lang w:val="fr-FR" w:eastAsia="en-GB"/>
        </w:rPr>
        <w:t xml:space="preserve"> </w:t>
      </w:r>
      <w:r w:rsidRPr="00330F71">
        <w:rPr>
          <w:rFonts w:asciiTheme="majorBidi" w:eastAsia="Times New Roman" w:hAnsiTheme="majorBidi" w:cstheme="majorBidi"/>
          <w:lang w:eastAsia="en-GB"/>
        </w:rPr>
        <w:t xml:space="preserve">(2021) ‘Knowledge bases and software support for variant interpretation in precision oncology’, </w:t>
      </w:r>
      <w:r w:rsidRPr="00330F71">
        <w:rPr>
          <w:rFonts w:asciiTheme="majorBidi" w:eastAsia="Times New Roman" w:hAnsiTheme="majorBidi" w:cstheme="majorBidi"/>
          <w:i/>
          <w:iCs/>
          <w:lang w:eastAsia="en-GB"/>
        </w:rPr>
        <w:t>Briefings in Bioinformatics</w:t>
      </w:r>
      <w:r w:rsidRPr="00330F71">
        <w:rPr>
          <w:rFonts w:asciiTheme="majorBidi" w:eastAsia="Times New Roman" w:hAnsiTheme="majorBidi" w:cstheme="majorBidi"/>
          <w:lang w:eastAsia="en-GB"/>
        </w:rPr>
        <w:t>, 22(6), p. bbab134. Available at: https://doi.org/10.1093/bib/bbab134.</w:t>
      </w:r>
    </w:p>
    <w:p w14:paraId="02A2EF54" w14:textId="77777777" w:rsidR="00330F71" w:rsidRPr="006D18BD"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val="fr-FR" w:eastAsia="en-GB"/>
        </w:rPr>
      </w:pPr>
      <w:r w:rsidRPr="00330F71">
        <w:rPr>
          <w:rFonts w:asciiTheme="majorBidi" w:eastAsia="Times New Roman" w:hAnsiTheme="majorBidi" w:cstheme="majorBidi"/>
          <w:lang w:eastAsia="en-GB"/>
        </w:rPr>
        <w:t xml:space="preserve">Bourgaud, F., Twyman, R.M. and Oksman-Caldentey, K.-M. (2025) ‘From plant genetic resources to cosmetic active ingredients: when science meets regulation and market rules’, </w:t>
      </w:r>
      <w:r w:rsidRPr="00330F71">
        <w:rPr>
          <w:rFonts w:asciiTheme="majorBidi" w:eastAsia="Times New Roman" w:hAnsiTheme="majorBidi" w:cstheme="majorBidi"/>
          <w:i/>
          <w:iCs/>
          <w:lang w:eastAsia="en-GB"/>
        </w:rPr>
        <w:t>Open Research Europe</w:t>
      </w:r>
      <w:r w:rsidRPr="00330F71">
        <w:rPr>
          <w:rFonts w:asciiTheme="majorBidi" w:eastAsia="Times New Roman" w:hAnsiTheme="majorBidi" w:cstheme="majorBidi"/>
          <w:lang w:eastAsia="en-GB"/>
        </w:rPr>
        <w:t xml:space="preserve">, 5, p. 165. </w:t>
      </w:r>
      <w:r w:rsidRPr="006D18BD">
        <w:rPr>
          <w:rFonts w:asciiTheme="majorBidi" w:eastAsia="Times New Roman" w:hAnsiTheme="majorBidi" w:cstheme="majorBidi"/>
          <w:lang w:val="fr-FR" w:eastAsia="en-GB"/>
        </w:rPr>
        <w:t>Available at: https://doi.org/10.12688/openreseurope.20113.2.</w:t>
      </w:r>
    </w:p>
    <w:p w14:paraId="3FC423CF" w14:textId="77777777" w:rsidR="00330F71" w:rsidRPr="006D18BD"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val="fr-FR" w:eastAsia="en-GB"/>
        </w:rPr>
      </w:pPr>
      <w:r w:rsidRPr="006D18BD">
        <w:rPr>
          <w:rFonts w:asciiTheme="majorBidi" w:eastAsia="Times New Roman" w:hAnsiTheme="majorBidi" w:cstheme="majorBidi"/>
          <w:lang w:val="fr-FR" w:eastAsia="en-GB"/>
        </w:rPr>
        <w:t xml:space="preserve">Bousfield, D. </w:t>
      </w:r>
      <w:r w:rsidRPr="006D18BD">
        <w:rPr>
          <w:rFonts w:asciiTheme="majorBidi" w:eastAsia="Times New Roman" w:hAnsiTheme="majorBidi" w:cstheme="majorBidi"/>
          <w:i/>
          <w:iCs/>
          <w:lang w:val="fr-FR" w:eastAsia="en-GB"/>
        </w:rPr>
        <w:t>et al.</w:t>
      </w:r>
      <w:r w:rsidRPr="006D18BD">
        <w:rPr>
          <w:rFonts w:asciiTheme="majorBidi" w:eastAsia="Times New Roman" w:hAnsiTheme="majorBidi" w:cstheme="majorBidi"/>
          <w:lang w:val="fr-FR" w:eastAsia="en-GB"/>
        </w:rPr>
        <w:t xml:space="preserve"> </w:t>
      </w:r>
      <w:r w:rsidRPr="00330F71">
        <w:rPr>
          <w:rFonts w:asciiTheme="majorBidi" w:eastAsia="Times New Roman" w:hAnsiTheme="majorBidi" w:cstheme="majorBidi"/>
          <w:lang w:eastAsia="en-GB"/>
        </w:rPr>
        <w:t xml:space="preserve">(2016a) ‘Patterns of database citation in articles and patents indicate long-term scientific and industry value of biological data resources’, </w:t>
      </w:r>
      <w:r w:rsidRPr="00330F71">
        <w:rPr>
          <w:rFonts w:asciiTheme="majorBidi" w:eastAsia="Times New Roman" w:hAnsiTheme="majorBidi" w:cstheme="majorBidi"/>
          <w:i/>
          <w:iCs/>
          <w:lang w:eastAsia="en-GB"/>
        </w:rPr>
        <w:t>F1000Research</w:t>
      </w:r>
      <w:r w:rsidRPr="00330F71">
        <w:rPr>
          <w:rFonts w:asciiTheme="majorBidi" w:eastAsia="Times New Roman" w:hAnsiTheme="majorBidi" w:cstheme="majorBidi"/>
          <w:lang w:eastAsia="en-GB"/>
        </w:rPr>
        <w:t xml:space="preserve">, 5, p. 160. </w:t>
      </w:r>
      <w:r w:rsidRPr="006D18BD">
        <w:rPr>
          <w:rFonts w:asciiTheme="majorBidi" w:eastAsia="Times New Roman" w:hAnsiTheme="majorBidi" w:cstheme="majorBidi"/>
          <w:lang w:val="fr-FR" w:eastAsia="en-GB"/>
        </w:rPr>
        <w:t>Available at: https://doi.org/10.12688/f1000research.7911.1.</w:t>
      </w:r>
    </w:p>
    <w:p w14:paraId="629EA22D" w14:textId="77777777" w:rsidR="00330F71" w:rsidRPr="006D18BD"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val="fr-FR" w:eastAsia="en-GB"/>
        </w:rPr>
      </w:pPr>
      <w:r w:rsidRPr="006D18BD">
        <w:rPr>
          <w:rFonts w:asciiTheme="majorBidi" w:eastAsia="Times New Roman" w:hAnsiTheme="majorBidi" w:cstheme="majorBidi"/>
          <w:lang w:val="fr-FR" w:eastAsia="en-GB"/>
        </w:rPr>
        <w:t xml:space="preserve">Bousfield, D. </w:t>
      </w:r>
      <w:r w:rsidRPr="006D18BD">
        <w:rPr>
          <w:rFonts w:asciiTheme="majorBidi" w:eastAsia="Times New Roman" w:hAnsiTheme="majorBidi" w:cstheme="majorBidi"/>
          <w:i/>
          <w:iCs/>
          <w:lang w:val="fr-FR" w:eastAsia="en-GB"/>
        </w:rPr>
        <w:t>et al.</w:t>
      </w:r>
      <w:r w:rsidRPr="006D18BD">
        <w:rPr>
          <w:rFonts w:asciiTheme="majorBidi" w:eastAsia="Times New Roman" w:hAnsiTheme="majorBidi" w:cstheme="majorBidi"/>
          <w:lang w:val="fr-FR" w:eastAsia="en-GB"/>
        </w:rPr>
        <w:t xml:space="preserve"> </w:t>
      </w:r>
      <w:r w:rsidRPr="00330F71">
        <w:rPr>
          <w:rFonts w:asciiTheme="majorBidi" w:eastAsia="Times New Roman" w:hAnsiTheme="majorBidi" w:cstheme="majorBidi"/>
          <w:lang w:eastAsia="en-GB"/>
        </w:rPr>
        <w:t xml:space="preserve">(2016b) ‘Patterns of database citation in articles and patents indicate long-term scientific and industry value of biological data resources’, </w:t>
      </w:r>
      <w:r w:rsidRPr="00330F71">
        <w:rPr>
          <w:rFonts w:asciiTheme="majorBidi" w:eastAsia="Times New Roman" w:hAnsiTheme="majorBidi" w:cstheme="majorBidi"/>
          <w:i/>
          <w:iCs/>
          <w:lang w:eastAsia="en-GB"/>
        </w:rPr>
        <w:t>F1000Research</w:t>
      </w:r>
      <w:r w:rsidRPr="00330F71">
        <w:rPr>
          <w:rFonts w:asciiTheme="majorBidi" w:eastAsia="Times New Roman" w:hAnsiTheme="majorBidi" w:cstheme="majorBidi"/>
          <w:lang w:eastAsia="en-GB"/>
        </w:rPr>
        <w:t xml:space="preserve">, 5, p. 160. </w:t>
      </w:r>
      <w:r w:rsidRPr="006D18BD">
        <w:rPr>
          <w:rFonts w:asciiTheme="majorBidi" w:eastAsia="Times New Roman" w:hAnsiTheme="majorBidi" w:cstheme="majorBidi"/>
          <w:lang w:val="fr-FR" w:eastAsia="en-GB"/>
        </w:rPr>
        <w:t>Available at: https://doi.org/10.12688/f1000research.7911.1.</w:t>
      </w:r>
    </w:p>
    <w:p w14:paraId="7AC0915B"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6D18BD">
        <w:rPr>
          <w:rFonts w:asciiTheme="majorBidi" w:eastAsia="Times New Roman" w:hAnsiTheme="majorBidi" w:cstheme="majorBidi"/>
          <w:lang w:val="fr-FR" w:eastAsia="en-GB"/>
        </w:rPr>
        <w:t xml:space="preserve">Brady, A. </w:t>
      </w:r>
      <w:r w:rsidRPr="006D18BD">
        <w:rPr>
          <w:rFonts w:asciiTheme="majorBidi" w:eastAsia="Times New Roman" w:hAnsiTheme="majorBidi" w:cstheme="majorBidi"/>
          <w:i/>
          <w:iCs/>
          <w:lang w:val="fr-FR" w:eastAsia="en-GB"/>
        </w:rPr>
        <w:t>et al.</w:t>
      </w:r>
      <w:r w:rsidRPr="006D18BD">
        <w:rPr>
          <w:rFonts w:asciiTheme="majorBidi" w:eastAsia="Times New Roman" w:hAnsiTheme="majorBidi" w:cstheme="majorBidi"/>
          <w:lang w:val="fr-FR" w:eastAsia="en-GB"/>
        </w:rPr>
        <w:t xml:space="preserve"> </w:t>
      </w:r>
      <w:r w:rsidRPr="00330F71">
        <w:rPr>
          <w:rFonts w:asciiTheme="majorBidi" w:eastAsia="Times New Roman" w:hAnsiTheme="majorBidi" w:cstheme="majorBidi"/>
          <w:lang w:eastAsia="en-GB"/>
        </w:rPr>
        <w:t xml:space="preserve">(2024) ‘NCI Cancer Research Data Commons: Core Standards and Services’, </w:t>
      </w:r>
      <w:r w:rsidRPr="00330F71">
        <w:rPr>
          <w:rFonts w:asciiTheme="majorBidi" w:eastAsia="Times New Roman" w:hAnsiTheme="majorBidi" w:cstheme="majorBidi"/>
          <w:i/>
          <w:iCs/>
          <w:lang w:eastAsia="en-GB"/>
        </w:rPr>
        <w:t>Cancer Research</w:t>
      </w:r>
      <w:r w:rsidRPr="00330F71">
        <w:rPr>
          <w:rFonts w:asciiTheme="majorBidi" w:eastAsia="Times New Roman" w:hAnsiTheme="majorBidi" w:cstheme="majorBidi"/>
          <w:lang w:eastAsia="en-GB"/>
        </w:rPr>
        <w:t>, 84(9), pp. 1384–1387. Available at: https://doi.org/10.1158/0008-5472.CAN-23-2655.</w:t>
      </w:r>
    </w:p>
    <w:p w14:paraId="4895374F"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Brazil (2006) </w:t>
      </w:r>
      <w:r w:rsidRPr="00330F71">
        <w:rPr>
          <w:rFonts w:asciiTheme="majorBidi" w:eastAsia="Times New Roman" w:hAnsiTheme="majorBidi" w:cstheme="majorBidi"/>
          <w:i/>
          <w:iCs/>
          <w:lang w:eastAsia="en-GB"/>
        </w:rPr>
        <w:t>Lei Complementar 123/2006</w:t>
      </w:r>
      <w:r w:rsidRPr="00330F71">
        <w:rPr>
          <w:rFonts w:asciiTheme="majorBidi" w:eastAsia="Times New Roman" w:hAnsiTheme="majorBidi" w:cstheme="majorBidi"/>
          <w:lang w:eastAsia="en-GB"/>
        </w:rPr>
        <w:t>. Available at: https://www.planalto.gov.br/ccivil_03/leis/lcp/lcp123.htm (Accessed: 7 June 2026).</w:t>
      </w:r>
    </w:p>
    <w:p w14:paraId="1F77B73B" w14:textId="77777777" w:rsidR="00330F71" w:rsidRPr="006D18BD"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val="fr-FR" w:eastAsia="en-GB"/>
        </w:rPr>
      </w:pPr>
      <w:r w:rsidRPr="00330F71">
        <w:rPr>
          <w:rFonts w:asciiTheme="majorBidi" w:eastAsia="Times New Roman" w:hAnsiTheme="majorBidi" w:cstheme="majorBidi"/>
          <w:lang w:eastAsia="en-GB"/>
        </w:rPr>
        <w:t xml:space="preserve">Brink, M. and van Hintum, T. (2022) ‘Practical consequences of digital sequence information (DSI) definitions and access and benefit-sharing scenarios from a plant genebank’s perspective’, </w:t>
      </w:r>
      <w:r w:rsidRPr="00330F71">
        <w:rPr>
          <w:rFonts w:asciiTheme="majorBidi" w:eastAsia="Times New Roman" w:hAnsiTheme="majorBidi" w:cstheme="majorBidi"/>
          <w:i/>
          <w:iCs/>
          <w:lang w:eastAsia="en-GB"/>
        </w:rPr>
        <w:t>PLANTS, PEOPLE, PLANET</w:t>
      </w:r>
      <w:r w:rsidRPr="00330F71">
        <w:rPr>
          <w:rFonts w:asciiTheme="majorBidi" w:eastAsia="Times New Roman" w:hAnsiTheme="majorBidi" w:cstheme="majorBidi"/>
          <w:lang w:eastAsia="en-GB"/>
        </w:rPr>
        <w:t xml:space="preserve">, 4(1), pp. 23–32. </w:t>
      </w:r>
      <w:r w:rsidRPr="006D18BD">
        <w:rPr>
          <w:rFonts w:asciiTheme="majorBidi" w:eastAsia="Times New Roman" w:hAnsiTheme="majorBidi" w:cstheme="majorBidi"/>
          <w:lang w:val="fr-FR" w:eastAsia="en-GB"/>
        </w:rPr>
        <w:t>Available at: https://doi.org/10.1002/ppp3.10201.</w:t>
      </w:r>
    </w:p>
    <w:p w14:paraId="4EBD0AA1" w14:textId="77777777" w:rsidR="00330F71" w:rsidRPr="006D18BD"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val="fr-FR" w:eastAsia="en-GB"/>
        </w:rPr>
      </w:pPr>
      <w:r w:rsidRPr="006D18BD">
        <w:rPr>
          <w:rFonts w:asciiTheme="majorBidi" w:eastAsia="Times New Roman" w:hAnsiTheme="majorBidi" w:cstheme="majorBidi"/>
          <w:lang w:val="fr-FR" w:eastAsia="en-GB"/>
        </w:rPr>
        <w:lastRenderedPageBreak/>
        <w:t xml:space="preserve">Bruneo, H. </w:t>
      </w:r>
      <w:r w:rsidRPr="006D18BD">
        <w:rPr>
          <w:rFonts w:asciiTheme="majorBidi" w:eastAsia="Times New Roman" w:hAnsiTheme="majorBidi" w:cstheme="majorBidi"/>
          <w:i/>
          <w:iCs/>
          <w:lang w:val="fr-FR" w:eastAsia="en-GB"/>
        </w:rPr>
        <w:t>et al.</w:t>
      </w:r>
      <w:r w:rsidRPr="006D18BD">
        <w:rPr>
          <w:rFonts w:asciiTheme="majorBidi" w:eastAsia="Times New Roman" w:hAnsiTheme="majorBidi" w:cstheme="majorBidi"/>
          <w:lang w:val="fr-FR" w:eastAsia="en-GB"/>
        </w:rPr>
        <w:t xml:space="preserve"> </w:t>
      </w:r>
      <w:r w:rsidRPr="00330F71">
        <w:rPr>
          <w:rFonts w:asciiTheme="majorBidi" w:eastAsia="Times New Roman" w:hAnsiTheme="majorBidi" w:cstheme="majorBidi"/>
          <w:lang w:eastAsia="en-GB"/>
        </w:rPr>
        <w:t xml:space="preserve">(2023) ‘Risk and return in the biotech industry’, </w:t>
      </w:r>
      <w:r w:rsidRPr="00330F71">
        <w:rPr>
          <w:rFonts w:asciiTheme="majorBidi" w:eastAsia="Times New Roman" w:hAnsiTheme="majorBidi" w:cstheme="majorBidi"/>
          <w:i/>
          <w:iCs/>
          <w:lang w:eastAsia="en-GB"/>
        </w:rPr>
        <w:t>International Journal of Productivity and Performance Management</w:t>
      </w:r>
      <w:r w:rsidRPr="00330F71">
        <w:rPr>
          <w:rFonts w:asciiTheme="majorBidi" w:eastAsia="Times New Roman" w:hAnsiTheme="majorBidi" w:cstheme="majorBidi"/>
          <w:lang w:eastAsia="en-GB"/>
        </w:rPr>
        <w:t xml:space="preserve">, 73(6), pp. 1926–1947. </w:t>
      </w:r>
      <w:r w:rsidRPr="006D18BD">
        <w:rPr>
          <w:rFonts w:asciiTheme="majorBidi" w:eastAsia="Times New Roman" w:hAnsiTheme="majorBidi" w:cstheme="majorBidi"/>
          <w:lang w:val="fr-FR" w:eastAsia="en-GB"/>
        </w:rPr>
        <w:t>Available at: https://doi.org/10.1108/IJPPM-04-2023-0179.</w:t>
      </w:r>
    </w:p>
    <w:p w14:paraId="454DA52B" w14:textId="77777777" w:rsidR="00330F71" w:rsidRPr="006D18BD"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val="fr-FR" w:eastAsia="en-GB"/>
        </w:rPr>
      </w:pPr>
      <w:r w:rsidRPr="006D18BD">
        <w:rPr>
          <w:rFonts w:asciiTheme="majorBidi" w:eastAsia="Times New Roman" w:hAnsiTheme="majorBidi" w:cstheme="majorBidi"/>
          <w:lang w:val="fr-FR" w:eastAsia="en-GB"/>
        </w:rPr>
        <w:t xml:space="preserve">Burris, L. </w:t>
      </w:r>
      <w:r w:rsidRPr="006D18BD">
        <w:rPr>
          <w:rFonts w:asciiTheme="majorBidi" w:eastAsia="Times New Roman" w:hAnsiTheme="majorBidi" w:cstheme="majorBidi"/>
          <w:i/>
          <w:iCs/>
          <w:lang w:val="fr-FR" w:eastAsia="en-GB"/>
        </w:rPr>
        <w:t>et al.</w:t>
      </w:r>
      <w:r w:rsidRPr="006D18BD">
        <w:rPr>
          <w:rFonts w:asciiTheme="majorBidi" w:eastAsia="Times New Roman" w:hAnsiTheme="majorBidi" w:cstheme="majorBidi"/>
          <w:lang w:val="fr-FR" w:eastAsia="en-GB"/>
        </w:rPr>
        <w:t xml:space="preserve"> </w:t>
      </w:r>
      <w:r w:rsidRPr="00330F71">
        <w:rPr>
          <w:rFonts w:asciiTheme="majorBidi" w:eastAsia="Times New Roman" w:hAnsiTheme="majorBidi" w:cstheme="majorBidi"/>
          <w:lang w:eastAsia="en-GB"/>
        </w:rPr>
        <w:t xml:space="preserve">(2025) ‘The divergence of the public and private plant breeding sectors with implications for climate change’, </w:t>
      </w:r>
      <w:r w:rsidRPr="00330F71">
        <w:rPr>
          <w:rFonts w:asciiTheme="majorBidi" w:eastAsia="Times New Roman" w:hAnsiTheme="majorBidi" w:cstheme="majorBidi"/>
          <w:i/>
          <w:iCs/>
          <w:lang w:eastAsia="en-GB"/>
        </w:rPr>
        <w:t>npj Science of Plants</w:t>
      </w:r>
      <w:r w:rsidRPr="00330F71">
        <w:rPr>
          <w:rFonts w:asciiTheme="majorBidi" w:eastAsia="Times New Roman" w:hAnsiTheme="majorBidi" w:cstheme="majorBidi"/>
          <w:lang w:eastAsia="en-GB"/>
        </w:rPr>
        <w:t xml:space="preserve">, 1(1), p. 11. </w:t>
      </w:r>
      <w:r w:rsidRPr="006D18BD">
        <w:rPr>
          <w:rFonts w:asciiTheme="majorBidi" w:eastAsia="Times New Roman" w:hAnsiTheme="majorBidi" w:cstheme="majorBidi"/>
          <w:lang w:val="fr-FR" w:eastAsia="en-GB"/>
        </w:rPr>
        <w:t>Available at: https://doi.org/10.1038/s44383-025-00013-5.</w:t>
      </w:r>
    </w:p>
    <w:p w14:paraId="4EC644ED"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6D18BD">
        <w:rPr>
          <w:rFonts w:asciiTheme="majorBidi" w:eastAsia="Times New Roman" w:hAnsiTheme="majorBidi" w:cstheme="majorBidi"/>
          <w:lang w:val="fr-FR" w:eastAsia="en-GB"/>
        </w:rPr>
        <w:t xml:space="preserve">Carl, D.L. </w:t>
      </w:r>
      <w:r w:rsidRPr="006D18BD">
        <w:rPr>
          <w:rFonts w:asciiTheme="majorBidi" w:eastAsia="Times New Roman" w:hAnsiTheme="majorBidi" w:cstheme="majorBidi"/>
          <w:i/>
          <w:iCs/>
          <w:lang w:val="fr-FR" w:eastAsia="en-GB"/>
        </w:rPr>
        <w:t>et al.</w:t>
      </w:r>
      <w:r w:rsidRPr="006D18BD">
        <w:rPr>
          <w:rFonts w:asciiTheme="majorBidi" w:eastAsia="Times New Roman" w:hAnsiTheme="majorBidi" w:cstheme="majorBidi"/>
          <w:lang w:val="fr-FR" w:eastAsia="en-GB"/>
        </w:rPr>
        <w:t xml:space="preserve"> </w:t>
      </w:r>
      <w:r w:rsidRPr="00330F71">
        <w:rPr>
          <w:rFonts w:asciiTheme="majorBidi" w:eastAsia="Times New Roman" w:hAnsiTheme="majorBidi" w:cstheme="majorBidi"/>
          <w:lang w:eastAsia="en-GB"/>
        </w:rPr>
        <w:t xml:space="preserve">(2022) ‘Comparison of Uptake and Prices of Biosimilars in the US, Germany, and Switzerland’, </w:t>
      </w:r>
      <w:r w:rsidRPr="00330F71">
        <w:rPr>
          <w:rFonts w:asciiTheme="majorBidi" w:eastAsia="Times New Roman" w:hAnsiTheme="majorBidi" w:cstheme="majorBidi"/>
          <w:i/>
          <w:iCs/>
          <w:lang w:eastAsia="en-GB"/>
        </w:rPr>
        <w:t>JAMA Network Open</w:t>
      </w:r>
      <w:r w:rsidRPr="00330F71">
        <w:rPr>
          <w:rFonts w:asciiTheme="majorBidi" w:eastAsia="Times New Roman" w:hAnsiTheme="majorBidi" w:cstheme="majorBidi"/>
          <w:lang w:eastAsia="en-GB"/>
        </w:rPr>
        <w:t>, 5(12), p. e2244670. Available at: https://doi.org/10.1001/jamanetworkopen.2022.44670.</w:t>
      </w:r>
    </w:p>
    <w:p w14:paraId="274F1DED"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CBD (2011) </w:t>
      </w:r>
      <w:r w:rsidRPr="00330F71">
        <w:rPr>
          <w:rFonts w:asciiTheme="majorBidi" w:eastAsia="Times New Roman" w:hAnsiTheme="majorBidi" w:cstheme="majorBidi"/>
          <w:i/>
          <w:iCs/>
          <w:lang w:eastAsia="en-GB"/>
        </w:rPr>
        <w:t>Access and benefit-sharing information kit: Introduction to access and benefit-sharing</w:t>
      </w:r>
      <w:r w:rsidRPr="00330F71">
        <w:rPr>
          <w:rFonts w:asciiTheme="majorBidi" w:eastAsia="Times New Roman" w:hAnsiTheme="majorBidi" w:cstheme="majorBidi"/>
          <w:lang w:eastAsia="en-GB"/>
        </w:rPr>
        <w:t>. Available at: https://www.cbd.int/abs/infokit/revised/web/all-files-en.pdf.</w:t>
      </w:r>
    </w:p>
    <w:p w14:paraId="213BE12B"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CBD (2020a) </w:t>
      </w:r>
      <w:r w:rsidRPr="00330F71">
        <w:rPr>
          <w:rFonts w:asciiTheme="majorBidi" w:eastAsia="Times New Roman" w:hAnsiTheme="majorBidi" w:cstheme="majorBidi"/>
          <w:i/>
          <w:iCs/>
          <w:lang w:eastAsia="en-GB"/>
        </w:rPr>
        <w:t>Combined study on digital sequence information in public adnd private databases and traceability</w:t>
      </w:r>
      <w:r w:rsidRPr="00330F71">
        <w:rPr>
          <w:rFonts w:asciiTheme="majorBidi" w:eastAsia="Times New Roman" w:hAnsiTheme="majorBidi" w:cstheme="majorBidi"/>
          <w:lang w:eastAsia="en-GB"/>
        </w:rPr>
        <w:t>. CBD/DSI/AHTEG/2020/1/4. Montreal, Canada. Available at: https://www.cbd.int/doc/c/1f8f/d793/57cb114ca40cb6468f479584/dsi-ahteg-2020-01-04-en.pdf.</w:t>
      </w:r>
    </w:p>
    <w:p w14:paraId="113A00D2"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CBD (2020b) </w:t>
      </w:r>
      <w:r w:rsidRPr="00330F71">
        <w:rPr>
          <w:rFonts w:asciiTheme="majorBidi" w:eastAsia="Times New Roman" w:hAnsiTheme="majorBidi" w:cstheme="majorBidi"/>
          <w:i/>
          <w:iCs/>
          <w:lang w:eastAsia="en-GB"/>
        </w:rPr>
        <w:t>Report of the Ad Hoc Technical Expert Group on Digital Sequence Information on Genetic Resources</w:t>
      </w:r>
      <w:r w:rsidRPr="00330F71">
        <w:rPr>
          <w:rFonts w:asciiTheme="majorBidi" w:eastAsia="Times New Roman" w:hAnsiTheme="majorBidi" w:cstheme="majorBidi"/>
          <w:lang w:eastAsia="en-GB"/>
        </w:rPr>
        <w:t>. CBD/DSI/AHTEG/2020/1/7. CBD. Available at: https://www.cbd.int/doc/c/ba60/7272/3260b5e396821d42bc21035a/dsi-ahteg-2020-01-07-en.pdf.</w:t>
      </w:r>
    </w:p>
    <w:p w14:paraId="793E35BA"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CBD (2022) ‘Decision 15/9: Digital sequence information on genetic resources’, </w:t>
      </w:r>
      <w:r w:rsidRPr="00330F71">
        <w:rPr>
          <w:rFonts w:asciiTheme="majorBidi" w:eastAsia="Times New Roman" w:hAnsiTheme="majorBidi" w:cstheme="majorBidi"/>
          <w:i/>
          <w:iCs/>
          <w:lang w:eastAsia="en-GB"/>
        </w:rPr>
        <w:t>Fifteenth meeting of the Conference of the Parties to the Convention on Biological Diversity (COP 15)</w:t>
      </w:r>
      <w:r w:rsidRPr="00330F71">
        <w:rPr>
          <w:rFonts w:asciiTheme="majorBidi" w:eastAsia="Times New Roman" w:hAnsiTheme="majorBidi" w:cstheme="majorBidi"/>
          <w:lang w:eastAsia="en-GB"/>
        </w:rPr>
        <w:t xml:space="preserve"> [Preprint]. Available at: https://www.cbd.int/doc/decisions/cop-15/cop-15-dec-09-en.pdf.</w:t>
      </w:r>
    </w:p>
    <w:p w14:paraId="62A01EAC"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CBD (2024a) ‘Decision 16/2: Digital sequence information on genetic resources’, </w:t>
      </w:r>
      <w:r w:rsidRPr="00330F71">
        <w:rPr>
          <w:rFonts w:asciiTheme="majorBidi" w:eastAsia="Times New Roman" w:hAnsiTheme="majorBidi" w:cstheme="majorBidi"/>
          <w:i/>
          <w:iCs/>
          <w:lang w:eastAsia="en-GB"/>
        </w:rPr>
        <w:t>Sixteenth meeting of the Conference of the Parties to the Convention on Biological Diversity (COP 16)</w:t>
      </w:r>
      <w:r w:rsidRPr="00330F71">
        <w:rPr>
          <w:rFonts w:asciiTheme="majorBidi" w:eastAsia="Times New Roman" w:hAnsiTheme="majorBidi" w:cstheme="majorBidi"/>
          <w:lang w:eastAsia="en-GB"/>
        </w:rPr>
        <w:t xml:space="preserve"> [Preprint]. Available at: https://www.cbd.int/doc/decisions/cop-16/cop-16-dec-02-en.pdf.</w:t>
      </w:r>
    </w:p>
    <w:p w14:paraId="33C5A14C"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CBD (2024b) </w:t>
      </w:r>
      <w:r w:rsidRPr="00330F71">
        <w:rPr>
          <w:rFonts w:asciiTheme="majorBidi" w:eastAsia="Times New Roman" w:hAnsiTheme="majorBidi" w:cstheme="majorBidi"/>
          <w:i/>
          <w:iCs/>
          <w:lang w:eastAsia="en-GB"/>
        </w:rPr>
        <w:t>Notification 2024-114. The multilateral mechanism for the fair and equitable sharing of benefits from the use of digital sequence information on genetic resources, including a global fund (‘The Cali Fund’): Submission of views on possible additional modalities of the multilateral mechanism.</w:t>
      </w:r>
      <w:r w:rsidRPr="00330F71">
        <w:rPr>
          <w:rFonts w:asciiTheme="majorBidi" w:eastAsia="Times New Roman" w:hAnsiTheme="majorBidi" w:cstheme="majorBidi"/>
          <w:lang w:eastAsia="en-GB"/>
        </w:rPr>
        <w:t xml:space="preserve">, </w:t>
      </w:r>
      <w:r w:rsidRPr="00330F71">
        <w:rPr>
          <w:rFonts w:asciiTheme="majorBidi" w:eastAsia="Times New Roman" w:hAnsiTheme="majorBidi" w:cstheme="majorBidi"/>
          <w:i/>
          <w:iCs/>
          <w:lang w:eastAsia="en-GB"/>
        </w:rPr>
        <w:t>Convention on Biological Diversity</w:t>
      </w:r>
      <w:r w:rsidRPr="00330F71">
        <w:rPr>
          <w:rFonts w:asciiTheme="majorBidi" w:eastAsia="Times New Roman" w:hAnsiTheme="majorBidi" w:cstheme="majorBidi"/>
          <w:lang w:eastAsia="en-GB"/>
        </w:rPr>
        <w:t>. Available at: https://www.cbd.int/notifications/2024-114 (Accessed: 13 May 2026).</w:t>
      </w:r>
    </w:p>
    <w:p w14:paraId="3FC9C144"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CBD (2024c) </w:t>
      </w:r>
      <w:r w:rsidRPr="00330F71">
        <w:rPr>
          <w:rFonts w:asciiTheme="majorBidi" w:eastAsia="Times New Roman" w:hAnsiTheme="majorBidi" w:cstheme="majorBidi"/>
          <w:i/>
          <w:iCs/>
          <w:lang w:eastAsia="en-GB"/>
        </w:rPr>
        <w:t>Notification 2024-116. The multilateral mechanism for the fair and equitable sharing of benefits from the use of digital sequence information on genetic resources, including a global fund (‘The Cali Fund’): Submission of information on national, regional or international standards on thresholds determining small, medium and large entities.</w:t>
      </w:r>
      <w:r w:rsidRPr="00330F71">
        <w:rPr>
          <w:rFonts w:asciiTheme="majorBidi" w:eastAsia="Times New Roman" w:hAnsiTheme="majorBidi" w:cstheme="majorBidi"/>
          <w:lang w:eastAsia="en-GB"/>
        </w:rPr>
        <w:t xml:space="preserve">, </w:t>
      </w:r>
      <w:r w:rsidRPr="00330F71">
        <w:rPr>
          <w:rFonts w:asciiTheme="majorBidi" w:eastAsia="Times New Roman" w:hAnsiTheme="majorBidi" w:cstheme="majorBidi"/>
          <w:i/>
          <w:iCs/>
          <w:lang w:eastAsia="en-GB"/>
        </w:rPr>
        <w:t>Convention on Biological Diversity</w:t>
      </w:r>
      <w:r w:rsidRPr="00330F71">
        <w:rPr>
          <w:rFonts w:asciiTheme="majorBidi" w:eastAsia="Times New Roman" w:hAnsiTheme="majorBidi" w:cstheme="majorBidi"/>
          <w:lang w:eastAsia="en-GB"/>
        </w:rPr>
        <w:t>. Available at: https://www.cbd.int/notifications/2024-116 (Accessed: 6 May 2026).</w:t>
      </w:r>
    </w:p>
    <w:p w14:paraId="3A0833AE"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CBD (2024d) </w:t>
      </w:r>
      <w:r w:rsidRPr="00330F71">
        <w:rPr>
          <w:rFonts w:asciiTheme="majorBidi" w:eastAsia="Times New Roman" w:hAnsiTheme="majorBidi" w:cstheme="majorBidi"/>
          <w:i/>
          <w:iCs/>
          <w:lang w:eastAsia="en-GB"/>
        </w:rPr>
        <w:t>Studies commissioned further to decision 15/9</w:t>
      </w:r>
      <w:r w:rsidRPr="00330F71">
        <w:rPr>
          <w:rFonts w:asciiTheme="majorBidi" w:eastAsia="Times New Roman" w:hAnsiTheme="majorBidi" w:cstheme="majorBidi"/>
          <w:lang w:eastAsia="en-GB"/>
        </w:rPr>
        <w:t>. CBD/WGDSI/2/INF/1. Available at: https://www.cbd.int/doc/c/58d2/cd87/2ef418ccca31155fb8d0a4f5/wgdsi-02-inf-01-en.pdf.</w:t>
      </w:r>
    </w:p>
    <w:p w14:paraId="67B37C37"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CBD (2025) </w:t>
      </w:r>
      <w:r w:rsidRPr="00330F71">
        <w:rPr>
          <w:rFonts w:asciiTheme="majorBidi" w:eastAsia="Times New Roman" w:hAnsiTheme="majorBidi" w:cstheme="majorBidi"/>
          <w:i/>
          <w:iCs/>
          <w:lang w:eastAsia="en-GB"/>
        </w:rPr>
        <w:t>Notification: Operationalization of the Cali Fund for the Fair and Equitable Sharing of Benefits from the Use of Digital Sequence Information on Genetic Resources: Composition of the Ad Hoc Technical Expert Group on Allocation Methodology (SCBD/OES/TS/CGA/KB/NF/91971)</w:t>
      </w:r>
      <w:r w:rsidRPr="00330F71">
        <w:rPr>
          <w:rFonts w:asciiTheme="majorBidi" w:eastAsia="Times New Roman" w:hAnsiTheme="majorBidi" w:cstheme="majorBidi"/>
          <w:lang w:eastAsia="en-GB"/>
        </w:rPr>
        <w:t>. Available at: https://www.cbd.int/doc/notifications/2025/ntf-2025-073-dsi-ahteg-en.pdf.</w:t>
      </w:r>
    </w:p>
    <w:p w14:paraId="6BB13A4C"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CBD (2026) </w:t>
      </w:r>
      <w:r w:rsidRPr="00330F71">
        <w:rPr>
          <w:rFonts w:asciiTheme="majorBidi" w:eastAsia="Times New Roman" w:hAnsiTheme="majorBidi" w:cstheme="majorBidi"/>
          <w:i/>
          <w:iCs/>
          <w:lang w:eastAsia="en-GB"/>
        </w:rPr>
        <w:t xml:space="preserve">Notification 2026-019. Operationalizing the Multilateral Mechanism for the Fair and Equitable Sharing of Benefits from the Use of Digital Sequence Information on Genetic Resources, including the Cali </w:t>
      </w:r>
      <w:r w:rsidRPr="00330F71">
        <w:rPr>
          <w:rFonts w:asciiTheme="majorBidi" w:eastAsia="Times New Roman" w:hAnsiTheme="majorBidi" w:cstheme="majorBidi"/>
          <w:i/>
          <w:iCs/>
          <w:lang w:eastAsia="en-GB"/>
        </w:rPr>
        <w:lastRenderedPageBreak/>
        <w:t>Fund: Extension of deadline to submit relevant information and updates on actions to give effect to decision 16/2.</w:t>
      </w:r>
      <w:r w:rsidRPr="00330F71">
        <w:rPr>
          <w:rFonts w:asciiTheme="majorBidi" w:eastAsia="Times New Roman" w:hAnsiTheme="majorBidi" w:cstheme="majorBidi"/>
          <w:lang w:eastAsia="en-GB"/>
        </w:rPr>
        <w:t xml:space="preserve">, </w:t>
      </w:r>
      <w:r w:rsidRPr="00330F71">
        <w:rPr>
          <w:rFonts w:asciiTheme="majorBidi" w:eastAsia="Times New Roman" w:hAnsiTheme="majorBidi" w:cstheme="majorBidi"/>
          <w:i/>
          <w:iCs/>
          <w:lang w:eastAsia="en-GB"/>
        </w:rPr>
        <w:t>Convention on Biological Diversity</w:t>
      </w:r>
      <w:r w:rsidRPr="00330F71">
        <w:rPr>
          <w:rFonts w:asciiTheme="majorBidi" w:eastAsia="Times New Roman" w:hAnsiTheme="majorBidi" w:cstheme="majorBidi"/>
          <w:lang w:eastAsia="en-GB"/>
        </w:rPr>
        <w:t>. Available at: https://www.cbd.int/notifications/2026-019 (Accessed: 15 May 2026).</w:t>
      </w:r>
    </w:p>
    <w:p w14:paraId="09165A2B"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Chen, R. (2023) </w:t>
      </w:r>
      <w:r w:rsidRPr="00330F71">
        <w:rPr>
          <w:rFonts w:asciiTheme="majorBidi" w:eastAsia="Times New Roman" w:hAnsiTheme="majorBidi" w:cstheme="majorBidi"/>
          <w:i/>
          <w:iCs/>
          <w:lang w:eastAsia="en-GB"/>
        </w:rPr>
        <w:t>The role of SMEs in China’s circular economy transition</w:t>
      </w:r>
      <w:r w:rsidRPr="00330F71">
        <w:rPr>
          <w:rFonts w:asciiTheme="majorBidi" w:eastAsia="Times New Roman" w:hAnsiTheme="majorBidi" w:cstheme="majorBidi"/>
          <w:lang w:eastAsia="en-GB"/>
        </w:rPr>
        <w:t>. Copenhagen, Denmark: Circular Innovation Lab (Issue Nb. 5). Available at: https://circulareconomy.europa.eu/platform/sites/default/files/2023-08/The%20Role%20of%20SMEs%20in%20China%27s%20Circular%20Economy%20Transition.pdf.</w:t>
      </w:r>
    </w:p>
    <w:p w14:paraId="398DCE1B"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Choi, J.P., Furusawa, T. and Ishikawa, J. (2020) ‘Transfer pricing regulation and tax competition’, </w:t>
      </w:r>
      <w:r w:rsidRPr="00330F71">
        <w:rPr>
          <w:rFonts w:asciiTheme="majorBidi" w:eastAsia="Times New Roman" w:hAnsiTheme="majorBidi" w:cstheme="majorBidi"/>
          <w:i/>
          <w:iCs/>
          <w:lang w:eastAsia="en-GB"/>
        </w:rPr>
        <w:t>Journal of International Economics</w:t>
      </w:r>
      <w:r w:rsidRPr="00330F71">
        <w:rPr>
          <w:rFonts w:asciiTheme="majorBidi" w:eastAsia="Times New Roman" w:hAnsiTheme="majorBidi" w:cstheme="majorBidi"/>
          <w:lang w:eastAsia="en-GB"/>
        </w:rPr>
        <w:t>, 127, p. 103367. Available at: https://doi.org/10.1016/j.jinteco.2020.103367.</w:t>
      </w:r>
    </w:p>
    <w:p w14:paraId="1028BB47"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Clancy, M.S. and Moschini, G. (2017) ‘Intellectual Property Rights and the Ascent of Proprietary Innovation in Agriculture’, </w:t>
      </w:r>
      <w:r w:rsidRPr="00330F71">
        <w:rPr>
          <w:rFonts w:asciiTheme="majorBidi" w:eastAsia="Times New Roman" w:hAnsiTheme="majorBidi" w:cstheme="majorBidi"/>
          <w:i/>
          <w:iCs/>
          <w:lang w:eastAsia="en-GB"/>
        </w:rPr>
        <w:t>Annual Review of Resource Economics</w:t>
      </w:r>
      <w:r w:rsidRPr="00330F71">
        <w:rPr>
          <w:rFonts w:asciiTheme="majorBidi" w:eastAsia="Times New Roman" w:hAnsiTheme="majorBidi" w:cstheme="majorBidi"/>
          <w:lang w:eastAsia="en-GB"/>
        </w:rPr>
        <w:t>, 9(Volume 9, 2017), pp. 53–74. Available at: https://doi.org/10.1146/annurev-resource-100516-053524.</w:t>
      </w:r>
    </w:p>
    <w:p w14:paraId="05A541A1"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Clarke, L. and Kitney, R. (2020) ‘Developing synthetic biology for industrial biotechnology applications’, </w:t>
      </w:r>
      <w:r w:rsidRPr="00330F71">
        <w:rPr>
          <w:rFonts w:asciiTheme="majorBidi" w:eastAsia="Times New Roman" w:hAnsiTheme="majorBidi" w:cstheme="majorBidi"/>
          <w:i/>
          <w:iCs/>
          <w:lang w:eastAsia="en-GB"/>
        </w:rPr>
        <w:t>Biochemical Society Transactions</w:t>
      </w:r>
      <w:r w:rsidRPr="00330F71">
        <w:rPr>
          <w:rFonts w:asciiTheme="majorBidi" w:eastAsia="Times New Roman" w:hAnsiTheme="majorBidi" w:cstheme="majorBidi"/>
          <w:lang w:eastAsia="en-GB"/>
        </w:rPr>
        <w:t>, 48(1), pp. 113–122. Available at: https://doi.org/10.1042/BST20190349.</w:t>
      </w:r>
    </w:p>
    <w:p w14:paraId="2FD35EC2" w14:textId="77777777" w:rsidR="00330F71" w:rsidRPr="006D18BD"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val="fr-FR" w:eastAsia="en-GB"/>
        </w:rPr>
      </w:pPr>
      <w:r w:rsidRPr="00330F71">
        <w:rPr>
          <w:rFonts w:asciiTheme="majorBidi" w:eastAsia="Times New Roman" w:hAnsiTheme="majorBidi" w:cstheme="majorBidi"/>
          <w:lang w:eastAsia="en-GB"/>
        </w:rPr>
        <w:t xml:space="preserve">Cockburn, I.M. (2004) ‘The Changing Structure Of The Pharmaceutical Industry’, </w:t>
      </w:r>
      <w:r w:rsidRPr="00330F71">
        <w:rPr>
          <w:rFonts w:asciiTheme="majorBidi" w:eastAsia="Times New Roman" w:hAnsiTheme="majorBidi" w:cstheme="majorBidi"/>
          <w:i/>
          <w:iCs/>
          <w:lang w:eastAsia="en-GB"/>
        </w:rPr>
        <w:t>Health Affairs</w:t>
      </w:r>
      <w:r w:rsidRPr="00330F71">
        <w:rPr>
          <w:rFonts w:asciiTheme="majorBidi" w:eastAsia="Times New Roman" w:hAnsiTheme="majorBidi" w:cstheme="majorBidi"/>
          <w:lang w:eastAsia="en-GB"/>
        </w:rPr>
        <w:t xml:space="preserve">, 23(1), pp. 10–22. </w:t>
      </w:r>
      <w:r w:rsidRPr="006D18BD">
        <w:rPr>
          <w:rFonts w:asciiTheme="majorBidi" w:eastAsia="Times New Roman" w:hAnsiTheme="majorBidi" w:cstheme="majorBidi"/>
          <w:lang w:val="fr-FR" w:eastAsia="en-GB"/>
        </w:rPr>
        <w:t>Available at: https://doi.org/10.1377/hlthaff.23.1.10.</w:t>
      </w:r>
    </w:p>
    <w:p w14:paraId="5AE704D4"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6D18BD">
        <w:rPr>
          <w:rFonts w:asciiTheme="majorBidi" w:eastAsia="Times New Roman" w:hAnsiTheme="majorBidi" w:cstheme="majorBidi"/>
          <w:lang w:val="fr-FR" w:eastAsia="en-GB"/>
        </w:rPr>
        <w:t xml:space="preserve">Coles, J.L. </w:t>
      </w:r>
      <w:r w:rsidRPr="006D18BD">
        <w:rPr>
          <w:rFonts w:asciiTheme="majorBidi" w:eastAsia="Times New Roman" w:hAnsiTheme="majorBidi" w:cstheme="majorBidi"/>
          <w:i/>
          <w:iCs/>
          <w:lang w:val="fr-FR" w:eastAsia="en-GB"/>
        </w:rPr>
        <w:t>et al.</w:t>
      </w:r>
      <w:r w:rsidRPr="006D18BD">
        <w:rPr>
          <w:rFonts w:asciiTheme="majorBidi" w:eastAsia="Times New Roman" w:hAnsiTheme="majorBidi" w:cstheme="majorBidi"/>
          <w:lang w:val="fr-FR" w:eastAsia="en-GB"/>
        </w:rPr>
        <w:t xml:space="preserve"> </w:t>
      </w:r>
      <w:r w:rsidRPr="00330F71">
        <w:rPr>
          <w:rFonts w:asciiTheme="majorBidi" w:eastAsia="Times New Roman" w:hAnsiTheme="majorBidi" w:cstheme="majorBidi"/>
          <w:lang w:eastAsia="en-GB"/>
        </w:rPr>
        <w:t xml:space="preserve">(2022) ‘How Do Firms Respond to Corporate Taxes?’, </w:t>
      </w:r>
      <w:r w:rsidRPr="00330F71">
        <w:rPr>
          <w:rFonts w:asciiTheme="majorBidi" w:eastAsia="Times New Roman" w:hAnsiTheme="majorBidi" w:cstheme="majorBidi"/>
          <w:i/>
          <w:iCs/>
          <w:lang w:eastAsia="en-GB"/>
        </w:rPr>
        <w:t>Journal of Accounting Research</w:t>
      </w:r>
      <w:r w:rsidRPr="00330F71">
        <w:rPr>
          <w:rFonts w:asciiTheme="majorBidi" w:eastAsia="Times New Roman" w:hAnsiTheme="majorBidi" w:cstheme="majorBidi"/>
          <w:lang w:eastAsia="en-GB"/>
        </w:rPr>
        <w:t>, 60(3), pp. 965–1006. Available at: https://doi.org/10.1111/1475-679X.12405.</w:t>
      </w:r>
    </w:p>
    <w:p w14:paraId="6BB11660"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Contreras, G., Bos, J.W.B. and Kleimeier, S. (2019) ‘Self-regulation in sustainable finance: The adoption of the Equator Principles’, </w:t>
      </w:r>
      <w:r w:rsidRPr="00330F71">
        <w:rPr>
          <w:rFonts w:asciiTheme="majorBidi" w:eastAsia="Times New Roman" w:hAnsiTheme="majorBidi" w:cstheme="majorBidi"/>
          <w:i/>
          <w:iCs/>
          <w:lang w:eastAsia="en-GB"/>
        </w:rPr>
        <w:t>World Development</w:t>
      </w:r>
      <w:r w:rsidRPr="00330F71">
        <w:rPr>
          <w:rFonts w:asciiTheme="majorBidi" w:eastAsia="Times New Roman" w:hAnsiTheme="majorBidi" w:cstheme="majorBidi"/>
          <w:lang w:eastAsia="en-GB"/>
        </w:rPr>
        <w:t>, 122, pp. 306–324. Available at: https://doi.org/10.1016/j.worlddev.2019.05.030.</w:t>
      </w:r>
    </w:p>
    <w:p w14:paraId="03B44728"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Craig Shimasaki (2014) ‘Chapter 9: Understanding Biotechnology Product Sectors’, </w:t>
      </w:r>
      <w:r w:rsidRPr="00330F71">
        <w:rPr>
          <w:rFonts w:asciiTheme="majorBidi" w:eastAsia="Times New Roman" w:hAnsiTheme="majorBidi" w:cstheme="majorBidi"/>
          <w:i/>
          <w:iCs/>
          <w:lang w:eastAsia="en-GB"/>
        </w:rPr>
        <w:t>Biotechnology Entrepreneurship</w:t>
      </w:r>
      <w:r w:rsidRPr="00330F71">
        <w:rPr>
          <w:rFonts w:asciiTheme="majorBidi" w:eastAsia="Times New Roman" w:hAnsiTheme="majorBidi" w:cstheme="majorBidi"/>
          <w:lang w:eastAsia="en-GB"/>
        </w:rPr>
        <w:t>. Academic Press, pp. 113–138. Available at: https://doi.org/10.1016/B978-0-12-404730-3.00009-9.</w:t>
      </w:r>
    </w:p>
    <w:p w14:paraId="361A7AC3"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Curnutte, M.A. </w:t>
      </w:r>
      <w:r w:rsidRPr="00330F71">
        <w:rPr>
          <w:rFonts w:asciiTheme="majorBidi" w:eastAsia="Times New Roman" w:hAnsiTheme="majorBidi" w:cstheme="majorBidi"/>
          <w:i/>
          <w:iCs/>
          <w:lang w:eastAsia="en-GB"/>
        </w:rPr>
        <w:t>et al.</w:t>
      </w:r>
      <w:r w:rsidRPr="00330F71">
        <w:rPr>
          <w:rFonts w:asciiTheme="majorBidi" w:eastAsia="Times New Roman" w:hAnsiTheme="majorBidi" w:cstheme="majorBidi"/>
          <w:lang w:eastAsia="en-GB"/>
        </w:rPr>
        <w:t xml:space="preserve"> (2014) ‘Development of the clinical next-generation sequencing industry in a shifting policy climate’, </w:t>
      </w:r>
      <w:r w:rsidRPr="00330F71">
        <w:rPr>
          <w:rFonts w:asciiTheme="majorBidi" w:eastAsia="Times New Roman" w:hAnsiTheme="majorBidi" w:cstheme="majorBidi"/>
          <w:i/>
          <w:iCs/>
          <w:lang w:eastAsia="en-GB"/>
        </w:rPr>
        <w:t>Nature Biotechnology</w:t>
      </w:r>
      <w:r w:rsidRPr="00330F71">
        <w:rPr>
          <w:rFonts w:asciiTheme="majorBidi" w:eastAsia="Times New Roman" w:hAnsiTheme="majorBidi" w:cstheme="majorBidi"/>
          <w:lang w:eastAsia="en-GB"/>
        </w:rPr>
        <w:t>, 32(10), pp. 980–982. Available at: https://doi.org/10.1038/nbt.3030.</w:t>
      </w:r>
    </w:p>
    <w:p w14:paraId="30E44B48"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Danzon, P.M. and Furukawa, M.F. (2011) ‘Cross-National Evidence on Generic Pharmaceuticals: Pharmacy vs. Physician-Driven Markets’. National Bureau of Economic Research (Working Paper Series). Available at: https://doi.org/10.3386/w17226.</w:t>
      </w:r>
    </w:p>
    <w:p w14:paraId="4128C4B9"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Danzon, P.M., Pereira, N.S. and Tejwani, S.S. (2005) ‘Vaccine Supply: A Cross-National Perspective’, </w:t>
      </w:r>
      <w:r w:rsidRPr="00330F71">
        <w:rPr>
          <w:rFonts w:asciiTheme="majorBidi" w:eastAsia="Times New Roman" w:hAnsiTheme="majorBidi" w:cstheme="majorBidi"/>
          <w:i/>
          <w:iCs/>
          <w:lang w:eastAsia="en-GB"/>
        </w:rPr>
        <w:t>Health Affairs</w:t>
      </w:r>
      <w:r w:rsidRPr="00330F71">
        <w:rPr>
          <w:rFonts w:asciiTheme="majorBidi" w:eastAsia="Times New Roman" w:hAnsiTheme="majorBidi" w:cstheme="majorBidi"/>
          <w:lang w:eastAsia="en-GB"/>
        </w:rPr>
        <w:t>, 24(3), pp. 706–717. Available at: https://doi.org/10.1377/hlthaff.24.3.706.</w:t>
      </w:r>
    </w:p>
    <w:p w14:paraId="540FD68E" w14:textId="77777777" w:rsidR="00330F71" w:rsidRPr="006D18BD"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val="fr-FR" w:eastAsia="en-GB"/>
        </w:rPr>
      </w:pPr>
      <w:r w:rsidRPr="00330F71">
        <w:rPr>
          <w:rFonts w:asciiTheme="majorBidi" w:eastAsia="Times New Roman" w:hAnsiTheme="majorBidi" w:cstheme="majorBidi"/>
          <w:lang w:eastAsia="en-GB"/>
        </w:rPr>
        <w:t xml:space="preserve">Davidson, P., Kauffmann, C. and Liedekerke, M.-G. de (2021) ‘How do laws and regulations affect competitiveness: The role for regulatory impact assessment’, </w:t>
      </w:r>
      <w:r w:rsidRPr="00330F71">
        <w:rPr>
          <w:rFonts w:asciiTheme="majorBidi" w:eastAsia="Times New Roman" w:hAnsiTheme="majorBidi" w:cstheme="majorBidi"/>
          <w:i/>
          <w:iCs/>
          <w:lang w:eastAsia="en-GB"/>
        </w:rPr>
        <w:t>OECD Regulatory Policy Working Papers</w:t>
      </w:r>
      <w:r w:rsidRPr="00330F71">
        <w:rPr>
          <w:rFonts w:asciiTheme="majorBidi" w:eastAsia="Times New Roman" w:hAnsiTheme="majorBidi" w:cstheme="majorBidi"/>
          <w:lang w:eastAsia="en-GB"/>
        </w:rPr>
        <w:t xml:space="preserve"> [Preprint]. </w:t>
      </w:r>
      <w:r w:rsidRPr="006D18BD">
        <w:rPr>
          <w:rFonts w:asciiTheme="majorBidi" w:eastAsia="Times New Roman" w:hAnsiTheme="majorBidi" w:cstheme="majorBidi"/>
          <w:lang w:val="fr-FR" w:eastAsia="en-GB"/>
        </w:rPr>
        <w:t>Available at: https://doi.org/10.1787/7c11f5d5-en.</w:t>
      </w:r>
    </w:p>
    <w:p w14:paraId="7EA6EE42"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6D18BD">
        <w:rPr>
          <w:rFonts w:asciiTheme="majorBidi" w:eastAsia="Times New Roman" w:hAnsiTheme="majorBidi" w:cstheme="majorBidi"/>
          <w:lang w:val="fr-FR" w:eastAsia="en-GB"/>
        </w:rPr>
        <w:t xml:space="preserve">Dechezleprêtre, A. </w:t>
      </w:r>
      <w:r w:rsidRPr="006D18BD">
        <w:rPr>
          <w:rFonts w:asciiTheme="majorBidi" w:eastAsia="Times New Roman" w:hAnsiTheme="majorBidi" w:cstheme="majorBidi"/>
          <w:i/>
          <w:iCs/>
          <w:lang w:val="fr-FR" w:eastAsia="en-GB"/>
        </w:rPr>
        <w:t>et al.</w:t>
      </w:r>
      <w:r w:rsidRPr="006D18BD">
        <w:rPr>
          <w:rFonts w:asciiTheme="majorBidi" w:eastAsia="Times New Roman" w:hAnsiTheme="majorBidi" w:cstheme="majorBidi"/>
          <w:lang w:val="fr-FR" w:eastAsia="en-GB"/>
        </w:rPr>
        <w:t xml:space="preserve"> </w:t>
      </w:r>
      <w:r w:rsidRPr="00330F71">
        <w:rPr>
          <w:rFonts w:asciiTheme="majorBidi" w:eastAsia="Times New Roman" w:hAnsiTheme="majorBidi" w:cstheme="majorBidi"/>
          <w:lang w:eastAsia="en-GB"/>
        </w:rPr>
        <w:t xml:space="preserve">(2023) ‘Do Tax Incentives Increase Firm Innovation? An RD Design for R&amp;D, Patents, and Spillovers’, </w:t>
      </w:r>
      <w:r w:rsidRPr="00330F71">
        <w:rPr>
          <w:rFonts w:asciiTheme="majorBidi" w:eastAsia="Times New Roman" w:hAnsiTheme="majorBidi" w:cstheme="majorBidi"/>
          <w:i/>
          <w:iCs/>
          <w:lang w:eastAsia="en-GB"/>
        </w:rPr>
        <w:t>American Economic Journal: Economic Policy</w:t>
      </w:r>
      <w:r w:rsidRPr="00330F71">
        <w:rPr>
          <w:rFonts w:asciiTheme="majorBidi" w:eastAsia="Times New Roman" w:hAnsiTheme="majorBidi" w:cstheme="majorBidi"/>
          <w:lang w:eastAsia="en-GB"/>
        </w:rPr>
        <w:t>, 15(4), pp. 486–521. Available at: https://doi.org/10.1257/pol.20200739.</w:t>
      </w:r>
    </w:p>
    <w:p w14:paraId="650F50A9"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lastRenderedPageBreak/>
        <w:t xml:space="preserve">Dechezleprêtre, A., Nachtigall, D. and Venmans, F. (2018) ‘The joint impact of the European Union emissions trading system on carbon emissions and economic performance’, </w:t>
      </w:r>
      <w:r w:rsidRPr="00330F71">
        <w:rPr>
          <w:rFonts w:asciiTheme="majorBidi" w:eastAsia="Times New Roman" w:hAnsiTheme="majorBidi" w:cstheme="majorBidi"/>
          <w:i/>
          <w:iCs/>
          <w:lang w:eastAsia="en-GB"/>
        </w:rPr>
        <w:t>OECD Economics Department Working Papers</w:t>
      </w:r>
      <w:r w:rsidRPr="00330F71">
        <w:rPr>
          <w:rFonts w:asciiTheme="majorBidi" w:eastAsia="Times New Roman" w:hAnsiTheme="majorBidi" w:cstheme="majorBidi"/>
          <w:lang w:eastAsia="en-GB"/>
        </w:rPr>
        <w:t xml:space="preserve"> [Preprint]. Available at: https://doi.org/10.1787/4819b016-en.</w:t>
      </w:r>
    </w:p>
    <w:p w14:paraId="179658CF"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Dechezleprêtre, A. and Sato, M. (2017) ‘The Impacts of Environmental Regulations on Competitiveness’, </w:t>
      </w:r>
      <w:r w:rsidRPr="00330F71">
        <w:rPr>
          <w:rFonts w:asciiTheme="majorBidi" w:eastAsia="Times New Roman" w:hAnsiTheme="majorBidi" w:cstheme="majorBidi"/>
          <w:i/>
          <w:iCs/>
          <w:lang w:eastAsia="en-GB"/>
        </w:rPr>
        <w:t>Review of Environmental Economics and Policy</w:t>
      </w:r>
      <w:r w:rsidRPr="00330F71">
        <w:rPr>
          <w:rFonts w:asciiTheme="majorBidi" w:eastAsia="Times New Roman" w:hAnsiTheme="majorBidi" w:cstheme="majorBidi"/>
          <w:lang w:eastAsia="en-GB"/>
        </w:rPr>
        <w:t>, 11(2), pp. 183–206. Available at: https://doi.org/10.1093/reep/rex013.</w:t>
      </w:r>
    </w:p>
    <w:p w14:paraId="7DD9C8E0" w14:textId="77777777" w:rsidR="00330F71" w:rsidRPr="006D18BD"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val="fr-FR" w:eastAsia="en-GB"/>
        </w:rPr>
      </w:pPr>
      <w:r w:rsidRPr="00330F71">
        <w:rPr>
          <w:rFonts w:asciiTheme="majorBidi" w:eastAsia="Times New Roman" w:hAnsiTheme="majorBidi" w:cstheme="majorBidi"/>
          <w:lang w:eastAsia="en-GB"/>
        </w:rPr>
        <w:t xml:space="preserve">Deconinck, K. (2020) ‘Concentration in Seed and Biotech Markets: Extent, Causes, and Impacts’, </w:t>
      </w:r>
      <w:r w:rsidRPr="00330F71">
        <w:rPr>
          <w:rFonts w:asciiTheme="majorBidi" w:eastAsia="Times New Roman" w:hAnsiTheme="majorBidi" w:cstheme="majorBidi"/>
          <w:i/>
          <w:iCs/>
          <w:lang w:eastAsia="en-GB"/>
        </w:rPr>
        <w:t>Annual Review of Resource Economics</w:t>
      </w:r>
      <w:r w:rsidRPr="00330F71">
        <w:rPr>
          <w:rFonts w:asciiTheme="majorBidi" w:eastAsia="Times New Roman" w:hAnsiTheme="majorBidi" w:cstheme="majorBidi"/>
          <w:lang w:eastAsia="en-GB"/>
        </w:rPr>
        <w:t xml:space="preserve">, 12(Volume 12, 2020), pp. 129–147. </w:t>
      </w:r>
      <w:r w:rsidRPr="006D18BD">
        <w:rPr>
          <w:rFonts w:asciiTheme="majorBidi" w:eastAsia="Times New Roman" w:hAnsiTheme="majorBidi" w:cstheme="majorBidi"/>
          <w:lang w:val="fr-FR" w:eastAsia="en-GB"/>
        </w:rPr>
        <w:t>Available at: https://doi.org/10.1146/annurev-resource-102319-100751.</w:t>
      </w:r>
    </w:p>
    <w:p w14:paraId="26FC24C0"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6D18BD">
        <w:rPr>
          <w:rFonts w:asciiTheme="majorBidi" w:eastAsia="Times New Roman" w:hAnsiTheme="majorBidi" w:cstheme="majorBidi"/>
          <w:lang w:val="fr-FR" w:eastAsia="en-GB"/>
        </w:rPr>
        <w:t xml:space="preserve">Deflaux, N. </w:t>
      </w:r>
      <w:r w:rsidRPr="006D18BD">
        <w:rPr>
          <w:rFonts w:asciiTheme="majorBidi" w:eastAsia="Times New Roman" w:hAnsiTheme="majorBidi" w:cstheme="majorBidi"/>
          <w:i/>
          <w:iCs/>
          <w:lang w:val="fr-FR" w:eastAsia="en-GB"/>
        </w:rPr>
        <w:t>et al.</w:t>
      </w:r>
      <w:r w:rsidRPr="006D18BD">
        <w:rPr>
          <w:rFonts w:asciiTheme="majorBidi" w:eastAsia="Times New Roman" w:hAnsiTheme="majorBidi" w:cstheme="majorBidi"/>
          <w:lang w:val="fr-FR" w:eastAsia="en-GB"/>
        </w:rPr>
        <w:t xml:space="preserve"> </w:t>
      </w:r>
      <w:r w:rsidRPr="00330F71">
        <w:rPr>
          <w:rFonts w:asciiTheme="majorBidi" w:eastAsia="Times New Roman" w:hAnsiTheme="majorBidi" w:cstheme="majorBidi"/>
          <w:lang w:eastAsia="en-GB"/>
        </w:rPr>
        <w:t xml:space="preserve">(2023) ‘Demonstrating paths for unlocking the value of cloud genomics through cross cohort analysis’, </w:t>
      </w:r>
      <w:r w:rsidRPr="00330F71">
        <w:rPr>
          <w:rFonts w:asciiTheme="majorBidi" w:eastAsia="Times New Roman" w:hAnsiTheme="majorBidi" w:cstheme="majorBidi"/>
          <w:i/>
          <w:iCs/>
          <w:lang w:eastAsia="en-GB"/>
        </w:rPr>
        <w:t>Nature Communications</w:t>
      </w:r>
      <w:r w:rsidRPr="00330F71">
        <w:rPr>
          <w:rFonts w:asciiTheme="majorBidi" w:eastAsia="Times New Roman" w:hAnsiTheme="majorBidi" w:cstheme="majorBidi"/>
          <w:lang w:eastAsia="en-GB"/>
        </w:rPr>
        <w:t>, 14(1), p. 5419. Available at: https://doi.org/10.1038/s41467-023-41185-x.</w:t>
      </w:r>
    </w:p>
    <w:p w14:paraId="321A9877"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Delmas, M. and Keller, A. (2005) ‘Free riding in voluntary environmental programs: The case of the U.S. EPA WasteWise program’, </w:t>
      </w:r>
      <w:r w:rsidRPr="00330F71">
        <w:rPr>
          <w:rFonts w:asciiTheme="majorBidi" w:eastAsia="Times New Roman" w:hAnsiTheme="majorBidi" w:cstheme="majorBidi"/>
          <w:i/>
          <w:iCs/>
          <w:lang w:eastAsia="en-GB"/>
        </w:rPr>
        <w:t>Policy Sciences</w:t>
      </w:r>
      <w:r w:rsidRPr="00330F71">
        <w:rPr>
          <w:rFonts w:asciiTheme="majorBidi" w:eastAsia="Times New Roman" w:hAnsiTheme="majorBidi" w:cstheme="majorBidi"/>
          <w:lang w:eastAsia="en-GB"/>
        </w:rPr>
        <w:t>, 38(2), pp. 91–106. Available at: https://doi.org/10.1007/s11077-005-6592-8.</w:t>
      </w:r>
    </w:p>
    <w:p w14:paraId="4157E858"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Delmas, M. and Montiel, I. (2009) ‘Greening the Supply Chain: When Is Customer Pressure Effective?’, </w:t>
      </w:r>
      <w:r w:rsidRPr="00330F71">
        <w:rPr>
          <w:rFonts w:asciiTheme="majorBidi" w:eastAsia="Times New Roman" w:hAnsiTheme="majorBidi" w:cstheme="majorBidi"/>
          <w:i/>
          <w:iCs/>
          <w:lang w:eastAsia="en-GB"/>
        </w:rPr>
        <w:t>Journal of Economics &amp; Management Strategy</w:t>
      </w:r>
      <w:r w:rsidRPr="00330F71">
        <w:rPr>
          <w:rFonts w:asciiTheme="majorBidi" w:eastAsia="Times New Roman" w:hAnsiTheme="majorBidi" w:cstheme="majorBidi"/>
          <w:lang w:eastAsia="en-GB"/>
        </w:rPr>
        <w:t>, 18(1), pp. 171–201. Available at: https://doi.org/10.1111/j.1530-9134.2009.00211.x.</w:t>
      </w:r>
    </w:p>
    <w:p w14:paraId="64794D03"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Delmas, M.A. and Montes-Sancho, M.J. (2010) ‘Voluntary agreements to improve environmental quality: symbolic and substantive cooperation’, </w:t>
      </w:r>
      <w:r w:rsidRPr="00330F71">
        <w:rPr>
          <w:rFonts w:asciiTheme="majorBidi" w:eastAsia="Times New Roman" w:hAnsiTheme="majorBidi" w:cstheme="majorBidi"/>
          <w:i/>
          <w:iCs/>
          <w:lang w:eastAsia="en-GB"/>
        </w:rPr>
        <w:t>Strategic Management Journal</w:t>
      </w:r>
      <w:r w:rsidRPr="00330F71">
        <w:rPr>
          <w:rFonts w:asciiTheme="majorBidi" w:eastAsia="Times New Roman" w:hAnsiTheme="majorBidi" w:cstheme="majorBidi"/>
          <w:lang w:eastAsia="en-GB"/>
        </w:rPr>
        <w:t>, 31(6), pp. 575–601. Available at: https://doi.org/10.1002/smj.826.</w:t>
      </w:r>
    </w:p>
    <w:p w14:paraId="1C8C4C27"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Demir, M. and Min, M. (2019) ‘Consistencies and discrepancies in corporate social responsibility reporting in the pharmaceutical industry’, </w:t>
      </w:r>
      <w:r w:rsidRPr="00330F71">
        <w:rPr>
          <w:rFonts w:asciiTheme="majorBidi" w:eastAsia="Times New Roman" w:hAnsiTheme="majorBidi" w:cstheme="majorBidi"/>
          <w:i/>
          <w:iCs/>
          <w:lang w:eastAsia="en-GB"/>
        </w:rPr>
        <w:t>Sustainability Accounting, Management and Policy Journal</w:t>
      </w:r>
      <w:r w:rsidRPr="00330F71">
        <w:rPr>
          <w:rFonts w:asciiTheme="majorBidi" w:eastAsia="Times New Roman" w:hAnsiTheme="majorBidi" w:cstheme="majorBidi"/>
          <w:lang w:eastAsia="en-GB"/>
        </w:rPr>
        <w:t>, 10(2), pp. 333–364. Available at: https://doi.org/10.1108/SAMPJ-03-2018-0094.</w:t>
      </w:r>
    </w:p>
    <w:p w14:paraId="4D522266"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Devereux, M.P. and Loretz, S. (2008) ‘The Effects of EU Formula Apportionment on Corporate Tax Revenues’, </w:t>
      </w:r>
      <w:r w:rsidRPr="00330F71">
        <w:rPr>
          <w:rFonts w:asciiTheme="majorBidi" w:eastAsia="Times New Roman" w:hAnsiTheme="majorBidi" w:cstheme="majorBidi"/>
          <w:i/>
          <w:iCs/>
          <w:lang w:eastAsia="en-GB"/>
        </w:rPr>
        <w:t>Fiscal Studies</w:t>
      </w:r>
      <w:r w:rsidRPr="00330F71">
        <w:rPr>
          <w:rFonts w:asciiTheme="majorBidi" w:eastAsia="Times New Roman" w:hAnsiTheme="majorBidi" w:cstheme="majorBidi"/>
          <w:lang w:eastAsia="en-GB"/>
        </w:rPr>
        <w:t>, 29(1), pp. 1–33. Available at: https://doi.org/10.1111/j.1475-5890.2008.00067.x.</w:t>
      </w:r>
    </w:p>
    <w:p w14:paraId="62FE7FAA"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Deverka, P.A., Kaufman, D. and McGuire, A.L. (2014a) ‘Overcoming the Reimbursement Barriers for Clinical Sequencing’, </w:t>
      </w:r>
      <w:r w:rsidRPr="00330F71">
        <w:rPr>
          <w:rFonts w:asciiTheme="majorBidi" w:eastAsia="Times New Roman" w:hAnsiTheme="majorBidi" w:cstheme="majorBidi"/>
          <w:i/>
          <w:iCs/>
          <w:lang w:eastAsia="en-GB"/>
        </w:rPr>
        <w:t>JAMA</w:t>
      </w:r>
      <w:r w:rsidRPr="00330F71">
        <w:rPr>
          <w:rFonts w:asciiTheme="majorBidi" w:eastAsia="Times New Roman" w:hAnsiTheme="majorBidi" w:cstheme="majorBidi"/>
          <w:lang w:eastAsia="en-GB"/>
        </w:rPr>
        <w:t>, 312(18), pp. 1857–1858. Available at: https://doi.org/10.1001/jama.2014.14915.</w:t>
      </w:r>
    </w:p>
    <w:p w14:paraId="58748A14"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Deverka, P.A., Kaufman, D. and McGuire, A.L. (2014b) ‘Overcoming the Reimbursement Barriers for Clinical Sequencing’, </w:t>
      </w:r>
      <w:r w:rsidRPr="00330F71">
        <w:rPr>
          <w:rFonts w:asciiTheme="majorBidi" w:eastAsia="Times New Roman" w:hAnsiTheme="majorBidi" w:cstheme="majorBidi"/>
          <w:i/>
          <w:iCs/>
          <w:lang w:eastAsia="en-GB"/>
        </w:rPr>
        <w:t>JAMA</w:t>
      </w:r>
      <w:r w:rsidRPr="00330F71">
        <w:rPr>
          <w:rFonts w:asciiTheme="majorBidi" w:eastAsia="Times New Roman" w:hAnsiTheme="majorBidi" w:cstheme="majorBidi"/>
          <w:lang w:eastAsia="en-GB"/>
        </w:rPr>
        <w:t>, 312(18), pp. 1857–1858. Available at: https://doi.org/10.1001/jama.2014.14915.</w:t>
      </w:r>
    </w:p>
    <w:p w14:paraId="09E1FBA2" w14:textId="77777777" w:rsidR="00330F71" w:rsidRPr="006D18BD"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val="fr-FR" w:eastAsia="en-GB"/>
        </w:rPr>
      </w:pPr>
      <w:r w:rsidRPr="00330F71">
        <w:rPr>
          <w:rFonts w:asciiTheme="majorBidi" w:eastAsia="Times New Roman" w:hAnsiTheme="majorBidi" w:cstheme="majorBidi"/>
          <w:lang w:eastAsia="en-GB"/>
        </w:rPr>
        <w:t xml:space="preserve">Dias, J.C. da S. (2014) ‘Guiding strategies for breeding vegetable cultivars’, </w:t>
      </w:r>
      <w:r w:rsidRPr="00330F71">
        <w:rPr>
          <w:rFonts w:asciiTheme="majorBidi" w:eastAsia="Times New Roman" w:hAnsiTheme="majorBidi" w:cstheme="majorBidi"/>
          <w:i/>
          <w:iCs/>
          <w:lang w:eastAsia="en-GB"/>
        </w:rPr>
        <w:t>Agricultural Sciences</w:t>
      </w:r>
      <w:r w:rsidRPr="00330F71">
        <w:rPr>
          <w:rFonts w:asciiTheme="majorBidi" w:eastAsia="Times New Roman" w:hAnsiTheme="majorBidi" w:cstheme="majorBidi"/>
          <w:lang w:eastAsia="en-GB"/>
        </w:rPr>
        <w:t xml:space="preserve">, 5(1), pp. 9–32. </w:t>
      </w:r>
      <w:r w:rsidRPr="006D18BD">
        <w:rPr>
          <w:rFonts w:asciiTheme="majorBidi" w:eastAsia="Times New Roman" w:hAnsiTheme="majorBidi" w:cstheme="majorBidi"/>
          <w:lang w:val="fr-FR" w:eastAsia="en-GB"/>
        </w:rPr>
        <w:t>Available at: https://doi.org/10.4236/as.2014.51002.</w:t>
      </w:r>
    </w:p>
    <w:p w14:paraId="3D7F2B93"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6D18BD">
        <w:rPr>
          <w:rFonts w:asciiTheme="majorBidi" w:eastAsia="Times New Roman" w:hAnsiTheme="majorBidi" w:cstheme="majorBidi"/>
          <w:lang w:val="fr-FR" w:eastAsia="en-GB"/>
        </w:rPr>
        <w:t xml:space="preserve">Dimachkie Masri, M. </w:t>
      </w:r>
      <w:r w:rsidRPr="006D18BD">
        <w:rPr>
          <w:rFonts w:asciiTheme="majorBidi" w:eastAsia="Times New Roman" w:hAnsiTheme="majorBidi" w:cstheme="majorBidi"/>
          <w:i/>
          <w:iCs/>
          <w:lang w:val="fr-FR" w:eastAsia="en-GB"/>
        </w:rPr>
        <w:t>et al.</w:t>
      </w:r>
      <w:r w:rsidRPr="006D18BD">
        <w:rPr>
          <w:rFonts w:asciiTheme="majorBidi" w:eastAsia="Times New Roman" w:hAnsiTheme="majorBidi" w:cstheme="majorBidi"/>
          <w:lang w:val="fr-FR" w:eastAsia="en-GB"/>
        </w:rPr>
        <w:t xml:space="preserve"> </w:t>
      </w:r>
      <w:r w:rsidRPr="00330F71">
        <w:rPr>
          <w:rFonts w:asciiTheme="majorBidi" w:eastAsia="Times New Roman" w:hAnsiTheme="majorBidi" w:cstheme="majorBidi"/>
          <w:lang w:eastAsia="en-GB"/>
        </w:rPr>
        <w:t xml:space="preserve">(2012) ‘Contract research organizations: an industry analysis’, </w:t>
      </w:r>
      <w:r w:rsidRPr="00330F71">
        <w:rPr>
          <w:rFonts w:asciiTheme="majorBidi" w:eastAsia="Times New Roman" w:hAnsiTheme="majorBidi" w:cstheme="majorBidi"/>
          <w:i/>
          <w:iCs/>
          <w:lang w:eastAsia="en-GB"/>
        </w:rPr>
        <w:t>International Journal of Pharmaceutical and Healthcare Marketing</w:t>
      </w:r>
      <w:r w:rsidRPr="00330F71">
        <w:rPr>
          <w:rFonts w:asciiTheme="majorBidi" w:eastAsia="Times New Roman" w:hAnsiTheme="majorBidi" w:cstheme="majorBidi"/>
          <w:lang w:eastAsia="en-GB"/>
        </w:rPr>
        <w:t>, 6(4), pp. 336–350. Available at: https://doi.org/10.1108/17506121211283226.</w:t>
      </w:r>
    </w:p>
    <w:p w14:paraId="52B7894F"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DiMasi, J.A. and Grabowski, H.G. (2007) ‘The cost of biopharmaceutical R&amp;D: is biotech different?’, </w:t>
      </w:r>
      <w:r w:rsidRPr="00330F71">
        <w:rPr>
          <w:rFonts w:asciiTheme="majorBidi" w:eastAsia="Times New Roman" w:hAnsiTheme="majorBidi" w:cstheme="majorBidi"/>
          <w:i/>
          <w:iCs/>
          <w:lang w:eastAsia="en-GB"/>
        </w:rPr>
        <w:t>Managerial and Decision Economics</w:t>
      </w:r>
      <w:r w:rsidRPr="00330F71">
        <w:rPr>
          <w:rFonts w:asciiTheme="majorBidi" w:eastAsia="Times New Roman" w:hAnsiTheme="majorBidi" w:cstheme="majorBidi"/>
          <w:lang w:eastAsia="en-GB"/>
        </w:rPr>
        <w:t>, 28(4–5), pp. 469–479. Available at: https://doi.org/10.1002/mde.1360.</w:t>
      </w:r>
    </w:p>
    <w:p w14:paraId="661B6C8B" w14:textId="77777777" w:rsidR="00330F71" w:rsidRPr="006D18BD"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val="fr-FR" w:eastAsia="en-GB"/>
        </w:rPr>
      </w:pPr>
      <w:r w:rsidRPr="00330F71">
        <w:rPr>
          <w:rFonts w:asciiTheme="majorBidi" w:eastAsia="Times New Roman" w:hAnsiTheme="majorBidi" w:cstheme="majorBidi"/>
          <w:lang w:eastAsia="en-GB"/>
        </w:rPr>
        <w:lastRenderedPageBreak/>
        <w:t xml:space="preserve">Dixit, R. and David, F.S. (2017) ‘Trends in pharmaceutical company R&amp;D spending: 2005–2015’, </w:t>
      </w:r>
      <w:r w:rsidRPr="00330F71">
        <w:rPr>
          <w:rFonts w:asciiTheme="majorBidi" w:eastAsia="Times New Roman" w:hAnsiTheme="majorBidi" w:cstheme="majorBidi"/>
          <w:i/>
          <w:iCs/>
          <w:lang w:eastAsia="en-GB"/>
        </w:rPr>
        <w:t>Nature Reviews Drug Discovery</w:t>
      </w:r>
      <w:r w:rsidRPr="00330F71">
        <w:rPr>
          <w:rFonts w:asciiTheme="majorBidi" w:eastAsia="Times New Roman" w:hAnsiTheme="majorBidi" w:cstheme="majorBidi"/>
          <w:lang w:eastAsia="en-GB"/>
        </w:rPr>
        <w:t xml:space="preserve">, 16(6), pp. 376–376. </w:t>
      </w:r>
      <w:r w:rsidRPr="006D18BD">
        <w:rPr>
          <w:rFonts w:asciiTheme="majorBidi" w:eastAsia="Times New Roman" w:hAnsiTheme="majorBidi" w:cstheme="majorBidi"/>
          <w:lang w:val="fr-FR" w:eastAsia="en-GB"/>
        </w:rPr>
        <w:t>Available at: https://doi.org/10.1038/nrd.2017.81.</w:t>
      </w:r>
    </w:p>
    <w:p w14:paraId="45201053"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6D18BD">
        <w:rPr>
          <w:rFonts w:asciiTheme="majorBidi" w:eastAsia="Times New Roman" w:hAnsiTheme="majorBidi" w:cstheme="majorBidi"/>
          <w:lang w:val="fr-FR" w:eastAsia="en-GB"/>
        </w:rPr>
        <w:t xml:space="preserve">Djaoudene, O. </w:t>
      </w:r>
      <w:r w:rsidRPr="006D18BD">
        <w:rPr>
          <w:rFonts w:asciiTheme="majorBidi" w:eastAsia="Times New Roman" w:hAnsiTheme="majorBidi" w:cstheme="majorBidi"/>
          <w:i/>
          <w:iCs/>
          <w:lang w:val="fr-FR" w:eastAsia="en-GB"/>
        </w:rPr>
        <w:t>et al.</w:t>
      </w:r>
      <w:r w:rsidRPr="006D18BD">
        <w:rPr>
          <w:rFonts w:asciiTheme="majorBidi" w:eastAsia="Times New Roman" w:hAnsiTheme="majorBidi" w:cstheme="majorBidi"/>
          <w:lang w:val="fr-FR" w:eastAsia="en-GB"/>
        </w:rPr>
        <w:t xml:space="preserve"> </w:t>
      </w:r>
      <w:r w:rsidRPr="00330F71">
        <w:rPr>
          <w:rFonts w:asciiTheme="majorBidi" w:eastAsia="Times New Roman" w:hAnsiTheme="majorBidi" w:cstheme="majorBidi"/>
          <w:lang w:eastAsia="en-GB"/>
        </w:rPr>
        <w:t xml:space="preserve">(2023) ‘A Global Overview of Dietary Supplements: Regulation, Market Trends, Usage during the COVID-19 Pandemic, and Health Effects’, </w:t>
      </w:r>
      <w:r w:rsidRPr="00330F71">
        <w:rPr>
          <w:rFonts w:asciiTheme="majorBidi" w:eastAsia="Times New Roman" w:hAnsiTheme="majorBidi" w:cstheme="majorBidi"/>
          <w:i/>
          <w:iCs/>
          <w:lang w:eastAsia="en-GB"/>
        </w:rPr>
        <w:t>Nutrients</w:t>
      </w:r>
      <w:r w:rsidRPr="00330F71">
        <w:rPr>
          <w:rFonts w:asciiTheme="majorBidi" w:eastAsia="Times New Roman" w:hAnsiTheme="majorBidi" w:cstheme="majorBidi"/>
          <w:lang w:eastAsia="en-GB"/>
        </w:rPr>
        <w:t>, 15(15), p. 3320. Available at: https://doi.org/10.3390/nu15153320.</w:t>
      </w:r>
    </w:p>
    <w:p w14:paraId="7A1F1558"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DrugPatentWatch (2026) ‘The Margin Machine: How Branded Generics Print 20%+ Returns on Drugs Anyone Can Make’, </w:t>
      </w:r>
      <w:r w:rsidRPr="00330F71">
        <w:rPr>
          <w:rFonts w:asciiTheme="majorBidi" w:eastAsia="Times New Roman" w:hAnsiTheme="majorBidi" w:cstheme="majorBidi"/>
          <w:i/>
          <w:iCs/>
          <w:lang w:eastAsia="en-GB"/>
        </w:rPr>
        <w:t>DrugPatentWatch – Transform Data into Market Domination</w:t>
      </w:r>
      <w:r w:rsidRPr="00330F71">
        <w:rPr>
          <w:rFonts w:asciiTheme="majorBidi" w:eastAsia="Times New Roman" w:hAnsiTheme="majorBidi" w:cstheme="majorBidi"/>
          <w:lang w:eastAsia="en-GB"/>
        </w:rPr>
        <w:t>, 21 February. Available at: https://www.drugpatentwatch.com/blog/the-margin-machine-how-branded-generics-print-20-returns-on-drugs-anyone-can-make/ (Accessed: 1 June 2026).</w:t>
      </w:r>
    </w:p>
    <w:p w14:paraId="1582BEF7"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Dwyer, J.T., Coates, P.M. and Smith, M.J. (2018) ‘Dietary Supplements: Regulatory Challenges and Research Resources’, </w:t>
      </w:r>
      <w:r w:rsidRPr="00330F71">
        <w:rPr>
          <w:rFonts w:asciiTheme="majorBidi" w:eastAsia="Times New Roman" w:hAnsiTheme="majorBidi" w:cstheme="majorBidi"/>
          <w:i/>
          <w:iCs/>
          <w:lang w:eastAsia="en-GB"/>
        </w:rPr>
        <w:t>Nutrients</w:t>
      </w:r>
      <w:r w:rsidRPr="00330F71">
        <w:rPr>
          <w:rFonts w:asciiTheme="majorBidi" w:eastAsia="Times New Roman" w:hAnsiTheme="majorBidi" w:cstheme="majorBidi"/>
          <w:lang w:eastAsia="en-GB"/>
        </w:rPr>
        <w:t>, 10(1), p. 41. Available at: https://doi.org/10.3390/nu10010041.</w:t>
      </w:r>
    </w:p>
    <w:p w14:paraId="53E4D615"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Ebert, A.W. </w:t>
      </w:r>
      <w:r w:rsidRPr="00330F71">
        <w:rPr>
          <w:rFonts w:asciiTheme="majorBidi" w:eastAsia="Times New Roman" w:hAnsiTheme="majorBidi" w:cstheme="majorBidi"/>
          <w:i/>
          <w:iCs/>
          <w:lang w:eastAsia="en-GB"/>
        </w:rPr>
        <w:t>et al.</w:t>
      </w:r>
      <w:r w:rsidRPr="00330F71">
        <w:rPr>
          <w:rFonts w:asciiTheme="majorBidi" w:eastAsia="Times New Roman" w:hAnsiTheme="majorBidi" w:cstheme="majorBidi"/>
          <w:lang w:eastAsia="en-GB"/>
        </w:rPr>
        <w:t xml:space="preserve"> (2023) ‘Critical Review of the Increasing Complexity of Access and Benefit-Sharing Policies of Genetic Resources for Genebank Curators and Plant Breeders–A Public and Private Sector Perspective’, </w:t>
      </w:r>
      <w:r w:rsidRPr="00330F71">
        <w:rPr>
          <w:rFonts w:asciiTheme="majorBidi" w:eastAsia="Times New Roman" w:hAnsiTheme="majorBidi" w:cstheme="majorBidi"/>
          <w:i/>
          <w:iCs/>
          <w:lang w:eastAsia="en-GB"/>
        </w:rPr>
        <w:t>Plants</w:t>
      </w:r>
      <w:r w:rsidRPr="00330F71">
        <w:rPr>
          <w:rFonts w:asciiTheme="majorBidi" w:eastAsia="Times New Roman" w:hAnsiTheme="majorBidi" w:cstheme="majorBidi"/>
          <w:lang w:eastAsia="en-GB"/>
        </w:rPr>
        <w:t>, 12(16), p. 2992. Available at: https://doi.org/10.3390/plants12162992.</w:t>
      </w:r>
    </w:p>
    <w:p w14:paraId="0CF5C0FE"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EC (2024) </w:t>
      </w:r>
      <w:r w:rsidRPr="00330F71">
        <w:rPr>
          <w:rFonts w:asciiTheme="majorBidi" w:eastAsia="Times New Roman" w:hAnsiTheme="majorBidi" w:cstheme="majorBidi"/>
          <w:i/>
          <w:iCs/>
          <w:lang w:eastAsia="en-GB"/>
        </w:rPr>
        <w:t>Carbon intensity and corporate performance: a micro level study of EU ETS industrial firms.</w:t>
      </w:r>
      <w:r w:rsidRPr="00330F71">
        <w:rPr>
          <w:rFonts w:asciiTheme="majorBidi" w:eastAsia="Times New Roman" w:hAnsiTheme="majorBidi" w:cstheme="majorBidi"/>
          <w:lang w:eastAsia="en-GB"/>
        </w:rPr>
        <w:t xml:space="preserve"> LU: Publications Office. Available at: https://doi.org/10.2873/188206.</w:t>
      </w:r>
    </w:p>
    <w:p w14:paraId="4AF99030"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Ecovis (2021) ‘The Rise of SMEs in China’, </w:t>
      </w:r>
      <w:r w:rsidRPr="00330F71">
        <w:rPr>
          <w:rFonts w:asciiTheme="majorBidi" w:eastAsia="Times New Roman" w:hAnsiTheme="majorBidi" w:cstheme="majorBidi"/>
          <w:i/>
          <w:iCs/>
          <w:lang w:eastAsia="en-GB"/>
        </w:rPr>
        <w:t>Ecovis Heidelberg</w:t>
      </w:r>
      <w:r w:rsidRPr="00330F71">
        <w:rPr>
          <w:rFonts w:asciiTheme="majorBidi" w:eastAsia="Times New Roman" w:hAnsiTheme="majorBidi" w:cstheme="majorBidi"/>
          <w:lang w:eastAsia="en-GB"/>
        </w:rPr>
        <w:t>, 24 November. Available at: https://www.ecovis.com/heidelberg-en/the-rise-of-smes-in-china/ (Accessed: 17 May 2026).</w:t>
      </w:r>
    </w:p>
    <w:p w14:paraId="631D58F4"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Eger, S. and Mahlich, J.C. (2014) ‘Pharmaceutical regulation in Europe and its impact on corporate R&amp;D’, </w:t>
      </w:r>
      <w:r w:rsidRPr="00330F71">
        <w:rPr>
          <w:rFonts w:asciiTheme="majorBidi" w:eastAsia="Times New Roman" w:hAnsiTheme="majorBidi" w:cstheme="majorBidi"/>
          <w:i/>
          <w:iCs/>
          <w:lang w:eastAsia="en-GB"/>
        </w:rPr>
        <w:t>Health Economics Review</w:t>
      </w:r>
      <w:r w:rsidRPr="00330F71">
        <w:rPr>
          <w:rFonts w:asciiTheme="majorBidi" w:eastAsia="Times New Roman" w:hAnsiTheme="majorBidi" w:cstheme="majorBidi"/>
          <w:lang w:eastAsia="en-GB"/>
        </w:rPr>
        <w:t>, 4(1), p. 23. Available at: https://doi.org/10.1186/s13561-014-0023-5.</w:t>
      </w:r>
    </w:p>
    <w:p w14:paraId="77EA6879"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Enzing, C.M. and Valk, T. van der (2010) ‘Sectoral Innovatiohn Performance in the Biotechnology Sector. Final Report. Task 1’. Available at: https://repository.tno.nl/SingleDoc?docId=35829 (Accessed: 2 June 2026).</w:t>
      </w:r>
    </w:p>
    <w:p w14:paraId="76B6D002"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Escobedo, E. and Lojenga, R.K. (2013) ‘Biodiversity in the Cosmetics Industry’, </w:t>
      </w:r>
      <w:r w:rsidRPr="00330F71">
        <w:rPr>
          <w:rFonts w:asciiTheme="majorBidi" w:eastAsia="Times New Roman" w:hAnsiTheme="majorBidi" w:cstheme="majorBidi"/>
          <w:i/>
          <w:iCs/>
          <w:lang w:eastAsia="en-GB"/>
        </w:rPr>
        <w:t>Sustainability: How the Cosmetics Industry is Greening Up</w:t>
      </w:r>
      <w:r w:rsidRPr="00330F71">
        <w:rPr>
          <w:rFonts w:asciiTheme="majorBidi" w:eastAsia="Times New Roman" w:hAnsiTheme="majorBidi" w:cstheme="majorBidi"/>
          <w:lang w:eastAsia="en-GB"/>
        </w:rPr>
        <w:t>. John Wiley &amp; Sons, Ltd, pp. 97–126. Available at: https://doi.org/10.1002/9781118676516.ch5.</w:t>
      </w:r>
    </w:p>
    <w:p w14:paraId="5E56C5D9"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EU SME Centre (2021) </w:t>
      </w:r>
      <w:r w:rsidRPr="00330F71">
        <w:rPr>
          <w:rFonts w:asciiTheme="majorBidi" w:eastAsia="Times New Roman" w:hAnsiTheme="majorBidi" w:cstheme="majorBidi"/>
          <w:i/>
          <w:iCs/>
          <w:lang w:eastAsia="en-GB"/>
        </w:rPr>
        <w:t>SMEs in China: Policy Environment Report</w:t>
      </w:r>
      <w:r w:rsidRPr="00330F71">
        <w:rPr>
          <w:rFonts w:asciiTheme="majorBidi" w:eastAsia="Times New Roman" w:hAnsiTheme="majorBidi" w:cstheme="majorBidi"/>
          <w:lang w:eastAsia="en-GB"/>
        </w:rPr>
        <w:t>. Available at: https://www.eusmecentre.org.cn/sites/default/files/attach/SME%20Policy%20Environment%20Report%202021_FINAL_Jan2022.pdf.</w:t>
      </w:r>
    </w:p>
    <w:p w14:paraId="41F1100A"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European Commission (2003) </w:t>
      </w:r>
      <w:r w:rsidRPr="00330F71">
        <w:rPr>
          <w:rFonts w:asciiTheme="majorBidi" w:eastAsia="Times New Roman" w:hAnsiTheme="majorBidi" w:cstheme="majorBidi"/>
          <w:i/>
          <w:iCs/>
          <w:lang w:eastAsia="en-GB"/>
        </w:rPr>
        <w:t>Commission Recommendation of 6 May 2003 concerning the definition of micro, small and medium-sized enterprises (Text with EEA relevance) (notified under document number C(2003) 1422)</w:t>
      </w:r>
      <w:r w:rsidRPr="00330F71">
        <w:rPr>
          <w:rFonts w:asciiTheme="majorBidi" w:eastAsia="Times New Roman" w:hAnsiTheme="majorBidi" w:cstheme="majorBidi"/>
          <w:lang w:eastAsia="en-GB"/>
        </w:rPr>
        <w:t xml:space="preserve">, </w:t>
      </w:r>
      <w:r w:rsidRPr="00330F71">
        <w:rPr>
          <w:rFonts w:asciiTheme="majorBidi" w:eastAsia="Times New Roman" w:hAnsiTheme="majorBidi" w:cstheme="majorBidi"/>
          <w:i/>
          <w:iCs/>
          <w:lang w:eastAsia="en-GB"/>
        </w:rPr>
        <w:t>OJ L</w:t>
      </w:r>
      <w:r w:rsidRPr="00330F71">
        <w:rPr>
          <w:rFonts w:asciiTheme="majorBidi" w:eastAsia="Times New Roman" w:hAnsiTheme="majorBidi" w:cstheme="majorBidi"/>
          <w:lang w:eastAsia="en-GB"/>
        </w:rPr>
        <w:t>. Available at: http://data.europa.eu/eli/reco/2003/361/oj (Accessed: 17 May 2026).</w:t>
      </w:r>
    </w:p>
    <w:p w14:paraId="58013349"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European Commission (ed.) (2008) </w:t>
      </w:r>
      <w:r w:rsidRPr="00330F71">
        <w:rPr>
          <w:rFonts w:asciiTheme="majorBidi" w:eastAsia="Times New Roman" w:hAnsiTheme="majorBidi" w:cstheme="majorBidi"/>
          <w:i/>
          <w:iCs/>
          <w:lang w:eastAsia="en-GB"/>
        </w:rPr>
        <w:t>NACE Rev. 2: statistical classification of economic activities in the European Community</w:t>
      </w:r>
      <w:r w:rsidRPr="00330F71">
        <w:rPr>
          <w:rFonts w:asciiTheme="majorBidi" w:eastAsia="Times New Roman" w:hAnsiTheme="majorBidi" w:cstheme="majorBidi"/>
          <w:lang w:eastAsia="en-GB"/>
        </w:rPr>
        <w:t>. Luxembourg: Publications Office.</w:t>
      </w:r>
    </w:p>
    <w:p w14:paraId="411967B0"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European Commission (2025) </w:t>
      </w:r>
      <w:r w:rsidRPr="00330F71">
        <w:rPr>
          <w:rFonts w:asciiTheme="majorBidi" w:eastAsia="Times New Roman" w:hAnsiTheme="majorBidi" w:cstheme="majorBidi"/>
          <w:i/>
          <w:iCs/>
          <w:lang w:eastAsia="en-GB"/>
        </w:rPr>
        <w:t>‘Better regulation’ toolbox. Chapter 3: Identifying impacts in evaluations, fitness checks and impact assessment.</w:t>
      </w:r>
      <w:r w:rsidRPr="00330F71">
        <w:rPr>
          <w:rFonts w:asciiTheme="majorBidi" w:eastAsia="Times New Roman" w:hAnsiTheme="majorBidi" w:cstheme="majorBidi"/>
          <w:lang w:eastAsia="en-GB"/>
        </w:rPr>
        <w:t xml:space="preserve"> Available at: https://commission.europa.eu/document/download/de79fb8e-</w:t>
      </w:r>
      <w:r w:rsidRPr="00330F71">
        <w:rPr>
          <w:rFonts w:asciiTheme="majorBidi" w:eastAsia="Times New Roman" w:hAnsiTheme="majorBidi" w:cstheme="majorBidi"/>
          <w:lang w:eastAsia="en-GB"/>
        </w:rPr>
        <w:lastRenderedPageBreak/>
        <w:t>4cc1-45a0-ac34-72f73a5147ca_en?filename=BR%20Toolbox%20-%20Dec%202025%20-%20Chapter%203.pdf.</w:t>
      </w:r>
    </w:p>
    <w:p w14:paraId="06ABA18F"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European Commission (no date) </w:t>
      </w:r>
      <w:r w:rsidRPr="00330F71">
        <w:rPr>
          <w:rFonts w:asciiTheme="majorBidi" w:eastAsia="Times New Roman" w:hAnsiTheme="majorBidi" w:cstheme="majorBidi"/>
          <w:i/>
          <w:iCs/>
          <w:lang w:eastAsia="en-GB"/>
        </w:rPr>
        <w:t>SME definition. Internal Market, Industry, Entrepreneurship and SMEs</w:t>
      </w:r>
      <w:r w:rsidRPr="00330F71">
        <w:rPr>
          <w:rFonts w:asciiTheme="majorBidi" w:eastAsia="Times New Roman" w:hAnsiTheme="majorBidi" w:cstheme="majorBidi"/>
          <w:lang w:eastAsia="en-GB"/>
        </w:rPr>
        <w:t>. Available at: https://single-market-economy.ec.europa.eu/smes/sme-fundamentals/sme-definition_en (Accessed: 17 May 2026).</w:t>
      </w:r>
    </w:p>
    <w:p w14:paraId="01619D88"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Evaluate (2024) ‘10 largest pharmaceutical companies based on global market shares in 2019 and 2024 [Graph]. In Statista.’ Available at: https://www.statista.com/statistics/1638962/major-pharmaceutical-companies-and-global-market-shares-of-vaccines-in-2020/.</w:t>
      </w:r>
    </w:p>
    <w:p w14:paraId="18E50ED3"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FAO (2009) </w:t>
      </w:r>
      <w:r w:rsidRPr="00330F71">
        <w:rPr>
          <w:rFonts w:asciiTheme="majorBidi" w:eastAsia="Times New Roman" w:hAnsiTheme="majorBidi" w:cstheme="majorBidi"/>
          <w:i/>
          <w:iCs/>
          <w:lang w:eastAsia="en-GB"/>
        </w:rPr>
        <w:t>International Treaty on Plant Genetic Resources for Food and Agriculture</w:t>
      </w:r>
      <w:r w:rsidRPr="00330F71">
        <w:rPr>
          <w:rFonts w:asciiTheme="majorBidi" w:eastAsia="Times New Roman" w:hAnsiTheme="majorBidi" w:cstheme="majorBidi"/>
          <w:lang w:eastAsia="en-GB"/>
        </w:rPr>
        <w:t>. Rome. Available at: https://www.fao.org/docrep/pdf/011/i0510e/i0510e.pdf.</w:t>
      </w:r>
    </w:p>
    <w:p w14:paraId="267672C5"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FAO (2024) </w:t>
      </w:r>
      <w:r w:rsidRPr="00330F71">
        <w:rPr>
          <w:rFonts w:asciiTheme="majorBidi" w:eastAsia="Times New Roman" w:hAnsiTheme="majorBidi" w:cstheme="majorBidi"/>
          <w:i/>
          <w:iCs/>
          <w:lang w:eastAsia="en-GB"/>
        </w:rPr>
        <w:t>Policy brief on digital sequence information/genetic sequence data: Generation, Use and Sharing of Digital Sequence Information in Crop Improvement</w:t>
      </w:r>
      <w:r w:rsidRPr="00330F71">
        <w:rPr>
          <w:rFonts w:asciiTheme="majorBidi" w:eastAsia="Times New Roman" w:hAnsiTheme="majorBidi" w:cstheme="majorBidi"/>
          <w:lang w:eastAsia="en-GB"/>
        </w:rPr>
        <w:t>.</w:t>
      </w:r>
    </w:p>
    <w:p w14:paraId="291DC4CD"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FAO (2025a) </w:t>
      </w:r>
      <w:r w:rsidRPr="00330F71">
        <w:rPr>
          <w:rFonts w:asciiTheme="majorBidi" w:eastAsia="Times New Roman" w:hAnsiTheme="majorBidi" w:cstheme="majorBidi"/>
          <w:i/>
          <w:iCs/>
          <w:lang w:eastAsia="en-GB"/>
        </w:rPr>
        <w:t>Eleventh session of the governing body of the international treaty on plant genetic resources for food and agriculture</w:t>
      </w:r>
      <w:r w:rsidRPr="00330F71">
        <w:rPr>
          <w:rFonts w:asciiTheme="majorBidi" w:eastAsia="Times New Roman" w:hAnsiTheme="majorBidi" w:cstheme="majorBidi"/>
          <w:lang w:eastAsia="en-GB"/>
        </w:rPr>
        <w:t>. IT/GB-11/25/Report. Available at: https://www.fao.org/3/nt205en/nt205en.pdf.</w:t>
      </w:r>
    </w:p>
    <w:p w14:paraId="7613A467"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FAO (2025b) ‘Resolution 3/2025. Implementation of the funding strategy of the international treaty 2020-2027.’ Available at: https://openknowledge.fao.org/server/api/core/bitstreams/cfa340a0-e08a-4628-9378-b235b5b4613e/content.</w:t>
      </w:r>
    </w:p>
    <w:p w14:paraId="6A970741"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FAO (2025c) </w:t>
      </w:r>
      <w:r w:rsidRPr="00330F71">
        <w:rPr>
          <w:rFonts w:asciiTheme="majorBidi" w:eastAsia="Times New Roman" w:hAnsiTheme="majorBidi" w:cstheme="majorBidi"/>
          <w:i/>
          <w:iCs/>
          <w:lang w:eastAsia="en-GB"/>
        </w:rPr>
        <w:t>The Benefit-sharing Fund: 2024–2025 report</w:t>
      </w:r>
      <w:r w:rsidRPr="00330F71">
        <w:rPr>
          <w:rFonts w:asciiTheme="majorBidi" w:eastAsia="Times New Roman" w:hAnsiTheme="majorBidi" w:cstheme="majorBidi"/>
          <w:lang w:eastAsia="en-GB"/>
        </w:rPr>
        <w:t>. Rome: FAO. Available at: https://www.fao.org/3/cd6950en/cd6950en.pdf (Accessed: 9 May 2026).</w:t>
      </w:r>
    </w:p>
    <w:p w14:paraId="3EFE2633"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Favot, M., Veit, R. and Massarutto, A. (2018) ‘The ratio of EPR compliance fees on sales revenues of electrical and electronic equipment in Italy. A circular economy perspective’, </w:t>
      </w:r>
      <w:r w:rsidRPr="00330F71">
        <w:rPr>
          <w:rFonts w:asciiTheme="majorBidi" w:eastAsia="Times New Roman" w:hAnsiTheme="majorBidi" w:cstheme="majorBidi"/>
          <w:i/>
          <w:iCs/>
          <w:lang w:eastAsia="en-GB"/>
        </w:rPr>
        <w:t>Resources, Conservation and Recycling</w:t>
      </w:r>
      <w:r w:rsidRPr="00330F71">
        <w:rPr>
          <w:rFonts w:asciiTheme="majorBidi" w:eastAsia="Times New Roman" w:hAnsiTheme="majorBidi" w:cstheme="majorBidi"/>
          <w:lang w:eastAsia="en-GB"/>
        </w:rPr>
        <w:t>, 135, pp. 34–37. Available at: https://doi.org/10.1016/j.resconrec.2017.06.012.</w:t>
      </w:r>
    </w:p>
    <w:p w14:paraId="370C4759" w14:textId="77777777" w:rsidR="00330F71" w:rsidRPr="006D18BD"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val="fr-FR" w:eastAsia="en-GB"/>
        </w:rPr>
      </w:pPr>
      <w:r w:rsidRPr="00330F71">
        <w:rPr>
          <w:rFonts w:asciiTheme="majorBidi" w:eastAsia="Times New Roman" w:hAnsiTheme="majorBidi" w:cstheme="majorBidi"/>
          <w:lang w:eastAsia="en-GB"/>
        </w:rPr>
        <w:t xml:space="preserve">Feichtner, I. (2019) ‘Sharing the Riches of the Sea: The Redistributive and Fiscal Dimension of Deep Seabed Exploitation’, </w:t>
      </w:r>
      <w:r w:rsidRPr="00330F71">
        <w:rPr>
          <w:rFonts w:asciiTheme="majorBidi" w:eastAsia="Times New Roman" w:hAnsiTheme="majorBidi" w:cstheme="majorBidi"/>
          <w:i/>
          <w:iCs/>
          <w:lang w:eastAsia="en-GB"/>
        </w:rPr>
        <w:t>European Journal of International Law</w:t>
      </w:r>
      <w:r w:rsidRPr="00330F71">
        <w:rPr>
          <w:rFonts w:asciiTheme="majorBidi" w:eastAsia="Times New Roman" w:hAnsiTheme="majorBidi" w:cstheme="majorBidi"/>
          <w:lang w:eastAsia="en-GB"/>
        </w:rPr>
        <w:t xml:space="preserve">, 30(2), pp. 601–633. </w:t>
      </w:r>
      <w:r w:rsidRPr="006D18BD">
        <w:rPr>
          <w:rFonts w:asciiTheme="majorBidi" w:eastAsia="Times New Roman" w:hAnsiTheme="majorBidi" w:cstheme="majorBidi"/>
          <w:lang w:val="fr-FR" w:eastAsia="en-GB"/>
        </w:rPr>
        <w:t>Available at: https://doi.org/10.1093/ejil/chz022.</w:t>
      </w:r>
    </w:p>
    <w:p w14:paraId="6D19EC7C"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6D18BD">
        <w:rPr>
          <w:rFonts w:asciiTheme="majorBidi" w:eastAsia="Times New Roman" w:hAnsiTheme="majorBidi" w:cstheme="majorBidi"/>
          <w:lang w:val="fr-FR" w:eastAsia="en-GB"/>
        </w:rPr>
        <w:t xml:space="preserve">Ferreira, M. </w:t>
      </w:r>
      <w:r w:rsidRPr="006D18BD">
        <w:rPr>
          <w:rFonts w:asciiTheme="majorBidi" w:eastAsia="Times New Roman" w:hAnsiTheme="majorBidi" w:cstheme="majorBidi"/>
          <w:i/>
          <w:iCs/>
          <w:lang w:val="fr-FR" w:eastAsia="en-GB"/>
        </w:rPr>
        <w:t>et al.</w:t>
      </w:r>
      <w:r w:rsidRPr="006D18BD">
        <w:rPr>
          <w:rFonts w:asciiTheme="majorBidi" w:eastAsia="Times New Roman" w:hAnsiTheme="majorBidi" w:cstheme="majorBidi"/>
          <w:lang w:val="fr-FR" w:eastAsia="en-GB"/>
        </w:rPr>
        <w:t xml:space="preserve"> </w:t>
      </w:r>
      <w:r w:rsidRPr="00330F71">
        <w:rPr>
          <w:rFonts w:asciiTheme="majorBidi" w:eastAsia="Times New Roman" w:hAnsiTheme="majorBidi" w:cstheme="majorBidi"/>
          <w:lang w:eastAsia="en-GB"/>
        </w:rPr>
        <w:t xml:space="preserve">(2022) ‘Overview of Cosmetic Regulatory Frameworks around the World’, </w:t>
      </w:r>
      <w:r w:rsidRPr="00330F71">
        <w:rPr>
          <w:rFonts w:asciiTheme="majorBidi" w:eastAsia="Times New Roman" w:hAnsiTheme="majorBidi" w:cstheme="majorBidi"/>
          <w:i/>
          <w:iCs/>
          <w:lang w:eastAsia="en-GB"/>
        </w:rPr>
        <w:t>Cosmetics</w:t>
      </w:r>
      <w:r w:rsidRPr="00330F71">
        <w:rPr>
          <w:rFonts w:asciiTheme="majorBidi" w:eastAsia="Times New Roman" w:hAnsiTheme="majorBidi" w:cstheme="majorBidi"/>
          <w:lang w:eastAsia="en-GB"/>
        </w:rPr>
        <w:t>, 9(4), p. 72. Available at: https://doi.org/10.3390/cosmetics9040072.</w:t>
      </w:r>
    </w:p>
    <w:p w14:paraId="16923202"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Fortune Business Insights (2026a) </w:t>
      </w:r>
      <w:r w:rsidRPr="00330F71">
        <w:rPr>
          <w:rFonts w:asciiTheme="majorBidi" w:eastAsia="Times New Roman" w:hAnsiTheme="majorBidi" w:cstheme="majorBidi"/>
          <w:i/>
          <w:iCs/>
          <w:lang w:eastAsia="en-GB"/>
        </w:rPr>
        <w:t>Laboratory Equipment Market Size, Share &amp; Growth Report, 2034</w:t>
      </w:r>
      <w:r w:rsidRPr="00330F71">
        <w:rPr>
          <w:rFonts w:asciiTheme="majorBidi" w:eastAsia="Times New Roman" w:hAnsiTheme="majorBidi" w:cstheme="majorBidi"/>
          <w:lang w:eastAsia="en-GB"/>
        </w:rPr>
        <w:t>. Available at: https://www.fortunebusinessinsights.com/laboratory-equipment-market-111761 (Accessed: 3 June 2026).</w:t>
      </w:r>
    </w:p>
    <w:p w14:paraId="01952C01"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Fortune Business Insights (2026b) </w:t>
      </w:r>
      <w:r w:rsidRPr="00330F71">
        <w:rPr>
          <w:rFonts w:asciiTheme="majorBidi" w:eastAsia="Times New Roman" w:hAnsiTheme="majorBidi" w:cstheme="majorBidi"/>
          <w:i/>
          <w:iCs/>
          <w:lang w:eastAsia="en-GB"/>
        </w:rPr>
        <w:t>Molecular Diagnostics Market Size, Share &amp; Growth Report, 2034</w:t>
      </w:r>
      <w:r w:rsidRPr="00330F71">
        <w:rPr>
          <w:rFonts w:asciiTheme="majorBidi" w:eastAsia="Times New Roman" w:hAnsiTheme="majorBidi" w:cstheme="majorBidi"/>
          <w:lang w:eastAsia="en-GB"/>
        </w:rPr>
        <w:t>. Available at: https://www.fortunebusinessinsights.com/industry-reports/molecular-diagnostics-market-100086 (Accessed: 3 June 2026).</w:t>
      </w:r>
    </w:p>
    <w:p w14:paraId="52C5DB75" w14:textId="77777777" w:rsidR="00330F71" w:rsidRPr="006D18BD"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val="fr-FR" w:eastAsia="en-GB"/>
        </w:rPr>
      </w:pPr>
      <w:r w:rsidRPr="00330F71">
        <w:rPr>
          <w:rFonts w:asciiTheme="majorBidi" w:eastAsia="Times New Roman" w:hAnsiTheme="majorBidi" w:cstheme="majorBidi"/>
          <w:lang w:eastAsia="en-GB"/>
        </w:rPr>
        <w:t xml:space="preserve">Fowlie, M.L. (2009) ‘Incomplete Environmental Regulation, Imperfect Competition, and Emissions Leakage’, </w:t>
      </w:r>
      <w:r w:rsidRPr="00330F71">
        <w:rPr>
          <w:rFonts w:asciiTheme="majorBidi" w:eastAsia="Times New Roman" w:hAnsiTheme="majorBidi" w:cstheme="majorBidi"/>
          <w:i/>
          <w:iCs/>
          <w:lang w:eastAsia="en-GB"/>
        </w:rPr>
        <w:t>American Economic Journal: Economic Policy</w:t>
      </w:r>
      <w:r w:rsidRPr="00330F71">
        <w:rPr>
          <w:rFonts w:asciiTheme="majorBidi" w:eastAsia="Times New Roman" w:hAnsiTheme="majorBidi" w:cstheme="majorBidi"/>
          <w:lang w:eastAsia="en-GB"/>
        </w:rPr>
        <w:t xml:space="preserve">, 1(2), pp. 72–112. </w:t>
      </w:r>
      <w:r w:rsidRPr="006D18BD">
        <w:rPr>
          <w:rFonts w:asciiTheme="majorBidi" w:eastAsia="Times New Roman" w:hAnsiTheme="majorBidi" w:cstheme="majorBidi"/>
          <w:lang w:val="fr-FR" w:eastAsia="en-GB"/>
        </w:rPr>
        <w:t>Available at: https://doi.org/10.1257/pol.1.2.72.</w:t>
      </w:r>
    </w:p>
    <w:p w14:paraId="0B810115" w14:textId="77777777" w:rsidR="00330F71" w:rsidRPr="006D18BD"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val="fr-FR" w:eastAsia="en-GB"/>
        </w:rPr>
      </w:pPr>
      <w:r w:rsidRPr="006D18BD">
        <w:rPr>
          <w:rFonts w:asciiTheme="majorBidi" w:eastAsia="Times New Roman" w:hAnsiTheme="majorBidi" w:cstheme="majorBidi"/>
          <w:lang w:val="fr-FR" w:eastAsia="en-GB"/>
        </w:rPr>
        <w:lastRenderedPageBreak/>
        <w:t xml:space="preserve">Franz, C. </w:t>
      </w:r>
      <w:r w:rsidRPr="006D18BD">
        <w:rPr>
          <w:rFonts w:asciiTheme="majorBidi" w:eastAsia="Times New Roman" w:hAnsiTheme="majorBidi" w:cstheme="majorBidi"/>
          <w:i/>
          <w:iCs/>
          <w:lang w:val="fr-FR" w:eastAsia="en-GB"/>
        </w:rPr>
        <w:t>et al.</w:t>
      </w:r>
      <w:r w:rsidRPr="006D18BD">
        <w:rPr>
          <w:rFonts w:asciiTheme="majorBidi" w:eastAsia="Times New Roman" w:hAnsiTheme="majorBidi" w:cstheme="majorBidi"/>
          <w:lang w:val="fr-FR" w:eastAsia="en-GB"/>
        </w:rPr>
        <w:t xml:space="preserve"> </w:t>
      </w:r>
      <w:r w:rsidRPr="00330F71">
        <w:rPr>
          <w:rFonts w:asciiTheme="majorBidi" w:eastAsia="Times New Roman" w:hAnsiTheme="majorBidi" w:cstheme="majorBidi"/>
          <w:lang w:eastAsia="en-GB"/>
        </w:rPr>
        <w:t xml:space="preserve">(2011) ‘Botanical species being used for manufacturing plant food supplements (PFS) and related products in the EU member states and selected third countries’, </w:t>
      </w:r>
      <w:r w:rsidRPr="00330F71">
        <w:rPr>
          <w:rFonts w:asciiTheme="majorBidi" w:eastAsia="Times New Roman" w:hAnsiTheme="majorBidi" w:cstheme="majorBidi"/>
          <w:i/>
          <w:iCs/>
          <w:lang w:eastAsia="en-GB"/>
        </w:rPr>
        <w:t>Food &amp; Function</w:t>
      </w:r>
      <w:r w:rsidRPr="00330F71">
        <w:rPr>
          <w:rFonts w:asciiTheme="majorBidi" w:eastAsia="Times New Roman" w:hAnsiTheme="majorBidi" w:cstheme="majorBidi"/>
          <w:lang w:eastAsia="en-GB"/>
        </w:rPr>
        <w:t xml:space="preserve">, 2(12), pp. 720–730. </w:t>
      </w:r>
      <w:r w:rsidRPr="006D18BD">
        <w:rPr>
          <w:rFonts w:asciiTheme="majorBidi" w:eastAsia="Times New Roman" w:hAnsiTheme="majorBidi" w:cstheme="majorBidi"/>
          <w:lang w:val="fr-FR" w:eastAsia="en-GB"/>
        </w:rPr>
        <w:t>Available at: https://doi.org/10.1039/C1FO10130G.</w:t>
      </w:r>
    </w:p>
    <w:p w14:paraId="6F133EF2" w14:textId="77777777" w:rsidR="00330F71" w:rsidRPr="006D18BD"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val="fr-FR" w:eastAsia="en-GB"/>
        </w:rPr>
      </w:pPr>
      <w:r w:rsidRPr="006D18BD">
        <w:rPr>
          <w:rFonts w:asciiTheme="majorBidi" w:eastAsia="Times New Roman" w:hAnsiTheme="majorBidi" w:cstheme="majorBidi"/>
          <w:lang w:val="fr-FR" w:eastAsia="en-GB"/>
        </w:rPr>
        <w:t xml:space="preserve">Fugeray-Scarbel, A. </w:t>
      </w:r>
      <w:r w:rsidRPr="006D18BD">
        <w:rPr>
          <w:rFonts w:asciiTheme="majorBidi" w:eastAsia="Times New Roman" w:hAnsiTheme="majorBidi" w:cstheme="majorBidi"/>
          <w:i/>
          <w:iCs/>
          <w:lang w:val="fr-FR" w:eastAsia="en-GB"/>
        </w:rPr>
        <w:t>et al.</w:t>
      </w:r>
      <w:r w:rsidRPr="006D18BD">
        <w:rPr>
          <w:rFonts w:asciiTheme="majorBidi" w:eastAsia="Times New Roman" w:hAnsiTheme="majorBidi" w:cstheme="majorBidi"/>
          <w:lang w:val="fr-FR" w:eastAsia="en-GB"/>
        </w:rPr>
        <w:t xml:space="preserve"> </w:t>
      </w:r>
      <w:r w:rsidRPr="00330F71">
        <w:rPr>
          <w:rFonts w:asciiTheme="majorBidi" w:eastAsia="Times New Roman" w:hAnsiTheme="majorBidi" w:cstheme="majorBidi"/>
          <w:lang w:eastAsia="en-GB"/>
        </w:rPr>
        <w:t xml:space="preserve">(2021) ‘Why and How to Switch to Genomic Selection: Lessons From Plant and Animal Breeding Experience’, </w:t>
      </w:r>
      <w:r w:rsidRPr="00330F71">
        <w:rPr>
          <w:rFonts w:asciiTheme="majorBidi" w:eastAsia="Times New Roman" w:hAnsiTheme="majorBidi" w:cstheme="majorBidi"/>
          <w:i/>
          <w:iCs/>
          <w:lang w:eastAsia="en-GB"/>
        </w:rPr>
        <w:t>Frontiers in Genetics</w:t>
      </w:r>
      <w:r w:rsidRPr="00330F71">
        <w:rPr>
          <w:rFonts w:asciiTheme="majorBidi" w:eastAsia="Times New Roman" w:hAnsiTheme="majorBidi" w:cstheme="majorBidi"/>
          <w:lang w:eastAsia="en-GB"/>
        </w:rPr>
        <w:t xml:space="preserve">, 12. </w:t>
      </w:r>
      <w:r w:rsidRPr="006D18BD">
        <w:rPr>
          <w:rFonts w:asciiTheme="majorBidi" w:eastAsia="Times New Roman" w:hAnsiTheme="majorBidi" w:cstheme="majorBidi"/>
          <w:lang w:val="fr-FR" w:eastAsia="en-GB"/>
        </w:rPr>
        <w:t>Available at: https://doi.org/10.3389/fgene.2021.629737.</w:t>
      </w:r>
    </w:p>
    <w:p w14:paraId="5062AC38"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6D18BD">
        <w:rPr>
          <w:rFonts w:asciiTheme="majorBidi" w:eastAsia="Times New Roman" w:hAnsiTheme="majorBidi" w:cstheme="majorBidi"/>
          <w:lang w:val="fr-FR" w:eastAsia="en-GB"/>
        </w:rPr>
        <w:t xml:space="preserve">Fuglie, K. </w:t>
      </w:r>
      <w:r w:rsidRPr="006D18BD">
        <w:rPr>
          <w:rFonts w:asciiTheme="majorBidi" w:eastAsia="Times New Roman" w:hAnsiTheme="majorBidi" w:cstheme="majorBidi"/>
          <w:i/>
          <w:iCs/>
          <w:lang w:val="fr-FR" w:eastAsia="en-GB"/>
        </w:rPr>
        <w:t>et al.</w:t>
      </w:r>
      <w:r w:rsidRPr="006D18BD">
        <w:rPr>
          <w:rFonts w:asciiTheme="majorBidi" w:eastAsia="Times New Roman" w:hAnsiTheme="majorBidi" w:cstheme="majorBidi"/>
          <w:lang w:val="fr-FR" w:eastAsia="en-GB"/>
        </w:rPr>
        <w:t xml:space="preserve"> </w:t>
      </w:r>
      <w:r w:rsidRPr="00330F71">
        <w:rPr>
          <w:rFonts w:asciiTheme="majorBidi" w:eastAsia="Times New Roman" w:hAnsiTheme="majorBidi" w:cstheme="majorBidi"/>
          <w:lang w:eastAsia="en-GB"/>
        </w:rPr>
        <w:t xml:space="preserve">(2011) </w:t>
      </w:r>
      <w:r w:rsidRPr="00330F71">
        <w:rPr>
          <w:rFonts w:asciiTheme="majorBidi" w:eastAsia="Times New Roman" w:hAnsiTheme="majorBidi" w:cstheme="majorBidi"/>
          <w:i/>
          <w:iCs/>
          <w:lang w:eastAsia="en-GB"/>
        </w:rPr>
        <w:t>Research Investments and Market Structure in the Food Processing, Agricultural Input, and Biofuel Industries Worldwide | Economic Research Service</w:t>
      </w:r>
      <w:r w:rsidRPr="00330F71">
        <w:rPr>
          <w:rFonts w:asciiTheme="majorBidi" w:eastAsia="Times New Roman" w:hAnsiTheme="majorBidi" w:cstheme="majorBidi"/>
          <w:lang w:eastAsia="en-GB"/>
        </w:rPr>
        <w:t>. Economic Research Service. U.S. Department of Agriculture. Available at: https://www.ers.usda.gov/publications/pub-details?pubid=44954 (Accessed: 3 June 2026).</w:t>
      </w:r>
    </w:p>
    <w:p w14:paraId="7475C62B"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Funk, D.A. (2006) ‘Major Advances in Globalization and Consolidation of the Artificial Insemination Industry’, </w:t>
      </w:r>
      <w:r w:rsidRPr="00330F71">
        <w:rPr>
          <w:rFonts w:asciiTheme="majorBidi" w:eastAsia="Times New Roman" w:hAnsiTheme="majorBidi" w:cstheme="majorBidi"/>
          <w:i/>
          <w:iCs/>
          <w:lang w:eastAsia="en-GB"/>
        </w:rPr>
        <w:t>Journal of Dairy Science</w:t>
      </w:r>
      <w:r w:rsidRPr="00330F71">
        <w:rPr>
          <w:rFonts w:asciiTheme="majorBidi" w:eastAsia="Times New Roman" w:hAnsiTheme="majorBidi" w:cstheme="majorBidi"/>
          <w:lang w:eastAsia="en-GB"/>
        </w:rPr>
        <w:t>, 89(4), pp. 1362–1368. Available at: https://doi.org/10.3168/jds.S0022-0302(06)72203-2.</w:t>
      </w:r>
    </w:p>
    <w:p w14:paraId="65405A0D"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Gal, P.N. (2013) </w:t>
      </w:r>
      <w:r w:rsidRPr="00330F71">
        <w:rPr>
          <w:rFonts w:asciiTheme="majorBidi" w:eastAsia="Times New Roman" w:hAnsiTheme="majorBidi" w:cstheme="majorBidi"/>
          <w:i/>
          <w:iCs/>
          <w:lang w:eastAsia="en-GB"/>
        </w:rPr>
        <w:t>Measuring Total Factor Productivity at the Firm Level using OECD-ORBIS</w:t>
      </w:r>
      <w:r w:rsidRPr="00330F71">
        <w:rPr>
          <w:rFonts w:asciiTheme="majorBidi" w:eastAsia="Times New Roman" w:hAnsiTheme="majorBidi" w:cstheme="majorBidi"/>
          <w:lang w:eastAsia="en-GB"/>
        </w:rPr>
        <w:t>. OECD Economics Department Working Papers 1049. Available at: https://doi.org/10.1787/5k46dsb25ls6-en.</w:t>
      </w:r>
    </w:p>
    <w:p w14:paraId="70CB9D6E"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Ganapati, S., Shapiro, J.S. and Walker, R. (2020) ‘Energy Cost Pass-Through in US Manufacturing: Estimates and Implications for Carbon Taxes’, </w:t>
      </w:r>
      <w:r w:rsidRPr="00330F71">
        <w:rPr>
          <w:rFonts w:asciiTheme="majorBidi" w:eastAsia="Times New Roman" w:hAnsiTheme="majorBidi" w:cstheme="majorBidi"/>
          <w:i/>
          <w:iCs/>
          <w:lang w:eastAsia="en-GB"/>
        </w:rPr>
        <w:t>American Economic Journal: Applied Economics</w:t>
      </w:r>
      <w:r w:rsidRPr="00330F71">
        <w:rPr>
          <w:rFonts w:asciiTheme="majorBidi" w:eastAsia="Times New Roman" w:hAnsiTheme="majorBidi" w:cstheme="majorBidi"/>
          <w:lang w:eastAsia="en-GB"/>
        </w:rPr>
        <w:t>, 12(2), pp. 303–342. Available at: https://doi.org/10.1257/app.20180474.</w:t>
      </w:r>
    </w:p>
    <w:p w14:paraId="4E6376B4"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Garcia, P.R., Smith, A. and Blomberg, N. (2018) ‘Public data resources as a business model for SMEs. The Role of Public Bioinformatics Infrastructure in supporting innovation in the life sciences’, </w:t>
      </w:r>
      <w:r w:rsidRPr="00330F71">
        <w:rPr>
          <w:rFonts w:asciiTheme="majorBidi" w:eastAsia="Times New Roman" w:hAnsiTheme="majorBidi" w:cstheme="majorBidi"/>
          <w:i/>
          <w:iCs/>
          <w:lang w:eastAsia="en-GB"/>
        </w:rPr>
        <w:t>F1000Research</w:t>
      </w:r>
      <w:r w:rsidRPr="00330F71">
        <w:rPr>
          <w:rFonts w:asciiTheme="majorBidi" w:eastAsia="Times New Roman" w:hAnsiTheme="majorBidi" w:cstheme="majorBidi"/>
          <w:lang w:eastAsia="en-GB"/>
        </w:rPr>
        <w:t>, 7(590), p. 590. Available at: https://doi.org/10.7490/f1000research.1115445.1.</w:t>
      </w:r>
    </w:p>
    <w:p w14:paraId="58CDA70A"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Global Market Insights (2026a) </w:t>
      </w:r>
      <w:r w:rsidRPr="00330F71">
        <w:rPr>
          <w:rFonts w:asciiTheme="majorBidi" w:eastAsia="Times New Roman" w:hAnsiTheme="majorBidi" w:cstheme="majorBidi"/>
          <w:i/>
          <w:iCs/>
          <w:lang w:eastAsia="en-GB"/>
        </w:rPr>
        <w:t>Cosmetics Active Ingredients Market Size, Share Report, 2035</w:t>
      </w:r>
      <w:r w:rsidRPr="00330F71">
        <w:rPr>
          <w:rFonts w:asciiTheme="majorBidi" w:eastAsia="Times New Roman" w:hAnsiTheme="majorBidi" w:cstheme="majorBidi"/>
          <w:lang w:eastAsia="en-GB"/>
        </w:rPr>
        <w:t xml:space="preserve">, </w:t>
      </w:r>
      <w:r w:rsidRPr="00330F71">
        <w:rPr>
          <w:rFonts w:asciiTheme="majorBidi" w:eastAsia="Times New Roman" w:hAnsiTheme="majorBidi" w:cstheme="majorBidi"/>
          <w:i/>
          <w:iCs/>
          <w:lang w:eastAsia="en-GB"/>
        </w:rPr>
        <w:t>Global Market Insights Inc.</w:t>
      </w:r>
      <w:r w:rsidRPr="00330F71">
        <w:rPr>
          <w:rFonts w:asciiTheme="majorBidi" w:eastAsia="Times New Roman" w:hAnsiTheme="majorBidi" w:cstheme="majorBidi"/>
          <w:lang w:eastAsia="en-GB"/>
        </w:rPr>
        <w:t xml:space="preserve"> Available at: https://www.gminsights.com/industry-analysis/cosmetics-active-ingredients-market (Accessed: 3 June 2026).</w:t>
      </w:r>
    </w:p>
    <w:p w14:paraId="648E07B1"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Global Market Insights (2026b) </w:t>
      </w:r>
      <w:r w:rsidRPr="00330F71">
        <w:rPr>
          <w:rFonts w:asciiTheme="majorBidi" w:eastAsia="Times New Roman" w:hAnsiTheme="majorBidi" w:cstheme="majorBidi"/>
          <w:i/>
          <w:iCs/>
          <w:lang w:eastAsia="en-GB"/>
        </w:rPr>
        <w:t>Plant Breeding Market Size, Share &amp; Growth Trends, 2026-2035</w:t>
      </w:r>
      <w:r w:rsidRPr="00330F71">
        <w:rPr>
          <w:rFonts w:asciiTheme="majorBidi" w:eastAsia="Times New Roman" w:hAnsiTheme="majorBidi" w:cstheme="majorBidi"/>
          <w:lang w:eastAsia="en-GB"/>
        </w:rPr>
        <w:t xml:space="preserve">, </w:t>
      </w:r>
      <w:r w:rsidRPr="00330F71">
        <w:rPr>
          <w:rFonts w:asciiTheme="majorBidi" w:eastAsia="Times New Roman" w:hAnsiTheme="majorBidi" w:cstheme="majorBidi"/>
          <w:i/>
          <w:iCs/>
          <w:lang w:eastAsia="en-GB"/>
        </w:rPr>
        <w:t>Global Market Insights Inc.</w:t>
      </w:r>
      <w:r w:rsidRPr="00330F71">
        <w:rPr>
          <w:rFonts w:asciiTheme="majorBidi" w:eastAsia="Times New Roman" w:hAnsiTheme="majorBidi" w:cstheme="majorBidi"/>
          <w:lang w:eastAsia="en-GB"/>
        </w:rPr>
        <w:t xml:space="preserve"> Available at: https://www.gminsights.com/industry-analysis/plant-breeding-market (Accessed: 3 June 2026).</w:t>
      </w:r>
    </w:p>
    <w:p w14:paraId="37CA0212"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Golec, J.H. and Vernon, J.A. (2006) ‘European Pharmaceutical Price Regulation, Firm Profitability, and R&amp;D Spending’. Rochester, NY: Social Science Research Network. Available at: https://doi.org/10.2139/ssrn.932989.</w:t>
      </w:r>
    </w:p>
    <w:p w14:paraId="5BBE2E2D"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Grabowski, H.G., Guha, R. and Salgado, M. (2014) ‘Regulatory And Cost Barriers Are Likely To Limit Biosimilar Development And Expected Savings In The Near Future’, </w:t>
      </w:r>
      <w:r w:rsidRPr="00330F71">
        <w:rPr>
          <w:rFonts w:asciiTheme="majorBidi" w:eastAsia="Times New Roman" w:hAnsiTheme="majorBidi" w:cstheme="majorBidi"/>
          <w:i/>
          <w:iCs/>
          <w:lang w:eastAsia="en-GB"/>
        </w:rPr>
        <w:t>Health Affairs</w:t>
      </w:r>
      <w:r w:rsidRPr="00330F71">
        <w:rPr>
          <w:rFonts w:asciiTheme="majorBidi" w:eastAsia="Times New Roman" w:hAnsiTheme="majorBidi" w:cstheme="majorBidi"/>
          <w:lang w:eastAsia="en-GB"/>
        </w:rPr>
        <w:t>, 33(6), pp. 1048–1057. Available at: https://doi.org/10.1377/hlthaff.2013.0862.</w:t>
      </w:r>
    </w:p>
    <w:p w14:paraId="29FE52AF"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Grand View Research (2024) </w:t>
      </w:r>
      <w:r w:rsidRPr="00330F71">
        <w:rPr>
          <w:rFonts w:asciiTheme="majorBidi" w:eastAsia="Times New Roman" w:hAnsiTheme="majorBidi" w:cstheme="majorBidi"/>
          <w:i/>
          <w:iCs/>
          <w:lang w:eastAsia="en-GB"/>
        </w:rPr>
        <w:t>The United States Biologics Market Size &amp; Outlook, 2030</w:t>
      </w:r>
      <w:r w:rsidRPr="00330F71">
        <w:rPr>
          <w:rFonts w:asciiTheme="majorBidi" w:eastAsia="Times New Roman" w:hAnsiTheme="majorBidi" w:cstheme="majorBidi"/>
          <w:lang w:eastAsia="en-GB"/>
        </w:rPr>
        <w:t>. Available at: https://www.grandviewresearch.com/horizon/outlook/biologics-market/united-states (Accessed: 3 June 2026).</w:t>
      </w:r>
    </w:p>
    <w:p w14:paraId="1CB6D15A"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lastRenderedPageBreak/>
        <w:t xml:space="preserve">Grand View Research (2025) </w:t>
      </w:r>
      <w:r w:rsidRPr="00330F71">
        <w:rPr>
          <w:rFonts w:asciiTheme="majorBidi" w:eastAsia="Times New Roman" w:hAnsiTheme="majorBidi" w:cstheme="majorBidi"/>
          <w:i/>
          <w:iCs/>
          <w:lang w:eastAsia="en-GB"/>
        </w:rPr>
        <w:t>Laboratory Equipment Market Size And Share Report, 2030</w:t>
      </w:r>
      <w:r w:rsidRPr="00330F71">
        <w:rPr>
          <w:rFonts w:asciiTheme="majorBidi" w:eastAsia="Times New Roman" w:hAnsiTheme="majorBidi" w:cstheme="majorBidi"/>
          <w:lang w:eastAsia="en-GB"/>
        </w:rPr>
        <w:t>. Available at: https://www.grandviewresearch.com/industry-analysis/laboratory-equipment-market-report (Accessed: 3 June 2026).</w:t>
      </w:r>
    </w:p>
    <w:p w14:paraId="2C8A3201"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Grand View Research (2026) ‘Animal Genetics Market Size, Share | Industry Report, 2033’, May. Available at: https://www.grandviewresearch.com/industry-analysis/animal-genetics-market (Accessed: 3 June 2026).</w:t>
      </w:r>
    </w:p>
    <w:p w14:paraId="4CAD0EB4"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Grossman, R.L. (2019) ‘Data Lakes, Clouds, and Commons: A Review of Platforms for Analyzing and Sharing Genomic Data’, </w:t>
      </w:r>
      <w:r w:rsidRPr="00330F71">
        <w:rPr>
          <w:rFonts w:asciiTheme="majorBidi" w:eastAsia="Times New Roman" w:hAnsiTheme="majorBidi" w:cstheme="majorBidi"/>
          <w:i/>
          <w:iCs/>
          <w:lang w:eastAsia="en-GB"/>
        </w:rPr>
        <w:t>Trends in Genetics</w:t>
      </w:r>
      <w:r w:rsidRPr="00330F71">
        <w:rPr>
          <w:rFonts w:asciiTheme="majorBidi" w:eastAsia="Times New Roman" w:hAnsiTheme="majorBidi" w:cstheme="majorBidi"/>
          <w:lang w:eastAsia="en-GB"/>
        </w:rPr>
        <w:t>, 35(3), pp. 223–234. Available at: https://doi.org/10.1016/j.tig.2018.12.006.</w:t>
      </w:r>
    </w:p>
    <w:p w14:paraId="2619EE07"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Grossman, R.L. (2023) ‘Ten lessons for data sharing with a data commons’, </w:t>
      </w:r>
      <w:r w:rsidRPr="00330F71">
        <w:rPr>
          <w:rFonts w:asciiTheme="majorBidi" w:eastAsia="Times New Roman" w:hAnsiTheme="majorBidi" w:cstheme="majorBidi"/>
          <w:i/>
          <w:iCs/>
          <w:lang w:eastAsia="en-GB"/>
        </w:rPr>
        <w:t>Scientific Data</w:t>
      </w:r>
      <w:r w:rsidRPr="00330F71">
        <w:rPr>
          <w:rFonts w:asciiTheme="majorBidi" w:eastAsia="Times New Roman" w:hAnsiTheme="majorBidi" w:cstheme="majorBidi"/>
          <w:lang w:eastAsia="en-GB"/>
        </w:rPr>
        <w:t>, 10(1), p. 120. Available at: https://doi.org/10.1038/s41597-023-02029-x.</w:t>
      </w:r>
    </w:p>
    <w:p w14:paraId="4BCD45D4" w14:textId="77777777" w:rsidR="00330F71" w:rsidRPr="006D18BD"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val="fr-FR" w:eastAsia="en-GB"/>
        </w:rPr>
      </w:pPr>
      <w:r w:rsidRPr="00330F71">
        <w:rPr>
          <w:rFonts w:asciiTheme="majorBidi" w:eastAsia="Times New Roman" w:hAnsiTheme="majorBidi" w:cstheme="majorBidi"/>
          <w:lang w:eastAsia="en-GB"/>
        </w:rPr>
        <w:t xml:space="preserve">Haddock-Fraser, J. and Fraser, I. (2008) ‘Assessing corporate environmental reporting motivations: differences between “close-to-market” and “business-to-business” companies’, </w:t>
      </w:r>
      <w:r w:rsidRPr="00330F71">
        <w:rPr>
          <w:rFonts w:asciiTheme="majorBidi" w:eastAsia="Times New Roman" w:hAnsiTheme="majorBidi" w:cstheme="majorBidi"/>
          <w:i/>
          <w:iCs/>
          <w:lang w:eastAsia="en-GB"/>
        </w:rPr>
        <w:t>Corporate Social Responsibility and Environmental Management</w:t>
      </w:r>
      <w:r w:rsidRPr="00330F71">
        <w:rPr>
          <w:rFonts w:asciiTheme="majorBidi" w:eastAsia="Times New Roman" w:hAnsiTheme="majorBidi" w:cstheme="majorBidi"/>
          <w:lang w:eastAsia="en-GB"/>
        </w:rPr>
        <w:t xml:space="preserve">, 15(3), pp. 140–155. </w:t>
      </w:r>
      <w:r w:rsidRPr="006D18BD">
        <w:rPr>
          <w:rFonts w:asciiTheme="majorBidi" w:eastAsia="Times New Roman" w:hAnsiTheme="majorBidi" w:cstheme="majorBidi"/>
          <w:lang w:val="fr-FR" w:eastAsia="en-GB"/>
        </w:rPr>
        <w:t>Available at: https://doi.org/10.1002/csr.147.</w:t>
      </w:r>
    </w:p>
    <w:p w14:paraId="1CFCB434" w14:textId="77777777" w:rsidR="00330F71" w:rsidRPr="006D18BD"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val="fr-FR" w:eastAsia="en-GB"/>
        </w:rPr>
      </w:pPr>
      <w:r w:rsidRPr="006D18BD">
        <w:rPr>
          <w:rFonts w:asciiTheme="majorBidi" w:eastAsia="Times New Roman" w:hAnsiTheme="majorBidi" w:cstheme="majorBidi"/>
          <w:lang w:val="fr-FR" w:eastAsia="en-GB"/>
        </w:rPr>
        <w:t xml:space="preserve">Halewood, M. </w:t>
      </w:r>
      <w:r w:rsidRPr="006D18BD">
        <w:rPr>
          <w:rFonts w:asciiTheme="majorBidi" w:eastAsia="Times New Roman" w:hAnsiTheme="majorBidi" w:cstheme="majorBidi"/>
          <w:i/>
          <w:iCs/>
          <w:lang w:val="fr-FR" w:eastAsia="en-GB"/>
        </w:rPr>
        <w:t>et al.</w:t>
      </w:r>
      <w:r w:rsidRPr="006D18BD">
        <w:rPr>
          <w:rFonts w:asciiTheme="majorBidi" w:eastAsia="Times New Roman" w:hAnsiTheme="majorBidi" w:cstheme="majorBidi"/>
          <w:lang w:val="fr-FR" w:eastAsia="en-GB"/>
        </w:rPr>
        <w:t xml:space="preserve"> </w:t>
      </w:r>
      <w:r w:rsidRPr="00330F71">
        <w:rPr>
          <w:rFonts w:asciiTheme="majorBidi" w:eastAsia="Times New Roman" w:hAnsiTheme="majorBidi" w:cstheme="majorBidi"/>
          <w:lang w:eastAsia="en-GB"/>
        </w:rPr>
        <w:t xml:space="preserve">(2023) ‘New benefit-sharing principles for digital sequence information’, </w:t>
      </w:r>
      <w:r w:rsidRPr="00330F71">
        <w:rPr>
          <w:rFonts w:asciiTheme="majorBidi" w:eastAsia="Times New Roman" w:hAnsiTheme="majorBidi" w:cstheme="majorBidi"/>
          <w:i/>
          <w:iCs/>
          <w:lang w:eastAsia="en-GB"/>
        </w:rPr>
        <w:t>Science</w:t>
      </w:r>
      <w:r w:rsidRPr="00330F71">
        <w:rPr>
          <w:rFonts w:asciiTheme="majorBidi" w:eastAsia="Times New Roman" w:hAnsiTheme="majorBidi" w:cstheme="majorBidi"/>
          <w:lang w:eastAsia="en-GB"/>
        </w:rPr>
        <w:t xml:space="preserve">, 382(6670), pp. 520–522. </w:t>
      </w:r>
      <w:r w:rsidRPr="006D18BD">
        <w:rPr>
          <w:rFonts w:asciiTheme="majorBidi" w:eastAsia="Times New Roman" w:hAnsiTheme="majorBidi" w:cstheme="majorBidi"/>
          <w:lang w:val="fr-FR" w:eastAsia="en-GB"/>
        </w:rPr>
        <w:t>Available at: https://doi.org/10.1126/science.adj1331.</w:t>
      </w:r>
    </w:p>
    <w:p w14:paraId="2599EEBB"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6D18BD">
        <w:rPr>
          <w:rFonts w:asciiTheme="majorBidi" w:eastAsia="Times New Roman" w:hAnsiTheme="majorBidi" w:cstheme="majorBidi"/>
          <w:lang w:val="fr-FR" w:eastAsia="en-GB"/>
        </w:rPr>
        <w:t xml:space="preserve">Hampton, A.-R. </w:t>
      </w:r>
      <w:r w:rsidRPr="006D18BD">
        <w:rPr>
          <w:rFonts w:asciiTheme="majorBidi" w:eastAsia="Times New Roman" w:hAnsiTheme="majorBidi" w:cstheme="majorBidi"/>
          <w:i/>
          <w:iCs/>
          <w:lang w:val="fr-FR" w:eastAsia="en-GB"/>
        </w:rPr>
        <w:t>et al.</w:t>
      </w:r>
      <w:r w:rsidRPr="006D18BD">
        <w:rPr>
          <w:rFonts w:asciiTheme="majorBidi" w:eastAsia="Times New Roman" w:hAnsiTheme="majorBidi" w:cstheme="majorBidi"/>
          <w:lang w:val="fr-FR" w:eastAsia="en-GB"/>
        </w:rPr>
        <w:t xml:space="preserve"> </w:t>
      </w:r>
      <w:r w:rsidRPr="00330F71">
        <w:rPr>
          <w:rFonts w:asciiTheme="majorBidi" w:eastAsia="Times New Roman" w:hAnsiTheme="majorBidi" w:cstheme="majorBidi"/>
          <w:lang w:eastAsia="en-GB"/>
        </w:rPr>
        <w:t xml:space="preserve">(2023) ‘“EQUITY” IN THE PANDEMIC TREATY: THE FALSE HOPE OF “ACCESS AND BENEFIT-SHARING”’, </w:t>
      </w:r>
      <w:r w:rsidRPr="00330F71">
        <w:rPr>
          <w:rFonts w:asciiTheme="majorBidi" w:eastAsia="Times New Roman" w:hAnsiTheme="majorBidi" w:cstheme="majorBidi"/>
          <w:i/>
          <w:iCs/>
          <w:lang w:eastAsia="en-GB"/>
        </w:rPr>
        <w:t>International &amp; Comparative Law Quarterly</w:t>
      </w:r>
      <w:r w:rsidRPr="00330F71">
        <w:rPr>
          <w:rFonts w:asciiTheme="majorBidi" w:eastAsia="Times New Roman" w:hAnsiTheme="majorBidi" w:cstheme="majorBidi"/>
          <w:lang w:eastAsia="en-GB"/>
        </w:rPr>
        <w:t>, 72(4), pp. 909–943. Available at: https://doi.org/10.1017/S0020589323000350.</w:t>
      </w:r>
    </w:p>
    <w:p w14:paraId="1D684C7C" w14:textId="77777777" w:rsidR="00330F71" w:rsidRPr="006D18BD"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val="fr-FR" w:eastAsia="en-GB"/>
        </w:rPr>
      </w:pPr>
      <w:r w:rsidRPr="00330F71">
        <w:rPr>
          <w:rFonts w:asciiTheme="majorBidi" w:eastAsia="Times New Roman" w:hAnsiTheme="majorBidi" w:cstheme="majorBidi"/>
          <w:lang w:eastAsia="en-GB"/>
        </w:rPr>
        <w:t xml:space="preserve">Han, S. and Ito, K. (2024) ‘What explains the spread of corporate social responsibility? The role of competitive pressure and institutional isomorphism in the diffusion of voluntary adoption’, </w:t>
      </w:r>
      <w:r w:rsidRPr="00330F71">
        <w:rPr>
          <w:rFonts w:asciiTheme="majorBidi" w:eastAsia="Times New Roman" w:hAnsiTheme="majorBidi" w:cstheme="majorBidi"/>
          <w:i/>
          <w:iCs/>
          <w:lang w:eastAsia="en-GB"/>
        </w:rPr>
        <w:t>Journal of Management &amp; Organization</w:t>
      </w:r>
      <w:r w:rsidRPr="00330F71">
        <w:rPr>
          <w:rFonts w:asciiTheme="majorBidi" w:eastAsia="Times New Roman" w:hAnsiTheme="majorBidi" w:cstheme="majorBidi"/>
          <w:lang w:eastAsia="en-GB"/>
        </w:rPr>
        <w:t xml:space="preserve">, 30(3), pp. 765–786. </w:t>
      </w:r>
      <w:r w:rsidRPr="006D18BD">
        <w:rPr>
          <w:rFonts w:asciiTheme="majorBidi" w:eastAsia="Times New Roman" w:hAnsiTheme="majorBidi" w:cstheme="majorBidi"/>
          <w:lang w:val="fr-FR" w:eastAsia="en-GB"/>
        </w:rPr>
        <w:t>Available at: https://doi.org/10.1017/jmo.2023.21.</w:t>
      </w:r>
    </w:p>
    <w:p w14:paraId="454AEEA3"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6D18BD">
        <w:rPr>
          <w:rFonts w:asciiTheme="majorBidi" w:eastAsia="Times New Roman" w:hAnsiTheme="majorBidi" w:cstheme="majorBidi"/>
          <w:lang w:val="fr-FR" w:eastAsia="en-GB"/>
        </w:rPr>
        <w:t xml:space="preserve">Harrow, J. </w:t>
      </w:r>
      <w:r w:rsidRPr="006D18BD">
        <w:rPr>
          <w:rFonts w:asciiTheme="majorBidi" w:eastAsia="Times New Roman" w:hAnsiTheme="majorBidi" w:cstheme="majorBidi"/>
          <w:i/>
          <w:iCs/>
          <w:lang w:val="fr-FR" w:eastAsia="en-GB"/>
        </w:rPr>
        <w:t>et al.</w:t>
      </w:r>
      <w:r w:rsidRPr="006D18BD">
        <w:rPr>
          <w:rFonts w:asciiTheme="majorBidi" w:eastAsia="Times New Roman" w:hAnsiTheme="majorBidi" w:cstheme="majorBidi"/>
          <w:lang w:val="fr-FR" w:eastAsia="en-GB"/>
        </w:rPr>
        <w:t xml:space="preserve"> </w:t>
      </w:r>
      <w:r w:rsidRPr="00330F71">
        <w:rPr>
          <w:rFonts w:asciiTheme="majorBidi" w:eastAsia="Times New Roman" w:hAnsiTheme="majorBidi" w:cstheme="majorBidi"/>
          <w:lang w:eastAsia="en-GB"/>
        </w:rPr>
        <w:t xml:space="preserve">(2021) ‘ELIXIR: providing a sustainable infrastructure for life science data at European scale’, </w:t>
      </w:r>
      <w:r w:rsidRPr="00330F71">
        <w:rPr>
          <w:rFonts w:asciiTheme="majorBidi" w:eastAsia="Times New Roman" w:hAnsiTheme="majorBidi" w:cstheme="majorBidi"/>
          <w:i/>
          <w:iCs/>
          <w:lang w:eastAsia="en-GB"/>
        </w:rPr>
        <w:t>Bioinformatics</w:t>
      </w:r>
      <w:r w:rsidRPr="00330F71">
        <w:rPr>
          <w:rFonts w:asciiTheme="majorBidi" w:eastAsia="Times New Roman" w:hAnsiTheme="majorBidi" w:cstheme="majorBidi"/>
          <w:lang w:eastAsia="en-GB"/>
        </w:rPr>
        <w:t>, 37(16), pp. 2506–2511. Available at: https://doi.org/10.1093/bioinformatics/btab481.</w:t>
      </w:r>
    </w:p>
    <w:p w14:paraId="66B1C8E4"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Heinemann, J.A., Coray, D.S. and Thaler, D.S. (2018) </w:t>
      </w:r>
      <w:r w:rsidRPr="00330F71">
        <w:rPr>
          <w:rFonts w:asciiTheme="majorBidi" w:eastAsia="Times New Roman" w:hAnsiTheme="majorBidi" w:cstheme="majorBidi"/>
          <w:i/>
          <w:iCs/>
          <w:lang w:eastAsia="en-GB"/>
        </w:rPr>
        <w:t>Exploratory fact‐finding scoping study on “Digital Sequence Information” on genetic resources for food and agriculture.</w:t>
      </w:r>
      <w:r w:rsidRPr="00330F71">
        <w:rPr>
          <w:rFonts w:asciiTheme="majorBidi" w:eastAsia="Times New Roman" w:hAnsiTheme="majorBidi" w:cstheme="majorBidi"/>
          <w:lang w:eastAsia="en-GB"/>
        </w:rPr>
        <w:t xml:space="preserve"> FAO GRFA.</w:t>
      </w:r>
    </w:p>
    <w:p w14:paraId="4D74BF53"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Hiemstra, S.J., Brink, M. and Hintum, T. van (2019) ‘Digital Sequence Information (DSI): Options and impact of regulating access and benefit sharing - stakeholder perspectives’. Available at: https://doi.org/10.18174/470286.</w:t>
      </w:r>
    </w:p>
    <w:p w14:paraId="12DCAD98"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Hobbs, J.E. (2002a) ‘Evolving Supply Chains in the Nutraceuticals and Functional Foods Industry’, </w:t>
      </w:r>
      <w:r w:rsidRPr="00330F71">
        <w:rPr>
          <w:rFonts w:asciiTheme="majorBidi" w:eastAsia="Times New Roman" w:hAnsiTheme="majorBidi" w:cstheme="majorBidi"/>
          <w:i/>
          <w:iCs/>
          <w:lang w:eastAsia="en-GB"/>
        </w:rPr>
        <w:t>Canadian Journal of Agricultural Economics/Revue canadienne d’agroeconomie</w:t>
      </w:r>
      <w:r w:rsidRPr="00330F71">
        <w:rPr>
          <w:rFonts w:asciiTheme="majorBidi" w:eastAsia="Times New Roman" w:hAnsiTheme="majorBidi" w:cstheme="majorBidi"/>
          <w:lang w:eastAsia="en-GB"/>
        </w:rPr>
        <w:t>, 50(4), pp. 559–568. Available at: https://doi.org/10.1111/j.1744-7976.2002.tb00355.x.</w:t>
      </w:r>
    </w:p>
    <w:p w14:paraId="36FC5CE9"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Hobbs, J.E. (2002b) ‘Evolving Supply Chains in the Nutraceuticals and Functional Foods Industry’, </w:t>
      </w:r>
      <w:r w:rsidRPr="00330F71">
        <w:rPr>
          <w:rFonts w:asciiTheme="majorBidi" w:eastAsia="Times New Roman" w:hAnsiTheme="majorBidi" w:cstheme="majorBidi"/>
          <w:i/>
          <w:iCs/>
          <w:lang w:eastAsia="en-GB"/>
        </w:rPr>
        <w:t>Canadian Journal of Agricultural Economics/Revue canadienne d’agroeconomie</w:t>
      </w:r>
      <w:r w:rsidRPr="00330F71">
        <w:rPr>
          <w:rFonts w:asciiTheme="majorBidi" w:eastAsia="Times New Roman" w:hAnsiTheme="majorBidi" w:cstheme="majorBidi"/>
          <w:lang w:eastAsia="en-GB"/>
        </w:rPr>
        <w:t>, 50(4), pp. 559–568. Available at: https://doi.org/10.1111/j.1744-7976.2002.tb00355.x.</w:t>
      </w:r>
    </w:p>
    <w:p w14:paraId="0A85356F"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Hobbs, J.E., Malla, S. and Sogah, E.K. (2014) ‘Regulatory Frameworks for Functional Food and Supplements’, </w:t>
      </w:r>
      <w:r w:rsidRPr="00330F71">
        <w:rPr>
          <w:rFonts w:asciiTheme="majorBidi" w:eastAsia="Times New Roman" w:hAnsiTheme="majorBidi" w:cstheme="majorBidi"/>
          <w:i/>
          <w:iCs/>
          <w:lang w:eastAsia="en-GB"/>
        </w:rPr>
        <w:t>Canadian Journal of Agricultural Economics/Revue canadienne d’agroeconomie</w:t>
      </w:r>
      <w:r w:rsidRPr="00330F71">
        <w:rPr>
          <w:rFonts w:asciiTheme="majorBidi" w:eastAsia="Times New Roman" w:hAnsiTheme="majorBidi" w:cstheme="majorBidi"/>
          <w:lang w:eastAsia="en-GB"/>
        </w:rPr>
        <w:t>, 62(4), pp. 569–594. Available at: https://doi.org/10.1111/cjag.12051.</w:t>
      </w:r>
    </w:p>
    <w:p w14:paraId="335F8E2F"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lastRenderedPageBreak/>
        <w:t xml:space="preserve">Holland, I. and Davies, J.A. (2020) ‘Automation in the Life Science Research Laboratory’, </w:t>
      </w:r>
      <w:r w:rsidRPr="00330F71">
        <w:rPr>
          <w:rFonts w:asciiTheme="majorBidi" w:eastAsia="Times New Roman" w:hAnsiTheme="majorBidi" w:cstheme="majorBidi"/>
          <w:i/>
          <w:iCs/>
          <w:lang w:eastAsia="en-GB"/>
        </w:rPr>
        <w:t>Frontiers in Bioengineering and Biotechnology</w:t>
      </w:r>
      <w:r w:rsidRPr="00330F71">
        <w:rPr>
          <w:rFonts w:asciiTheme="majorBidi" w:eastAsia="Times New Roman" w:hAnsiTheme="majorBidi" w:cstheme="majorBidi"/>
          <w:lang w:eastAsia="en-GB"/>
        </w:rPr>
        <w:t>, 8. Available at: https://doi.org/10.3389/fbioe.2020.571777.</w:t>
      </w:r>
    </w:p>
    <w:p w14:paraId="73DE7704"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van der Horst, A., Bettendorf, L.J.H. and Rojas-Romagosa, H. (2007) ‘Will Corporate Tax Consolidation Improve Efficiency in the EU?’ Rochester, NY: Social Science Research Network. Available at: https://doi.org/10.2139/ssrn.1016948.</w:t>
      </w:r>
    </w:p>
    <w:p w14:paraId="3888BB68"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Houssen, W., Sara, R. and Jaspars, M. (2020) </w:t>
      </w:r>
      <w:r w:rsidRPr="00330F71">
        <w:rPr>
          <w:rFonts w:asciiTheme="majorBidi" w:eastAsia="Times New Roman" w:hAnsiTheme="majorBidi" w:cstheme="majorBidi"/>
          <w:i/>
          <w:iCs/>
          <w:lang w:eastAsia="en-GB"/>
        </w:rPr>
        <w:t>Digital Sequence Information on Genetic Resources: Concept, Scope and Current Use</w:t>
      </w:r>
      <w:r w:rsidRPr="00330F71">
        <w:rPr>
          <w:rFonts w:asciiTheme="majorBidi" w:eastAsia="Times New Roman" w:hAnsiTheme="majorBidi" w:cstheme="majorBidi"/>
          <w:lang w:eastAsia="en-GB"/>
        </w:rPr>
        <w:t>. Available at: http://www.cbd.int/doc/c/fef9/2f90/70f037ccc5da885dfb293e88/dsi-ahteg-2020-01-03-en.pdf.</w:t>
      </w:r>
    </w:p>
    <w:p w14:paraId="708A4E6F"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Howard, P.H. (2015) ‘Intellectual Property and Consolidation in the Seed Industry’, </w:t>
      </w:r>
      <w:r w:rsidRPr="00330F71">
        <w:rPr>
          <w:rFonts w:asciiTheme="majorBidi" w:eastAsia="Times New Roman" w:hAnsiTheme="majorBidi" w:cstheme="majorBidi"/>
          <w:i/>
          <w:iCs/>
          <w:lang w:eastAsia="en-GB"/>
        </w:rPr>
        <w:t>Crop Science</w:t>
      </w:r>
      <w:r w:rsidRPr="00330F71">
        <w:rPr>
          <w:rFonts w:asciiTheme="majorBidi" w:eastAsia="Times New Roman" w:hAnsiTheme="majorBidi" w:cstheme="majorBidi"/>
          <w:lang w:eastAsia="en-GB"/>
        </w:rPr>
        <w:t>, 55(6), pp. 2489–2495. Available at: https://doi.org/10.2135/cropsci2014.09.0669.</w:t>
      </w:r>
    </w:p>
    <w:p w14:paraId="04EFE75F"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Huang, J. (2019a) ‘Contract Research Organizations Are Seeking Transformation in the Pharmaceutical Value Chain’, </w:t>
      </w:r>
      <w:r w:rsidRPr="00330F71">
        <w:rPr>
          <w:rFonts w:asciiTheme="majorBidi" w:eastAsia="Times New Roman" w:hAnsiTheme="majorBidi" w:cstheme="majorBidi"/>
          <w:i/>
          <w:iCs/>
          <w:lang w:eastAsia="en-GB"/>
        </w:rPr>
        <w:t>ACS Medicinal Chemistry Letters</w:t>
      </w:r>
      <w:r w:rsidRPr="00330F71">
        <w:rPr>
          <w:rFonts w:asciiTheme="majorBidi" w:eastAsia="Times New Roman" w:hAnsiTheme="majorBidi" w:cstheme="majorBidi"/>
          <w:lang w:eastAsia="en-GB"/>
        </w:rPr>
        <w:t>, 10(5), pp. 684–686. Available at: https://doi.org/10.1021/acsmedchemlett.9b00046.</w:t>
      </w:r>
    </w:p>
    <w:p w14:paraId="028BE27C"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Huang, J. (2019b) ‘Contract Research Organizations Are Seeking Transformation in the Pharmaceutical Value Chain’, </w:t>
      </w:r>
      <w:r w:rsidRPr="00330F71">
        <w:rPr>
          <w:rFonts w:asciiTheme="majorBidi" w:eastAsia="Times New Roman" w:hAnsiTheme="majorBidi" w:cstheme="majorBidi"/>
          <w:i/>
          <w:iCs/>
          <w:lang w:eastAsia="en-GB"/>
        </w:rPr>
        <w:t>ACS Medicinal Chemistry Letters</w:t>
      </w:r>
      <w:r w:rsidRPr="00330F71">
        <w:rPr>
          <w:rFonts w:asciiTheme="majorBidi" w:eastAsia="Times New Roman" w:hAnsiTheme="majorBidi" w:cstheme="majorBidi"/>
          <w:lang w:eastAsia="en-GB"/>
        </w:rPr>
        <w:t>, 10(5), pp. 684–686. Available at: https://doi.org/10.1021/acsmedchemlett.9b00046.</w:t>
      </w:r>
    </w:p>
    <w:p w14:paraId="4B7C60A6"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Huston, G.R., Wang, Y. and Wang, T. (2023) ‘How Do Firms Respond to a Non-Income Tax? The Interplay between Non-Income Taxes and Income Tax Avoidance’, </w:t>
      </w:r>
      <w:r w:rsidRPr="00330F71">
        <w:rPr>
          <w:rFonts w:asciiTheme="majorBidi" w:eastAsia="Times New Roman" w:hAnsiTheme="majorBidi" w:cstheme="majorBidi"/>
          <w:i/>
          <w:iCs/>
          <w:lang w:eastAsia="en-GB"/>
        </w:rPr>
        <w:t>Accounting Horizons</w:t>
      </w:r>
      <w:r w:rsidRPr="00330F71">
        <w:rPr>
          <w:rFonts w:asciiTheme="majorBidi" w:eastAsia="Times New Roman" w:hAnsiTheme="majorBidi" w:cstheme="majorBidi"/>
          <w:lang w:eastAsia="en-GB"/>
        </w:rPr>
        <w:t>, 37(4), pp. 97–116. Available at: https://doi.org/10.2308/HORIZONS-2021-069.</w:t>
      </w:r>
    </w:p>
    <w:p w14:paraId="7D94A395"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Huvos, A., Solomon, S.A. and Nannini, C. (2020) ‘The Pandemic Influenza Preparedness Framework as an Access and Benefit Sharing Mechanism’, in R. Katz and S.F. Halabi (eds) </w:t>
      </w:r>
      <w:r w:rsidRPr="00330F71">
        <w:rPr>
          <w:rFonts w:asciiTheme="majorBidi" w:eastAsia="Times New Roman" w:hAnsiTheme="majorBidi" w:cstheme="majorBidi"/>
          <w:i/>
          <w:iCs/>
          <w:lang w:eastAsia="en-GB"/>
        </w:rPr>
        <w:t>Viral Sovereignty and Technology Transfer: The Changing Global System for Sharing Pathogens for Public Health Research</w:t>
      </w:r>
      <w:r w:rsidRPr="00330F71">
        <w:rPr>
          <w:rFonts w:asciiTheme="majorBidi" w:eastAsia="Times New Roman" w:hAnsiTheme="majorBidi" w:cstheme="majorBidi"/>
          <w:lang w:eastAsia="en-GB"/>
        </w:rPr>
        <w:t>. Cambridge: Cambridge University Press, pp. 193–204. Available at: https://doi.org/10.1017/9781108676076.013.</w:t>
      </w:r>
    </w:p>
    <w:p w14:paraId="4A5495D2"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ICF (no date) </w:t>
      </w:r>
      <w:r w:rsidRPr="00330F71">
        <w:rPr>
          <w:rFonts w:asciiTheme="majorBidi" w:eastAsia="Times New Roman" w:hAnsiTheme="majorBidi" w:cstheme="majorBidi"/>
          <w:i/>
          <w:iCs/>
          <w:lang w:eastAsia="en-GB"/>
        </w:rPr>
        <w:t>IFC’s Definitions of Targeted Sectors</w:t>
      </w:r>
      <w:r w:rsidRPr="00330F71">
        <w:rPr>
          <w:rFonts w:asciiTheme="majorBidi" w:eastAsia="Times New Roman" w:hAnsiTheme="majorBidi" w:cstheme="majorBidi"/>
          <w:lang w:eastAsia="en-GB"/>
        </w:rPr>
        <w:t xml:space="preserve">, </w:t>
      </w:r>
      <w:r w:rsidRPr="00330F71">
        <w:rPr>
          <w:rFonts w:asciiTheme="majorBidi" w:eastAsia="Times New Roman" w:hAnsiTheme="majorBidi" w:cstheme="majorBidi"/>
          <w:i/>
          <w:iCs/>
          <w:lang w:eastAsia="en-GB"/>
        </w:rPr>
        <w:t>IFC</w:t>
      </w:r>
      <w:r w:rsidRPr="00330F71">
        <w:rPr>
          <w:rFonts w:asciiTheme="majorBidi" w:eastAsia="Times New Roman" w:hAnsiTheme="majorBidi" w:cstheme="majorBidi"/>
          <w:lang w:eastAsia="en-GB"/>
        </w:rPr>
        <w:t>. Available at: https://www.ifc.org/en/what-we-do/sector-expertise/financial-institutions/definitions-of-targeted-sectors (Accessed: 17 May 2026).</w:t>
      </w:r>
    </w:p>
    <w:p w14:paraId="2A047B86"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IHS Markit Agribusiness Consulting (2019) </w:t>
      </w:r>
      <w:r w:rsidRPr="00330F71">
        <w:rPr>
          <w:rFonts w:asciiTheme="majorBidi" w:eastAsia="Times New Roman" w:hAnsiTheme="majorBidi" w:cstheme="majorBidi"/>
          <w:i/>
          <w:iCs/>
          <w:lang w:eastAsia="en-GB"/>
        </w:rPr>
        <w:t>Analysis of sales and profitability within the seed sector</w:t>
      </w:r>
      <w:r w:rsidRPr="00330F71">
        <w:rPr>
          <w:rFonts w:asciiTheme="majorBidi" w:eastAsia="Times New Roman" w:hAnsiTheme="majorBidi" w:cstheme="majorBidi"/>
          <w:lang w:eastAsia="en-GB"/>
        </w:rPr>
        <w:t>. Available at: https://cdn.ihsmarkit.com/www/pdf/0320/202001-Seedsectorsale-Analysis-LD-Unknown-Version001-pdf.pdf.</w:t>
      </w:r>
    </w:p>
    <w:p w14:paraId="09037C2E"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IISD (2026) </w:t>
      </w:r>
      <w:r w:rsidRPr="00330F71">
        <w:rPr>
          <w:rFonts w:asciiTheme="majorBidi" w:eastAsia="Times New Roman" w:hAnsiTheme="majorBidi" w:cstheme="majorBidi"/>
          <w:i/>
          <w:iCs/>
          <w:lang w:eastAsia="en-GB"/>
        </w:rPr>
        <w:t>Summary report 9-19 March 2026. 1st Part of the 31st Annual Session of the International Seabed Authority (ISA).</w:t>
      </w:r>
      <w:r w:rsidRPr="00330F71">
        <w:rPr>
          <w:rFonts w:asciiTheme="majorBidi" w:eastAsia="Times New Roman" w:hAnsiTheme="majorBidi" w:cstheme="majorBidi"/>
          <w:lang w:eastAsia="en-GB"/>
        </w:rPr>
        <w:t xml:space="preserve">, </w:t>
      </w:r>
      <w:r w:rsidRPr="00330F71">
        <w:rPr>
          <w:rFonts w:asciiTheme="majorBidi" w:eastAsia="Times New Roman" w:hAnsiTheme="majorBidi" w:cstheme="majorBidi"/>
          <w:i/>
          <w:iCs/>
          <w:lang w:eastAsia="en-GB"/>
        </w:rPr>
        <w:t>IISD Earth Negotiations Bulletin</w:t>
      </w:r>
      <w:r w:rsidRPr="00330F71">
        <w:rPr>
          <w:rFonts w:asciiTheme="majorBidi" w:eastAsia="Times New Roman" w:hAnsiTheme="majorBidi" w:cstheme="majorBidi"/>
          <w:lang w:eastAsia="en-GB"/>
        </w:rPr>
        <w:t>. Available at: https://enb.iisd.org/international-seabed-authority-isa-council-31-1-summary (Accessed: 12 May 2026).</w:t>
      </w:r>
    </w:p>
    <w:p w14:paraId="65BFA289"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India, Ministry of MSME (2025) ‘MSME Notification No. SO-1364(E)’, </w:t>
      </w:r>
      <w:r w:rsidRPr="00330F71">
        <w:rPr>
          <w:rFonts w:asciiTheme="majorBidi" w:eastAsia="Times New Roman" w:hAnsiTheme="majorBidi" w:cstheme="majorBidi"/>
          <w:i/>
          <w:iCs/>
          <w:lang w:eastAsia="en-GB"/>
        </w:rPr>
        <w:t>IBC Laws</w:t>
      </w:r>
      <w:r w:rsidRPr="00330F71">
        <w:rPr>
          <w:rFonts w:asciiTheme="majorBidi" w:eastAsia="Times New Roman" w:hAnsiTheme="majorBidi" w:cstheme="majorBidi"/>
          <w:lang w:eastAsia="en-GB"/>
        </w:rPr>
        <w:t>, March. Available at: https://ibclaw.in/msme-notification-no-so-1364e-dated-21-03-2025/ (Accessed: 7 June 2026).</w:t>
      </w:r>
    </w:p>
    <w:p w14:paraId="03CB59F5"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INSDC (no date) ‘International Nucleotide Sequence Database Collaboration’. Available at: https://www.insdc.org/ (Accessed: 2 February 2026).</w:t>
      </w:r>
    </w:p>
    <w:p w14:paraId="2B46CCF8"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lastRenderedPageBreak/>
        <w:t xml:space="preserve">IQVIA (2020) </w:t>
      </w:r>
      <w:r w:rsidRPr="00330F71">
        <w:rPr>
          <w:rFonts w:asciiTheme="majorBidi" w:eastAsia="Times New Roman" w:hAnsiTheme="majorBidi" w:cstheme="majorBidi"/>
          <w:i/>
          <w:iCs/>
          <w:lang w:eastAsia="en-GB"/>
        </w:rPr>
        <w:t>Operating Margin Dynamics for Life Sciences Companies</w:t>
      </w:r>
      <w:r w:rsidRPr="00330F71">
        <w:rPr>
          <w:rFonts w:asciiTheme="majorBidi" w:eastAsia="Times New Roman" w:hAnsiTheme="majorBidi" w:cstheme="majorBidi"/>
          <w:lang w:eastAsia="en-GB"/>
        </w:rPr>
        <w:t>. Available at: https://www.iqvia.com/insights/the-iqvia-institute/reports-and-publications/reports/operating-margin-dynamics-for-life-sciences-companies (Accessed: 2 June 2026).</w:t>
      </w:r>
    </w:p>
    <w:p w14:paraId="56320C13"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IQVIA (2025) ‘Market share of leading 10 national pharmaceutical markets worldwide in 2024 [Graph]. In Statista.’ Available at: https://www.statista.com/statistics/245473/market-share-of-the-leading-10-global-pharmaceutical-markets/.</w:t>
      </w:r>
    </w:p>
    <w:p w14:paraId="590627C4"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ITPGRFA Secretariat (2014) </w:t>
      </w:r>
      <w:r w:rsidRPr="00330F71">
        <w:rPr>
          <w:rFonts w:asciiTheme="majorBidi" w:eastAsia="Times New Roman" w:hAnsiTheme="majorBidi" w:cstheme="majorBidi"/>
          <w:i/>
          <w:iCs/>
          <w:lang w:eastAsia="en-GB"/>
        </w:rPr>
        <w:t>First Meeting of the Ad Hoc Open-Ended Working Group to Enhance the Functioning of the Multilateral System. Report</w:t>
      </w:r>
      <w:r w:rsidRPr="00330F71">
        <w:rPr>
          <w:rFonts w:asciiTheme="majorBidi" w:eastAsia="Times New Roman" w:hAnsiTheme="majorBidi" w:cstheme="majorBidi"/>
          <w:lang w:eastAsia="en-GB"/>
        </w:rPr>
        <w:t>. IT/OWG-EFMLS-1/14/Report. Geneva. Available at: https://openknowledge.fao.org/server/api/core/bitstreams/024dbc29-609a-4b71-81cb-da812e34f021/content.</w:t>
      </w:r>
    </w:p>
    <w:p w14:paraId="5C307580"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ITPGRFA Secretariat (2022) </w:t>
      </w:r>
      <w:r w:rsidRPr="00330F71">
        <w:rPr>
          <w:rFonts w:asciiTheme="majorBidi" w:eastAsia="Times New Roman" w:hAnsiTheme="majorBidi" w:cstheme="majorBidi"/>
          <w:i/>
          <w:iCs/>
          <w:lang w:eastAsia="en-GB"/>
        </w:rPr>
        <w:t>The Benefit-sharing Fund: 2020–2021 report</w:t>
      </w:r>
      <w:r w:rsidRPr="00330F71">
        <w:rPr>
          <w:rFonts w:asciiTheme="majorBidi" w:eastAsia="Times New Roman" w:hAnsiTheme="majorBidi" w:cstheme="majorBidi"/>
          <w:lang w:eastAsia="en-GB"/>
        </w:rPr>
        <w:t>. FAO. Available at: https://doi.org/10.4060/cc2245en.</w:t>
      </w:r>
    </w:p>
    <w:p w14:paraId="4A188D89"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Jefferson, D.J. and Robinson, D.F. (2025) ‘Biopiracy and beauty brands? patent trends of cosmetics and skin care companies’, </w:t>
      </w:r>
      <w:r w:rsidRPr="00330F71">
        <w:rPr>
          <w:rFonts w:asciiTheme="majorBidi" w:eastAsia="Times New Roman" w:hAnsiTheme="majorBidi" w:cstheme="majorBidi"/>
          <w:i/>
          <w:iCs/>
          <w:lang w:eastAsia="en-GB"/>
        </w:rPr>
        <w:t>The Journal of World Intellectual Property</w:t>
      </w:r>
      <w:r w:rsidRPr="00330F71">
        <w:rPr>
          <w:rFonts w:asciiTheme="majorBidi" w:eastAsia="Times New Roman" w:hAnsiTheme="majorBidi" w:cstheme="majorBidi"/>
          <w:lang w:eastAsia="en-GB"/>
        </w:rPr>
        <w:t>, 28(2), pp. 640–664. Available at: https://doi.org/10.1111/jwip.12348.</w:t>
      </w:r>
    </w:p>
    <w:p w14:paraId="2AFA9909"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Jefferson, O.A. </w:t>
      </w:r>
      <w:r w:rsidRPr="00330F71">
        <w:rPr>
          <w:rFonts w:asciiTheme="majorBidi" w:eastAsia="Times New Roman" w:hAnsiTheme="majorBidi" w:cstheme="majorBidi"/>
          <w:i/>
          <w:iCs/>
          <w:lang w:eastAsia="en-GB"/>
        </w:rPr>
        <w:t>et al.</w:t>
      </w:r>
      <w:r w:rsidRPr="00330F71">
        <w:rPr>
          <w:rFonts w:asciiTheme="majorBidi" w:eastAsia="Times New Roman" w:hAnsiTheme="majorBidi" w:cstheme="majorBidi"/>
          <w:lang w:eastAsia="en-GB"/>
        </w:rPr>
        <w:t xml:space="preserve"> (2015) ‘Public disclosure of biological sequences in global patent practice’, </w:t>
      </w:r>
      <w:r w:rsidRPr="00330F71">
        <w:rPr>
          <w:rFonts w:asciiTheme="majorBidi" w:eastAsia="Times New Roman" w:hAnsiTheme="majorBidi" w:cstheme="majorBidi"/>
          <w:i/>
          <w:iCs/>
          <w:lang w:eastAsia="en-GB"/>
        </w:rPr>
        <w:t>World Patent Information</w:t>
      </w:r>
      <w:r w:rsidRPr="00330F71">
        <w:rPr>
          <w:rFonts w:asciiTheme="majorBidi" w:eastAsia="Times New Roman" w:hAnsiTheme="majorBidi" w:cstheme="majorBidi"/>
          <w:lang w:eastAsia="en-GB"/>
        </w:rPr>
        <w:t>, 43, pp. 12–24. Available at: https://doi.org/10.1016/j.wpi.2015.08.005.</w:t>
      </w:r>
    </w:p>
    <w:p w14:paraId="6ACDC70F"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Joltreau, E. and Sommerfeld, K. (2019) ‘Why does emissions trading under the EU Emissions Trading System (ETS) not affect firms’ competitiveness? Empirical findings from the literature’, </w:t>
      </w:r>
      <w:r w:rsidRPr="00330F71">
        <w:rPr>
          <w:rFonts w:asciiTheme="majorBidi" w:eastAsia="Times New Roman" w:hAnsiTheme="majorBidi" w:cstheme="majorBidi"/>
          <w:i/>
          <w:iCs/>
          <w:lang w:eastAsia="en-GB"/>
        </w:rPr>
        <w:t>Climate Policy</w:t>
      </w:r>
      <w:r w:rsidRPr="00330F71">
        <w:rPr>
          <w:rFonts w:asciiTheme="majorBidi" w:eastAsia="Times New Roman" w:hAnsiTheme="majorBidi" w:cstheme="majorBidi"/>
          <w:lang w:eastAsia="en-GB"/>
        </w:rPr>
        <w:t>, 19(4), pp. 453–471. Available at: https://doi.org/10.1080/14693062.2018.1502145.</w:t>
      </w:r>
    </w:p>
    <w:p w14:paraId="735A6DA7" w14:textId="77777777" w:rsidR="00330F71" w:rsidRPr="006D18BD"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val="fr-FR" w:eastAsia="en-GB"/>
        </w:rPr>
      </w:pPr>
      <w:r w:rsidRPr="00330F71">
        <w:rPr>
          <w:rFonts w:asciiTheme="majorBidi" w:eastAsia="Times New Roman" w:hAnsiTheme="majorBidi" w:cstheme="majorBidi"/>
          <w:lang w:eastAsia="en-GB"/>
        </w:rPr>
        <w:t xml:space="preserve">Jon, W. (2025) ‘Pathogen sharing in the digital age: The unfinished agenda of the WHO pandemic agreement’, </w:t>
      </w:r>
      <w:r w:rsidRPr="00330F71">
        <w:rPr>
          <w:rFonts w:asciiTheme="majorBidi" w:eastAsia="Times New Roman" w:hAnsiTheme="majorBidi" w:cstheme="majorBidi"/>
          <w:i/>
          <w:iCs/>
          <w:lang w:eastAsia="en-GB"/>
        </w:rPr>
        <w:t>Clinical and Translational Medicine</w:t>
      </w:r>
      <w:r w:rsidRPr="00330F71">
        <w:rPr>
          <w:rFonts w:asciiTheme="majorBidi" w:eastAsia="Times New Roman" w:hAnsiTheme="majorBidi" w:cstheme="majorBidi"/>
          <w:lang w:eastAsia="en-GB"/>
        </w:rPr>
        <w:t xml:space="preserve">, 15(9), p. e70473. </w:t>
      </w:r>
      <w:r w:rsidRPr="006D18BD">
        <w:rPr>
          <w:rFonts w:asciiTheme="majorBidi" w:eastAsia="Times New Roman" w:hAnsiTheme="majorBidi" w:cstheme="majorBidi"/>
          <w:lang w:val="fr-FR" w:eastAsia="en-GB"/>
        </w:rPr>
        <w:t>Available at: https://doi.org/10.1002/ctm2.70473.</w:t>
      </w:r>
    </w:p>
    <w:p w14:paraId="6F2D8C63"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6D18BD">
        <w:rPr>
          <w:rFonts w:asciiTheme="majorBidi" w:eastAsia="Times New Roman" w:hAnsiTheme="majorBidi" w:cstheme="majorBidi"/>
          <w:lang w:val="fr-FR" w:eastAsia="en-GB"/>
        </w:rPr>
        <w:t xml:space="preserve">Jumper, J. </w:t>
      </w:r>
      <w:r w:rsidRPr="006D18BD">
        <w:rPr>
          <w:rFonts w:asciiTheme="majorBidi" w:eastAsia="Times New Roman" w:hAnsiTheme="majorBidi" w:cstheme="majorBidi"/>
          <w:i/>
          <w:iCs/>
          <w:lang w:val="fr-FR" w:eastAsia="en-GB"/>
        </w:rPr>
        <w:t>et al.</w:t>
      </w:r>
      <w:r w:rsidRPr="006D18BD">
        <w:rPr>
          <w:rFonts w:asciiTheme="majorBidi" w:eastAsia="Times New Roman" w:hAnsiTheme="majorBidi" w:cstheme="majorBidi"/>
          <w:lang w:val="fr-FR" w:eastAsia="en-GB"/>
        </w:rPr>
        <w:t xml:space="preserve"> </w:t>
      </w:r>
      <w:r w:rsidRPr="00330F71">
        <w:rPr>
          <w:rFonts w:asciiTheme="majorBidi" w:eastAsia="Times New Roman" w:hAnsiTheme="majorBidi" w:cstheme="majorBidi"/>
          <w:lang w:eastAsia="en-GB"/>
        </w:rPr>
        <w:t xml:space="preserve">(2021) ‘Highly accurate protein structure prediction with AlphaFold’, </w:t>
      </w:r>
      <w:r w:rsidRPr="00330F71">
        <w:rPr>
          <w:rFonts w:asciiTheme="majorBidi" w:eastAsia="Times New Roman" w:hAnsiTheme="majorBidi" w:cstheme="majorBidi"/>
          <w:i/>
          <w:iCs/>
          <w:lang w:eastAsia="en-GB"/>
        </w:rPr>
        <w:t>Nature</w:t>
      </w:r>
      <w:r w:rsidRPr="00330F71">
        <w:rPr>
          <w:rFonts w:asciiTheme="majorBidi" w:eastAsia="Times New Roman" w:hAnsiTheme="majorBidi" w:cstheme="majorBidi"/>
          <w:lang w:eastAsia="en-GB"/>
        </w:rPr>
        <w:t>, 596(7873), pp. 583–589. Available at: https://doi.org/10.1038/s41586-021-03819-2.</w:t>
      </w:r>
    </w:p>
    <w:p w14:paraId="416FA162"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Kalemli- Özcan, Ş. </w:t>
      </w:r>
      <w:r w:rsidRPr="00330F71">
        <w:rPr>
          <w:rFonts w:asciiTheme="majorBidi" w:eastAsia="Times New Roman" w:hAnsiTheme="majorBidi" w:cstheme="majorBidi"/>
          <w:i/>
          <w:iCs/>
          <w:lang w:eastAsia="en-GB"/>
        </w:rPr>
        <w:t>et al.</w:t>
      </w:r>
      <w:r w:rsidRPr="00330F71">
        <w:rPr>
          <w:rFonts w:asciiTheme="majorBidi" w:eastAsia="Times New Roman" w:hAnsiTheme="majorBidi" w:cstheme="majorBidi"/>
          <w:lang w:eastAsia="en-GB"/>
        </w:rPr>
        <w:t xml:space="preserve"> (2024) ‘How to construct nationally representative firm-level data from the orbis global database: New facts on smes and aggregate implications for industry concentration’, </w:t>
      </w:r>
      <w:r w:rsidRPr="00330F71">
        <w:rPr>
          <w:rFonts w:asciiTheme="majorBidi" w:eastAsia="Times New Roman" w:hAnsiTheme="majorBidi" w:cstheme="majorBidi"/>
          <w:i/>
          <w:iCs/>
          <w:lang w:eastAsia="en-GB"/>
        </w:rPr>
        <w:t>American Economic Journal: Macroeconomics</w:t>
      </w:r>
      <w:r w:rsidRPr="00330F71">
        <w:rPr>
          <w:rFonts w:asciiTheme="majorBidi" w:eastAsia="Times New Roman" w:hAnsiTheme="majorBidi" w:cstheme="majorBidi"/>
          <w:lang w:eastAsia="en-GB"/>
        </w:rPr>
        <w:t>, 16(2), pp. 353–374. Available at: https://doi.org/10.1257/mac.20220036.</w:t>
      </w:r>
    </w:p>
    <w:p w14:paraId="728F0A56"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Kang, K.-N., Jung, C.-S. and Ryu, T.-K. (2015) ‘The Nagoya Protocol and the Biotechnology Industry’, </w:t>
      </w:r>
      <w:r w:rsidRPr="00330F71">
        <w:rPr>
          <w:rFonts w:asciiTheme="majorBidi" w:eastAsia="Times New Roman" w:hAnsiTheme="majorBidi" w:cstheme="majorBidi"/>
          <w:i/>
          <w:iCs/>
          <w:lang w:eastAsia="en-GB"/>
        </w:rPr>
        <w:t>International Journal of Pharma Medicine and Biological Sciences</w:t>
      </w:r>
      <w:r w:rsidRPr="00330F71">
        <w:rPr>
          <w:rFonts w:asciiTheme="majorBidi" w:eastAsia="Times New Roman" w:hAnsiTheme="majorBidi" w:cstheme="majorBidi"/>
          <w:lang w:eastAsia="en-GB"/>
        </w:rPr>
        <w:t xml:space="preserve"> [Preprint]. Available at: https://doi.org/10.18178/ijpmbs.4.3.209-212.</w:t>
      </w:r>
    </w:p>
    <w:p w14:paraId="748C67FF"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Karabin, J., Mansfield, I. and Frow, E.K. (2021) ‘Exploring presentations of sustainability by US synthetic biology companies’, </w:t>
      </w:r>
      <w:r w:rsidRPr="00330F71">
        <w:rPr>
          <w:rFonts w:asciiTheme="majorBidi" w:eastAsia="Times New Roman" w:hAnsiTheme="majorBidi" w:cstheme="majorBidi"/>
          <w:i/>
          <w:iCs/>
          <w:lang w:eastAsia="en-GB"/>
        </w:rPr>
        <w:t>PLOS ONE</w:t>
      </w:r>
      <w:r w:rsidRPr="00330F71">
        <w:rPr>
          <w:rFonts w:asciiTheme="majorBidi" w:eastAsia="Times New Roman" w:hAnsiTheme="majorBidi" w:cstheme="majorBidi"/>
          <w:lang w:eastAsia="en-GB"/>
        </w:rPr>
        <w:t>, 16(9), p. e0257327. Available at: https://doi.org/10.1371/journal.pone.0257327.</w:t>
      </w:r>
    </w:p>
    <w:p w14:paraId="497E8B10"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Kasahara, H., Shimotsu, K. and Suzuki, M. (2014) ‘Does an R&amp;D tax credit affect R&amp;D expenditure? The Japanese R&amp;D tax credit reform in 2003’, </w:t>
      </w:r>
      <w:r w:rsidRPr="00330F71">
        <w:rPr>
          <w:rFonts w:asciiTheme="majorBidi" w:eastAsia="Times New Roman" w:hAnsiTheme="majorBidi" w:cstheme="majorBidi"/>
          <w:i/>
          <w:iCs/>
          <w:lang w:eastAsia="en-GB"/>
        </w:rPr>
        <w:t>Journal of the Japanese and International Economies</w:t>
      </w:r>
      <w:r w:rsidRPr="00330F71">
        <w:rPr>
          <w:rFonts w:asciiTheme="majorBidi" w:eastAsia="Times New Roman" w:hAnsiTheme="majorBidi" w:cstheme="majorBidi"/>
          <w:lang w:eastAsia="en-GB"/>
        </w:rPr>
        <w:t>, 31, pp. 72–97. Available at: https://doi.org/10.1016/j.jjie.2013.10.005.</w:t>
      </w:r>
    </w:p>
    <w:p w14:paraId="16A9AE2C"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lastRenderedPageBreak/>
        <w:t xml:space="preserve">Kathpalia H </w:t>
      </w:r>
      <w:r w:rsidRPr="00330F71">
        <w:rPr>
          <w:rFonts w:asciiTheme="majorBidi" w:eastAsia="Times New Roman" w:hAnsiTheme="majorBidi" w:cstheme="majorBidi"/>
          <w:i/>
          <w:iCs/>
          <w:lang w:eastAsia="en-GB"/>
        </w:rPr>
        <w:t>et al.</w:t>
      </w:r>
      <w:r w:rsidRPr="00330F71">
        <w:rPr>
          <w:rFonts w:asciiTheme="majorBidi" w:eastAsia="Times New Roman" w:hAnsiTheme="majorBidi" w:cstheme="majorBidi"/>
          <w:lang w:eastAsia="en-GB"/>
        </w:rPr>
        <w:t xml:space="preserve"> (2025) ‘Generic Product Development and Reverse Engineering of Reference Listed Drug Product’, </w:t>
      </w:r>
      <w:r w:rsidRPr="00330F71">
        <w:rPr>
          <w:rFonts w:asciiTheme="majorBidi" w:eastAsia="Times New Roman" w:hAnsiTheme="majorBidi" w:cstheme="majorBidi"/>
          <w:i/>
          <w:iCs/>
          <w:lang w:eastAsia="en-GB"/>
        </w:rPr>
        <w:t>International Journal of Drug Delivery Technology</w:t>
      </w:r>
      <w:r w:rsidRPr="00330F71">
        <w:rPr>
          <w:rFonts w:asciiTheme="majorBidi" w:eastAsia="Times New Roman" w:hAnsiTheme="majorBidi" w:cstheme="majorBidi"/>
          <w:lang w:eastAsia="en-GB"/>
        </w:rPr>
        <w:t>, 15(01). Available at: https://doi.org/10.25258/ijddt.15.1.48.</w:t>
      </w:r>
    </w:p>
    <w:p w14:paraId="068B7ACC"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Kenton, W. (2025) </w:t>
      </w:r>
      <w:r w:rsidRPr="00330F71">
        <w:rPr>
          <w:rFonts w:asciiTheme="majorBidi" w:eastAsia="Times New Roman" w:hAnsiTheme="majorBidi" w:cstheme="majorBidi"/>
          <w:i/>
          <w:iCs/>
          <w:lang w:eastAsia="en-GB"/>
        </w:rPr>
        <w:t>Understanding Hurdle Rates: Essential Insights for Investors and Businesses</w:t>
      </w:r>
      <w:r w:rsidRPr="00330F71">
        <w:rPr>
          <w:rFonts w:asciiTheme="majorBidi" w:eastAsia="Times New Roman" w:hAnsiTheme="majorBidi" w:cstheme="majorBidi"/>
          <w:lang w:eastAsia="en-GB"/>
        </w:rPr>
        <w:t xml:space="preserve">, </w:t>
      </w:r>
      <w:r w:rsidRPr="00330F71">
        <w:rPr>
          <w:rFonts w:asciiTheme="majorBidi" w:eastAsia="Times New Roman" w:hAnsiTheme="majorBidi" w:cstheme="majorBidi"/>
          <w:i/>
          <w:iCs/>
          <w:lang w:eastAsia="en-GB"/>
        </w:rPr>
        <w:t>Investopedia</w:t>
      </w:r>
      <w:r w:rsidRPr="00330F71">
        <w:rPr>
          <w:rFonts w:asciiTheme="majorBidi" w:eastAsia="Times New Roman" w:hAnsiTheme="majorBidi" w:cstheme="majorBidi"/>
          <w:lang w:eastAsia="en-GB"/>
        </w:rPr>
        <w:t>. Available at: https://www.investopedia.com/terms/h/hurdlerate.asp (Accessed: 23 May 2026).</w:t>
      </w:r>
    </w:p>
    <w:p w14:paraId="2FF2890D"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Khanna, M. (2001) ‘Non-Mandatory Approaches to Environmental Protection’, </w:t>
      </w:r>
      <w:r w:rsidRPr="00330F71">
        <w:rPr>
          <w:rFonts w:asciiTheme="majorBidi" w:eastAsia="Times New Roman" w:hAnsiTheme="majorBidi" w:cstheme="majorBidi"/>
          <w:i/>
          <w:iCs/>
          <w:lang w:eastAsia="en-GB"/>
        </w:rPr>
        <w:t>Journal of Economic Surveys</w:t>
      </w:r>
      <w:r w:rsidRPr="00330F71">
        <w:rPr>
          <w:rFonts w:asciiTheme="majorBidi" w:eastAsia="Times New Roman" w:hAnsiTheme="majorBidi" w:cstheme="majorBidi"/>
          <w:lang w:eastAsia="en-GB"/>
        </w:rPr>
        <w:t>, 15(3), pp. 291–324. Available at: https://doi.org/10.1111/1467-6419.00141.</w:t>
      </w:r>
    </w:p>
    <w:p w14:paraId="06808042"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Khanna, M. and Damon, L.A. (1999) ‘EPA’s Voluntary 33/50 Program: Impact on Toxic Releases and Economic Performance of Firms’, </w:t>
      </w:r>
      <w:r w:rsidRPr="00330F71">
        <w:rPr>
          <w:rFonts w:asciiTheme="majorBidi" w:eastAsia="Times New Roman" w:hAnsiTheme="majorBidi" w:cstheme="majorBidi"/>
          <w:i/>
          <w:iCs/>
          <w:lang w:eastAsia="en-GB"/>
        </w:rPr>
        <w:t>Journal of Environmental Economics and Management</w:t>
      </w:r>
      <w:r w:rsidRPr="00330F71">
        <w:rPr>
          <w:rFonts w:asciiTheme="majorBidi" w:eastAsia="Times New Roman" w:hAnsiTheme="majorBidi" w:cstheme="majorBidi"/>
          <w:lang w:eastAsia="en-GB"/>
        </w:rPr>
        <w:t>, 37(1), pp. 1–25. Available at: https://doi.org/10.1006/jeem.1998.1057.</w:t>
      </w:r>
    </w:p>
    <w:p w14:paraId="0AC510DD"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Khemani, R.S., OECD, and Centre for Co-operation with European Economies in Transition (eds) (1993) </w:t>
      </w:r>
      <w:r w:rsidRPr="00330F71">
        <w:rPr>
          <w:rFonts w:asciiTheme="majorBidi" w:eastAsia="Times New Roman" w:hAnsiTheme="majorBidi" w:cstheme="majorBidi"/>
          <w:i/>
          <w:iCs/>
          <w:lang w:eastAsia="en-GB"/>
        </w:rPr>
        <w:t>Glossary of industrial organisation economics and competition law</w:t>
      </w:r>
      <w:r w:rsidRPr="00330F71">
        <w:rPr>
          <w:rFonts w:asciiTheme="majorBidi" w:eastAsia="Times New Roman" w:hAnsiTheme="majorBidi" w:cstheme="majorBidi"/>
          <w:lang w:eastAsia="en-GB"/>
        </w:rPr>
        <w:t>. Paris: Centre for Co-operation with the Europ. Economies in Transition.</w:t>
      </w:r>
    </w:p>
    <w:p w14:paraId="45249A31" w14:textId="77777777" w:rsidR="00330F71" w:rsidRPr="006D18BD"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val="fr-FR" w:eastAsia="en-GB"/>
        </w:rPr>
      </w:pPr>
      <w:r w:rsidRPr="00330F71">
        <w:rPr>
          <w:rFonts w:asciiTheme="majorBidi" w:eastAsia="Times New Roman" w:hAnsiTheme="majorBidi" w:cstheme="majorBidi"/>
          <w:lang w:eastAsia="en-GB"/>
        </w:rPr>
        <w:t xml:space="preserve">Kim, J.Y. </w:t>
      </w:r>
      <w:r w:rsidRPr="00330F71">
        <w:rPr>
          <w:rFonts w:asciiTheme="majorBidi" w:eastAsia="Times New Roman" w:hAnsiTheme="majorBidi" w:cstheme="majorBidi"/>
          <w:i/>
          <w:iCs/>
          <w:lang w:eastAsia="en-GB"/>
        </w:rPr>
        <w:t>et al.</w:t>
      </w:r>
      <w:r w:rsidRPr="00330F71">
        <w:rPr>
          <w:rFonts w:asciiTheme="majorBidi" w:eastAsia="Times New Roman" w:hAnsiTheme="majorBidi" w:cstheme="majorBidi"/>
          <w:lang w:eastAsia="en-GB"/>
        </w:rPr>
        <w:t xml:space="preserve"> (2026) ‘Beyond petrochemicals: challenges and opportunities in industrial-scale biomanufacturing’, </w:t>
      </w:r>
      <w:r w:rsidRPr="00330F71">
        <w:rPr>
          <w:rFonts w:asciiTheme="majorBidi" w:eastAsia="Times New Roman" w:hAnsiTheme="majorBidi" w:cstheme="majorBidi"/>
          <w:i/>
          <w:iCs/>
          <w:lang w:eastAsia="en-GB"/>
        </w:rPr>
        <w:t>Nature Communications</w:t>
      </w:r>
      <w:r w:rsidRPr="00330F71">
        <w:rPr>
          <w:rFonts w:asciiTheme="majorBidi" w:eastAsia="Times New Roman" w:hAnsiTheme="majorBidi" w:cstheme="majorBidi"/>
          <w:lang w:eastAsia="en-GB"/>
        </w:rPr>
        <w:t xml:space="preserve">, 17(1), p. 4819. </w:t>
      </w:r>
      <w:r w:rsidRPr="006D18BD">
        <w:rPr>
          <w:rFonts w:asciiTheme="majorBidi" w:eastAsia="Times New Roman" w:hAnsiTheme="majorBidi" w:cstheme="majorBidi"/>
          <w:lang w:val="fr-FR" w:eastAsia="en-GB"/>
        </w:rPr>
        <w:t>Available at: https://doi.org/10.1038/s41467-026-73835-1.</w:t>
      </w:r>
    </w:p>
    <w:p w14:paraId="283C3493"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6D18BD">
        <w:rPr>
          <w:rFonts w:asciiTheme="majorBidi" w:eastAsia="Times New Roman" w:hAnsiTheme="majorBidi" w:cstheme="majorBidi"/>
          <w:lang w:val="fr-FR" w:eastAsia="en-GB"/>
        </w:rPr>
        <w:t xml:space="preserve">Kirchain, R. </w:t>
      </w:r>
      <w:r w:rsidRPr="006D18BD">
        <w:rPr>
          <w:rFonts w:asciiTheme="majorBidi" w:eastAsia="Times New Roman" w:hAnsiTheme="majorBidi" w:cstheme="majorBidi"/>
          <w:i/>
          <w:iCs/>
          <w:lang w:val="fr-FR" w:eastAsia="en-GB"/>
        </w:rPr>
        <w:t>et al.</w:t>
      </w:r>
      <w:r w:rsidRPr="006D18BD">
        <w:rPr>
          <w:rFonts w:asciiTheme="majorBidi" w:eastAsia="Times New Roman" w:hAnsiTheme="majorBidi" w:cstheme="majorBidi"/>
          <w:lang w:val="fr-FR" w:eastAsia="en-GB"/>
        </w:rPr>
        <w:t xml:space="preserve"> </w:t>
      </w:r>
      <w:r w:rsidRPr="00330F71">
        <w:rPr>
          <w:rFonts w:asciiTheme="majorBidi" w:eastAsia="Times New Roman" w:hAnsiTheme="majorBidi" w:cstheme="majorBidi"/>
          <w:lang w:eastAsia="en-GB"/>
        </w:rPr>
        <w:t xml:space="preserve">(2019) </w:t>
      </w:r>
      <w:r w:rsidRPr="00330F71">
        <w:rPr>
          <w:rFonts w:asciiTheme="majorBidi" w:eastAsia="Times New Roman" w:hAnsiTheme="majorBidi" w:cstheme="majorBidi"/>
          <w:i/>
          <w:iCs/>
          <w:lang w:eastAsia="en-GB"/>
        </w:rPr>
        <w:t>Report to the International Seabed Authority on the Development of an Economic Model and System of Payments for the Exploitation of Polymetallic Nodules in the Area</w:t>
      </w:r>
      <w:r w:rsidRPr="00330F71">
        <w:rPr>
          <w:rFonts w:asciiTheme="majorBidi" w:eastAsia="Times New Roman" w:hAnsiTheme="majorBidi" w:cstheme="majorBidi"/>
          <w:lang w:eastAsia="en-GB"/>
        </w:rPr>
        <w:t>. Cambridge, MA USA: MIT Materials Systems Laboratory. Available at: https://isa.org.jm/wp-content/uploads/2022/12/paysysmodel-3jun.pdf.</w:t>
      </w:r>
    </w:p>
    <w:p w14:paraId="28B9BF06"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Klein, R.D. (2020) ‘Current Policy Challenges in Genomic Medicine’, </w:t>
      </w:r>
      <w:r w:rsidRPr="00330F71">
        <w:rPr>
          <w:rFonts w:asciiTheme="majorBidi" w:eastAsia="Times New Roman" w:hAnsiTheme="majorBidi" w:cstheme="majorBidi"/>
          <w:i/>
          <w:iCs/>
          <w:lang w:eastAsia="en-GB"/>
        </w:rPr>
        <w:t>Clinical Chemistry</w:t>
      </w:r>
      <w:r w:rsidRPr="00330F71">
        <w:rPr>
          <w:rFonts w:asciiTheme="majorBidi" w:eastAsia="Times New Roman" w:hAnsiTheme="majorBidi" w:cstheme="majorBidi"/>
          <w:lang w:eastAsia="en-GB"/>
        </w:rPr>
        <w:t>, 66(1), pp. 61–67. Available at: https://doi.org/10.1373/clinchem.2019.308775.</w:t>
      </w:r>
    </w:p>
    <w:p w14:paraId="78E217ED"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Klünker, I. and Richter, H. (2022) ‘Digital Sequence Information between Benefit-Sharing and Open Data’, </w:t>
      </w:r>
      <w:r w:rsidRPr="00330F71">
        <w:rPr>
          <w:rFonts w:asciiTheme="majorBidi" w:eastAsia="Times New Roman" w:hAnsiTheme="majorBidi" w:cstheme="majorBidi"/>
          <w:i/>
          <w:iCs/>
          <w:lang w:eastAsia="en-GB"/>
        </w:rPr>
        <w:t>Journal of Law and the Biosciences</w:t>
      </w:r>
      <w:r w:rsidRPr="00330F71">
        <w:rPr>
          <w:rFonts w:asciiTheme="majorBidi" w:eastAsia="Times New Roman" w:hAnsiTheme="majorBidi" w:cstheme="majorBidi"/>
          <w:lang w:eastAsia="en-GB"/>
        </w:rPr>
        <w:t>, 9(2), p. lsac035. Available at: https://doi.org/10.1093/jlb/lsac035.</w:t>
      </w:r>
    </w:p>
    <w:p w14:paraId="14BCDBA2"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KPMG (2020) </w:t>
      </w:r>
      <w:r w:rsidRPr="00330F71">
        <w:rPr>
          <w:rFonts w:asciiTheme="majorBidi" w:eastAsia="Times New Roman" w:hAnsiTheme="majorBidi" w:cstheme="majorBidi"/>
          <w:i/>
          <w:iCs/>
          <w:lang w:eastAsia="en-GB"/>
        </w:rPr>
        <w:t>Generics 2030. Three strategies to curb the downward spiral.</w:t>
      </w:r>
      <w:r w:rsidRPr="00330F71">
        <w:rPr>
          <w:rFonts w:asciiTheme="majorBidi" w:eastAsia="Times New Roman" w:hAnsiTheme="majorBidi" w:cstheme="majorBidi"/>
          <w:lang w:eastAsia="en-GB"/>
        </w:rPr>
        <w:t xml:space="preserve"> Available at: https://kpmg.com/kpmg-us/content/dam/kpmg/pdf/2023/generics-2030.pdf.</w:t>
      </w:r>
    </w:p>
    <w:p w14:paraId="2C428522"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Krabbe, N. (2025) ‘Sharing Benefits of Genetic Resources Under the BBNJ Agreement – Resolving the North–South Divide by Legal Creativity’, </w:t>
      </w:r>
      <w:r w:rsidRPr="00330F71">
        <w:rPr>
          <w:rFonts w:asciiTheme="majorBidi" w:eastAsia="Times New Roman" w:hAnsiTheme="majorBidi" w:cstheme="majorBidi"/>
          <w:i/>
          <w:iCs/>
          <w:lang w:eastAsia="en-GB"/>
        </w:rPr>
        <w:t>Max Planck Yearbook of United Nations Law Online</w:t>
      </w:r>
      <w:r w:rsidRPr="00330F71">
        <w:rPr>
          <w:rFonts w:asciiTheme="majorBidi" w:eastAsia="Times New Roman" w:hAnsiTheme="majorBidi" w:cstheme="majorBidi"/>
          <w:lang w:eastAsia="en-GB"/>
        </w:rPr>
        <w:t>, 28(1), pp. 286–304. Available at: https://doi.org/10.1163/18757413-bja10026.</w:t>
      </w:r>
    </w:p>
    <w:p w14:paraId="0EFA346F"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Krabbe, N. and Wagenaar, T. (2026) ‘Ocean justice? Marine genetic resources and monetary benefit-sharing under the BBNJ Agreement’, </w:t>
      </w:r>
      <w:r w:rsidRPr="00330F71">
        <w:rPr>
          <w:rFonts w:asciiTheme="majorBidi" w:eastAsia="Times New Roman" w:hAnsiTheme="majorBidi" w:cstheme="majorBidi"/>
          <w:i/>
          <w:iCs/>
          <w:lang w:eastAsia="en-GB"/>
        </w:rPr>
        <w:t>Marine Policy</w:t>
      </w:r>
      <w:r w:rsidRPr="00330F71">
        <w:rPr>
          <w:rFonts w:asciiTheme="majorBidi" w:eastAsia="Times New Roman" w:hAnsiTheme="majorBidi" w:cstheme="majorBidi"/>
          <w:lang w:eastAsia="en-GB"/>
        </w:rPr>
        <w:t>, 191, p. 107150. Available at: https://doi.org/10.1016/j.marpol.2026.107150.</w:t>
      </w:r>
    </w:p>
    <w:p w14:paraId="2FBA39F3"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Kreiken, B. and Asveld, L. (2025) ‘The promise of access and benefit-sharing is met through holistic policy reform: Insights from Colombia’s genetic diversity and innovation landscape during COP16’, </w:t>
      </w:r>
      <w:r w:rsidRPr="00330F71">
        <w:rPr>
          <w:rFonts w:asciiTheme="majorBidi" w:eastAsia="Times New Roman" w:hAnsiTheme="majorBidi" w:cstheme="majorBidi"/>
          <w:i/>
          <w:iCs/>
          <w:lang w:eastAsia="en-GB"/>
        </w:rPr>
        <w:t>Genetic Resources</w:t>
      </w:r>
      <w:r w:rsidRPr="00330F71">
        <w:rPr>
          <w:rFonts w:asciiTheme="majorBidi" w:eastAsia="Times New Roman" w:hAnsiTheme="majorBidi" w:cstheme="majorBidi"/>
          <w:lang w:eastAsia="en-GB"/>
        </w:rPr>
        <w:t>, 6(12), pp. 39–56. Available at: https://doi.org/10.46265/genresj.APNR6909.</w:t>
      </w:r>
    </w:p>
    <w:p w14:paraId="164DFEE4"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lastRenderedPageBreak/>
        <w:t xml:space="preserve">Kuhlmann, K.A. </w:t>
      </w:r>
      <w:r w:rsidRPr="00330F71">
        <w:rPr>
          <w:rFonts w:asciiTheme="majorBidi" w:eastAsia="Times New Roman" w:hAnsiTheme="majorBidi" w:cstheme="majorBidi"/>
          <w:i/>
          <w:iCs/>
          <w:lang w:eastAsia="en-GB"/>
        </w:rPr>
        <w:t>et al.</w:t>
      </w:r>
      <w:r w:rsidRPr="00330F71">
        <w:rPr>
          <w:rFonts w:asciiTheme="majorBidi" w:eastAsia="Times New Roman" w:hAnsiTheme="majorBidi" w:cstheme="majorBidi"/>
          <w:lang w:eastAsia="en-GB"/>
        </w:rPr>
        <w:t xml:space="preserve"> (2023) ‘Laws and regulations enabling and restricting Africa’s vegetable seed sector’, </w:t>
      </w:r>
      <w:r w:rsidRPr="00330F71">
        <w:rPr>
          <w:rFonts w:asciiTheme="majorBidi" w:eastAsia="Times New Roman" w:hAnsiTheme="majorBidi" w:cstheme="majorBidi"/>
          <w:i/>
          <w:iCs/>
          <w:lang w:eastAsia="en-GB"/>
        </w:rPr>
        <w:t>International Journal of Agricultural Sustainability</w:t>
      </w:r>
      <w:r w:rsidRPr="00330F71">
        <w:rPr>
          <w:rFonts w:asciiTheme="majorBidi" w:eastAsia="Times New Roman" w:hAnsiTheme="majorBidi" w:cstheme="majorBidi"/>
          <w:lang w:eastAsia="en-GB"/>
        </w:rPr>
        <w:t>, 21(1), p. 2210005. Available at: https://doi.org/10.1080/14735903.2023.2210005.</w:t>
      </w:r>
    </w:p>
    <w:p w14:paraId="49381B9D"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val="nb-NO" w:eastAsia="en-GB"/>
        </w:rPr>
      </w:pPr>
      <w:r w:rsidRPr="00330F71">
        <w:rPr>
          <w:rFonts w:asciiTheme="majorBidi" w:eastAsia="Times New Roman" w:hAnsiTheme="majorBidi" w:cstheme="majorBidi"/>
          <w:lang w:eastAsia="en-GB"/>
        </w:rPr>
        <w:t xml:space="preserve">Langmead, B. and Nellore, A. (2018) ‘Cloud computing as a platform for genomic data analysis and collaboration’, </w:t>
      </w:r>
      <w:r w:rsidRPr="00330F71">
        <w:rPr>
          <w:rFonts w:asciiTheme="majorBidi" w:eastAsia="Times New Roman" w:hAnsiTheme="majorBidi" w:cstheme="majorBidi"/>
          <w:i/>
          <w:iCs/>
          <w:lang w:eastAsia="en-GB"/>
        </w:rPr>
        <w:t xml:space="preserve">Nature reviews. </w:t>
      </w:r>
      <w:r w:rsidRPr="00330F71">
        <w:rPr>
          <w:rFonts w:asciiTheme="majorBidi" w:eastAsia="Times New Roman" w:hAnsiTheme="majorBidi" w:cstheme="majorBidi"/>
          <w:i/>
          <w:iCs/>
          <w:lang w:val="nb-NO" w:eastAsia="en-GB"/>
        </w:rPr>
        <w:t>Genetics</w:t>
      </w:r>
      <w:r w:rsidRPr="00330F71">
        <w:rPr>
          <w:rFonts w:asciiTheme="majorBidi" w:eastAsia="Times New Roman" w:hAnsiTheme="majorBidi" w:cstheme="majorBidi"/>
          <w:lang w:val="nb-NO" w:eastAsia="en-GB"/>
        </w:rPr>
        <w:t>, 19(4), pp. 208–219. Available at: https://doi.org/10.1038/nrg.2017.113.</w:t>
      </w:r>
    </w:p>
    <w:p w14:paraId="08882503"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val="nb-NO" w:eastAsia="en-GB"/>
        </w:rPr>
        <w:t xml:space="preserve">Lassmann, A. </w:t>
      </w:r>
      <w:r w:rsidRPr="00330F71">
        <w:rPr>
          <w:rFonts w:asciiTheme="majorBidi" w:eastAsia="Times New Roman" w:hAnsiTheme="majorBidi" w:cstheme="majorBidi"/>
          <w:i/>
          <w:iCs/>
          <w:lang w:val="nb-NO" w:eastAsia="en-GB"/>
        </w:rPr>
        <w:t>et al.</w:t>
      </w:r>
      <w:r w:rsidRPr="00330F71">
        <w:rPr>
          <w:rFonts w:asciiTheme="majorBidi" w:eastAsia="Times New Roman" w:hAnsiTheme="majorBidi" w:cstheme="majorBidi"/>
          <w:lang w:val="nb-NO" w:eastAsia="en-GB"/>
        </w:rPr>
        <w:t xml:space="preserve"> </w:t>
      </w:r>
      <w:r w:rsidRPr="00330F71">
        <w:rPr>
          <w:rFonts w:asciiTheme="majorBidi" w:eastAsia="Times New Roman" w:hAnsiTheme="majorBidi" w:cstheme="majorBidi"/>
          <w:lang w:eastAsia="en-GB"/>
        </w:rPr>
        <w:t>(2020) ‘Global Spillovers of Taxation in the Online Advertising Market. Theory and Evidence from Facebook’. Rochester, NY: Social Science Research Network. Available at: https://doi.org/10.2139/ssrn.3552389.</w:t>
      </w:r>
    </w:p>
    <w:p w14:paraId="6A00A8CC"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Lau, J.W. </w:t>
      </w:r>
      <w:r w:rsidRPr="00330F71">
        <w:rPr>
          <w:rFonts w:asciiTheme="majorBidi" w:eastAsia="Times New Roman" w:hAnsiTheme="majorBidi" w:cstheme="majorBidi"/>
          <w:i/>
          <w:iCs/>
          <w:lang w:eastAsia="en-GB"/>
        </w:rPr>
        <w:t>et al.</w:t>
      </w:r>
      <w:r w:rsidRPr="00330F71">
        <w:rPr>
          <w:rFonts w:asciiTheme="majorBidi" w:eastAsia="Times New Roman" w:hAnsiTheme="majorBidi" w:cstheme="majorBidi"/>
          <w:lang w:eastAsia="en-GB"/>
        </w:rPr>
        <w:t xml:space="preserve"> (2017) ‘The Cancer Genomics Cloud: Collaborative, Reproducible, and Democratized—A New Paradigm in Large-Scale Computational Research’, </w:t>
      </w:r>
      <w:r w:rsidRPr="00330F71">
        <w:rPr>
          <w:rFonts w:asciiTheme="majorBidi" w:eastAsia="Times New Roman" w:hAnsiTheme="majorBidi" w:cstheme="majorBidi"/>
          <w:i/>
          <w:iCs/>
          <w:lang w:eastAsia="en-GB"/>
        </w:rPr>
        <w:t>Cancer Research</w:t>
      </w:r>
      <w:r w:rsidRPr="00330F71">
        <w:rPr>
          <w:rFonts w:asciiTheme="majorBidi" w:eastAsia="Times New Roman" w:hAnsiTheme="majorBidi" w:cstheme="majorBidi"/>
          <w:lang w:eastAsia="en-GB"/>
        </w:rPr>
        <w:t>, 77(21), pp. e3–e6. Available at: https://doi.org/10.1158/0008-5472.CAN-17-0387.</w:t>
      </w:r>
    </w:p>
    <w:p w14:paraId="3658899B"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Lawson, C., Englezos, E. and Rourke, M. (2025) ‘Access and benefit sharing biological materials for machines: Artificial intelligence, machine learning and deep learning’, </w:t>
      </w:r>
      <w:r w:rsidRPr="00330F71">
        <w:rPr>
          <w:rFonts w:asciiTheme="majorBidi" w:eastAsia="Times New Roman" w:hAnsiTheme="majorBidi" w:cstheme="majorBidi"/>
          <w:i/>
          <w:iCs/>
          <w:lang w:eastAsia="en-GB"/>
        </w:rPr>
        <w:t>PLANTS, PEOPLE, PLANET</w:t>
      </w:r>
      <w:r w:rsidRPr="00330F71">
        <w:rPr>
          <w:rFonts w:asciiTheme="majorBidi" w:eastAsia="Times New Roman" w:hAnsiTheme="majorBidi" w:cstheme="majorBidi"/>
          <w:lang w:eastAsia="en-GB"/>
        </w:rPr>
        <w:t>, 7(5), pp. 1485–1497. Available at: https://doi.org/10.1002/ppp3.70007.</w:t>
      </w:r>
    </w:p>
    <w:p w14:paraId="7DA3BD92"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Leber, M.B. (2018) ‘Optimizing use and addressing challenges to uptake of biosimilars’, </w:t>
      </w:r>
      <w:r w:rsidRPr="00330F71">
        <w:rPr>
          <w:rFonts w:asciiTheme="majorBidi" w:eastAsia="Times New Roman" w:hAnsiTheme="majorBidi" w:cstheme="majorBidi"/>
          <w:i/>
          <w:iCs/>
          <w:lang w:eastAsia="en-GB"/>
        </w:rPr>
        <w:t>The American Journal of Managed Care</w:t>
      </w:r>
      <w:r w:rsidRPr="00330F71">
        <w:rPr>
          <w:rFonts w:asciiTheme="majorBidi" w:eastAsia="Times New Roman" w:hAnsiTheme="majorBidi" w:cstheme="majorBidi"/>
          <w:lang w:eastAsia="en-GB"/>
        </w:rPr>
        <w:t>, 24(21 Suppl), pp. S457–S461.</w:t>
      </w:r>
    </w:p>
    <w:p w14:paraId="0DAC8812"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Lee, D. (2018) ‘Impact of the excise tax on firm R&amp;D and performance in the medical device industry: Evidence from the Affordable Care Act’, </w:t>
      </w:r>
      <w:r w:rsidRPr="00330F71">
        <w:rPr>
          <w:rFonts w:asciiTheme="majorBidi" w:eastAsia="Times New Roman" w:hAnsiTheme="majorBidi" w:cstheme="majorBidi"/>
          <w:i/>
          <w:iCs/>
          <w:lang w:eastAsia="en-GB"/>
        </w:rPr>
        <w:t>Research Policy</w:t>
      </w:r>
      <w:r w:rsidRPr="00330F71">
        <w:rPr>
          <w:rFonts w:asciiTheme="majorBidi" w:eastAsia="Times New Roman" w:hAnsiTheme="majorBidi" w:cstheme="majorBidi"/>
          <w:lang w:eastAsia="en-GB"/>
        </w:rPr>
        <w:t>, 47(5), pp. 854–871. Available at: https://doi.org/10.1016/j.respol.2018.02.010.</w:t>
      </w:r>
    </w:p>
    <w:p w14:paraId="2EECE219" w14:textId="77777777" w:rsidR="00330F71" w:rsidRPr="006D18BD"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val="fr-FR" w:eastAsia="en-GB"/>
        </w:rPr>
      </w:pPr>
      <w:r w:rsidRPr="00330F71">
        <w:rPr>
          <w:rFonts w:asciiTheme="majorBidi" w:eastAsia="Times New Roman" w:hAnsiTheme="majorBidi" w:cstheme="majorBidi"/>
          <w:lang w:eastAsia="en-GB"/>
        </w:rPr>
        <w:t xml:space="preserve">Lee, M.-D.P. (2009) ‘Does Ownership Form Matter for Corporate Social Responsibility? A Longitudinal Comparison of Environmental Performance between Public, Private, and Joint-venture Firms’, </w:t>
      </w:r>
      <w:r w:rsidRPr="00330F71">
        <w:rPr>
          <w:rFonts w:asciiTheme="majorBidi" w:eastAsia="Times New Roman" w:hAnsiTheme="majorBidi" w:cstheme="majorBidi"/>
          <w:i/>
          <w:iCs/>
          <w:lang w:eastAsia="en-GB"/>
        </w:rPr>
        <w:t>Business and Society Review</w:t>
      </w:r>
      <w:r w:rsidRPr="00330F71">
        <w:rPr>
          <w:rFonts w:asciiTheme="majorBidi" w:eastAsia="Times New Roman" w:hAnsiTheme="majorBidi" w:cstheme="majorBidi"/>
          <w:lang w:eastAsia="en-GB"/>
        </w:rPr>
        <w:t xml:space="preserve">, 114(4), pp. 435–456. </w:t>
      </w:r>
      <w:r w:rsidRPr="006D18BD">
        <w:rPr>
          <w:rFonts w:asciiTheme="majorBidi" w:eastAsia="Times New Roman" w:hAnsiTheme="majorBidi" w:cstheme="majorBidi"/>
          <w:lang w:val="fr-FR" w:eastAsia="en-GB"/>
        </w:rPr>
        <w:t>Available at: https://doi.org/10.1111/j.1467-8594.2009.00349.x.</w:t>
      </w:r>
    </w:p>
    <w:p w14:paraId="50AA9E77" w14:textId="77777777" w:rsidR="00330F71" w:rsidRPr="006D18BD"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val="fr-FR" w:eastAsia="en-GB"/>
        </w:rPr>
      </w:pPr>
      <w:r w:rsidRPr="006D18BD">
        <w:rPr>
          <w:rFonts w:asciiTheme="majorBidi" w:eastAsia="Times New Roman" w:hAnsiTheme="majorBidi" w:cstheme="majorBidi"/>
          <w:lang w:val="fr-FR" w:eastAsia="en-GB"/>
        </w:rPr>
        <w:t xml:space="preserve">Li, Y. </w:t>
      </w:r>
      <w:r w:rsidRPr="006D18BD">
        <w:rPr>
          <w:rFonts w:asciiTheme="majorBidi" w:eastAsia="Times New Roman" w:hAnsiTheme="majorBidi" w:cstheme="majorBidi"/>
          <w:i/>
          <w:iCs/>
          <w:lang w:val="fr-FR" w:eastAsia="en-GB"/>
        </w:rPr>
        <w:t>et al.</w:t>
      </w:r>
      <w:r w:rsidRPr="006D18BD">
        <w:rPr>
          <w:rFonts w:asciiTheme="majorBidi" w:eastAsia="Times New Roman" w:hAnsiTheme="majorBidi" w:cstheme="majorBidi"/>
          <w:lang w:val="fr-FR" w:eastAsia="en-GB"/>
        </w:rPr>
        <w:t xml:space="preserve"> </w:t>
      </w:r>
      <w:r w:rsidRPr="00330F71">
        <w:rPr>
          <w:rFonts w:asciiTheme="majorBidi" w:eastAsia="Times New Roman" w:hAnsiTheme="majorBidi" w:cstheme="majorBidi"/>
          <w:lang w:eastAsia="en-GB"/>
        </w:rPr>
        <w:t xml:space="preserve">(2021) ‘Analysis of the Effect of Payment Mechanism on Exploitation of Polymetallic Nodules in the Area’, </w:t>
      </w:r>
      <w:r w:rsidRPr="00330F71">
        <w:rPr>
          <w:rFonts w:asciiTheme="majorBidi" w:eastAsia="Times New Roman" w:hAnsiTheme="majorBidi" w:cstheme="majorBidi"/>
          <w:i/>
          <w:iCs/>
          <w:lang w:eastAsia="en-GB"/>
        </w:rPr>
        <w:t>Minerals</w:t>
      </w:r>
      <w:r w:rsidRPr="00330F71">
        <w:rPr>
          <w:rFonts w:asciiTheme="majorBidi" w:eastAsia="Times New Roman" w:hAnsiTheme="majorBidi" w:cstheme="majorBidi"/>
          <w:lang w:eastAsia="en-GB"/>
        </w:rPr>
        <w:t xml:space="preserve">, 11(2), p. 221. </w:t>
      </w:r>
      <w:r w:rsidRPr="006D18BD">
        <w:rPr>
          <w:rFonts w:asciiTheme="majorBidi" w:eastAsia="Times New Roman" w:hAnsiTheme="majorBidi" w:cstheme="majorBidi"/>
          <w:lang w:val="fr-FR" w:eastAsia="en-GB"/>
        </w:rPr>
        <w:t>Available at: https://doi.org/10.3390/min11020221.</w:t>
      </w:r>
    </w:p>
    <w:p w14:paraId="3C8E1CB6"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6D18BD">
        <w:rPr>
          <w:rFonts w:asciiTheme="majorBidi" w:eastAsia="Times New Roman" w:hAnsiTheme="majorBidi" w:cstheme="majorBidi"/>
          <w:lang w:val="fr-FR" w:eastAsia="en-GB"/>
        </w:rPr>
        <w:t xml:space="preserve">Lichter, A. </w:t>
      </w:r>
      <w:r w:rsidRPr="006D18BD">
        <w:rPr>
          <w:rFonts w:asciiTheme="majorBidi" w:eastAsia="Times New Roman" w:hAnsiTheme="majorBidi" w:cstheme="majorBidi"/>
          <w:i/>
          <w:iCs/>
          <w:lang w:val="fr-FR" w:eastAsia="en-GB"/>
        </w:rPr>
        <w:t>et al.</w:t>
      </w:r>
      <w:r w:rsidRPr="006D18BD">
        <w:rPr>
          <w:rFonts w:asciiTheme="majorBidi" w:eastAsia="Times New Roman" w:hAnsiTheme="majorBidi" w:cstheme="majorBidi"/>
          <w:lang w:val="fr-FR" w:eastAsia="en-GB"/>
        </w:rPr>
        <w:t xml:space="preserve"> </w:t>
      </w:r>
      <w:r w:rsidRPr="00330F71">
        <w:rPr>
          <w:rFonts w:asciiTheme="majorBidi" w:eastAsia="Times New Roman" w:hAnsiTheme="majorBidi" w:cstheme="majorBidi"/>
          <w:lang w:eastAsia="en-GB"/>
        </w:rPr>
        <w:t xml:space="preserve">(2025) ‘Profit Taxation, R&amp;amp;D Spending, and Innovation’, </w:t>
      </w:r>
      <w:r w:rsidRPr="00330F71">
        <w:rPr>
          <w:rFonts w:asciiTheme="majorBidi" w:eastAsia="Times New Roman" w:hAnsiTheme="majorBidi" w:cstheme="majorBidi"/>
          <w:i/>
          <w:iCs/>
          <w:lang w:eastAsia="en-GB"/>
        </w:rPr>
        <w:t>American Economic Journal: Economic Policy</w:t>
      </w:r>
      <w:r w:rsidRPr="00330F71">
        <w:rPr>
          <w:rFonts w:asciiTheme="majorBidi" w:eastAsia="Times New Roman" w:hAnsiTheme="majorBidi" w:cstheme="majorBidi"/>
          <w:lang w:eastAsia="en-GB"/>
        </w:rPr>
        <w:t>, 17(1), pp. 432–463. Available at: https://doi.org/10.1257/pol.20220580.</w:t>
      </w:r>
    </w:p>
    <w:p w14:paraId="32F05805"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Ljungqvist, G.V. </w:t>
      </w:r>
      <w:r w:rsidRPr="00330F71">
        <w:rPr>
          <w:rFonts w:asciiTheme="majorBidi" w:eastAsia="Times New Roman" w:hAnsiTheme="majorBidi" w:cstheme="majorBidi"/>
          <w:i/>
          <w:iCs/>
          <w:lang w:eastAsia="en-GB"/>
        </w:rPr>
        <w:t>et al.</w:t>
      </w:r>
      <w:r w:rsidRPr="00330F71">
        <w:rPr>
          <w:rFonts w:asciiTheme="majorBidi" w:eastAsia="Times New Roman" w:hAnsiTheme="majorBidi" w:cstheme="majorBidi"/>
          <w:lang w:eastAsia="en-GB"/>
        </w:rPr>
        <w:t xml:space="preserve"> (2025) ‘Global patterns in access and benefit-sharing: a comprehensive review of national policies’, </w:t>
      </w:r>
      <w:r w:rsidRPr="00330F71">
        <w:rPr>
          <w:rFonts w:asciiTheme="majorBidi" w:eastAsia="Times New Roman" w:hAnsiTheme="majorBidi" w:cstheme="majorBidi"/>
          <w:i/>
          <w:iCs/>
          <w:lang w:eastAsia="en-GB"/>
        </w:rPr>
        <w:t>BMJ Public Health</w:t>
      </w:r>
      <w:r w:rsidRPr="00330F71">
        <w:rPr>
          <w:rFonts w:asciiTheme="majorBidi" w:eastAsia="Times New Roman" w:hAnsiTheme="majorBidi" w:cstheme="majorBidi"/>
          <w:lang w:eastAsia="en-GB"/>
        </w:rPr>
        <w:t>, 3(1). Available at: https://doi.org/10.1136/bmjph-2024-001800.</w:t>
      </w:r>
    </w:p>
    <w:p w14:paraId="496D92DB"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L’Oréal (2026) </w:t>
      </w:r>
      <w:r w:rsidRPr="00330F71">
        <w:rPr>
          <w:rFonts w:asciiTheme="majorBidi" w:eastAsia="Times New Roman" w:hAnsiTheme="majorBidi" w:cstheme="majorBidi"/>
          <w:i/>
          <w:iCs/>
          <w:lang w:eastAsia="en-GB"/>
        </w:rPr>
        <w:t>Breakdown of the cosmetic market worldwide by geographic zone 2025. Published in Statista.</w:t>
      </w:r>
      <w:r w:rsidRPr="00330F71">
        <w:rPr>
          <w:rFonts w:asciiTheme="majorBidi" w:eastAsia="Times New Roman" w:hAnsiTheme="majorBidi" w:cstheme="majorBidi"/>
          <w:lang w:eastAsia="en-GB"/>
        </w:rPr>
        <w:t xml:space="preserve">, </w:t>
      </w:r>
      <w:r w:rsidRPr="00330F71">
        <w:rPr>
          <w:rFonts w:asciiTheme="majorBidi" w:eastAsia="Times New Roman" w:hAnsiTheme="majorBidi" w:cstheme="majorBidi"/>
          <w:i/>
          <w:iCs/>
          <w:lang w:eastAsia="en-GB"/>
        </w:rPr>
        <w:t>Statista</w:t>
      </w:r>
      <w:r w:rsidRPr="00330F71">
        <w:rPr>
          <w:rFonts w:asciiTheme="majorBidi" w:eastAsia="Times New Roman" w:hAnsiTheme="majorBidi" w:cstheme="majorBidi"/>
          <w:lang w:eastAsia="en-GB"/>
        </w:rPr>
        <w:t>. L’Oréal - Universal Registration Document 2025, page 23. Available at: https://www.statista.com/statistics/243959/breakdown-of-the-cosmetic-market-worldwide-by-geographic-zone/ (Accessed: 3 June 2026).</w:t>
      </w:r>
    </w:p>
    <w:p w14:paraId="0BA7A9A3"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Luo, L., Lan, Y.-C. and Tang, Q. (2012) ‘Corporate Incentives to Disclose Carbon Information: Evidence from the CDP Global 500 Report’, </w:t>
      </w:r>
      <w:r w:rsidRPr="00330F71">
        <w:rPr>
          <w:rFonts w:asciiTheme="majorBidi" w:eastAsia="Times New Roman" w:hAnsiTheme="majorBidi" w:cstheme="majorBidi"/>
          <w:i/>
          <w:iCs/>
          <w:lang w:eastAsia="en-GB"/>
        </w:rPr>
        <w:t>Journal of International Financial Management &amp; Accounting</w:t>
      </w:r>
      <w:r w:rsidRPr="00330F71">
        <w:rPr>
          <w:rFonts w:asciiTheme="majorBidi" w:eastAsia="Times New Roman" w:hAnsiTheme="majorBidi" w:cstheme="majorBidi"/>
          <w:lang w:eastAsia="en-GB"/>
        </w:rPr>
        <w:t>, 23(2), pp. 93–120. Available at: https://doi.org/10.1111/j.1467-646X.2012.01055.x.</w:t>
      </w:r>
    </w:p>
    <w:p w14:paraId="3A239008"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lastRenderedPageBreak/>
        <w:t xml:space="preserve">Lyman, G.H. </w:t>
      </w:r>
      <w:r w:rsidRPr="00330F71">
        <w:rPr>
          <w:rFonts w:asciiTheme="majorBidi" w:eastAsia="Times New Roman" w:hAnsiTheme="majorBidi" w:cstheme="majorBidi"/>
          <w:i/>
          <w:iCs/>
          <w:lang w:eastAsia="en-GB"/>
        </w:rPr>
        <w:t>et al.</w:t>
      </w:r>
      <w:r w:rsidRPr="00330F71">
        <w:rPr>
          <w:rFonts w:asciiTheme="majorBidi" w:eastAsia="Times New Roman" w:hAnsiTheme="majorBidi" w:cstheme="majorBidi"/>
          <w:lang w:eastAsia="en-GB"/>
        </w:rPr>
        <w:t xml:space="preserve"> (2018) ‘Rationale, Opportunities, and Reality of Biosimilar Medications’, </w:t>
      </w:r>
      <w:r w:rsidRPr="00330F71">
        <w:rPr>
          <w:rFonts w:asciiTheme="majorBidi" w:eastAsia="Times New Roman" w:hAnsiTheme="majorBidi" w:cstheme="majorBidi"/>
          <w:i/>
          <w:iCs/>
          <w:lang w:eastAsia="en-GB"/>
        </w:rPr>
        <w:t>New England Journal of Medicine</w:t>
      </w:r>
      <w:r w:rsidRPr="00330F71">
        <w:rPr>
          <w:rFonts w:asciiTheme="majorBidi" w:eastAsia="Times New Roman" w:hAnsiTheme="majorBidi" w:cstheme="majorBidi"/>
          <w:lang w:eastAsia="en-GB"/>
        </w:rPr>
        <w:t>, 378(21), pp. 2036–2044. Available at: https://doi.org/10.1056/NEJMhle1800125.</w:t>
      </w:r>
    </w:p>
    <w:p w14:paraId="01595721"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Magazzini, L., Pammolli, F. and Riccaboni, M. (2004) ‘Dynamic competition in pharmaceuticals. Patent expiry, generic penetration, and industry structure’, </w:t>
      </w:r>
      <w:r w:rsidRPr="00330F71">
        <w:rPr>
          <w:rFonts w:asciiTheme="majorBidi" w:eastAsia="Times New Roman" w:hAnsiTheme="majorBidi" w:cstheme="majorBidi"/>
          <w:i/>
          <w:iCs/>
          <w:lang w:eastAsia="en-GB"/>
        </w:rPr>
        <w:t>The European journal of health economics: HEPAC: health economics in prevention and care</w:t>
      </w:r>
      <w:r w:rsidRPr="00330F71">
        <w:rPr>
          <w:rFonts w:asciiTheme="majorBidi" w:eastAsia="Times New Roman" w:hAnsiTheme="majorBidi" w:cstheme="majorBidi"/>
          <w:lang w:eastAsia="en-GB"/>
        </w:rPr>
        <w:t>, 5(2), pp. 175–182. Available at: https://doi.org/10.1007/s10198-003-0218-x.</w:t>
      </w:r>
    </w:p>
    <w:p w14:paraId="5B7046C2"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Maia, B.G. and Bourgeois-Gironde, S. (2025) ‘Analysis of the Working Group’s Recommendations and COP-16 Decision 16/2 on Digital Sequence Information’, </w:t>
      </w:r>
      <w:r w:rsidRPr="00330F71">
        <w:rPr>
          <w:rFonts w:asciiTheme="majorBidi" w:eastAsia="Times New Roman" w:hAnsiTheme="majorBidi" w:cstheme="majorBidi"/>
          <w:i/>
          <w:iCs/>
          <w:lang w:eastAsia="en-GB"/>
        </w:rPr>
        <w:t>Global Policy</w:t>
      </w:r>
      <w:r w:rsidRPr="00330F71">
        <w:rPr>
          <w:rFonts w:asciiTheme="majorBidi" w:eastAsia="Times New Roman" w:hAnsiTheme="majorBidi" w:cstheme="majorBidi"/>
          <w:lang w:eastAsia="en-GB"/>
        </w:rPr>
        <w:t>, 16(4), pp. 751–761. Available at: https://doi.org/10.1111/1758-5899.70013.</w:t>
      </w:r>
    </w:p>
    <w:p w14:paraId="7D575C09"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Makowska-Curran, A. (2026) ‘From global biodiversity commitments to local action: revenue potential and allocation dynamics of the Cali Fund’, </w:t>
      </w:r>
      <w:r w:rsidRPr="00330F71">
        <w:rPr>
          <w:rFonts w:asciiTheme="majorBidi" w:eastAsia="Times New Roman" w:hAnsiTheme="majorBidi" w:cstheme="majorBidi"/>
          <w:i/>
          <w:iCs/>
          <w:lang w:eastAsia="en-GB"/>
        </w:rPr>
        <w:t>Grantham Research Institute on climate change and the environment</w:t>
      </w:r>
      <w:r w:rsidRPr="00330F71">
        <w:rPr>
          <w:rFonts w:asciiTheme="majorBidi" w:eastAsia="Times New Roman" w:hAnsiTheme="majorBidi" w:cstheme="majorBidi"/>
          <w:lang w:eastAsia="en-GB"/>
        </w:rPr>
        <w:t xml:space="preserve"> [Preprint]. Available at: https://www.lse.ac.uk/granthaminstitute/publication/from-global-biodiversity-commitments-to-local-action-revenue-potential-and-allocation-dynamics-of-the-cali-fund/ (Accessed: 3 June 2026).</w:t>
      </w:r>
    </w:p>
    <w:p w14:paraId="1B72CF97"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Martyniuk, E. and Haska, A. (2021) ‘Implementation of the Nagoya Protocol in Livestock Sector: What Have We Learnt So Far?’, </w:t>
      </w:r>
      <w:r w:rsidRPr="00330F71">
        <w:rPr>
          <w:rFonts w:asciiTheme="majorBidi" w:eastAsia="Times New Roman" w:hAnsiTheme="majorBidi" w:cstheme="majorBidi"/>
          <w:i/>
          <w:iCs/>
          <w:lang w:eastAsia="en-GB"/>
        </w:rPr>
        <w:t>Animals</w:t>
      </w:r>
      <w:r w:rsidRPr="00330F71">
        <w:rPr>
          <w:rFonts w:asciiTheme="majorBidi" w:eastAsia="Times New Roman" w:hAnsiTheme="majorBidi" w:cstheme="majorBidi"/>
          <w:lang w:eastAsia="en-GB"/>
        </w:rPr>
        <w:t>, 11(8), p. 2354. Available at: https://doi.org/10.3390/ani11082354.</w:t>
      </w:r>
    </w:p>
    <w:p w14:paraId="1E929352"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Maxwell, J.W., Lyon, T.P. and Hackett, S.C. (2000) ‘Self‐Regulation and Social Welfare: The Political Economy of Corporate Environmentalism*’, </w:t>
      </w:r>
      <w:r w:rsidRPr="00330F71">
        <w:rPr>
          <w:rFonts w:asciiTheme="majorBidi" w:eastAsia="Times New Roman" w:hAnsiTheme="majorBidi" w:cstheme="majorBidi"/>
          <w:i/>
          <w:iCs/>
          <w:lang w:eastAsia="en-GB"/>
        </w:rPr>
        <w:t>The Journal of Law and Economics</w:t>
      </w:r>
      <w:r w:rsidRPr="00330F71">
        <w:rPr>
          <w:rFonts w:asciiTheme="majorBidi" w:eastAsia="Times New Roman" w:hAnsiTheme="majorBidi" w:cstheme="majorBidi"/>
          <w:lang w:eastAsia="en-GB"/>
        </w:rPr>
        <w:t>, 43(2), pp. 583–618. Available at: https://doi.org/10.1086/467466.</w:t>
      </w:r>
    </w:p>
    <w:p w14:paraId="782A84DB"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McCamish, M., Yoon, W. and McKay, J. (2016) ‘Biosimilars: biologics that meet patients’ needs and healthcare economics’, </w:t>
      </w:r>
      <w:r w:rsidRPr="00330F71">
        <w:rPr>
          <w:rFonts w:asciiTheme="majorBidi" w:eastAsia="Times New Roman" w:hAnsiTheme="majorBidi" w:cstheme="majorBidi"/>
          <w:i/>
          <w:iCs/>
          <w:lang w:eastAsia="en-GB"/>
        </w:rPr>
        <w:t>The American Journal of Managed Care</w:t>
      </w:r>
      <w:r w:rsidRPr="00330F71">
        <w:rPr>
          <w:rFonts w:asciiTheme="majorBidi" w:eastAsia="Times New Roman" w:hAnsiTheme="majorBidi" w:cstheme="majorBidi"/>
          <w:lang w:eastAsia="en-GB"/>
        </w:rPr>
        <w:t>, 22(13 Suppl), pp. S439–S442.</w:t>
      </w:r>
    </w:p>
    <w:p w14:paraId="1237BE1F"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McCormick, D. and Schmitz, H. (2001) </w:t>
      </w:r>
      <w:r w:rsidRPr="00330F71">
        <w:rPr>
          <w:rFonts w:asciiTheme="majorBidi" w:eastAsia="Times New Roman" w:hAnsiTheme="majorBidi" w:cstheme="majorBidi"/>
          <w:i/>
          <w:iCs/>
          <w:lang w:eastAsia="en-GB"/>
        </w:rPr>
        <w:t>Manual for Value Chain Research on Homeworkers in the Garment Industry</w:t>
      </w:r>
      <w:r w:rsidRPr="00330F71">
        <w:rPr>
          <w:rFonts w:asciiTheme="majorBidi" w:eastAsia="Times New Roman" w:hAnsiTheme="majorBidi" w:cstheme="majorBidi"/>
          <w:lang w:eastAsia="en-GB"/>
        </w:rPr>
        <w:t>. The Institute of Development Studies and Partner Organisations. Available at: https://opendocs.ids.ac.uk/articles/online_resource/Manual_for_Value_Chain_Research_on_Homeworkers_in_the_Garment_Industry/26433013/2 (Accessed: 14 May 2026).</w:t>
      </w:r>
    </w:p>
    <w:p w14:paraId="7F8568C6"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McGeeney, J.D., Rathnavel, S. and Sertkaya, A. (2025) ‘RESULTS’, </w:t>
      </w:r>
      <w:r w:rsidRPr="00330F71">
        <w:rPr>
          <w:rFonts w:asciiTheme="majorBidi" w:eastAsia="Times New Roman" w:hAnsiTheme="majorBidi" w:cstheme="majorBidi"/>
          <w:i/>
          <w:iCs/>
          <w:lang w:eastAsia="en-GB"/>
        </w:rPr>
        <w:t>Profit Margins of Pharmaceutical Supply Chain Entities on Provider-Administered Drugs in Outpatient and Physician Settings [Internet]</w:t>
      </w:r>
      <w:r w:rsidRPr="00330F71">
        <w:rPr>
          <w:rFonts w:asciiTheme="majorBidi" w:eastAsia="Times New Roman" w:hAnsiTheme="majorBidi" w:cstheme="majorBidi"/>
          <w:lang w:eastAsia="en-GB"/>
        </w:rPr>
        <w:t>. Office of the Assistant Secretary for Planning and Evaluation (ASPE). Available at: https://www.ncbi.nlm.nih.gov/books/NBK611872/ (Accessed: 1 June 2026).</w:t>
      </w:r>
    </w:p>
    <w:p w14:paraId="3C117901"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McKinsey (2023) </w:t>
      </w:r>
      <w:r w:rsidRPr="00330F71">
        <w:rPr>
          <w:rFonts w:asciiTheme="majorBidi" w:eastAsia="Times New Roman" w:hAnsiTheme="majorBidi" w:cstheme="majorBidi"/>
          <w:i/>
          <w:iCs/>
          <w:lang w:eastAsia="en-GB"/>
        </w:rPr>
        <w:t>The beauty market in 2023: New industry trends</w:t>
      </w:r>
      <w:r w:rsidRPr="00330F71">
        <w:rPr>
          <w:rFonts w:asciiTheme="majorBidi" w:eastAsia="Times New Roman" w:hAnsiTheme="majorBidi" w:cstheme="majorBidi"/>
          <w:lang w:eastAsia="en-GB"/>
        </w:rPr>
        <w:t>. Available at: https://www.mckinsey.com/industries/retail/our-insights/the-beauty-market-in-2023-a-special-state-of-fashion-report (Accessed: 3 June 2026).</w:t>
      </w:r>
    </w:p>
    <w:p w14:paraId="055BE59F"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Meder, D. </w:t>
      </w:r>
      <w:r w:rsidRPr="00330F71">
        <w:rPr>
          <w:rFonts w:asciiTheme="majorBidi" w:eastAsia="Times New Roman" w:hAnsiTheme="majorBidi" w:cstheme="majorBidi"/>
          <w:i/>
          <w:iCs/>
          <w:lang w:eastAsia="en-GB"/>
        </w:rPr>
        <w:t>et al.</w:t>
      </w:r>
      <w:r w:rsidRPr="00330F71">
        <w:rPr>
          <w:rFonts w:asciiTheme="majorBidi" w:eastAsia="Times New Roman" w:hAnsiTheme="majorBidi" w:cstheme="majorBidi"/>
          <w:lang w:eastAsia="en-GB"/>
        </w:rPr>
        <w:t xml:space="preserve"> (2016) ‘Institutional core facilities: prerequisite for breakthroughs in the life sciences’, </w:t>
      </w:r>
      <w:r w:rsidRPr="00330F71">
        <w:rPr>
          <w:rFonts w:asciiTheme="majorBidi" w:eastAsia="Times New Roman" w:hAnsiTheme="majorBidi" w:cstheme="majorBidi"/>
          <w:i/>
          <w:iCs/>
          <w:lang w:eastAsia="en-GB"/>
        </w:rPr>
        <w:t>The EMBO Reports</w:t>
      </w:r>
      <w:r w:rsidRPr="00330F71">
        <w:rPr>
          <w:rFonts w:asciiTheme="majorBidi" w:eastAsia="Times New Roman" w:hAnsiTheme="majorBidi" w:cstheme="majorBidi"/>
          <w:lang w:eastAsia="en-GB"/>
        </w:rPr>
        <w:t>, 17(8), pp. 1088–1093. Available at: https://doi.org/10.15252/embr.201642857.</w:t>
      </w:r>
    </w:p>
    <w:p w14:paraId="3184B877"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Menon Economics (2025) </w:t>
      </w:r>
      <w:r w:rsidRPr="00330F71">
        <w:rPr>
          <w:rFonts w:asciiTheme="majorBidi" w:eastAsia="Times New Roman" w:hAnsiTheme="majorBidi" w:cstheme="majorBidi"/>
          <w:i/>
          <w:iCs/>
          <w:lang w:eastAsia="en-GB"/>
        </w:rPr>
        <w:t>From genes to global finance: Implications of the Cali fund for Norwegian businesses</w:t>
      </w:r>
      <w:r w:rsidRPr="00330F71">
        <w:rPr>
          <w:rFonts w:asciiTheme="majorBidi" w:eastAsia="Times New Roman" w:hAnsiTheme="majorBidi" w:cstheme="majorBidi"/>
          <w:lang w:eastAsia="en-GB"/>
        </w:rPr>
        <w:t>. 153. Available at: https://menon.no/en/projects/from-genes-to-global-finance.</w:t>
      </w:r>
    </w:p>
    <w:p w14:paraId="4BA56D72" w14:textId="77777777" w:rsidR="00330F71" w:rsidRPr="006D18BD"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val="fr-FR" w:eastAsia="en-GB"/>
        </w:rPr>
      </w:pPr>
      <w:r w:rsidRPr="00330F71">
        <w:rPr>
          <w:rFonts w:asciiTheme="majorBidi" w:eastAsia="Times New Roman" w:hAnsiTheme="majorBidi" w:cstheme="majorBidi"/>
          <w:lang w:eastAsia="en-GB"/>
        </w:rPr>
        <w:lastRenderedPageBreak/>
        <w:t xml:space="preserve">Mestre-Ferrandiz, J., Towse, A. and Berdud, M. (2016) ‘Biosimilars: How Can Payers Get Long-Term Savings?’, </w:t>
      </w:r>
      <w:r w:rsidRPr="00330F71">
        <w:rPr>
          <w:rFonts w:asciiTheme="majorBidi" w:eastAsia="Times New Roman" w:hAnsiTheme="majorBidi" w:cstheme="majorBidi"/>
          <w:i/>
          <w:iCs/>
          <w:lang w:eastAsia="en-GB"/>
        </w:rPr>
        <w:t>PharmacoEconomics</w:t>
      </w:r>
      <w:r w:rsidRPr="00330F71">
        <w:rPr>
          <w:rFonts w:asciiTheme="majorBidi" w:eastAsia="Times New Roman" w:hAnsiTheme="majorBidi" w:cstheme="majorBidi"/>
          <w:lang w:eastAsia="en-GB"/>
        </w:rPr>
        <w:t xml:space="preserve">, 34(6), pp. 609–616. </w:t>
      </w:r>
      <w:r w:rsidRPr="006D18BD">
        <w:rPr>
          <w:rFonts w:asciiTheme="majorBidi" w:eastAsia="Times New Roman" w:hAnsiTheme="majorBidi" w:cstheme="majorBidi"/>
          <w:lang w:val="fr-FR" w:eastAsia="en-GB"/>
        </w:rPr>
        <w:t>Available at: https://doi.org/10.1007/s40273-015-0380-x.</w:t>
      </w:r>
    </w:p>
    <w:p w14:paraId="24647B71"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6D18BD">
        <w:rPr>
          <w:rFonts w:asciiTheme="majorBidi" w:eastAsia="Times New Roman" w:hAnsiTheme="majorBidi" w:cstheme="majorBidi"/>
          <w:lang w:val="fr-FR" w:eastAsia="en-GB"/>
        </w:rPr>
        <w:t xml:space="preserve">Michiels, F. </w:t>
      </w:r>
      <w:r w:rsidRPr="006D18BD">
        <w:rPr>
          <w:rFonts w:asciiTheme="majorBidi" w:eastAsia="Times New Roman" w:hAnsiTheme="majorBidi" w:cstheme="majorBidi"/>
          <w:i/>
          <w:iCs/>
          <w:lang w:val="fr-FR" w:eastAsia="en-GB"/>
        </w:rPr>
        <w:t>et al.</w:t>
      </w:r>
      <w:r w:rsidRPr="006D18BD">
        <w:rPr>
          <w:rFonts w:asciiTheme="majorBidi" w:eastAsia="Times New Roman" w:hAnsiTheme="majorBidi" w:cstheme="majorBidi"/>
          <w:lang w:val="fr-FR" w:eastAsia="en-GB"/>
        </w:rPr>
        <w:t xml:space="preserve"> </w:t>
      </w:r>
      <w:r w:rsidRPr="00330F71">
        <w:rPr>
          <w:rFonts w:asciiTheme="majorBidi" w:eastAsia="Times New Roman" w:hAnsiTheme="majorBidi" w:cstheme="majorBidi"/>
          <w:lang w:eastAsia="en-GB"/>
        </w:rPr>
        <w:t xml:space="preserve">(2022) ‘Facing the Harsh Reality of Access and Benefit Sharing (ABS) Legislation: An Industry Perspective’, </w:t>
      </w:r>
      <w:r w:rsidRPr="00330F71">
        <w:rPr>
          <w:rFonts w:asciiTheme="majorBidi" w:eastAsia="Times New Roman" w:hAnsiTheme="majorBidi" w:cstheme="majorBidi"/>
          <w:i/>
          <w:iCs/>
          <w:lang w:eastAsia="en-GB"/>
        </w:rPr>
        <w:t>Sustainability</w:t>
      </w:r>
      <w:r w:rsidRPr="00330F71">
        <w:rPr>
          <w:rFonts w:asciiTheme="majorBidi" w:eastAsia="Times New Roman" w:hAnsiTheme="majorBidi" w:cstheme="majorBidi"/>
          <w:lang w:eastAsia="en-GB"/>
        </w:rPr>
        <w:t>, 14(1), p. 277. Available at: https://doi.org/10.3390/su14010277.</w:t>
      </w:r>
    </w:p>
    <w:p w14:paraId="3DE06D66"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MIIT </w:t>
      </w:r>
      <w:r w:rsidRPr="00330F71">
        <w:rPr>
          <w:rFonts w:asciiTheme="majorBidi" w:eastAsia="Times New Roman" w:hAnsiTheme="majorBidi" w:cstheme="majorBidi"/>
          <w:i/>
          <w:iCs/>
          <w:lang w:eastAsia="en-GB"/>
        </w:rPr>
        <w:t>et al.</w:t>
      </w:r>
      <w:r w:rsidRPr="00330F71">
        <w:rPr>
          <w:rFonts w:asciiTheme="majorBidi" w:eastAsia="Times New Roman" w:hAnsiTheme="majorBidi" w:cstheme="majorBidi"/>
          <w:lang w:eastAsia="en-GB"/>
        </w:rPr>
        <w:t xml:space="preserve"> (2011) </w:t>
      </w:r>
      <w:r w:rsidRPr="00330F71">
        <w:rPr>
          <w:rFonts w:asciiTheme="majorBidi" w:eastAsia="Times New Roman" w:hAnsiTheme="majorBidi" w:cstheme="majorBidi"/>
          <w:i/>
          <w:iCs/>
          <w:lang w:eastAsia="en-GB"/>
        </w:rPr>
        <w:t>Regulations on the Standards for Classifying Small and Medium-sized Enterprises (</w:t>
      </w:r>
      <w:r w:rsidRPr="00330F71">
        <w:rPr>
          <w:rFonts w:ascii="MS Mincho" w:eastAsia="MS Mincho" w:hAnsi="MS Mincho" w:cs="MS Mincho" w:hint="eastAsia"/>
          <w:i/>
          <w:iCs/>
          <w:lang w:eastAsia="en-GB"/>
        </w:rPr>
        <w:t>中小企</w:t>
      </w:r>
      <w:r w:rsidRPr="00330F71">
        <w:rPr>
          <w:rFonts w:ascii="SimSun" w:hAnsi="SimSun" w:cs="SimSun" w:hint="eastAsia"/>
          <w:i/>
          <w:iCs/>
          <w:lang w:eastAsia="en-GB"/>
        </w:rPr>
        <w:t>业划型标准规定</w:t>
      </w:r>
      <w:r w:rsidRPr="00330F71">
        <w:rPr>
          <w:rFonts w:asciiTheme="majorBidi" w:eastAsia="Times New Roman" w:hAnsiTheme="majorBidi" w:cstheme="majorBidi"/>
          <w:i/>
          <w:iCs/>
          <w:lang w:eastAsia="en-GB"/>
        </w:rPr>
        <w:t>)</w:t>
      </w:r>
      <w:r w:rsidRPr="00330F71">
        <w:rPr>
          <w:rFonts w:asciiTheme="majorBidi" w:eastAsia="Times New Roman" w:hAnsiTheme="majorBidi" w:cstheme="majorBidi"/>
          <w:lang w:eastAsia="en-GB"/>
        </w:rPr>
        <w:t>.</w:t>
      </w:r>
    </w:p>
    <w:p w14:paraId="65D1C99B"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Miller, I. </w:t>
      </w:r>
      <w:r w:rsidRPr="00330F71">
        <w:rPr>
          <w:rFonts w:asciiTheme="majorBidi" w:eastAsia="Times New Roman" w:hAnsiTheme="majorBidi" w:cstheme="majorBidi"/>
          <w:i/>
          <w:iCs/>
          <w:lang w:eastAsia="en-GB"/>
        </w:rPr>
        <w:t>et al.</w:t>
      </w:r>
      <w:r w:rsidRPr="00330F71">
        <w:rPr>
          <w:rFonts w:asciiTheme="majorBidi" w:eastAsia="Times New Roman" w:hAnsiTheme="majorBidi" w:cstheme="majorBidi"/>
          <w:lang w:eastAsia="en-GB"/>
        </w:rPr>
        <w:t xml:space="preserve"> (2011) ‘Market Access Challenges in the EU for High Medical Value Diagnostic Tests’, </w:t>
      </w:r>
      <w:r w:rsidRPr="00330F71">
        <w:rPr>
          <w:rFonts w:asciiTheme="majorBidi" w:eastAsia="Times New Roman" w:hAnsiTheme="majorBidi" w:cstheme="majorBidi"/>
          <w:i/>
          <w:iCs/>
          <w:lang w:eastAsia="en-GB"/>
        </w:rPr>
        <w:t>Personalized Medicine</w:t>
      </w:r>
      <w:r w:rsidRPr="00330F71">
        <w:rPr>
          <w:rFonts w:asciiTheme="majorBidi" w:eastAsia="Times New Roman" w:hAnsiTheme="majorBidi" w:cstheme="majorBidi"/>
          <w:lang w:eastAsia="en-GB"/>
        </w:rPr>
        <w:t>, 8(2), pp. 137–148. Available at: https://doi.org/10.2217/pme.11.2.</w:t>
      </w:r>
    </w:p>
    <w:p w14:paraId="3C301A32"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Moeller, N.I. and Stannard, C. (2013) </w:t>
      </w:r>
      <w:r w:rsidRPr="00330F71">
        <w:rPr>
          <w:rFonts w:asciiTheme="majorBidi" w:eastAsia="Times New Roman" w:hAnsiTheme="majorBidi" w:cstheme="majorBidi"/>
          <w:i/>
          <w:iCs/>
          <w:lang w:eastAsia="en-GB"/>
        </w:rPr>
        <w:t>Identifying benefit flows: studies on the potential monetary and non-monetary benefits arising from the International Treaty on Plant Genetic Resources for Food and Agriculture</w:t>
      </w:r>
      <w:r w:rsidRPr="00330F71">
        <w:rPr>
          <w:rFonts w:asciiTheme="majorBidi" w:eastAsia="Times New Roman" w:hAnsiTheme="majorBidi" w:cstheme="majorBidi"/>
          <w:lang w:eastAsia="en-GB"/>
        </w:rPr>
        <w:t>. Rome: FAO.</w:t>
      </w:r>
    </w:p>
    <w:p w14:paraId="1C69D6AB"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Montiel, I. and Husted, B.W. (2009) ‘The Adoption of Voluntary Environmental Management Programs in Mexico: First Movers as Institutional Entrepreneurs’, </w:t>
      </w:r>
      <w:r w:rsidRPr="00330F71">
        <w:rPr>
          <w:rFonts w:asciiTheme="majorBidi" w:eastAsia="Times New Roman" w:hAnsiTheme="majorBidi" w:cstheme="majorBidi"/>
          <w:i/>
          <w:iCs/>
          <w:lang w:eastAsia="en-GB"/>
        </w:rPr>
        <w:t>Journal of Business Ethics</w:t>
      </w:r>
      <w:r w:rsidRPr="00330F71">
        <w:rPr>
          <w:rFonts w:asciiTheme="majorBidi" w:eastAsia="Times New Roman" w:hAnsiTheme="majorBidi" w:cstheme="majorBidi"/>
          <w:lang w:eastAsia="en-GB"/>
        </w:rPr>
        <w:t>, 88(2), pp. 349–363. Available at: https://doi.org/10.1007/s10551-009-0282-y.</w:t>
      </w:r>
    </w:p>
    <w:p w14:paraId="235D242E"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Moody’s Analytics (2025) </w:t>
      </w:r>
      <w:r w:rsidRPr="00330F71">
        <w:rPr>
          <w:rFonts w:asciiTheme="majorBidi" w:eastAsia="Times New Roman" w:hAnsiTheme="majorBidi" w:cstheme="majorBidi"/>
          <w:i/>
          <w:iCs/>
          <w:lang w:eastAsia="en-GB"/>
        </w:rPr>
        <w:t>Orbis</w:t>
      </w:r>
      <w:r w:rsidRPr="00330F71">
        <w:rPr>
          <w:rFonts w:asciiTheme="majorBidi" w:eastAsia="Times New Roman" w:hAnsiTheme="majorBidi" w:cstheme="majorBidi"/>
          <w:lang w:eastAsia="en-GB"/>
        </w:rPr>
        <w:t>. Available at: https://www.moodys.com/web/en/us/capabilities/company-reference-data/orbis.html (Accessed: 25 November 2025).</w:t>
      </w:r>
    </w:p>
    <w:p w14:paraId="4741CC2E" w14:textId="77777777" w:rsidR="00330F71" w:rsidRPr="006D18BD"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val="fr-FR" w:eastAsia="en-GB"/>
        </w:rPr>
      </w:pPr>
      <w:r w:rsidRPr="00330F71">
        <w:rPr>
          <w:rFonts w:asciiTheme="majorBidi" w:eastAsia="Times New Roman" w:hAnsiTheme="majorBidi" w:cstheme="majorBidi"/>
          <w:lang w:eastAsia="en-GB"/>
        </w:rPr>
        <w:t xml:space="preserve">Moorkens, E. </w:t>
      </w:r>
      <w:r w:rsidRPr="00330F71">
        <w:rPr>
          <w:rFonts w:asciiTheme="majorBidi" w:eastAsia="Times New Roman" w:hAnsiTheme="majorBidi" w:cstheme="majorBidi"/>
          <w:i/>
          <w:iCs/>
          <w:lang w:eastAsia="en-GB"/>
        </w:rPr>
        <w:t>et al.</w:t>
      </w:r>
      <w:r w:rsidRPr="00330F71">
        <w:rPr>
          <w:rFonts w:asciiTheme="majorBidi" w:eastAsia="Times New Roman" w:hAnsiTheme="majorBidi" w:cstheme="majorBidi"/>
          <w:lang w:eastAsia="en-GB"/>
        </w:rPr>
        <w:t xml:space="preserve"> (2016) ‘Overcoming Barriers to the Market Access of Biosimilars in the European Union: The Case of Biosimilar Monoclonal Antibodies’, </w:t>
      </w:r>
      <w:r w:rsidRPr="00330F71">
        <w:rPr>
          <w:rFonts w:asciiTheme="majorBidi" w:eastAsia="Times New Roman" w:hAnsiTheme="majorBidi" w:cstheme="majorBidi"/>
          <w:i/>
          <w:iCs/>
          <w:lang w:eastAsia="en-GB"/>
        </w:rPr>
        <w:t>Frontiers in Pharmacology</w:t>
      </w:r>
      <w:r w:rsidRPr="00330F71">
        <w:rPr>
          <w:rFonts w:asciiTheme="majorBidi" w:eastAsia="Times New Roman" w:hAnsiTheme="majorBidi" w:cstheme="majorBidi"/>
          <w:lang w:eastAsia="en-GB"/>
        </w:rPr>
        <w:t xml:space="preserve">, 7. </w:t>
      </w:r>
      <w:r w:rsidRPr="006D18BD">
        <w:rPr>
          <w:rFonts w:asciiTheme="majorBidi" w:eastAsia="Times New Roman" w:hAnsiTheme="majorBidi" w:cstheme="majorBidi"/>
          <w:lang w:val="fr-FR" w:eastAsia="en-GB"/>
        </w:rPr>
        <w:t>Available at: https://doi.org/10.3389/fphar.2016.00193.</w:t>
      </w:r>
    </w:p>
    <w:p w14:paraId="4242E7E3"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6D18BD">
        <w:rPr>
          <w:rFonts w:asciiTheme="majorBidi" w:eastAsia="Times New Roman" w:hAnsiTheme="majorBidi" w:cstheme="majorBidi"/>
          <w:lang w:val="fr-FR" w:eastAsia="en-GB"/>
        </w:rPr>
        <w:t xml:space="preserve">Morel, S. </w:t>
      </w:r>
      <w:r w:rsidRPr="006D18BD">
        <w:rPr>
          <w:rFonts w:asciiTheme="majorBidi" w:eastAsia="Times New Roman" w:hAnsiTheme="majorBidi" w:cstheme="majorBidi"/>
          <w:i/>
          <w:iCs/>
          <w:lang w:val="fr-FR" w:eastAsia="en-GB"/>
        </w:rPr>
        <w:t>et al.</w:t>
      </w:r>
      <w:r w:rsidRPr="006D18BD">
        <w:rPr>
          <w:rFonts w:asciiTheme="majorBidi" w:eastAsia="Times New Roman" w:hAnsiTheme="majorBidi" w:cstheme="majorBidi"/>
          <w:lang w:val="fr-FR" w:eastAsia="en-GB"/>
        </w:rPr>
        <w:t xml:space="preserve"> </w:t>
      </w:r>
      <w:r w:rsidRPr="00330F71">
        <w:rPr>
          <w:rFonts w:asciiTheme="majorBidi" w:eastAsia="Times New Roman" w:hAnsiTheme="majorBidi" w:cstheme="majorBidi"/>
          <w:lang w:eastAsia="en-GB"/>
        </w:rPr>
        <w:t xml:space="preserve">(2023) ‘Regulatory Requirements for Exporting Cosmetic Products to Extra-EU Countries’, </w:t>
      </w:r>
      <w:r w:rsidRPr="00330F71">
        <w:rPr>
          <w:rFonts w:asciiTheme="majorBidi" w:eastAsia="Times New Roman" w:hAnsiTheme="majorBidi" w:cstheme="majorBidi"/>
          <w:i/>
          <w:iCs/>
          <w:lang w:eastAsia="en-GB"/>
        </w:rPr>
        <w:t>Cosmetics</w:t>
      </w:r>
      <w:r w:rsidRPr="00330F71">
        <w:rPr>
          <w:rFonts w:asciiTheme="majorBidi" w:eastAsia="Times New Roman" w:hAnsiTheme="majorBidi" w:cstheme="majorBidi"/>
          <w:lang w:eastAsia="en-GB"/>
        </w:rPr>
        <w:t>, 10(2), p. 62. Available at: https://doi.org/10.3390/cosmetics10020062.</w:t>
      </w:r>
    </w:p>
    <w:p w14:paraId="1BC6CDE1"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Morgan, J. (2016) ‘Corporation tax as a problem of MNC organisational circuits: The case for unitary taxation’, </w:t>
      </w:r>
      <w:r w:rsidRPr="00330F71">
        <w:rPr>
          <w:rFonts w:asciiTheme="majorBidi" w:eastAsia="Times New Roman" w:hAnsiTheme="majorBidi" w:cstheme="majorBidi"/>
          <w:i/>
          <w:iCs/>
          <w:lang w:eastAsia="en-GB"/>
        </w:rPr>
        <w:t>The British Journal of Politics and International Relations</w:t>
      </w:r>
      <w:r w:rsidRPr="00330F71">
        <w:rPr>
          <w:rFonts w:asciiTheme="majorBidi" w:eastAsia="Times New Roman" w:hAnsiTheme="majorBidi" w:cstheme="majorBidi"/>
          <w:lang w:eastAsia="en-GB"/>
        </w:rPr>
        <w:t>, 18(2), pp. 463–481. Available at: https://doi.org/10.1177/1369148115623213.</w:t>
      </w:r>
    </w:p>
    <w:p w14:paraId="34D4DF1F"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Morovic, W. </w:t>
      </w:r>
      <w:r w:rsidRPr="00330F71">
        <w:rPr>
          <w:rFonts w:asciiTheme="majorBidi" w:eastAsia="Times New Roman" w:hAnsiTheme="majorBidi" w:cstheme="majorBidi"/>
          <w:i/>
          <w:iCs/>
          <w:lang w:eastAsia="en-GB"/>
        </w:rPr>
        <w:t>et al.</w:t>
      </w:r>
      <w:r w:rsidRPr="00330F71">
        <w:rPr>
          <w:rFonts w:asciiTheme="majorBidi" w:eastAsia="Times New Roman" w:hAnsiTheme="majorBidi" w:cstheme="majorBidi"/>
          <w:lang w:eastAsia="en-GB"/>
        </w:rPr>
        <w:t xml:space="preserve"> (2016) ‘Genotyping by PCR and High-Throughput Sequencing of Commercial Probiotic Products Reveals Composition Biases’, </w:t>
      </w:r>
      <w:r w:rsidRPr="00330F71">
        <w:rPr>
          <w:rFonts w:asciiTheme="majorBidi" w:eastAsia="Times New Roman" w:hAnsiTheme="majorBidi" w:cstheme="majorBidi"/>
          <w:i/>
          <w:iCs/>
          <w:lang w:eastAsia="en-GB"/>
        </w:rPr>
        <w:t>Frontiers in Microbiology</w:t>
      </w:r>
      <w:r w:rsidRPr="00330F71">
        <w:rPr>
          <w:rFonts w:asciiTheme="majorBidi" w:eastAsia="Times New Roman" w:hAnsiTheme="majorBidi" w:cstheme="majorBidi"/>
          <w:lang w:eastAsia="en-GB"/>
        </w:rPr>
        <w:t>, 7. Available at: https://doi.org/10.3389/fmicb.2016.01747.</w:t>
      </w:r>
    </w:p>
    <w:p w14:paraId="65806C72"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Moschini, G. and Perry, E.D. (2026) ‘Innovation, Licensing, and Competition: Evidence From Genetically Engineered Crops’, </w:t>
      </w:r>
      <w:r w:rsidRPr="00330F71">
        <w:rPr>
          <w:rFonts w:asciiTheme="majorBidi" w:eastAsia="Times New Roman" w:hAnsiTheme="majorBidi" w:cstheme="majorBidi"/>
          <w:i/>
          <w:iCs/>
          <w:lang w:eastAsia="en-GB"/>
        </w:rPr>
        <w:t>The Journal of Industrial Economics</w:t>
      </w:r>
      <w:r w:rsidRPr="00330F71">
        <w:rPr>
          <w:rFonts w:asciiTheme="majorBidi" w:eastAsia="Times New Roman" w:hAnsiTheme="majorBidi" w:cstheme="majorBidi"/>
          <w:lang w:eastAsia="en-GB"/>
        </w:rPr>
        <w:t>, n/a(n/a). Available at: https://doi.org/10.1111/joie.70016.</w:t>
      </w:r>
    </w:p>
    <w:p w14:paraId="0ACD367F" w14:textId="77777777" w:rsidR="00330F71" w:rsidRPr="006D18BD"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val="fr-FR" w:eastAsia="en-GB"/>
        </w:rPr>
      </w:pPr>
      <w:r w:rsidRPr="00330F71">
        <w:rPr>
          <w:rFonts w:asciiTheme="majorBidi" w:eastAsia="Times New Roman" w:hAnsiTheme="majorBidi" w:cstheme="majorBidi"/>
          <w:lang w:eastAsia="en-GB"/>
        </w:rPr>
        <w:t xml:space="preserve">Mukherjee, A., Singh, M. and Žaldokas, A. (2017) ‘Do corporate taxes hinder innovation?’, </w:t>
      </w:r>
      <w:r w:rsidRPr="00330F71">
        <w:rPr>
          <w:rFonts w:asciiTheme="majorBidi" w:eastAsia="Times New Roman" w:hAnsiTheme="majorBidi" w:cstheme="majorBidi"/>
          <w:i/>
          <w:iCs/>
          <w:lang w:eastAsia="en-GB"/>
        </w:rPr>
        <w:t>Journal of Financial Economics</w:t>
      </w:r>
      <w:r w:rsidRPr="00330F71">
        <w:rPr>
          <w:rFonts w:asciiTheme="majorBidi" w:eastAsia="Times New Roman" w:hAnsiTheme="majorBidi" w:cstheme="majorBidi"/>
          <w:lang w:eastAsia="en-GB"/>
        </w:rPr>
        <w:t xml:space="preserve">, 124(1), pp. 195–221. </w:t>
      </w:r>
      <w:r w:rsidRPr="006D18BD">
        <w:rPr>
          <w:rFonts w:asciiTheme="majorBidi" w:eastAsia="Times New Roman" w:hAnsiTheme="majorBidi" w:cstheme="majorBidi"/>
          <w:lang w:val="fr-FR" w:eastAsia="en-GB"/>
        </w:rPr>
        <w:t>Available at: https://doi.org/10.1016/j.jfineco.2017.01.004.</w:t>
      </w:r>
    </w:p>
    <w:p w14:paraId="7DB05AE2"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6D18BD">
        <w:rPr>
          <w:rFonts w:asciiTheme="majorBidi" w:eastAsia="Times New Roman" w:hAnsiTheme="majorBidi" w:cstheme="majorBidi"/>
          <w:lang w:val="fr-FR" w:eastAsia="en-GB"/>
        </w:rPr>
        <w:t xml:space="preserve">Muñoz-García, M. </w:t>
      </w:r>
      <w:r w:rsidRPr="006D18BD">
        <w:rPr>
          <w:rFonts w:asciiTheme="majorBidi" w:eastAsia="Times New Roman" w:hAnsiTheme="majorBidi" w:cstheme="majorBidi"/>
          <w:i/>
          <w:iCs/>
          <w:lang w:val="fr-FR" w:eastAsia="en-GB"/>
        </w:rPr>
        <w:t>et al.</w:t>
      </w:r>
      <w:r w:rsidRPr="006D18BD">
        <w:rPr>
          <w:rFonts w:asciiTheme="majorBidi" w:eastAsia="Times New Roman" w:hAnsiTheme="majorBidi" w:cstheme="majorBidi"/>
          <w:lang w:val="fr-FR" w:eastAsia="en-GB"/>
        </w:rPr>
        <w:t xml:space="preserve"> </w:t>
      </w:r>
      <w:r w:rsidRPr="00330F71">
        <w:rPr>
          <w:rFonts w:asciiTheme="majorBidi" w:eastAsia="Times New Roman" w:hAnsiTheme="majorBidi" w:cstheme="majorBidi"/>
          <w:lang w:eastAsia="en-GB"/>
        </w:rPr>
        <w:t xml:space="preserve">(2025) ‘Navigating COP16’s digital sequence information outcomes: What researchers need to do in practice’, </w:t>
      </w:r>
      <w:r w:rsidRPr="00330F71">
        <w:rPr>
          <w:rFonts w:asciiTheme="majorBidi" w:eastAsia="Times New Roman" w:hAnsiTheme="majorBidi" w:cstheme="majorBidi"/>
          <w:i/>
          <w:iCs/>
          <w:lang w:eastAsia="en-GB"/>
        </w:rPr>
        <w:t>Patterns</w:t>
      </w:r>
      <w:r w:rsidRPr="00330F71">
        <w:rPr>
          <w:rFonts w:asciiTheme="majorBidi" w:eastAsia="Times New Roman" w:hAnsiTheme="majorBidi" w:cstheme="majorBidi"/>
          <w:lang w:eastAsia="en-GB"/>
        </w:rPr>
        <w:t>, 6(3). Available at: https://doi.org/10.1016/j.patter.2025.101208.</w:t>
      </w:r>
    </w:p>
    <w:p w14:paraId="719B8B81"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lastRenderedPageBreak/>
        <w:t xml:space="preserve">Naegele, H. and Zaklan, A. (2019) ‘Does the EU ETS cause carbon leakage in European manufacturing?’, </w:t>
      </w:r>
      <w:r w:rsidRPr="00330F71">
        <w:rPr>
          <w:rFonts w:asciiTheme="majorBidi" w:eastAsia="Times New Roman" w:hAnsiTheme="majorBidi" w:cstheme="majorBidi"/>
          <w:i/>
          <w:iCs/>
          <w:lang w:eastAsia="en-GB"/>
        </w:rPr>
        <w:t>Journal of Environmental Economics and Management</w:t>
      </w:r>
      <w:r w:rsidRPr="00330F71">
        <w:rPr>
          <w:rFonts w:asciiTheme="majorBidi" w:eastAsia="Times New Roman" w:hAnsiTheme="majorBidi" w:cstheme="majorBidi"/>
          <w:lang w:eastAsia="en-GB"/>
        </w:rPr>
        <w:t>, 93, pp. 125–147. Available at: https://doi.org/10.1016/j.jeem.2018.11.004.</w:t>
      </w:r>
    </w:p>
    <w:p w14:paraId="7743DA5B"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Narrod, C.A. and Fuglie, K.O. (2000) ‘Private investment in livestock breeding with implications for public research policy’, </w:t>
      </w:r>
      <w:r w:rsidRPr="00330F71">
        <w:rPr>
          <w:rFonts w:asciiTheme="majorBidi" w:eastAsia="Times New Roman" w:hAnsiTheme="majorBidi" w:cstheme="majorBidi"/>
          <w:i/>
          <w:iCs/>
          <w:lang w:eastAsia="en-GB"/>
        </w:rPr>
        <w:t>Agribusiness</w:t>
      </w:r>
      <w:r w:rsidRPr="00330F71">
        <w:rPr>
          <w:rFonts w:asciiTheme="majorBidi" w:eastAsia="Times New Roman" w:hAnsiTheme="majorBidi" w:cstheme="majorBidi"/>
          <w:lang w:eastAsia="en-GB"/>
        </w:rPr>
        <w:t>, 16(4), pp. 457–470. Available at: https://doi.org/10.1002/1520-6297(200023)16:4%3C457::AID-AGR5%3E3.0.CO;2-7.</w:t>
      </w:r>
    </w:p>
    <w:p w14:paraId="011CD710" w14:textId="77777777" w:rsidR="00330F71" w:rsidRPr="006D18BD"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val="fr-FR" w:eastAsia="en-GB"/>
        </w:rPr>
      </w:pPr>
      <w:r w:rsidRPr="00330F71">
        <w:rPr>
          <w:rFonts w:asciiTheme="majorBidi" w:eastAsia="Times New Roman" w:hAnsiTheme="majorBidi" w:cstheme="majorBidi"/>
          <w:lang w:eastAsia="en-GB"/>
        </w:rPr>
        <w:t xml:space="preserve">Nawaz, S., Satterfield, T. and Hagerman, S. (2021) ‘From seed to sequence: Dematerialization and the battle to (re)define genetic resources’, </w:t>
      </w:r>
      <w:r w:rsidRPr="00330F71">
        <w:rPr>
          <w:rFonts w:asciiTheme="majorBidi" w:eastAsia="Times New Roman" w:hAnsiTheme="majorBidi" w:cstheme="majorBidi"/>
          <w:i/>
          <w:iCs/>
          <w:lang w:eastAsia="en-GB"/>
        </w:rPr>
        <w:t>Global Environmental Change</w:t>
      </w:r>
      <w:r w:rsidRPr="00330F71">
        <w:rPr>
          <w:rFonts w:asciiTheme="majorBidi" w:eastAsia="Times New Roman" w:hAnsiTheme="majorBidi" w:cstheme="majorBidi"/>
          <w:lang w:eastAsia="en-GB"/>
        </w:rPr>
        <w:t xml:space="preserve">, 68, p. 102260. </w:t>
      </w:r>
      <w:r w:rsidRPr="006D18BD">
        <w:rPr>
          <w:rFonts w:asciiTheme="majorBidi" w:eastAsia="Times New Roman" w:hAnsiTheme="majorBidi" w:cstheme="majorBidi"/>
          <w:lang w:val="fr-FR" w:eastAsia="en-GB"/>
        </w:rPr>
        <w:t>Available at: https://doi.org/10.1016/j.gloenvcha.2021.102260.</w:t>
      </w:r>
    </w:p>
    <w:p w14:paraId="4A7339FC" w14:textId="77777777" w:rsidR="00330F71" w:rsidRPr="006D18BD"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val="fr-FR" w:eastAsia="en-GB"/>
        </w:rPr>
      </w:pPr>
      <w:r w:rsidRPr="006D18BD">
        <w:rPr>
          <w:rFonts w:asciiTheme="majorBidi" w:eastAsia="Times New Roman" w:hAnsiTheme="majorBidi" w:cstheme="majorBidi"/>
          <w:lang w:val="fr-FR" w:eastAsia="en-GB"/>
        </w:rPr>
        <w:t xml:space="preserve">Neeteson, A.-M. </w:t>
      </w:r>
      <w:r w:rsidRPr="006D18BD">
        <w:rPr>
          <w:rFonts w:asciiTheme="majorBidi" w:eastAsia="Times New Roman" w:hAnsiTheme="majorBidi" w:cstheme="majorBidi"/>
          <w:i/>
          <w:iCs/>
          <w:lang w:val="fr-FR" w:eastAsia="en-GB"/>
        </w:rPr>
        <w:t>et al.</w:t>
      </w:r>
      <w:r w:rsidRPr="006D18BD">
        <w:rPr>
          <w:rFonts w:asciiTheme="majorBidi" w:eastAsia="Times New Roman" w:hAnsiTheme="majorBidi" w:cstheme="majorBidi"/>
          <w:lang w:val="fr-FR" w:eastAsia="en-GB"/>
        </w:rPr>
        <w:t xml:space="preserve"> </w:t>
      </w:r>
      <w:r w:rsidRPr="00330F71">
        <w:rPr>
          <w:rFonts w:asciiTheme="majorBidi" w:eastAsia="Times New Roman" w:hAnsiTheme="majorBidi" w:cstheme="majorBidi"/>
          <w:lang w:eastAsia="en-GB"/>
        </w:rPr>
        <w:t xml:space="preserve">(2023a) ‘Evolutions in Commercial Meat Poultry Breeding’, </w:t>
      </w:r>
      <w:r w:rsidRPr="00330F71">
        <w:rPr>
          <w:rFonts w:asciiTheme="majorBidi" w:eastAsia="Times New Roman" w:hAnsiTheme="majorBidi" w:cstheme="majorBidi"/>
          <w:i/>
          <w:iCs/>
          <w:lang w:eastAsia="en-GB"/>
        </w:rPr>
        <w:t>Animals : an Open Access Journal from MDPI</w:t>
      </w:r>
      <w:r w:rsidRPr="00330F71">
        <w:rPr>
          <w:rFonts w:asciiTheme="majorBidi" w:eastAsia="Times New Roman" w:hAnsiTheme="majorBidi" w:cstheme="majorBidi"/>
          <w:lang w:eastAsia="en-GB"/>
        </w:rPr>
        <w:t xml:space="preserve">, 13(19), p. 3150. </w:t>
      </w:r>
      <w:r w:rsidRPr="006D18BD">
        <w:rPr>
          <w:rFonts w:asciiTheme="majorBidi" w:eastAsia="Times New Roman" w:hAnsiTheme="majorBidi" w:cstheme="majorBidi"/>
          <w:lang w:val="fr-FR" w:eastAsia="en-GB"/>
        </w:rPr>
        <w:t>Available at: https://doi.org/10.3390/ani13193150.</w:t>
      </w:r>
    </w:p>
    <w:p w14:paraId="418442BA"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6D18BD">
        <w:rPr>
          <w:rFonts w:asciiTheme="majorBidi" w:eastAsia="Times New Roman" w:hAnsiTheme="majorBidi" w:cstheme="majorBidi"/>
          <w:lang w:val="fr-FR" w:eastAsia="en-GB"/>
        </w:rPr>
        <w:t xml:space="preserve">Neeteson, A.-M. </w:t>
      </w:r>
      <w:r w:rsidRPr="006D18BD">
        <w:rPr>
          <w:rFonts w:asciiTheme="majorBidi" w:eastAsia="Times New Roman" w:hAnsiTheme="majorBidi" w:cstheme="majorBidi"/>
          <w:i/>
          <w:iCs/>
          <w:lang w:val="fr-FR" w:eastAsia="en-GB"/>
        </w:rPr>
        <w:t>et al.</w:t>
      </w:r>
      <w:r w:rsidRPr="006D18BD">
        <w:rPr>
          <w:rFonts w:asciiTheme="majorBidi" w:eastAsia="Times New Roman" w:hAnsiTheme="majorBidi" w:cstheme="majorBidi"/>
          <w:lang w:val="fr-FR" w:eastAsia="en-GB"/>
        </w:rPr>
        <w:t xml:space="preserve"> </w:t>
      </w:r>
      <w:r w:rsidRPr="00330F71">
        <w:rPr>
          <w:rFonts w:asciiTheme="majorBidi" w:eastAsia="Times New Roman" w:hAnsiTheme="majorBidi" w:cstheme="majorBidi"/>
          <w:lang w:eastAsia="en-GB"/>
        </w:rPr>
        <w:t xml:space="preserve">(2023b) ‘Evolutions in Commercial Meat Poultry Breeding’, </w:t>
      </w:r>
      <w:r w:rsidRPr="00330F71">
        <w:rPr>
          <w:rFonts w:asciiTheme="majorBidi" w:eastAsia="Times New Roman" w:hAnsiTheme="majorBidi" w:cstheme="majorBidi"/>
          <w:i/>
          <w:iCs/>
          <w:lang w:eastAsia="en-GB"/>
        </w:rPr>
        <w:t>Animals</w:t>
      </w:r>
      <w:r w:rsidRPr="00330F71">
        <w:rPr>
          <w:rFonts w:asciiTheme="majorBidi" w:eastAsia="Times New Roman" w:hAnsiTheme="majorBidi" w:cstheme="majorBidi"/>
          <w:lang w:eastAsia="en-GB"/>
        </w:rPr>
        <w:t>, 13(19), p. 3150. Available at: https://doi.org/10.3390/ani13193150.</w:t>
      </w:r>
    </w:p>
    <w:p w14:paraId="0A00B822"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Niedringhaus, T.P. </w:t>
      </w:r>
      <w:r w:rsidRPr="00330F71">
        <w:rPr>
          <w:rFonts w:asciiTheme="majorBidi" w:eastAsia="Times New Roman" w:hAnsiTheme="majorBidi" w:cstheme="majorBidi"/>
          <w:i/>
          <w:iCs/>
          <w:lang w:eastAsia="en-GB"/>
        </w:rPr>
        <w:t>et al.</w:t>
      </w:r>
      <w:r w:rsidRPr="00330F71">
        <w:rPr>
          <w:rFonts w:asciiTheme="majorBidi" w:eastAsia="Times New Roman" w:hAnsiTheme="majorBidi" w:cstheme="majorBidi"/>
          <w:lang w:eastAsia="en-GB"/>
        </w:rPr>
        <w:t xml:space="preserve"> (2011) ‘Landscape of Next-Generation Sequencing Technologies’, </w:t>
      </w:r>
      <w:r w:rsidRPr="00330F71">
        <w:rPr>
          <w:rFonts w:asciiTheme="majorBidi" w:eastAsia="Times New Roman" w:hAnsiTheme="majorBidi" w:cstheme="majorBidi"/>
          <w:i/>
          <w:iCs/>
          <w:lang w:eastAsia="en-GB"/>
        </w:rPr>
        <w:t>Analytical Chemistry</w:t>
      </w:r>
      <w:r w:rsidRPr="00330F71">
        <w:rPr>
          <w:rFonts w:asciiTheme="majorBidi" w:eastAsia="Times New Roman" w:hAnsiTheme="majorBidi" w:cstheme="majorBidi"/>
          <w:lang w:eastAsia="en-GB"/>
        </w:rPr>
        <w:t>, 83(12), pp. 4327–4341. Available at: https://doi.org/10.1021/ac2010857.</w:t>
      </w:r>
    </w:p>
    <w:p w14:paraId="58A4ACAB"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Nijen, K.V. </w:t>
      </w:r>
      <w:r w:rsidRPr="00330F71">
        <w:rPr>
          <w:rFonts w:asciiTheme="majorBidi" w:eastAsia="Times New Roman" w:hAnsiTheme="majorBidi" w:cstheme="majorBidi"/>
          <w:i/>
          <w:iCs/>
          <w:lang w:eastAsia="en-GB"/>
        </w:rPr>
        <w:t>et al.</w:t>
      </w:r>
      <w:r w:rsidRPr="00330F71">
        <w:rPr>
          <w:rFonts w:asciiTheme="majorBidi" w:eastAsia="Times New Roman" w:hAnsiTheme="majorBidi" w:cstheme="majorBidi"/>
          <w:lang w:eastAsia="en-GB"/>
        </w:rPr>
        <w:t xml:space="preserve"> (2019) ‘The Development of a Payment Regime for Deep Sea Mining Activities in the Area through Stakeholder Participation’, </w:t>
      </w:r>
      <w:r w:rsidRPr="00330F71">
        <w:rPr>
          <w:rFonts w:asciiTheme="majorBidi" w:eastAsia="Times New Roman" w:hAnsiTheme="majorBidi" w:cstheme="majorBidi"/>
          <w:i/>
          <w:iCs/>
          <w:lang w:eastAsia="en-GB"/>
        </w:rPr>
        <w:t>The International Journal of Marine and Coastal Law</w:t>
      </w:r>
      <w:r w:rsidRPr="00330F71">
        <w:rPr>
          <w:rFonts w:asciiTheme="majorBidi" w:eastAsia="Times New Roman" w:hAnsiTheme="majorBidi" w:cstheme="majorBidi"/>
          <w:lang w:eastAsia="en-GB"/>
        </w:rPr>
        <w:t>, 34(4), pp. 571–601. Available at: https://doi.org/10.1163/15718085-13441100.</w:t>
      </w:r>
    </w:p>
    <w:p w14:paraId="4080FE6D"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OECD (2018) </w:t>
      </w:r>
      <w:r w:rsidRPr="00330F71">
        <w:rPr>
          <w:rFonts w:asciiTheme="majorBidi" w:eastAsia="Times New Roman" w:hAnsiTheme="majorBidi" w:cstheme="majorBidi"/>
          <w:i/>
          <w:iCs/>
          <w:lang w:eastAsia="en-GB"/>
        </w:rPr>
        <w:t>Concentration in Seeds Markets</w:t>
      </w:r>
      <w:r w:rsidRPr="00330F71">
        <w:rPr>
          <w:rFonts w:asciiTheme="majorBidi" w:eastAsia="Times New Roman" w:hAnsiTheme="majorBidi" w:cstheme="majorBidi"/>
          <w:lang w:eastAsia="en-GB"/>
        </w:rPr>
        <w:t>. Available at: https://doi.org/10.1787/c13424a6-en.</w:t>
      </w:r>
    </w:p>
    <w:p w14:paraId="2FAD816D"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OECD (no date a) </w:t>
      </w:r>
      <w:r w:rsidRPr="00330F71">
        <w:rPr>
          <w:rFonts w:asciiTheme="majorBidi" w:eastAsia="Times New Roman" w:hAnsiTheme="majorBidi" w:cstheme="majorBidi"/>
          <w:i/>
          <w:iCs/>
          <w:lang w:eastAsia="en-GB"/>
        </w:rPr>
        <w:t>Enterprises by business size</w:t>
      </w:r>
      <w:r w:rsidRPr="00330F71">
        <w:rPr>
          <w:rFonts w:asciiTheme="majorBidi" w:eastAsia="Times New Roman" w:hAnsiTheme="majorBidi" w:cstheme="majorBidi"/>
          <w:lang w:eastAsia="en-GB"/>
        </w:rPr>
        <w:t xml:space="preserve">, </w:t>
      </w:r>
      <w:r w:rsidRPr="00330F71">
        <w:rPr>
          <w:rFonts w:asciiTheme="majorBidi" w:eastAsia="Times New Roman" w:hAnsiTheme="majorBidi" w:cstheme="majorBidi"/>
          <w:i/>
          <w:iCs/>
          <w:lang w:eastAsia="en-GB"/>
        </w:rPr>
        <w:t>OECD</w:t>
      </w:r>
      <w:r w:rsidRPr="00330F71">
        <w:rPr>
          <w:rFonts w:asciiTheme="majorBidi" w:eastAsia="Times New Roman" w:hAnsiTheme="majorBidi" w:cstheme="majorBidi"/>
          <w:lang w:eastAsia="en-GB"/>
        </w:rPr>
        <w:t>. Available at: https://www.oecd.org/en/data/indicators/enterprises-by-business-size.html (Accessed: 17 May 2026).</w:t>
      </w:r>
    </w:p>
    <w:p w14:paraId="2E4B06AB"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OECD (no date b) </w:t>
      </w:r>
      <w:r w:rsidRPr="00330F71">
        <w:rPr>
          <w:rFonts w:asciiTheme="majorBidi" w:eastAsia="Times New Roman" w:hAnsiTheme="majorBidi" w:cstheme="majorBidi"/>
          <w:i/>
          <w:iCs/>
          <w:lang w:eastAsia="en-GB"/>
        </w:rPr>
        <w:t>R&amp;D tax incentives</w:t>
      </w:r>
      <w:r w:rsidRPr="00330F71">
        <w:rPr>
          <w:rFonts w:asciiTheme="majorBidi" w:eastAsia="Times New Roman" w:hAnsiTheme="majorBidi" w:cstheme="majorBidi"/>
          <w:lang w:eastAsia="en-GB"/>
        </w:rPr>
        <w:t xml:space="preserve">, </w:t>
      </w:r>
      <w:r w:rsidRPr="00330F71">
        <w:rPr>
          <w:rFonts w:asciiTheme="majorBidi" w:eastAsia="Times New Roman" w:hAnsiTheme="majorBidi" w:cstheme="majorBidi"/>
          <w:i/>
          <w:iCs/>
          <w:lang w:eastAsia="en-GB"/>
        </w:rPr>
        <w:t>OECD</w:t>
      </w:r>
      <w:r w:rsidRPr="00330F71">
        <w:rPr>
          <w:rFonts w:asciiTheme="majorBidi" w:eastAsia="Times New Roman" w:hAnsiTheme="majorBidi" w:cstheme="majorBidi"/>
          <w:lang w:eastAsia="en-GB"/>
        </w:rPr>
        <w:t>. Available at: https://www.oecd.org/en/topics/r&amp;d-tax-incentives.html (Accessed: 3 June 2026).</w:t>
      </w:r>
    </w:p>
    <w:p w14:paraId="0F4BA052"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Oldham, P. (2025) ‘The Cali Fund: Sectors, Products and Services’. Rochester, NY: Social Science Research Network. Available at: https://doi.org/10.2139/ssrn.5195031.</w:t>
      </w:r>
    </w:p>
    <w:p w14:paraId="6352273A"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Oldham, P., Hall, S. and Forero, O. (2013) ‘Biological Diversity in the Patent System’, </w:t>
      </w:r>
      <w:r w:rsidRPr="00330F71">
        <w:rPr>
          <w:rFonts w:asciiTheme="majorBidi" w:eastAsia="Times New Roman" w:hAnsiTheme="majorBidi" w:cstheme="majorBidi"/>
          <w:i/>
          <w:iCs/>
          <w:lang w:eastAsia="en-GB"/>
        </w:rPr>
        <w:t>PLoS ONE</w:t>
      </w:r>
      <w:r w:rsidRPr="00330F71">
        <w:rPr>
          <w:rFonts w:asciiTheme="majorBidi" w:eastAsia="Times New Roman" w:hAnsiTheme="majorBidi" w:cstheme="majorBidi"/>
          <w:lang w:eastAsia="en-GB"/>
        </w:rPr>
        <w:t>. Edited by F. Pappalardo, 8(11), p. e78737. Available at: https://doi.org/10.1371/journal.pone.0078737.</w:t>
      </w:r>
    </w:p>
    <w:p w14:paraId="61B7DA2C"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Orozco, P. and Scholz, A.H. (2025) ‘138_orozcoCaliFundPromises2025’, </w:t>
      </w:r>
      <w:r w:rsidRPr="00330F71">
        <w:rPr>
          <w:rFonts w:asciiTheme="majorBidi" w:eastAsia="Times New Roman" w:hAnsiTheme="majorBidi" w:cstheme="majorBidi"/>
          <w:i/>
          <w:iCs/>
          <w:lang w:eastAsia="en-GB"/>
        </w:rPr>
        <w:t>Nature Reviews Biodiversity</w:t>
      </w:r>
      <w:r w:rsidRPr="00330F71">
        <w:rPr>
          <w:rFonts w:asciiTheme="majorBidi" w:eastAsia="Times New Roman" w:hAnsiTheme="majorBidi" w:cstheme="majorBidi"/>
          <w:lang w:eastAsia="en-GB"/>
        </w:rPr>
        <w:t>, 1(5), pp. 276–278. Available at: https://doi.org/10.1038/s44358-025-00050-z.</w:t>
      </w:r>
    </w:p>
    <w:p w14:paraId="6539BEB9"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Pharmaceutical Executive (2025) </w:t>
      </w:r>
      <w:r w:rsidRPr="00330F71">
        <w:rPr>
          <w:rFonts w:asciiTheme="majorBidi" w:eastAsia="Times New Roman" w:hAnsiTheme="majorBidi" w:cstheme="majorBidi"/>
          <w:i/>
          <w:iCs/>
          <w:lang w:eastAsia="en-GB"/>
        </w:rPr>
        <w:t>R&amp;D spending as revenue share of leading 10 pharmaceutical companies in 2024 [Graph]. In Statista.</w:t>
      </w:r>
      <w:r w:rsidRPr="00330F71">
        <w:rPr>
          <w:rFonts w:asciiTheme="majorBidi" w:eastAsia="Times New Roman" w:hAnsiTheme="majorBidi" w:cstheme="majorBidi"/>
          <w:lang w:eastAsia="en-GB"/>
        </w:rPr>
        <w:t xml:space="preserve"> Available at: https://www.statista.com/statistics/309471/randd-spending-share-of-top-pharmaceutical-companies/?srsltid=AfmBOoro2wnOevqTkd8GlvW2exDOWnNgR0rMHlLmLve83fOyF5et3BYy.</w:t>
      </w:r>
    </w:p>
    <w:p w14:paraId="735698E5"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Philp, J.C., Ritchie, R.J. and Allan, J.E.M. (2013) ‘Biobased chemicals: the convergence of green chemistry with industrial biotechnology’, </w:t>
      </w:r>
      <w:r w:rsidRPr="00330F71">
        <w:rPr>
          <w:rFonts w:asciiTheme="majorBidi" w:eastAsia="Times New Roman" w:hAnsiTheme="majorBidi" w:cstheme="majorBidi"/>
          <w:i/>
          <w:iCs/>
          <w:lang w:eastAsia="en-GB"/>
        </w:rPr>
        <w:t>Trends in Biotechnology</w:t>
      </w:r>
      <w:r w:rsidRPr="00330F71">
        <w:rPr>
          <w:rFonts w:asciiTheme="majorBidi" w:eastAsia="Times New Roman" w:hAnsiTheme="majorBidi" w:cstheme="majorBidi"/>
          <w:lang w:eastAsia="en-GB"/>
        </w:rPr>
        <w:t>, 31(4), pp. 219–222. Available at: https://doi.org/10.1016/j.tibtech.2012.12.007.</w:t>
      </w:r>
    </w:p>
    <w:p w14:paraId="5C34734A" w14:textId="77777777" w:rsidR="00330F71" w:rsidRPr="006D18BD"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val="fr-FR" w:eastAsia="en-GB"/>
        </w:rPr>
      </w:pPr>
      <w:r w:rsidRPr="00330F71">
        <w:rPr>
          <w:rFonts w:asciiTheme="majorBidi" w:eastAsia="Times New Roman" w:hAnsiTheme="majorBidi" w:cstheme="majorBidi"/>
          <w:lang w:eastAsia="en-GB"/>
        </w:rPr>
        <w:lastRenderedPageBreak/>
        <w:t xml:space="preserve">Picciotto, S. (2019) ‘International tax, regulatory arbitrage and the growth of transnational corporations’, </w:t>
      </w:r>
      <w:r w:rsidRPr="00330F71">
        <w:rPr>
          <w:rFonts w:asciiTheme="majorBidi" w:eastAsia="Times New Roman" w:hAnsiTheme="majorBidi" w:cstheme="majorBidi"/>
          <w:i/>
          <w:iCs/>
          <w:lang w:eastAsia="en-GB"/>
        </w:rPr>
        <w:t>Transnational Corporations</w:t>
      </w:r>
      <w:r w:rsidRPr="00330F71">
        <w:rPr>
          <w:rFonts w:asciiTheme="majorBidi" w:eastAsia="Times New Roman" w:hAnsiTheme="majorBidi" w:cstheme="majorBidi"/>
          <w:lang w:eastAsia="en-GB"/>
        </w:rPr>
        <w:t xml:space="preserve">, 25(3), pp. 27–53. </w:t>
      </w:r>
      <w:r w:rsidRPr="006D18BD">
        <w:rPr>
          <w:rFonts w:asciiTheme="majorBidi" w:eastAsia="Times New Roman" w:hAnsiTheme="majorBidi" w:cstheme="majorBidi"/>
          <w:lang w:val="fr-FR" w:eastAsia="en-GB"/>
        </w:rPr>
        <w:t>Available at: https://doi.org/10.18356/7b01478a-en.</w:t>
      </w:r>
    </w:p>
    <w:p w14:paraId="6337BF83" w14:textId="77777777" w:rsidR="00330F71" w:rsidRPr="006D18BD"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val="fr-FR" w:eastAsia="en-GB"/>
        </w:rPr>
      </w:pPr>
      <w:r w:rsidRPr="006D18BD">
        <w:rPr>
          <w:rFonts w:asciiTheme="majorBidi" w:eastAsia="Times New Roman" w:hAnsiTheme="majorBidi" w:cstheme="majorBidi"/>
          <w:lang w:val="fr-FR" w:eastAsia="en-GB"/>
        </w:rPr>
        <w:t xml:space="preserve">Popa, C. </w:t>
      </w:r>
      <w:r w:rsidRPr="006D18BD">
        <w:rPr>
          <w:rFonts w:asciiTheme="majorBidi" w:eastAsia="Times New Roman" w:hAnsiTheme="majorBidi" w:cstheme="majorBidi"/>
          <w:i/>
          <w:iCs/>
          <w:lang w:val="fr-FR" w:eastAsia="en-GB"/>
        </w:rPr>
        <w:t>et al.</w:t>
      </w:r>
      <w:r w:rsidRPr="006D18BD">
        <w:rPr>
          <w:rFonts w:asciiTheme="majorBidi" w:eastAsia="Times New Roman" w:hAnsiTheme="majorBidi" w:cstheme="majorBidi"/>
          <w:lang w:val="fr-FR" w:eastAsia="en-GB"/>
        </w:rPr>
        <w:t xml:space="preserve"> </w:t>
      </w:r>
      <w:r w:rsidRPr="00330F71">
        <w:rPr>
          <w:rFonts w:asciiTheme="majorBidi" w:eastAsia="Times New Roman" w:hAnsiTheme="majorBidi" w:cstheme="majorBidi"/>
          <w:lang w:eastAsia="en-GB"/>
        </w:rPr>
        <w:t xml:space="preserve">(2018a) ‘Risk-Return Analysis of the Biopharmaceutical Industry as Compared to Other Industries’, </w:t>
      </w:r>
      <w:r w:rsidRPr="00330F71">
        <w:rPr>
          <w:rFonts w:asciiTheme="majorBidi" w:eastAsia="Times New Roman" w:hAnsiTheme="majorBidi" w:cstheme="majorBidi"/>
          <w:i/>
          <w:iCs/>
          <w:lang w:eastAsia="en-GB"/>
        </w:rPr>
        <w:t>Frontiers in Pharmacology</w:t>
      </w:r>
      <w:r w:rsidRPr="00330F71">
        <w:rPr>
          <w:rFonts w:asciiTheme="majorBidi" w:eastAsia="Times New Roman" w:hAnsiTheme="majorBidi" w:cstheme="majorBidi"/>
          <w:lang w:eastAsia="en-GB"/>
        </w:rPr>
        <w:t xml:space="preserve">, 9, p. 1108. </w:t>
      </w:r>
      <w:r w:rsidRPr="006D18BD">
        <w:rPr>
          <w:rFonts w:asciiTheme="majorBidi" w:eastAsia="Times New Roman" w:hAnsiTheme="majorBidi" w:cstheme="majorBidi"/>
          <w:lang w:val="fr-FR" w:eastAsia="en-GB"/>
        </w:rPr>
        <w:t>Available at: https://doi.org/10.3389/fphar.2018.01108.</w:t>
      </w:r>
    </w:p>
    <w:p w14:paraId="6CBAF86D"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6D18BD">
        <w:rPr>
          <w:rFonts w:asciiTheme="majorBidi" w:eastAsia="Times New Roman" w:hAnsiTheme="majorBidi" w:cstheme="majorBidi"/>
          <w:lang w:val="fr-FR" w:eastAsia="en-GB"/>
        </w:rPr>
        <w:t xml:space="preserve">Popa, C. </w:t>
      </w:r>
      <w:r w:rsidRPr="006D18BD">
        <w:rPr>
          <w:rFonts w:asciiTheme="majorBidi" w:eastAsia="Times New Roman" w:hAnsiTheme="majorBidi" w:cstheme="majorBidi"/>
          <w:i/>
          <w:iCs/>
          <w:lang w:val="fr-FR" w:eastAsia="en-GB"/>
        </w:rPr>
        <w:t>et al.</w:t>
      </w:r>
      <w:r w:rsidRPr="006D18BD">
        <w:rPr>
          <w:rFonts w:asciiTheme="majorBidi" w:eastAsia="Times New Roman" w:hAnsiTheme="majorBidi" w:cstheme="majorBidi"/>
          <w:lang w:val="fr-FR" w:eastAsia="en-GB"/>
        </w:rPr>
        <w:t xml:space="preserve"> </w:t>
      </w:r>
      <w:r w:rsidRPr="00330F71">
        <w:rPr>
          <w:rFonts w:asciiTheme="majorBidi" w:eastAsia="Times New Roman" w:hAnsiTheme="majorBidi" w:cstheme="majorBidi"/>
          <w:lang w:eastAsia="en-GB"/>
        </w:rPr>
        <w:t xml:space="preserve">(2018b) ‘Risk-Return Analysis of the Biopharmaceutical Industry as Compared to Other Industries’, </w:t>
      </w:r>
      <w:r w:rsidRPr="00330F71">
        <w:rPr>
          <w:rFonts w:asciiTheme="majorBidi" w:eastAsia="Times New Roman" w:hAnsiTheme="majorBidi" w:cstheme="majorBidi"/>
          <w:i/>
          <w:iCs/>
          <w:lang w:eastAsia="en-GB"/>
        </w:rPr>
        <w:t>Frontiers in Pharmacology</w:t>
      </w:r>
      <w:r w:rsidRPr="00330F71">
        <w:rPr>
          <w:rFonts w:asciiTheme="majorBidi" w:eastAsia="Times New Roman" w:hAnsiTheme="majorBidi" w:cstheme="majorBidi"/>
          <w:lang w:eastAsia="en-GB"/>
        </w:rPr>
        <w:t>, 9, p. 1108. Available at: https://doi.org/10.3389/fphar.2018.01108.</w:t>
      </w:r>
    </w:p>
    <w:p w14:paraId="5BD966C1"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Porter, M.E. (1991) ‘America’s Green Strategy’, </w:t>
      </w:r>
      <w:r w:rsidRPr="00330F71">
        <w:rPr>
          <w:rFonts w:asciiTheme="majorBidi" w:eastAsia="Times New Roman" w:hAnsiTheme="majorBidi" w:cstheme="majorBidi"/>
          <w:i/>
          <w:iCs/>
          <w:lang w:eastAsia="en-GB"/>
        </w:rPr>
        <w:t>Scientific American</w:t>
      </w:r>
      <w:r w:rsidRPr="00330F71">
        <w:rPr>
          <w:rFonts w:asciiTheme="majorBidi" w:eastAsia="Times New Roman" w:hAnsiTheme="majorBidi" w:cstheme="majorBidi"/>
          <w:lang w:eastAsia="en-GB"/>
        </w:rPr>
        <w:t>, 264(4), pp. 168–168. Available at: https://doi.org/10.1038/scientificamerican0491-168.</w:t>
      </w:r>
    </w:p>
    <w:p w14:paraId="3E47EF60"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Potoski, M. and Prakash, A. (2005) ‘Green Clubs and Voluntary Governance: ISO 14001 and Firms’ Regulatory Compliance’, </w:t>
      </w:r>
      <w:r w:rsidRPr="00330F71">
        <w:rPr>
          <w:rFonts w:asciiTheme="majorBidi" w:eastAsia="Times New Roman" w:hAnsiTheme="majorBidi" w:cstheme="majorBidi"/>
          <w:i/>
          <w:iCs/>
          <w:lang w:eastAsia="en-GB"/>
        </w:rPr>
        <w:t>American Journal of Political Science</w:t>
      </w:r>
      <w:r w:rsidRPr="00330F71">
        <w:rPr>
          <w:rFonts w:asciiTheme="majorBidi" w:eastAsia="Times New Roman" w:hAnsiTheme="majorBidi" w:cstheme="majorBidi"/>
          <w:lang w:eastAsia="en-GB"/>
        </w:rPr>
        <w:t>, 49(2), pp. 235–248. Available at: https://doi.org/10.1111/j.0092-5853.2005.00120.x.</w:t>
      </w:r>
    </w:p>
    <w:p w14:paraId="68B719FA"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Prakash, A. and Potoski, M. (2007) ‘Collective Action through Voluntary Environmental Programs: A Club Theory Perspective’, </w:t>
      </w:r>
      <w:r w:rsidRPr="00330F71">
        <w:rPr>
          <w:rFonts w:asciiTheme="majorBidi" w:eastAsia="Times New Roman" w:hAnsiTheme="majorBidi" w:cstheme="majorBidi"/>
          <w:i/>
          <w:iCs/>
          <w:lang w:eastAsia="en-GB"/>
        </w:rPr>
        <w:t>Policy Studies Journal</w:t>
      </w:r>
      <w:r w:rsidRPr="00330F71">
        <w:rPr>
          <w:rFonts w:asciiTheme="majorBidi" w:eastAsia="Times New Roman" w:hAnsiTheme="majorBidi" w:cstheme="majorBidi"/>
          <w:lang w:eastAsia="en-GB"/>
        </w:rPr>
        <w:t>, 35(4), pp. 773–792. Available at: https://doi.org/10.1111/j.1541-0072.2007.00247.x.</w:t>
      </w:r>
    </w:p>
    <w:p w14:paraId="536C7F6F"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Prakash, A. and Potoski, M. (2012) ‘Voluntary environmental programs: A comparative perspective’, </w:t>
      </w:r>
      <w:r w:rsidRPr="00330F71">
        <w:rPr>
          <w:rFonts w:asciiTheme="majorBidi" w:eastAsia="Times New Roman" w:hAnsiTheme="majorBidi" w:cstheme="majorBidi"/>
          <w:i/>
          <w:iCs/>
          <w:lang w:eastAsia="en-GB"/>
        </w:rPr>
        <w:t>Journal of Policy Analysis and Management</w:t>
      </w:r>
      <w:r w:rsidRPr="00330F71">
        <w:rPr>
          <w:rFonts w:asciiTheme="majorBidi" w:eastAsia="Times New Roman" w:hAnsiTheme="majorBidi" w:cstheme="majorBidi"/>
          <w:lang w:eastAsia="en-GB"/>
        </w:rPr>
        <w:t>, 31(1), pp. 123–138. Available at: https://doi.org/10.1002/pam.20617.</w:t>
      </w:r>
    </w:p>
    <w:p w14:paraId="0461A995"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i/>
          <w:iCs/>
          <w:lang w:eastAsia="en-GB"/>
        </w:rPr>
        <w:t>Product Information File (PIF)</w:t>
      </w:r>
      <w:r w:rsidRPr="00330F71">
        <w:rPr>
          <w:rFonts w:asciiTheme="majorBidi" w:eastAsia="Times New Roman" w:hAnsiTheme="majorBidi" w:cstheme="majorBidi"/>
          <w:lang w:eastAsia="en-GB"/>
        </w:rPr>
        <w:t xml:space="preserve"> (2026). Available at: http://www.cirs-group.com/en/cosmetics/product-information-file-pif (Accessed: 3 June 2026).</w:t>
      </w:r>
    </w:p>
    <w:p w14:paraId="31B36DF4"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Rabitz, F. (2017) ‘Access without benefit-sharing: Design, effectiveness and reform of the FAO Seed Treaty’, </w:t>
      </w:r>
      <w:r w:rsidRPr="00330F71">
        <w:rPr>
          <w:rFonts w:asciiTheme="majorBidi" w:eastAsia="Times New Roman" w:hAnsiTheme="majorBidi" w:cstheme="majorBidi"/>
          <w:i/>
          <w:iCs/>
          <w:lang w:eastAsia="en-GB"/>
        </w:rPr>
        <w:t>International Journal of the Commons</w:t>
      </w:r>
      <w:r w:rsidRPr="00330F71">
        <w:rPr>
          <w:rFonts w:asciiTheme="majorBidi" w:eastAsia="Times New Roman" w:hAnsiTheme="majorBidi" w:cstheme="majorBidi"/>
          <w:lang w:eastAsia="en-GB"/>
        </w:rPr>
        <w:t>, 11(2). Available at: https://doi.org/10.18352/ijc.736.</w:t>
      </w:r>
    </w:p>
    <w:p w14:paraId="4B8E05A7"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Raja, J.Z., Frandsen, T. and Mouritsen, J. (2017) ‘Exploring the managerial dilemmas encountered by advanced analytical equipment providers in developing service-led growth strategies’, </w:t>
      </w:r>
      <w:r w:rsidRPr="00330F71">
        <w:rPr>
          <w:rFonts w:asciiTheme="majorBidi" w:eastAsia="Times New Roman" w:hAnsiTheme="majorBidi" w:cstheme="majorBidi"/>
          <w:i/>
          <w:iCs/>
          <w:lang w:eastAsia="en-GB"/>
        </w:rPr>
        <w:t>International Journal of Production Economics</w:t>
      </w:r>
      <w:r w:rsidRPr="00330F71">
        <w:rPr>
          <w:rFonts w:asciiTheme="majorBidi" w:eastAsia="Times New Roman" w:hAnsiTheme="majorBidi" w:cstheme="majorBidi"/>
          <w:lang w:eastAsia="en-GB"/>
        </w:rPr>
        <w:t>, 192, pp. 120–132. Available at: https://doi.org/10.1016/j.ijpe.2016.12.034.</w:t>
      </w:r>
    </w:p>
    <w:p w14:paraId="227BB39B"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Ranjan, R. (2025) ‘Development of Complex Generics and Similar Biological Products: An Industrial Perspective of Reverse Engineering’, </w:t>
      </w:r>
      <w:r w:rsidRPr="00330F71">
        <w:rPr>
          <w:rFonts w:asciiTheme="majorBidi" w:eastAsia="Times New Roman" w:hAnsiTheme="majorBidi" w:cstheme="majorBidi"/>
          <w:i/>
          <w:iCs/>
          <w:lang w:eastAsia="en-GB"/>
        </w:rPr>
        <w:t>AAPS PharmSciTech</w:t>
      </w:r>
      <w:r w:rsidRPr="00330F71">
        <w:rPr>
          <w:rFonts w:asciiTheme="majorBidi" w:eastAsia="Times New Roman" w:hAnsiTheme="majorBidi" w:cstheme="majorBidi"/>
          <w:lang w:eastAsia="en-GB"/>
        </w:rPr>
        <w:t>, 26(4), p. 95. Available at: https://doi.org/10.1208/s12249-025-03087-7.</w:t>
      </w:r>
    </w:p>
    <w:p w14:paraId="7EA61646" w14:textId="77777777" w:rsidR="00330F71" w:rsidRPr="006D18BD"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val="fr-FR" w:eastAsia="en-GB"/>
        </w:rPr>
      </w:pPr>
      <w:r w:rsidRPr="00330F71">
        <w:rPr>
          <w:rFonts w:asciiTheme="majorBidi" w:eastAsia="Times New Roman" w:hAnsiTheme="majorBidi" w:cstheme="majorBidi"/>
          <w:lang w:eastAsia="en-GB"/>
        </w:rPr>
        <w:t xml:space="preserve">Rao, N. (2016) ‘Do tax credits stimulate R&amp;D spending? The effect of the R&amp;D tax credit in its first decade’, </w:t>
      </w:r>
      <w:r w:rsidRPr="00330F71">
        <w:rPr>
          <w:rFonts w:asciiTheme="majorBidi" w:eastAsia="Times New Roman" w:hAnsiTheme="majorBidi" w:cstheme="majorBidi"/>
          <w:i/>
          <w:iCs/>
          <w:lang w:eastAsia="en-GB"/>
        </w:rPr>
        <w:t>Journal of Public Economics</w:t>
      </w:r>
      <w:r w:rsidRPr="00330F71">
        <w:rPr>
          <w:rFonts w:asciiTheme="majorBidi" w:eastAsia="Times New Roman" w:hAnsiTheme="majorBidi" w:cstheme="majorBidi"/>
          <w:lang w:eastAsia="en-GB"/>
        </w:rPr>
        <w:t xml:space="preserve">, 140, pp. 1–12. </w:t>
      </w:r>
      <w:r w:rsidRPr="006D18BD">
        <w:rPr>
          <w:rFonts w:asciiTheme="majorBidi" w:eastAsia="Times New Roman" w:hAnsiTheme="majorBidi" w:cstheme="majorBidi"/>
          <w:lang w:val="fr-FR" w:eastAsia="en-GB"/>
        </w:rPr>
        <w:t>Available at: https://doi.org/10.1016/j.jpubeco.2016.05.003.</w:t>
      </w:r>
    </w:p>
    <w:p w14:paraId="44B17AE2"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6D18BD">
        <w:rPr>
          <w:rFonts w:asciiTheme="majorBidi" w:eastAsia="Times New Roman" w:hAnsiTheme="majorBidi" w:cstheme="majorBidi"/>
          <w:lang w:val="fr-FR" w:eastAsia="en-GB"/>
        </w:rPr>
        <w:t xml:space="preserve">Rasche, A. </w:t>
      </w:r>
      <w:r w:rsidRPr="006D18BD">
        <w:rPr>
          <w:rFonts w:asciiTheme="majorBidi" w:eastAsia="Times New Roman" w:hAnsiTheme="majorBidi" w:cstheme="majorBidi"/>
          <w:i/>
          <w:iCs/>
          <w:lang w:val="fr-FR" w:eastAsia="en-GB"/>
        </w:rPr>
        <w:t>et al.</w:t>
      </w:r>
      <w:r w:rsidRPr="006D18BD">
        <w:rPr>
          <w:rFonts w:asciiTheme="majorBidi" w:eastAsia="Times New Roman" w:hAnsiTheme="majorBidi" w:cstheme="majorBidi"/>
          <w:lang w:val="fr-FR" w:eastAsia="en-GB"/>
        </w:rPr>
        <w:t xml:space="preserve"> </w:t>
      </w:r>
      <w:r w:rsidRPr="00330F71">
        <w:rPr>
          <w:rFonts w:asciiTheme="majorBidi" w:eastAsia="Times New Roman" w:hAnsiTheme="majorBidi" w:cstheme="majorBidi"/>
          <w:lang w:eastAsia="en-GB"/>
        </w:rPr>
        <w:t xml:space="preserve">(2022) ‘Which firms leave multi-stakeholder initiatives? An analysis of delistings from the United Nations Global Compact’, </w:t>
      </w:r>
      <w:r w:rsidRPr="00330F71">
        <w:rPr>
          <w:rFonts w:asciiTheme="majorBidi" w:eastAsia="Times New Roman" w:hAnsiTheme="majorBidi" w:cstheme="majorBidi"/>
          <w:i/>
          <w:iCs/>
          <w:lang w:eastAsia="en-GB"/>
        </w:rPr>
        <w:t>Regulation &amp; Governance</w:t>
      </w:r>
      <w:r w:rsidRPr="00330F71">
        <w:rPr>
          <w:rFonts w:asciiTheme="majorBidi" w:eastAsia="Times New Roman" w:hAnsiTheme="majorBidi" w:cstheme="majorBidi"/>
          <w:lang w:eastAsia="en-GB"/>
        </w:rPr>
        <w:t>, 16(1), pp. 309–326. Available at: https://doi.org/10.1111/rego.12322.</w:t>
      </w:r>
    </w:p>
    <w:p w14:paraId="67C408E4"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Re3data.Org (2012) ‘GISAID’. re3data.org - Registry of Research Data Repositories. Available at: https://doi.org/10.17616/R3Q59F.</w:t>
      </w:r>
    </w:p>
    <w:p w14:paraId="6695F608"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Richter, F. (2026) </w:t>
      </w:r>
      <w:r w:rsidRPr="00330F71">
        <w:rPr>
          <w:rFonts w:asciiTheme="majorBidi" w:eastAsia="Times New Roman" w:hAnsiTheme="majorBidi" w:cstheme="majorBidi"/>
          <w:i/>
          <w:iCs/>
          <w:lang w:eastAsia="en-GB"/>
        </w:rPr>
        <w:t>Infographic: Big Three Hold Dominant Lead in Accelerating Cloud Market</w:t>
      </w:r>
      <w:r w:rsidRPr="00330F71">
        <w:rPr>
          <w:rFonts w:asciiTheme="majorBidi" w:eastAsia="Times New Roman" w:hAnsiTheme="majorBidi" w:cstheme="majorBidi"/>
          <w:lang w:eastAsia="en-GB"/>
        </w:rPr>
        <w:t xml:space="preserve">, </w:t>
      </w:r>
      <w:r w:rsidRPr="00330F71">
        <w:rPr>
          <w:rFonts w:asciiTheme="majorBidi" w:eastAsia="Times New Roman" w:hAnsiTheme="majorBidi" w:cstheme="majorBidi"/>
          <w:i/>
          <w:iCs/>
          <w:lang w:eastAsia="en-GB"/>
        </w:rPr>
        <w:t>Statista Daily Data</w:t>
      </w:r>
      <w:r w:rsidRPr="00330F71">
        <w:rPr>
          <w:rFonts w:asciiTheme="majorBidi" w:eastAsia="Times New Roman" w:hAnsiTheme="majorBidi" w:cstheme="majorBidi"/>
          <w:lang w:eastAsia="en-GB"/>
        </w:rPr>
        <w:t>. Available at: https://www.statista.com/chart/18819/worldwide-market-share-of-leading-cloud-infrastructure-service-providers (Accessed: 4 June 2026).</w:t>
      </w:r>
    </w:p>
    <w:p w14:paraId="220C7DA1"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lastRenderedPageBreak/>
        <w:t xml:space="preserve">Rotter, A. </w:t>
      </w:r>
      <w:r w:rsidRPr="00330F71">
        <w:rPr>
          <w:rFonts w:asciiTheme="majorBidi" w:eastAsia="Times New Roman" w:hAnsiTheme="majorBidi" w:cstheme="majorBidi"/>
          <w:i/>
          <w:iCs/>
          <w:lang w:eastAsia="en-GB"/>
        </w:rPr>
        <w:t>et al.</w:t>
      </w:r>
      <w:r w:rsidRPr="00330F71">
        <w:rPr>
          <w:rFonts w:asciiTheme="majorBidi" w:eastAsia="Times New Roman" w:hAnsiTheme="majorBidi" w:cstheme="majorBidi"/>
          <w:lang w:eastAsia="en-GB"/>
        </w:rPr>
        <w:t xml:space="preserve"> (2024) ‘Marine cosmetics and the blue bioeconomy: From sourcing to success stories’, </w:t>
      </w:r>
      <w:r w:rsidRPr="00330F71">
        <w:rPr>
          <w:rFonts w:asciiTheme="majorBidi" w:eastAsia="Times New Roman" w:hAnsiTheme="majorBidi" w:cstheme="majorBidi"/>
          <w:i/>
          <w:iCs/>
          <w:lang w:eastAsia="en-GB"/>
        </w:rPr>
        <w:t>iScience</w:t>
      </w:r>
      <w:r w:rsidRPr="00330F71">
        <w:rPr>
          <w:rFonts w:asciiTheme="majorBidi" w:eastAsia="Times New Roman" w:hAnsiTheme="majorBidi" w:cstheme="majorBidi"/>
          <w:lang w:eastAsia="en-GB"/>
        </w:rPr>
        <w:t>, 27(12). Available at: https://doi.org/10.1016/j.isci.2024.111339.</w:t>
      </w:r>
    </w:p>
    <w:p w14:paraId="543C5278"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Rouard, M., Scholz, A.H. and Halewood, M. (2025) ‘Genetic databases in the era of “DSI” benefit-sharing’, </w:t>
      </w:r>
      <w:r w:rsidRPr="00330F71">
        <w:rPr>
          <w:rFonts w:asciiTheme="majorBidi" w:eastAsia="Times New Roman" w:hAnsiTheme="majorBidi" w:cstheme="majorBidi"/>
          <w:i/>
          <w:iCs/>
          <w:lang w:eastAsia="en-GB"/>
        </w:rPr>
        <w:t>Trends in Genetics</w:t>
      </w:r>
      <w:r w:rsidRPr="00330F71">
        <w:rPr>
          <w:rFonts w:asciiTheme="majorBidi" w:eastAsia="Times New Roman" w:hAnsiTheme="majorBidi" w:cstheme="majorBidi"/>
          <w:lang w:eastAsia="en-GB"/>
        </w:rPr>
        <w:t>, 41(6), pp. 451–455. Available at: https://doi.org/10.1016/j.tig.2025.03.004.</w:t>
      </w:r>
    </w:p>
    <w:p w14:paraId="29349C4A"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Rourke, M.F. (2019) ‘Access by Design, Benefits if Convenient: A Closer Look at the Pandemic Influenza Preparedness Framework’s Standard Material Transfer Agreements’, </w:t>
      </w:r>
      <w:r w:rsidRPr="00330F71">
        <w:rPr>
          <w:rFonts w:asciiTheme="majorBidi" w:eastAsia="Times New Roman" w:hAnsiTheme="majorBidi" w:cstheme="majorBidi"/>
          <w:i/>
          <w:iCs/>
          <w:lang w:eastAsia="en-GB"/>
        </w:rPr>
        <w:t>The Milbank Quarterly</w:t>
      </w:r>
      <w:r w:rsidRPr="00330F71">
        <w:rPr>
          <w:rFonts w:asciiTheme="majorBidi" w:eastAsia="Times New Roman" w:hAnsiTheme="majorBidi" w:cstheme="majorBidi"/>
          <w:lang w:eastAsia="en-GB"/>
        </w:rPr>
        <w:t>, 97(1), pp. 91–112. Available at: https://doi.org/10.1111/1468-0009.12364.</w:t>
      </w:r>
    </w:p>
    <w:p w14:paraId="625C7C6D"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Sahay, S.A. (2013) ‘Financial Control and Transfer Pricing’, </w:t>
      </w:r>
      <w:r w:rsidRPr="00330F71">
        <w:rPr>
          <w:rFonts w:asciiTheme="majorBidi" w:eastAsia="Times New Roman" w:hAnsiTheme="majorBidi" w:cstheme="majorBidi"/>
          <w:i/>
          <w:iCs/>
          <w:lang w:eastAsia="en-GB"/>
        </w:rPr>
        <w:t>Encyclopedia of Finance</w:t>
      </w:r>
      <w:r w:rsidRPr="00330F71">
        <w:rPr>
          <w:rFonts w:asciiTheme="majorBidi" w:eastAsia="Times New Roman" w:hAnsiTheme="majorBidi" w:cstheme="majorBidi"/>
          <w:lang w:eastAsia="en-GB"/>
        </w:rPr>
        <w:t>. Springer, Boston, MA, pp. 783–794. Available at: https://doi.org/10.1007/978-1-4614-5360-4_67.</w:t>
      </w:r>
    </w:p>
    <w:p w14:paraId="111E4E9F"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Schmidt, J. and Steingress, W. (2022) ‘No double standards: Quantifying the impact of standard harmonization on trade’, </w:t>
      </w:r>
      <w:r w:rsidRPr="00330F71">
        <w:rPr>
          <w:rFonts w:asciiTheme="majorBidi" w:eastAsia="Times New Roman" w:hAnsiTheme="majorBidi" w:cstheme="majorBidi"/>
          <w:i/>
          <w:iCs/>
          <w:lang w:eastAsia="en-GB"/>
        </w:rPr>
        <w:t>Journal of International Economics</w:t>
      </w:r>
      <w:r w:rsidRPr="00330F71">
        <w:rPr>
          <w:rFonts w:asciiTheme="majorBidi" w:eastAsia="Times New Roman" w:hAnsiTheme="majorBidi" w:cstheme="majorBidi"/>
          <w:lang w:eastAsia="en-GB"/>
        </w:rPr>
        <w:t>, 137, p. 103619. Available at: https://doi.org/10.1016/j.jinteco.2022.103619.</w:t>
      </w:r>
    </w:p>
    <w:p w14:paraId="52BAE840" w14:textId="77777777" w:rsidR="00330F71" w:rsidRPr="006D18BD"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val="fr-FR" w:eastAsia="en-GB"/>
        </w:rPr>
      </w:pPr>
      <w:r w:rsidRPr="00330F71">
        <w:rPr>
          <w:rFonts w:asciiTheme="majorBidi" w:eastAsia="Times New Roman" w:hAnsiTheme="majorBidi" w:cstheme="majorBidi"/>
          <w:lang w:eastAsia="en-GB"/>
        </w:rPr>
        <w:t xml:space="preserve">Scholz, A.H. </w:t>
      </w:r>
      <w:r w:rsidRPr="00330F71">
        <w:rPr>
          <w:rFonts w:asciiTheme="majorBidi" w:eastAsia="Times New Roman" w:hAnsiTheme="majorBidi" w:cstheme="majorBidi"/>
          <w:i/>
          <w:iCs/>
          <w:lang w:eastAsia="en-GB"/>
        </w:rPr>
        <w:t>et al.</w:t>
      </w:r>
      <w:r w:rsidRPr="00330F71">
        <w:rPr>
          <w:rFonts w:asciiTheme="majorBidi" w:eastAsia="Times New Roman" w:hAnsiTheme="majorBidi" w:cstheme="majorBidi"/>
          <w:lang w:eastAsia="en-GB"/>
        </w:rPr>
        <w:t xml:space="preserve"> (2022) ‘Multilateral benefit-sharing from digital sequence information will support both science and biodiversity conservation’, </w:t>
      </w:r>
      <w:r w:rsidRPr="00330F71">
        <w:rPr>
          <w:rFonts w:asciiTheme="majorBidi" w:eastAsia="Times New Roman" w:hAnsiTheme="majorBidi" w:cstheme="majorBidi"/>
          <w:i/>
          <w:iCs/>
          <w:lang w:eastAsia="en-GB"/>
        </w:rPr>
        <w:t>Nature Communications</w:t>
      </w:r>
      <w:r w:rsidRPr="00330F71">
        <w:rPr>
          <w:rFonts w:asciiTheme="majorBidi" w:eastAsia="Times New Roman" w:hAnsiTheme="majorBidi" w:cstheme="majorBidi"/>
          <w:lang w:eastAsia="en-GB"/>
        </w:rPr>
        <w:t xml:space="preserve">, 13(1), p. 1086. </w:t>
      </w:r>
      <w:r w:rsidRPr="006D18BD">
        <w:rPr>
          <w:rFonts w:asciiTheme="majorBidi" w:eastAsia="Times New Roman" w:hAnsiTheme="majorBidi" w:cstheme="majorBidi"/>
          <w:lang w:val="fr-FR" w:eastAsia="en-GB"/>
        </w:rPr>
        <w:t>Available at: https://doi.org/10.1038/s41467-022-28594-0.</w:t>
      </w:r>
    </w:p>
    <w:p w14:paraId="676CCBD2" w14:textId="77777777" w:rsidR="00330F71" w:rsidRPr="006D18BD"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val="fr-FR" w:eastAsia="en-GB"/>
        </w:rPr>
      </w:pPr>
      <w:r w:rsidRPr="006D18BD">
        <w:rPr>
          <w:rFonts w:asciiTheme="majorBidi" w:eastAsia="Times New Roman" w:hAnsiTheme="majorBidi" w:cstheme="majorBidi"/>
          <w:lang w:val="fr-FR" w:eastAsia="en-GB"/>
        </w:rPr>
        <w:t xml:space="preserve">Schreinemachers, P. </w:t>
      </w:r>
      <w:r w:rsidRPr="006D18BD">
        <w:rPr>
          <w:rFonts w:asciiTheme="majorBidi" w:eastAsia="Times New Roman" w:hAnsiTheme="majorBidi" w:cstheme="majorBidi"/>
          <w:i/>
          <w:iCs/>
          <w:lang w:val="fr-FR" w:eastAsia="en-GB"/>
        </w:rPr>
        <w:t>et al.</w:t>
      </w:r>
      <w:r w:rsidRPr="006D18BD">
        <w:rPr>
          <w:rFonts w:asciiTheme="majorBidi" w:eastAsia="Times New Roman" w:hAnsiTheme="majorBidi" w:cstheme="majorBidi"/>
          <w:lang w:val="fr-FR" w:eastAsia="en-GB"/>
        </w:rPr>
        <w:t xml:space="preserve"> </w:t>
      </w:r>
      <w:r w:rsidRPr="00330F71">
        <w:rPr>
          <w:rFonts w:asciiTheme="majorBidi" w:eastAsia="Times New Roman" w:hAnsiTheme="majorBidi" w:cstheme="majorBidi"/>
          <w:lang w:eastAsia="en-GB"/>
        </w:rPr>
        <w:t xml:space="preserve">(2021) ‘Africa’s evolving vegetable seed sector: status, policy options and lessons from Asia’, </w:t>
      </w:r>
      <w:r w:rsidRPr="00330F71">
        <w:rPr>
          <w:rFonts w:asciiTheme="majorBidi" w:eastAsia="Times New Roman" w:hAnsiTheme="majorBidi" w:cstheme="majorBidi"/>
          <w:i/>
          <w:iCs/>
          <w:lang w:eastAsia="en-GB"/>
        </w:rPr>
        <w:t>Food Security</w:t>
      </w:r>
      <w:r w:rsidRPr="00330F71">
        <w:rPr>
          <w:rFonts w:asciiTheme="majorBidi" w:eastAsia="Times New Roman" w:hAnsiTheme="majorBidi" w:cstheme="majorBidi"/>
          <w:lang w:eastAsia="en-GB"/>
        </w:rPr>
        <w:t xml:space="preserve">, 13(3), pp. 511–523. </w:t>
      </w:r>
      <w:r w:rsidRPr="006D18BD">
        <w:rPr>
          <w:rFonts w:asciiTheme="majorBidi" w:eastAsia="Times New Roman" w:hAnsiTheme="majorBidi" w:cstheme="majorBidi"/>
          <w:lang w:val="fr-FR" w:eastAsia="en-GB"/>
        </w:rPr>
        <w:t>Available at: https://doi.org/10.1007/s12571-021-01146-y.</w:t>
      </w:r>
    </w:p>
    <w:p w14:paraId="53D418B2"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6D18BD">
        <w:rPr>
          <w:rFonts w:asciiTheme="majorBidi" w:eastAsia="Times New Roman" w:hAnsiTheme="majorBidi" w:cstheme="majorBidi"/>
          <w:lang w:val="fr-FR" w:eastAsia="en-GB"/>
        </w:rPr>
        <w:t xml:space="preserve">Schwarze, K. </w:t>
      </w:r>
      <w:r w:rsidRPr="006D18BD">
        <w:rPr>
          <w:rFonts w:asciiTheme="majorBidi" w:eastAsia="Times New Roman" w:hAnsiTheme="majorBidi" w:cstheme="majorBidi"/>
          <w:i/>
          <w:iCs/>
          <w:lang w:val="fr-FR" w:eastAsia="en-GB"/>
        </w:rPr>
        <w:t>et al.</w:t>
      </w:r>
      <w:r w:rsidRPr="006D18BD">
        <w:rPr>
          <w:rFonts w:asciiTheme="majorBidi" w:eastAsia="Times New Roman" w:hAnsiTheme="majorBidi" w:cstheme="majorBidi"/>
          <w:lang w:val="fr-FR" w:eastAsia="en-GB"/>
        </w:rPr>
        <w:t xml:space="preserve"> </w:t>
      </w:r>
      <w:r w:rsidRPr="00330F71">
        <w:rPr>
          <w:rFonts w:asciiTheme="majorBidi" w:eastAsia="Times New Roman" w:hAnsiTheme="majorBidi" w:cstheme="majorBidi"/>
          <w:lang w:eastAsia="en-GB"/>
        </w:rPr>
        <w:t xml:space="preserve">(2020) ‘The complete costs of genome sequencing: a microcosting study in cancer and rare diseases from a single center in the United Kingdom’, </w:t>
      </w:r>
      <w:r w:rsidRPr="00330F71">
        <w:rPr>
          <w:rFonts w:asciiTheme="majorBidi" w:eastAsia="Times New Roman" w:hAnsiTheme="majorBidi" w:cstheme="majorBidi"/>
          <w:i/>
          <w:iCs/>
          <w:lang w:eastAsia="en-GB"/>
        </w:rPr>
        <w:t>Genetics in Medicine</w:t>
      </w:r>
      <w:r w:rsidRPr="00330F71">
        <w:rPr>
          <w:rFonts w:asciiTheme="majorBidi" w:eastAsia="Times New Roman" w:hAnsiTheme="majorBidi" w:cstheme="majorBidi"/>
          <w:lang w:eastAsia="en-GB"/>
        </w:rPr>
        <w:t>, 22(1), pp. 85–94. Available at: https://doi.org/10.1038/s41436-019-0618-7.</w:t>
      </w:r>
    </w:p>
    <w:p w14:paraId="0AC4439A"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Sebele-Mpofu, F., Mashiri, E. and Schwartz, S.C. (2021) ‘An exposition of transfer pricing motives, strategies and their implementation in tax avoidance by MNEs in developing countries’, </w:t>
      </w:r>
      <w:r w:rsidRPr="00330F71">
        <w:rPr>
          <w:rFonts w:asciiTheme="majorBidi" w:eastAsia="Times New Roman" w:hAnsiTheme="majorBidi" w:cstheme="majorBidi"/>
          <w:i/>
          <w:iCs/>
          <w:lang w:eastAsia="en-GB"/>
        </w:rPr>
        <w:t>Cogent Business &amp; Management</w:t>
      </w:r>
      <w:r w:rsidRPr="00330F71">
        <w:rPr>
          <w:rFonts w:asciiTheme="majorBidi" w:eastAsia="Times New Roman" w:hAnsiTheme="majorBidi" w:cstheme="majorBidi"/>
          <w:lang w:eastAsia="en-GB"/>
        </w:rPr>
        <w:t>. Edited by C.G. Ntim, 8(1), p. 1944007. Available at: https://doi.org/10.1080/23311975.2021.1944007.</w:t>
      </w:r>
    </w:p>
    <w:p w14:paraId="266223BE"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val="nb-NO" w:eastAsia="en-GB"/>
        </w:rPr>
        <w:t xml:space="preserve">Sedita, S.R. </w:t>
      </w:r>
      <w:r w:rsidRPr="00330F71">
        <w:rPr>
          <w:rFonts w:asciiTheme="majorBidi" w:eastAsia="Times New Roman" w:hAnsiTheme="majorBidi" w:cstheme="majorBidi"/>
          <w:i/>
          <w:iCs/>
          <w:lang w:val="nb-NO" w:eastAsia="en-GB"/>
        </w:rPr>
        <w:t>et al.</w:t>
      </w:r>
      <w:r w:rsidRPr="00330F71">
        <w:rPr>
          <w:rFonts w:asciiTheme="majorBidi" w:eastAsia="Times New Roman" w:hAnsiTheme="majorBidi" w:cstheme="majorBidi"/>
          <w:lang w:val="nb-NO" w:eastAsia="en-GB"/>
        </w:rPr>
        <w:t xml:space="preserve"> </w:t>
      </w:r>
      <w:r w:rsidRPr="00330F71">
        <w:rPr>
          <w:rFonts w:asciiTheme="majorBidi" w:eastAsia="Times New Roman" w:hAnsiTheme="majorBidi" w:cstheme="majorBidi"/>
          <w:lang w:eastAsia="en-GB"/>
        </w:rPr>
        <w:t xml:space="preserve">(2021) ‘The technological acquisitions paradox in the beauty industry’, </w:t>
      </w:r>
      <w:r w:rsidRPr="00330F71">
        <w:rPr>
          <w:rFonts w:asciiTheme="majorBidi" w:eastAsia="Times New Roman" w:hAnsiTheme="majorBidi" w:cstheme="majorBidi"/>
          <w:i/>
          <w:iCs/>
          <w:lang w:eastAsia="en-GB"/>
        </w:rPr>
        <w:t>European Journal of Innovation Management</w:t>
      </w:r>
      <w:r w:rsidRPr="00330F71">
        <w:rPr>
          <w:rFonts w:asciiTheme="majorBidi" w:eastAsia="Times New Roman" w:hAnsiTheme="majorBidi" w:cstheme="majorBidi"/>
          <w:lang w:eastAsia="en-GB"/>
        </w:rPr>
        <w:t>, 25(6), pp. 393–412. Available at: https://doi.org/10.1108/EJIM-05-2021-0235.</w:t>
      </w:r>
    </w:p>
    <w:p w14:paraId="1E01FDBA"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Segerson, K. and Miceli, T.J. (1998) ‘Voluntary Environmental Agreements: Good or Bad News for Environmental Protection?’, </w:t>
      </w:r>
      <w:r w:rsidRPr="00330F71">
        <w:rPr>
          <w:rFonts w:asciiTheme="majorBidi" w:eastAsia="Times New Roman" w:hAnsiTheme="majorBidi" w:cstheme="majorBidi"/>
          <w:i/>
          <w:iCs/>
          <w:lang w:eastAsia="en-GB"/>
        </w:rPr>
        <w:t>Journal of Environmental Economics and Management</w:t>
      </w:r>
      <w:r w:rsidRPr="00330F71">
        <w:rPr>
          <w:rFonts w:asciiTheme="majorBidi" w:eastAsia="Times New Roman" w:hAnsiTheme="majorBidi" w:cstheme="majorBidi"/>
          <w:lang w:eastAsia="en-GB"/>
        </w:rPr>
        <w:t>, 36(2), pp. 109–130. Available at: https://doi.org/10.1006/jeem.1998.1040.</w:t>
      </w:r>
    </w:p>
    <w:p w14:paraId="4D6F89E8" w14:textId="77777777" w:rsidR="00330F71" w:rsidRPr="006D18BD"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val="fr-FR" w:eastAsia="en-GB"/>
        </w:rPr>
      </w:pPr>
      <w:r w:rsidRPr="00330F71">
        <w:rPr>
          <w:rFonts w:asciiTheme="majorBidi" w:eastAsia="Times New Roman" w:hAnsiTheme="majorBidi" w:cstheme="majorBidi"/>
          <w:lang w:eastAsia="en-GB"/>
        </w:rPr>
        <w:t xml:space="preserve">Senior, M. (2023) ‘Fresh from the biotech pipeline: fewer approvals, but biologics gain share’, </w:t>
      </w:r>
      <w:r w:rsidRPr="00330F71">
        <w:rPr>
          <w:rFonts w:asciiTheme="majorBidi" w:eastAsia="Times New Roman" w:hAnsiTheme="majorBidi" w:cstheme="majorBidi"/>
          <w:i/>
          <w:iCs/>
          <w:lang w:eastAsia="en-GB"/>
        </w:rPr>
        <w:t>Nature Biotechnology</w:t>
      </w:r>
      <w:r w:rsidRPr="00330F71">
        <w:rPr>
          <w:rFonts w:asciiTheme="majorBidi" w:eastAsia="Times New Roman" w:hAnsiTheme="majorBidi" w:cstheme="majorBidi"/>
          <w:lang w:eastAsia="en-GB"/>
        </w:rPr>
        <w:t xml:space="preserve">, 41(2), pp. 174–182. </w:t>
      </w:r>
      <w:r w:rsidRPr="006D18BD">
        <w:rPr>
          <w:rFonts w:asciiTheme="majorBidi" w:eastAsia="Times New Roman" w:hAnsiTheme="majorBidi" w:cstheme="majorBidi"/>
          <w:lang w:val="fr-FR" w:eastAsia="en-GB"/>
        </w:rPr>
        <w:t>Available at: https://doi.org/10.1038/s41587-022-01630-6.</w:t>
      </w:r>
    </w:p>
    <w:p w14:paraId="4B0A721B"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6D18BD">
        <w:rPr>
          <w:rFonts w:asciiTheme="majorBidi" w:eastAsia="Times New Roman" w:hAnsiTheme="majorBidi" w:cstheme="majorBidi"/>
          <w:lang w:val="fr-FR" w:eastAsia="en-GB"/>
        </w:rPr>
        <w:t xml:space="preserve">Sett, S. </w:t>
      </w:r>
      <w:r w:rsidRPr="006D18BD">
        <w:rPr>
          <w:rFonts w:asciiTheme="majorBidi" w:eastAsia="Times New Roman" w:hAnsiTheme="majorBidi" w:cstheme="majorBidi"/>
          <w:i/>
          <w:iCs/>
          <w:lang w:val="fr-FR" w:eastAsia="en-GB"/>
        </w:rPr>
        <w:t>et al.</w:t>
      </w:r>
      <w:r w:rsidRPr="006D18BD">
        <w:rPr>
          <w:rFonts w:asciiTheme="majorBidi" w:eastAsia="Times New Roman" w:hAnsiTheme="majorBidi" w:cstheme="majorBidi"/>
          <w:lang w:val="fr-FR" w:eastAsia="en-GB"/>
        </w:rPr>
        <w:t xml:space="preserve"> </w:t>
      </w:r>
      <w:r w:rsidRPr="00330F71">
        <w:rPr>
          <w:rFonts w:asciiTheme="majorBidi" w:eastAsia="Times New Roman" w:hAnsiTheme="majorBidi" w:cstheme="majorBidi"/>
          <w:lang w:eastAsia="en-GB"/>
        </w:rPr>
        <w:t xml:space="preserve">(2024) ‘Harmonize rules for digital sequence information benefit-sharing across UN frameworks’, </w:t>
      </w:r>
      <w:r w:rsidRPr="00330F71">
        <w:rPr>
          <w:rFonts w:asciiTheme="majorBidi" w:eastAsia="Times New Roman" w:hAnsiTheme="majorBidi" w:cstheme="majorBidi"/>
          <w:i/>
          <w:iCs/>
          <w:lang w:eastAsia="en-GB"/>
        </w:rPr>
        <w:t>Nature Communications</w:t>
      </w:r>
      <w:r w:rsidRPr="00330F71">
        <w:rPr>
          <w:rFonts w:asciiTheme="majorBidi" w:eastAsia="Times New Roman" w:hAnsiTheme="majorBidi" w:cstheme="majorBidi"/>
          <w:lang w:eastAsia="en-GB"/>
        </w:rPr>
        <w:t>, 15(1), p. 8745. Available at: https://doi.org/10.1038/s41467-024-52994-z.</w:t>
      </w:r>
    </w:p>
    <w:p w14:paraId="6AC85411"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Shaikh, M., Del Giudice, P. and Kourouklis, D. (2021) ‘Revisiting the Relationship Between Price Regulation and Pharmaceutical R&amp;D Investment’, </w:t>
      </w:r>
      <w:r w:rsidRPr="00330F71">
        <w:rPr>
          <w:rFonts w:asciiTheme="majorBidi" w:eastAsia="Times New Roman" w:hAnsiTheme="majorBidi" w:cstheme="majorBidi"/>
          <w:i/>
          <w:iCs/>
          <w:lang w:eastAsia="en-GB"/>
        </w:rPr>
        <w:t>Applied Health Economics and Health Policy</w:t>
      </w:r>
      <w:r w:rsidRPr="00330F71">
        <w:rPr>
          <w:rFonts w:asciiTheme="majorBidi" w:eastAsia="Times New Roman" w:hAnsiTheme="majorBidi" w:cstheme="majorBidi"/>
          <w:lang w:eastAsia="en-GB"/>
        </w:rPr>
        <w:t>, 19(2), pp. 217–229. Available at: https://doi.org/10.1007/s40258-020-00601-9.</w:t>
      </w:r>
    </w:p>
    <w:p w14:paraId="224DFD59"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lastRenderedPageBreak/>
        <w:t xml:space="preserve">Shehata, H.R. and Newmaster, S.G. (2020) ‘Combined Targeted and Non-targeted PCR Based Methods Reveal High Levels of Compliance in Probiotic Products Sold as Dietary Supplements in United States and Canada’, </w:t>
      </w:r>
      <w:r w:rsidRPr="00330F71">
        <w:rPr>
          <w:rFonts w:asciiTheme="majorBidi" w:eastAsia="Times New Roman" w:hAnsiTheme="majorBidi" w:cstheme="majorBidi"/>
          <w:i/>
          <w:iCs/>
          <w:lang w:eastAsia="en-GB"/>
        </w:rPr>
        <w:t>Frontiers in Microbiology</w:t>
      </w:r>
      <w:r w:rsidRPr="00330F71">
        <w:rPr>
          <w:rFonts w:asciiTheme="majorBidi" w:eastAsia="Times New Roman" w:hAnsiTheme="majorBidi" w:cstheme="majorBidi"/>
          <w:lang w:eastAsia="en-GB"/>
        </w:rPr>
        <w:t>, 11. Available at: https://doi.org/10.3389/fmicb.2020.01095.</w:t>
      </w:r>
    </w:p>
    <w:p w14:paraId="24FD0BD6"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B5C01">
        <w:rPr>
          <w:rFonts w:asciiTheme="majorBidi" w:eastAsia="Times New Roman" w:hAnsiTheme="majorBidi" w:cstheme="majorBidi"/>
          <w:lang w:val="en-US" w:eastAsia="en-GB"/>
        </w:rPr>
        <w:t xml:space="preserve">Shipkowski, K.A. </w:t>
      </w:r>
      <w:r w:rsidRPr="003B5C01">
        <w:rPr>
          <w:rFonts w:asciiTheme="majorBidi" w:eastAsia="Times New Roman" w:hAnsiTheme="majorBidi" w:cstheme="majorBidi"/>
          <w:i/>
          <w:iCs/>
          <w:lang w:val="en-US" w:eastAsia="en-GB"/>
        </w:rPr>
        <w:t>et al.</w:t>
      </w:r>
      <w:r w:rsidRPr="003B5C01">
        <w:rPr>
          <w:rFonts w:asciiTheme="majorBidi" w:eastAsia="Times New Roman" w:hAnsiTheme="majorBidi" w:cstheme="majorBidi"/>
          <w:lang w:val="en-US" w:eastAsia="en-GB"/>
        </w:rPr>
        <w:t xml:space="preserve"> </w:t>
      </w:r>
      <w:r w:rsidRPr="00330F71">
        <w:rPr>
          <w:rFonts w:asciiTheme="majorBidi" w:eastAsia="Times New Roman" w:hAnsiTheme="majorBidi" w:cstheme="majorBidi"/>
          <w:lang w:eastAsia="en-GB"/>
        </w:rPr>
        <w:t xml:space="preserve">(2018) ‘Naturally complex: Perspectives and challenges associated with Botanical Dietary Supplement Safety assessment’, </w:t>
      </w:r>
      <w:r w:rsidRPr="00330F71">
        <w:rPr>
          <w:rFonts w:asciiTheme="majorBidi" w:eastAsia="Times New Roman" w:hAnsiTheme="majorBidi" w:cstheme="majorBidi"/>
          <w:i/>
          <w:iCs/>
          <w:lang w:eastAsia="en-GB"/>
        </w:rPr>
        <w:t>Food and Chemical Toxicology</w:t>
      </w:r>
      <w:r w:rsidRPr="00330F71">
        <w:rPr>
          <w:rFonts w:asciiTheme="majorBidi" w:eastAsia="Times New Roman" w:hAnsiTheme="majorBidi" w:cstheme="majorBidi"/>
          <w:lang w:eastAsia="en-GB"/>
        </w:rPr>
        <w:t>, 118, pp. 963–971. Available at: https://doi.org/10.1016/j.fct.2018.04.007.</w:t>
      </w:r>
    </w:p>
    <w:p w14:paraId="1ABBD5AE" w14:textId="77777777" w:rsidR="00330F71" w:rsidRPr="006D18BD"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val="fr-FR" w:eastAsia="en-GB"/>
        </w:rPr>
      </w:pPr>
      <w:r w:rsidRPr="00330F71">
        <w:rPr>
          <w:rFonts w:asciiTheme="majorBidi" w:eastAsia="Times New Roman" w:hAnsiTheme="majorBidi" w:cstheme="majorBidi"/>
          <w:lang w:eastAsia="en-GB"/>
        </w:rPr>
        <w:t xml:space="preserve">Short, J.L. and Toffel, M.W. (2008) ‘Coerced Confessions: Self-Policing in the Shadow of the Regulator’, </w:t>
      </w:r>
      <w:r w:rsidRPr="00330F71">
        <w:rPr>
          <w:rFonts w:asciiTheme="majorBidi" w:eastAsia="Times New Roman" w:hAnsiTheme="majorBidi" w:cstheme="majorBidi"/>
          <w:i/>
          <w:iCs/>
          <w:lang w:eastAsia="en-GB"/>
        </w:rPr>
        <w:t>The Journal of Law, Economics, and Organization</w:t>
      </w:r>
      <w:r w:rsidRPr="00330F71">
        <w:rPr>
          <w:rFonts w:asciiTheme="majorBidi" w:eastAsia="Times New Roman" w:hAnsiTheme="majorBidi" w:cstheme="majorBidi"/>
          <w:lang w:eastAsia="en-GB"/>
        </w:rPr>
        <w:t xml:space="preserve">, 24(1), pp. 45–71. </w:t>
      </w:r>
      <w:r w:rsidRPr="006D18BD">
        <w:rPr>
          <w:rFonts w:asciiTheme="majorBidi" w:eastAsia="Times New Roman" w:hAnsiTheme="majorBidi" w:cstheme="majorBidi"/>
          <w:lang w:val="fr-FR" w:eastAsia="en-GB"/>
        </w:rPr>
        <w:t>Available at: https://doi.org/10.1093/jleo/ewm039.</w:t>
      </w:r>
    </w:p>
    <w:p w14:paraId="33012BE2" w14:textId="77777777" w:rsidR="00330F71" w:rsidRPr="006D18BD"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val="fr-FR" w:eastAsia="en-GB"/>
        </w:rPr>
      </w:pPr>
      <w:r w:rsidRPr="006D18BD">
        <w:rPr>
          <w:rFonts w:asciiTheme="majorBidi" w:eastAsia="Times New Roman" w:hAnsiTheme="majorBidi" w:cstheme="majorBidi"/>
          <w:lang w:val="fr-FR" w:eastAsia="en-GB"/>
        </w:rPr>
        <w:t xml:space="preserve">Silva, S. </w:t>
      </w:r>
      <w:r w:rsidRPr="006D18BD">
        <w:rPr>
          <w:rFonts w:asciiTheme="majorBidi" w:eastAsia="Times New Roman" w:hAnsiTheme="majorBidi" w:cstheme="majorBidi"/>
          <w:i/>
          <w:iCs/>
          <w:lang w:val="fr-FR" w:eastAsia="en-GB"/>
        </w:rPr>
        <w:t>et al.</w:t>
      </w:r>
      <w:r w:rsidRPr="006D18BD">
        <w:rPr>
          <w:rFonts w:asciiTheme="majorBidi" w:eastAsia="Times New Roman" w:hAnsiTheme="majorBidi" w:cstheme="majorBidi"/>
          <w:lang w:val="fr-FR" w:eastAsia="en-GB"/>
        </w:rPr>
        <w:t xml:space="preserve"> </w:t>
      </w:r>
      <w:r w:rsidRPr="00330F71">
        <w:rPr>
          <w:rFonts w:asciiTheme="majorBidi" w:eastAsia="Times New Roman" w:hAnsiTheme="majorBidi" w:cstheme="majorBidi"/>
          <w:lang w:eastAsia="en-GB"/>
        </w:rPr>
        <w:t xml:space="preserve">(2025a) ‘Precision Fermentation as a Tool for Sustainable Cosmetic Ingredient Production’, </w:t>
      </w:r>
      <w:r w:rsidRPr="00330F71">
        <w:rPr>
          <w:rFonts w:asciiTheme="majorBidi" w:eastAsia="Times New Roman" w:hAnsiTheme="majorBidi" w:cstheme="majorBidi"/>
          <w:i/>
          <w:iCs/>
          <w:lang w:eastAsia="en-GB"/>
        </w:rPr>
        <w:t>Applied Sciences</w:t>
      </w:r>
      <w:r w:rsidRPr="00330F71">
        <w:rPr>
          <w:rFonts w:asciiTheme="majorBidi" w:eastAsia="Times New Roman" w:hAnsiTheme="majorBidi" w:cstheme="majorBidi"/>
          <w:lang w:eastAsia="en-GB"/>
        </w:rPr>
        <w:t xml:space="preserve">, 15(17), p. 9246. </w:t>
      </w:r>
      <w:r w:rsidRPr="006D18BD">
        <w:rPr>
          <w:rFonts w:asciiTheme="majorBidi" w:eastAsia="Times New Roman" w:hAnsiTheme="majorBidi" w:cstheme="majorBidi"/>
          <w:lang w:val="fr-FR" w:eastAsia="en-GB"/>
        </w:rPr>
        <w:t>Available at: https://doi.org/10.3390/app15179246.</w:t>
      </w:r>
    </w:p>
    <w:p w14:paraId="4EFD555E"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6D18BD">
        <w:rPr>
          <w:rFonts w:asciiTheme="majorBidi" w:eastAsia="Times New Roman" w:hAnsiTheme="majorBidi" w:cstheme="majorBidi"/>
          <w:lang w:val="fr-FR" w:eastAsia="en-GB"/>
        </w:rPr>
        <w:t xml:space="preserve">Silva, S. </w:t>
      </w:r>
      <w:r w:rsidRPr="006D18BD">
        <w:rPr>
          <w:rFonts w:asciiTheme="majorBidi" w:eastAsia="Times New Roman" w:hAnsiTheme="majorBidi" w:cstheme="majorBidi"/>
          <w:i/>
          <w:iCs/>
          <w:lang w:val="fr-FR" w:eastAsia="en-GB"/>
        </w:rPr>
        <w:t>et al.</w:t>
      </w:r>
      <w:r w:rsidRPr="006D18BD">
        <w:rPr>
          <w:rFonts w:asciiTheme="majorBidi" w:eastAsia="Times New Roman" w:hAnsiTheme="majorBidi" w:cstheme="majorBidi"/>
          <w:lang w:val="fr-FR" w:eastAsia="en-GB"/>
        </w:rPr>
        <w:t xml:space="preserve"> </w:t>
      </w:r>
      <w:r w:rsidRPr="00330F71">
        <w:rPr>
          <w:rFonts w:asciiTheme="majorBidi" w:eastAsia="Times New Roman" w:hAnsiTheme="majorBidi" w:cstheme="majorBidi"/>
          <w:lang w:eastAsia="en-GB"/>
        </w:rPr>
        <w:t xml:space="preserve">(2025b) ‘Precision Fermentation as a Tool for Sustainable Cosmetic Ingredient Production’, </w:t>
      </w:r>
      <w:r w:rsidRPr="00330F71">
        <w:rPr>
          <w:rFonts w:asciiTheme="majorBidi" w:eastAsia="Times New Roman" w:hAnsiTheme="majorBidi" w:cstheme="majorBidi"/>
          <w:i/>
          <w:iCs/>
          <w:lang w:eastAsia="en-GB"/>
        </w:rPr>
        <w:t>Applied Sciences</w:t>
      </w:r>
      <w:r w:rsidRPr="00330F71">
        <w:rPr>
          <w:rFonts w:asciiTheme="majorBidi" w:eastAsia="Times New Roman" w:hAnsiTheme="majorBidi" w:cstheme="majorBidi"/>
          <w:lang w:eastAsia="en-GB"/>
        </w:rPr>
        <w:t>, 15(17), p. 9246. Available at: https://doi.org/10.3390/app15179246.</w:t>
      </w:r>
    </w:p>
    <w:p w14:paraId="67C0CFF0" w14:textId="77777777" w:rsidR="00330F71" w:rsidRPr="006D18BD"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val="fr-FR" w:eastAsia="en-GB"/>
        </w:rPr>
      </w:pPr>
      <w:r w:rsidRPr="00330F71">
        <w:rPr>
          <w:rFonts w:asciiTheme="majorBidi" w:eastAsia="Times New Roman" w:hAnsiTheme="majorBidi" w:cstheme="majorBidi"/>
          <w:lang w:eastAsia="en-GB"/>
        </w:rPr>
        <w:t xml:space="preserve">Sirakaya, A. (2019) ‘Balanced Options for Access and Benefit-Sharing: Stakeholder Insights on Provider Country Legislation’, </w:t>
      </w:r>
      <w:r w:rsidRPr="00330F71">
        <w:rPr>
          <w:rFonts w:asciiTheme="majorBidi" w:eastAsia="Times New Roman" w:hAnsiTheme="majorBidi" w:cstheme="majorBidi"/>
          <w:i/>
          <w:iCs/>
          <w:lang w:eastAsia="en-GB"/>
        </w:rPr>
        <w:t>Frontiers in Plant Science</w:t>
      </w:r>
      <w:r w:rsidRPr="00330F71">
        <w:rPr>
          <w:rFonts w:asciiTheme="majorBidi" w:eastAsia="Times New Roman" w:hAnsiTheme="majorBidi" w:cstheme="majorBidi"/>
          <w:lang w:eastAsia="en-GB"/>
        </w:rPr>
        <w:t xml:space="preserve">, 10. </w:t>
      </w:r>
      <w:r w:rsidRPr="006D18BD">
        <w:rPr>
          <w:rFonts w:asciiTheme="majorBidi" w:eastAsia="Times New Roman" w:hAnsiTheme="majorBidi" w:cstheme="majorBidi"/>
          <w:lang w:val="fr-FR" w:eastAsia="en-GB"/>
        </w:rPr>
        <w:t>Available at: https://doi.org/10.3389/fpls.2019.01175.</w:t>
      </w:r>
    </w:p>
    <w:p w14:paraId="6AF60D64"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6D18BD">
        <w:rPr>
          <w:rFonts w:asciiTheme="majorBidi" w:eastAsia="Times New Roman" w:hAnsiTheme="majorBidi" w:cstheme="majorBidi"/>
          <w:lang w:val="fr-FR" w:eastAsia="en-GB"/>
        </w:rPr>
        <w:t xml:space="preserve">Sireci, A.N. </w:t>
      </w:r>
      <w:r w:rsidRPr="006D18BD">
        <w:rPr>
          <w:rFonts w:asciiTheme="majorBidi" w:eastAsia="Times New Roman" w:hAnsiTheme="majorBidi" w:cstheme="majorBidi"/>
          <w:i/>
          <w:iCs/>
          <w:lang w:val="fr-FR" w:eastAsia="en-GB"/>
        </w:rPr>
        <w:t>et al.</w:t>
      </w:r>
      <w:r w:rsidRPr="006D18BD">
        <w:rPr>
          <w:rFonts w:asciiTheme="majorBidi" w:eastAsia="Times New Roman" w:hAnsiTheme="majorBidi" w:cstheme="majorBidi"/>
          <w:lang w:val="fr-FR" w:eastAsia="en-GB"/>
        </w:rPr>
        <w:t xml:space="preserve"> </w:t>
      </w:r>
      <w:r w:rsidRPr="00330F71">
        <w:rPr>
          <w:rFonts w:asciiTheme="majorBidi" w:eastAsia="Times New Roman" w:hAnsiTheme="majorBidi" w:cstheme="majorBidi"/>
          <w:lang w:eastAsia="en-GB"/>
        </w:rPr>
        <w:t xml:space="preserve">(2020) ‘Molecular Pathology Economics 101: An Overview of Molecular Diagnostics Coding, Coverage, and Reimbursement: A Report of the Association for Molecular Pathology’, </w:t>
      </w:r>
      <w:r w:rsidRPr="00330F71">
        <w:rPr>
          <w:rFonts w:asciiTheme="majorBidi" w:eastAsia="Times New Roman" w:hAnsiTheme="majorBidi" w:cstheme="majorBidi"/>
          <w:i/>
          <w:iCs/>
          <w:lang w:eastAsia="en-GB"/>
        </w:rPr>
        <w:t>The Journal of Molecular Diagnostics</w:t>
      </w:r>
      <w:r w:rsidRPr="00330F71">
        <w:rPr>
          <w:rFonts w:asciiTheme="majorBidi" w:eastAsia="Times New Roman" w:hAnsiTheme="majorBidi" w:cstheme="majorBidi"/>
          <w:lang w:eastAsia="en-GB"/>
        </w:rPr>
        <w:t>, 22(8), pp. 975–993. Available at: https://doi.org/10.1016/j.jmoldx.2020.05.008.</w:t>
      </w:r>
    </w:p>
    <w:p w14:paraId="7C6CA20C"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Small and Medium Enterprise Agency (1999) </w:t>
      </w:r>
      <w:r w:rsidRPr="00330F71">
        <w:rPr>
          <w:rFonts w:asciiTheme="majorBidi" w:eastAsia="Times New Roman" w:hAnsiTheme="majorBidi" w:cstheme="majorBidi"/>
          <w:i/>
          <w:iCs/>
          <w:lang w:eastAsia="en-GB"/>
        </w:rPr>
        <w:t>Small and Medium-sized Enterprise Basic Act</w:t>
      </w:r>
      <w:r w:rsidRPr="00330F71">
        <w:rPr>
          <w:rFonts w:asciiTheme="majorBidi" w:eastAsia="Times New Roman" w:hAnsiTheme="majorBidi" w:cstheme="majorBidi"/>
          <w:lang w:eastAsia="en-GB"/>
        </w:rPr>
        <w:t>. Available at: https://www.chusho.meti.go.jp/sme_english/outline/08/01.html (Accessed: 17 May 2026).</w:t>
      </w:r>
    </w:p>
    <w:p w14:paraId="6E9195C6" w14:textId="77777777" w:rsidR="00330F71" w:rsidRPr="006D18BD"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val="fr-FR" w:eastAsia="en-GB"/>
        </w:rPr>
      </w:pPr>
      <w:r w:rsidRPr="006D18BD">
        <w:rPr>
          <w:rFonts w:asciiTheme="majorBidi" w:eastAsia="Times New Roman" w:hAnsiTheme="majorBidi" w:cstheme="majorBidi"/>
          <w:lang w:val="fr-FR" w:eastAsia="en-GB"/>
        </w:rPr>
        <w:t xml:space="preserve">Smyth, S.J. </w:t>
      </w:r>
      <w:r w:rsidRPr="006D18BD">
        <w:rPr>
          <w:rFonts w:asciiTheme="majorBidi" w:eastAsia="Times New Roman" w:hAnsiTheme="majorBidi" w:cstheme="majorBidi"/>
          <w:i/>
          <w:iCs/>
          <w:lang w:val="fr-FR" w:eastAsia="en-GB"/>
        </w:rPr>
        <w:t>et al.</w:t>
      </w:r>
      <w:r w:rsidRPr="006D18BD">
        <w:rPr>
          <w:rFonts w:asciiTheme="majorBidi" w:eastAsia="Times New Roman" w:hAnsiTheme="majorBidi" w:cstheme="majorBidi"/>
          <w:lang w:val="fr-FR" w:eastAsia="en-GB"/>
        </w:rPr>
        <w:t xml:space="preserve"> </w:t>
      </w:r>
      <w:r w:rsidRPr="00330F71">
        <w:rPr>
          <w:rFonts w:asciiTheme="majorBidi" w:eastAsia="Times New Roman" w:hAnsiTheme="majorBidi" w:cstheme="majorBidi"/>
          <w:lang w:eastAsia="en-GB"/>
        </w:rPr>
        <w:t xml:space="preserve">(2020) ‘Implications of biological information digitization: Access and benefit sharing of plant genetic resources’, </w:t>
      </w:r>
      <w:r w:rsidRPr="00330F71">
        <w:rPr>
          <w:rFonts w:asciiTheme="majorBidi" w:eastAsia="Times New Roman" w:hAnsiTheme="majorBidi" w:cstheme="majorBidi"/>
          <w:i/>
          <w:iCs/>
          <w:lang w:eastAsia="en-GB"/>
        </w:rPr>
        <w:t>The Journal of World Intellectual Property</w:t>
      </w:r>
      <w:r w:rsidRPr="00330F71">
        <w:rPr>
          <w:rFonts w:asciiTheme="majorBidi" w:eastAsia="Times New Roman" w:hAnsiTheme="majorBidi" w:cstheme="majorBidi"/>
          <w:lang w:eastAsia="en-GB"/>
        </w:rPr>
        <w:t xml:space="preserve">, 23(3–4), pp. 267–287. </w:t>
      </w:r>
      <w:r w:rsidRPr="006D18BD">
        <w:rPr>
          <w:rFonts w:asciiTheme="majorBidi" w:eastAsia="Times New Roman" w:hAnsiTheme="majorBidi" w:cstheme="majorBidi"/>
          <w:lang w:val="fr-FR" w:eastAsia="en-GB"/>
        </w:rPr>
        <w:t>Available at: https://doi.org/10.1111/jwip.12151.</w:t>
      </w:r>
    </w:p>
    <w:p w14:paraId="622BD107" w14:textId="77777777" w:rsidR="00330F71" w:rsidRPr="006D18BD"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val="fr-FR" w:eastAsia="en-GB"/>
        </w:rPr>
      </w:pPr>
      <w:r w:rsidRPr="006D18BD">
        <w:rPr>
          <w:rFonts w:asciiTheme="majorBidi" w:eastAsia="Times New Roman" w:hAnsiTheme="majorBidi" w:cstheme="majorBidi"/>
          <w:lang w:val="fr-FR" w:eastAsia="en-GB"/>
        </w:rPr>
        <w:t xml:space="preserve">Song, Y. </w:t>
      </w:r>
      <w:r w:rsidRPr="006D18BD">
        <w:rPr>
          <w:rFonts w:asciiTheme="majorBidi" w:eastAsia="Times New Roman" w:hAnsiTheme="majorBidi" w:cstheme="majorBidi"/>
          <w:i/>
          <w:iCs/>
          <w:lang w:val="fr-FR" w:eastAsia="en-GB"/>
        </w:rPr>
        <w:t>et al.</w:t>
      </w:r>
      <w:r w:rsidRPr="006D18BD">
        <w:rPr>
          <w:rFonts w:asciiTheme="majorBidi" w:eastAsia="Times New Roman" w:hAnsiTheme="majorBidi" w:cstheme="majorBidi"/>
          <w:lang w:val="fr-FR" w:eastAsia="en-GB"/>
        </w:rPr>
        <w:t xml:space="preserve"> </w:t>
      </w:r>
      <w:r w:rsidRPr="00330F71">
        <w:rPr>
          <w:rFonts w:asciiTheme="majorBidi" w:eastAsia="Times New Roman" w:hAnsiTheme="majorBidi" w:cstheme="majorBidi"/>
          <w:lang w:eastAsia="en-GB"/>
        </w:rPr>
        <w:t xml:space="preserve">(2025) ‘A comparative analysis of biologics market dynamics in 12 countries: (Bio)similar and sustainability’, </w:t>
      </w:r>
      <w:r w:rsidRPr="00330F71">
        <w:rPr>
          <w:rFonts w:asciiTheme="majorBidi" w:eastAsia="Times New Roman" w:hAnsiTheme="majorBidi" w:cstheme="majorBidi"/>
          <w:i/>
          <w:iCs/>
          <w:lang w:eastAsia="en-GB"/>
        </w:rPr>
        <w:t>Frontiers in Pharmacology</w:t>
      </w:r>
      <w:r w:rsidRPr="00330F71">
        <w:rPr>
          <w:rFonts w:asciiTheme="majorBidi" w:eastAsia="Times New Roman" w:hAnsiTheme="majorBidi" w:cstheme="majorBidi"/>
          <w:lang w:eastAsia="en-GB"/>
        </w:rPr>
        <w:t xml:space="preserve">, 16, p. 1659395. </w:t>
      </w:r>
      <w:r w:rsidRPr="006D18BD">
        <w:rPr>
          <w:rFonts w:asciiTheme="majorBidi" w:eastAsia="Times New Roman" w:hAnsiTheme="majorBidi" w:cstheme="majorBidi"/>
          <w:lang w:val="fr-FR" w:eastAsia="en-GB"/>
        </w:rPr>
        <w:t>Available at: https://doi.org/10.3389/fphar.2025.1659395.</w:t>
      </w:r>
    </w:p>
    <w:p w14:paraId="45FEDC60"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6D18BD">
        <w:rPr>
          <w:rFonts w:asciiTheme="majorBidi" w:eastAsia="Times New Roman" w:hAnsiTheme="majorBidi" w:cstheme="majorBidi"/>
          <w:lang w:val="fr-FR" w:eastAsia="en-GB"/>
        </w:rPr>
        <w:t xml:space="preserve">Sood, N. </w:t>
      </w:r>
      <w:r w:rsidRPr="006D18BD">
        <w:rPr>
          <w:rFonts w:asciiTheme="majorBidi" w:eastAsia="Times New Roman" w:hAnsiTheme="majorBidi" w:cstheme="majorBidi"/>
          <w:i/>
          <w:iCs/>
          <w:lang w:val="fr-FR" w:eastAsia="en-GB"/>
        </w:rPr>
        <w:t>et al.</w:t>
      </w:r>
      <w:r w:rsidRPr="006D18BD">
        <w:rPr>
          <w:rFonts w:asciiTheme="majorBidi" w:eastAsia="Times New Roman" w:hAnsiTheme="majorBidi" w:cstheme="majorBidi"/>
          <w:lang w:val="fr-FR" w:eastAsia="en-GB"/>
        </w:rPr>
        <w:t xml:space="preserve"> </w:t>
      </w:r>
      <w:r w:rsidRPr="00330F71">
        <w:rPr>
          <w:rFonts w:asciiTheme="majorBidi" w:eastAsia="Times New Roman" w:hAnsiTheme="majorBidi" w:cstheme="majorBidi"/>
          <w:lang w:eastAsia="en-GB"/>
        </w:rPr>
        <w:t xml:space="preserve">(2008) ‘The Effect Of Regulation On Pharmaceutical Revenues: Experience In Nineteen Countries’, </w:t>
      </w:r>
      <w:r w:rsidRPr="00330F71">
        <w:rPr>
          <w:rFonts w:asciiTheme="majorBidi" w:eastAsia="Times New Roman" w:hAnsiTheme="majorBidi" w:cstheme="majorBidi"/>
          <w:i/>
          <w:iCs/>
          <w:lang w:eastAsia="en-GB"/>
        </w:rPr>
        <w:t>Health Affairs</w:t>
      </w:r>
      <w:r w:rsidRPr="00330F71">
        <w:rPr>
          <w:rFonts w:asciiTheme="majorBidi" w:eastAsia="Times New Roman" w:hAnsiTheme="majorBidi" w:cstheme="majorBidi"/>
          <w:lang w:eastAsia="en-GB"/>
        </w:rPr>
        <w:t>, 27(Supplement 1), pp. w125–w137. Available at: https://doi.org/10.1377/hlthaff.28.1.w125.</w:t>
      </w:r>
    </w:p>
    <w:p w14:paraId="5D5918C1"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Stafford, S.L. (2007) ‘Should you turn yourself in? The consequences of environmental self-policing’, </w:t>
      </w:r>
      <w:r w:rsidRPr="00330F71">
        <w:rPr>
          <w:rFonts w:asciiTheme="majorBidi" w:eastAsia="Times New Roman" w:hAnsiTheme="majorBidi" w:cstheme="majorBidi"/>
          <w:i/>
          <w:iCs/>
          <w:lang w:eastAsia="en-GB"/>
        </w:rPr>
        <w:t>Journal of Policy Analysis and Management</w:t>
      </w:r>
      <w:r w:rsidRPr="00330F71">
        <w:rPr>
          <w:rFonts w:asciiTheme="majorBidi" w:eastAsia="Times New Roman" w:hAnsiTheme="majorBidi" w:cstheme="majorBidi"/>
          <w:lang w:eastAsia="en-GB"/>
        </w:rPr>
        <w:t>, 26(2), pp. 305–326. Available at: https://doi.org/10.1002/pam.20249.</w:t>
      </w:r>
    </w:p>
    <w:p w14:paraId="3E1781B3"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Stamboulakis, D. and Sanderson, J. (2020) ‘Certifying Biodiversity: The Union for Ethical BioTrade and the Search for Ethical Sourcing’, </w:t>
      </w:r>
      <w:r w:rsidRPr="00330F71">
        <w:rPr>
          <w:rFonts w:asciiTheme="majorBidi" w:eastAsia="Times New Roman" w:hAnsiTheme="majorBidi" w:cstheme="majorBidi"/>
          <w:i/>
          <w:iCs/>
          <w:lang w:eastAsia="en-GB"/>
        </w:rPr>
        <w:t>Journal of Environmental Law</w:t>
      </w:r>
      <w:r w:rsidRPr="00330F71">
        <w:rPr>
          <w:rFonts w:asciiTheme="majorBidi" w:eastAsia="Times New Roman" w:hAnsiTheme="majorBidi" w:cstheme="majorBidi"/>
          <w:lang w:eastAsia="en-GB"/>
        </w:rPr>
        <w:t>, 32(3), pp. 503–528. Available at: https://doi.org/10.1093/jel/eqaa013.</w:t>
      </w:r>
    </w:p>
    <w:p w14:paraId="26D784D9"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lastRenderedPageBreak/>
        <w:t xml:space="preserve">Standing Committee of the National People’s Congress (2017) </w:t>
      </w:r>
      <w:r w:rsidRPr="00330F71">
        <w:rPr>
          <w:rFonts w:asciiTheme="majorBidi" w:eastAsia="Times New Roman" w:hAnsiTheme="majorBidi" w:cstheme="majorBidi"/>
          <w:i/>
          <w:iCs/>
          <w:lang w:eastAsia="en-GB"/>
        </w:rPr>
        <w:t>Law of the People’s Republic of China on the Promotion of Small and Medium-Sized Enterprises (2017 Revision)</w:t>
      </w:r>
      <w:r w:rsidRPr="00330F71">
        <w:rPr>
          <w:rFonts w:asciiTheme="majorBidi" w:eastAsia="Times New Roman" w:hAnsiTheme="majorBidi" w:cstheme="majorBidi"/>
          <w:lang w:eastAsia="en-GB"/>
        </w:rPr>
        <w:t>. Available at: http://www.csrcare.com/Law/LawShowEn?id=226118 (Accessed: 17 May 2026).</w:t>
      </w:r>
    </w:p>
    <w:p w14:paraId="351043FC"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Statista (2026) ‘Cosmetics industry - statistics &amp; facts’, </w:t>
      </w:r>
      <w:r w:rsidRPr="00330F71">
        <w:rPr>
          <w:rFonts w:asciiTheme="majorBidi" w:eastAsia="Times New Roman" w:hAnsiTheme="majorBidi" w:cstheme="majorBidi"/>
          <w:i/>
          <w:iCs/>
          <w:lang w:eastAsia="en-GB"/>
        </w:rPr>
        <w:t>Statista</w:t>
      </w:r>
      <w:r w:rsidRPr="00330F71">
        <w:rPr>
          <w:rFonts w:asciiTheme="majorBidi" w:eastAsia="Times New Roman" w:hAnsiTheme="majorBidi" w:cstheme="majorBidi"/>
          <w:lang w:eastAsia="en-GB"/>
        </w:rPr>
        <w:t>, January. Available at: https://www.statista.com/topics/3137/cosmetics-industry/ (Accessed: 3 June 2026).</w:t>
      </w:r>
    </w:p>
    <w:p w14:paraId="4C0CFB81"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6D18BD">
        <w:rPr>
          <w:rFonts w:asciiTheme="majorBidi" w:eastAsia="Times New Roman" w:hAnsiTheme="majorBidi" w:cstheme="majorBidi"/>
          <w:lang w:val="fr-FR" w:eastAsia="en-GB"/>
        </w:rPr>
        <w:t xml:space="preserve">Switzer, S. </w:t>
      </w:r>
      <w:r w:rsidRPr="006D18BD">
        <w:rPr>
          <w:rFonts w:asciiTheme="majorBidi" w:eastAsia="Times New Roman" w:hAnsiTheme="majorBidi" w:cstheme="majorBidi"/>
          <w:i/>
          <w:iCs/>
          <w:lang w:val="fr-FR" w:eastAsia="en-GB"/>
        </w:rPr>
        <w:t>et al.</w:t>
      </w:r>
      <w:r w:rsidRPr="006D18BD">
        <w:rPr>
          <w:rFonts w:asciiTheme="majorBidi" w:eastAsia="Times New Roman" w:hAnsiTheme="majorBidi" w:cstheme="majorBidi"/>
          <w:lang w:val="fr-FR" w:eastAsia="en-GB"/>
        </w:rPr>
        <w:t xml:space="preserve"> (2023) </w:t>
      </w:r>
      <w:r w:rsidRPr="006D18BD">
        <w:rPr>
          <w:rFonts w:asciiTheme="majorBidi" w:eastAsia="Times New Roman" w:hAnsiTheme="majorBidi" w:cstheme="majorBidi"/>
          <w:i/>
          <w:iCs/>
          <w:lang w:val="fr-FR" w:eastAsia="en-GB"/>
        </w:rPr>
        <w:t xml:space="preserve">CBD/WGDSI/1/INF/1. </w:t>
      </w:r>
      <w:r w:rsidRPr="00330F71">
        <w:rPr>
          <w:rFonts w:asciiTheme="majorBidi" w:eastAsia="Times New Roman" w:hAnsiTheme="majorBidi" w:cstheme="majorBidi"/>
          <w:i/>
          <w:iCs/>
          <w:lang w:eastAsia="en-GB"/>
        </w:rPr>
        <w:t>Lessons learned from other international funding mechanisms</w:t>
      </w:r>
      <w:r w:rsidRPr="00330F71">
        <w:rPr>
          <w:rFonts w:asciiTheme="majorBidi" w:eastAsia="Times New Roman" w:hAnsiTheme="majorBidi" w:cstheme="majorBidi"/>
          <w:lang w:eastAsia="en-GB"/>
        </w:rPr>
        <w:t>. CBD. Available at: https://www.cbd.int/doc/c/81e4/aa04/71d526871fe0aa306f61ec50/wgdsi-01-inf-01-en.pdf.</w:t>
      </w:r>
    </w:p>
    <w:p w14:paraId="29195F5A" w14:textId="77777777" w:rsidR="00330F71" w:rsidRPr="006D18BD"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val="fr-FR" w:eastAsia="en-GB"/>
        </w:rPr>
      </w:pPr>
      <w:r w:rsidRPr="00330F71">
        <w:rPr>
          <w:rFonts w:asciiTheme="majorBidi" w:eastAsia="Times New Roman" w:hAnsiTheme="majorBidi" w:cstheme="majorBidi"/>
          <w:lang w:eastAsia="en-GB"/>
        </w:rPr>
        <w:t xml:space="preserve">Switzer, S., Rourke, M. and Eccleston-Turner, M. (2025) ‘Navigating the Global Landscape of Access and Benefit-Sharing (ABS) on Digital Sequence Information (DSI) Regulation: Dealing with Scope Confusion through Mutual Supportiveness’. </w:t>
      </w:r>
      <w:r w:rsidRPr="006D18BD">
        <w:rPr>
          <w:rFonts w:asciiTheme="majorBidi" w:eastAsia="Times New Roman" w:hAnsiTheme="majorBidi" w:cstheme="majorBidi"/>
          <w:lang w:val="fr-FR" w:eastAsia="en-GB"/>
        </w:rPr>
        <w:t>Available at: https://doi.org/10.13140/RG.2.2.13456.52488.</w:t>
      </w:r>
    </w:p>
    <w:p w14:paraId="4D6BD138"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6D18BD">
        <w:rPr>
          <w:rFonts w:asciiTheme="majorBidi" w:eastAsia="Times New Roman" w:hAnsiTheme="majorBidi" w:cstheme="majorBidi"/>
          <w:lang w:val="fr-FR" w:eastAsia="en-GB"/>
        </w:rPr>
        <w:t xml:space="preserve">Te Aika, B. </w:t>
      </w:r>
      <w:r w:rsidRPr="006D18BD">
        <w:rPr>
          <w:rFonts w:asciiTheme="majorBidi" w:eastAsia="Times New Roman" w:hAnsiTheme="majorBidi" w:cstheme="majorBidi"/>
          <w:i/>
          <w:iCs/>
          <w:lang w:val="fr-FR" w:eastAsia="en-GB"/>
        </w:rPr>
        <w:t>et al.</w:t>
      </w:r>
      <w:r w:rsidRPr="006D18BD">
        <w:rPr>
          <w:rFonts w:asciiTheme="majorBidi" w:eastAsia="Times New Roman" w:hAnsiTheme="majorBidi" w:cstheme="majorBidi"/>
          <w:lang w:val="fr-FR" w:eastAsia="en-GB"/>
        </w:rPr>
        <w:t xml:space="preserve"> </w:t>
      </w:r>
      <w:r w:rsidRPr="00330F71">
        <w:rPr>
          <w:rFonts w:asciiTheme="majorBidi" w:eastAsia="Times New Roman" w:hAnsiTheme="majorBidi" w:cstheme="majorBidi"/>
          <w:lang w:eastAsia="en-GB"/>
        </w:rPr>
        <w:t xml:space="preserve">(2025) ‘Aotearoa genomic data repository: An āhuru mōwai for taonga species sequencing data’, </w:t>
      </w:r>
      <w:r w:rsidRPr="00330F71">
        <w:rPr>
          <w:rFonts w:asciiTheme="majorBidi" w:eastAsia="Times New Roman" w:hAnsiTheme="majorBidi" w:cstheme="majorBidi"/>
          <w:i/>
          <w:iCs/>
          <w:lang w:eastAsia="en-GB"/>
        </w:rPr>
        <w:t>Molecular Ecology Resources</w:t>
      </w:r>
      <w:r w:rsidRPr="00330F71">
        <w:rPr>
          <w:rFonts w:asciiTheme="majorBidi" w:eastAsia="Times New Roman" w:hAnsiTheme="majorBidi" w:cstheme="majorBidi"/>
          <w:lang w:eastAsia="en-GB"/>
        </w:rPr>
        <w:t>, 25(2), p. e13866. Available at: https://doi.org/10.1111/1755-0998.13866.</w:t>
      </w:r>
    </w:p>
    <w:p w14:paraId="3C461CCC"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Thiele, T., Damian, H.-P. and Singh, P. (2021) ‘A comprehensive approach to the payment mechanism for deep seabed mining’. Available at: https://doi.org/10.48440/iass.2021.004.</w:t>
      </w:r>
    </w:p>
    <w:p w14:paraId="68CB9493"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Toffel, M.W. (2005) ‘Resolving Information Asymmetries in Supply Chains: The Role of Certified Management Programs’. Rochester, NY: Social Science Research Network. Available at: https://doi.org/10.2139/ssrn.809406.</w:t>
      </w:r>
    </w:p>
    <w:p w14:paraId="650FBCC4"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Trading Economics (2026a) </w:t>
      </w:r>
      <w:r w:rsidRPr="00330F71">
        <w:rPr>
          <w:rFonts w:asciiTheme="majorBidi" w:eastAsia="Times New Roman" w:hAnsiTheme="majorBidi" w:cstheme="majorBidi"/>
          <w:i/>
          <w:iCs/>
          <w:lang w:eastAsia="en-GB"/>
        </w:rPr>
        <w:t>Brazilian Real to USD</w:t>
      </w:r>
      <w:r w:rsidRPr="00330F71">
        <w:rPr>
          <w:rFonts w:asciiTheme="majorBidi" w:eastAsia="Times New Roman" w:hAnsiTheme="majorBidi" w:cstheme="majorBidi"/>
          <w:lang w:eastAsia="en-GB"/>
        </w:rPr>
        <w:t>. Available at: https://tradingeconomics.com/brazil/currency (Accessed: 7 June 2026).</w:t>
      </w:r>
    </w:p>
    <w:p w14:paraId="27C9A497"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Trading Economics (2026b) </w:t>
      </w:r>
      <w:r w:rsidRPr="00330F71">
        <w:rPr>
          <w:rFonts w:asciiTheme="majorBidi" w:eastAsia="Times New Roman" w:hAnsiTheme="majorBidi" w:cstheme="majorBidi"/>
          <w:i/>
          <w:iCs/>
          <w:lang w:eastAsia="en-GB"/>
        </w:rPr>
        <w:t>Chinese Yuan: exchange rates</w:t>
      </w:r>
      <w:r w:rsidRPr="00330F71">
        <w:rPr>
          <w:rFonts w:asciiTheme="majorBidi" w:eastAsia="Times New Roman" w:hAnsiTheme="majorBidi" w:cstheme="majorBidi"/>
          <w:lang w:eastAsia="en-GB"/>
        </w:rPr>
        <w:t>. Available at: https://tradingeconomics.com/china/currency (Accessed: 17 May 2026).</w:t>
      </w:r>
    </w:p>
    <w:p w14:paraId="7DBBF238"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Trading Economics (2026c) </w:t>
      </w:r>
      <w:r w:rsidRPr="00330F71">
        <w:rPr>
          <w:rFonts w:asciiTheme="majorBidi" w:eastAsia="Times New Roman" w:hAnsiTheme="majorBidi" w:cstheme="majorBidi"/>
          <w:i/>
          <w:iCs/>
          <w:lang w:eastAsia="en-GB"/>
        </w:rPr>
        <w:t>Euro US Dollar Exchange Rate</w:t>
      </w:r>
      <w:r w:rsidRPr="00330F71">
        <w:rPr>
          <w:rFonts w:asciiTheme="majorBidi" w:eastAsia="Times New Roman" w:hAnsiTheme="majorBidi" w:cstheme="majorBidi"/>
          <w:lang w:eastAsia="en-GB"/>
        </w:rPr>
        <w:t>. Available at: https://tradingeconomics.com/euro-area/currency (Accessed: 17 May 2026).</w:t>
      </w:r>
    </w:p>
    <w:p w14:paraId="2E48457B"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Trading Economics (2026d) </w:t>
      </w:r>
      <w:r w:rsidRPr="00330F71">
        <w:rPr>
          <w:rFonts w:asciiTheme="majorBidi" w:eastAsia="Times New Roman" w:hAnsiTheme="majorBidi" w:cstheme="majorBidi"/>
          <w:i/>
          <w:iCs/>
          <w:lang w:eastAsia="en-GB"/>
        </w:rPr>
        <w:t>Japanese Yen Exchange Rate</w:t>
      </w:r>
      <w:r w:rsidRPr="00330F71">
        <w:rPr>
          <w:rFonts w:asciiTheme="majorBidi" w:eastAsia="Times New Roman" w:hAnsiTheme="majorBidi" w:cstheme="majorBidi"/>
          <w:lang w:eastAsia="en-GB"/>
        </w:rPr>
        <w:t>. Available at: https://tradingeconomics.com/japan/currency (Accessed: 17 May 2026).</w:t>
      </w:r>
    </w:p>
    <w:p w14:paraId="259E5255"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Tsioumani, E. (2020) </w:t>
      </w:r>
      <w:r w:rsidRPr="00330F71">
        <w:rPr>
          <w:rFonts w:asciiTheme="majorBidi" w:eastAsia="Times New Roman" w:hAnsiTheme="majorBidi" w:cstheme="majorBidi"/>
          <w:i/>
          <w:iCs/>
          <w:lang w:eastAsia="en-GB"/>
        </w:rPr>
        <w:t>Fair and Equitable Benefit-Sharing in Agriculture (Open Access): Reinventing Agrarian Justice</w:t>
      </w:r>
      <w:r w:rsidRPr="00330F71">
        <w:rPr>
          <w:rFonts w:asciiTheme="majorBidi" w:eastAsia="Times New Roman" w:hAnsiTheme="majorBidi" w:cstheme="majorBidi"/>
          <w:lang w:eastAsia="en-GB"/>
        </w:rPr>
        <w:t>. Taylor &amp; Francis. Available at: https://doi.org/10.4324/9780429198304.</w:t>
      </w:r>
    </w:p>
    <w:p w14:paraId="45C947C4"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UN General Assembly (2023) </w:t>
      </w:r>
      <w:r w:rsidRPr="00330F71">
        <w:rPr>
          <w:rFonts w:asciiTheme="majorBidi" w:eastAsia="Times New Roman" w:hAnsiTheme="majorBidi" w:cstheme="majorBidi"/>
          <w:i/>
          <w:iCs/>
          <w:lang w:eastAsia="en-GB"/>
        </w:rPr>
        <w:t>Agreement under the United Nations Convention on the Law of the Sea on the conservation and sustainable use of marine biological diversity of areas beyond national jurisdiction</w:t>
      </w:r>
      <w:r w:rsidRPr="00330F71">
        <w:rPr>
          <w:rFonts w:asciiTheme="majorBidi" w:eastAsia="Times New Roman" w:hAnsiTheme="majorBidi" w:cstheme="majorBidi"/>
          <w:lang w:eastAsia="en-GB"/>
        </w:rPr>
        <w:t>. A/CONF.232/2023/4. New York, NY. Available at: https://docs.un.org/en/a/conf.232/2023/4.</w:t>
      </w:r>
    </w:p>
    <w:p w14:paraId="55D30F95"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UN MPTFO (2026) </w:t>
      </w:r>
      <w:r w:rsidRPr="00330F71">
        <w:rPr>
          <w:rFonts w:asciiTheme="majorBidi" w:eastAsia="Times New Roman" w:hAnsiTheme="majorBidi" w:cstheme="majorBidi"/>
          <w:i/>
          <w:iCs/>
          <w:lang w:eastAsia="en-GB"/>
        </w:rPr>
        <w:t>The Cali Fund</w:t>
      </w:r>
      <w:r w:rsidRPr="00330F71">
        <w:rPr>
          <w:rFonts w:asciiTheme="majorBidi" w:eastAsia="Times New Roman" w:hAnsiTheme="majorBidi" w:cstheme="majorBidi"/>
          <w:lang w:eastAsia="en-GB"/>
        </w:rPr>
        <w:t>. Available at: http://mptf.undp.org/fund/cal00 (Accessed: 17 December 2025).</w:t>
      </w:r>
    </w:p>
    <w:p w14:paraId="1D0997C1"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UN MPTFO (no date) </w:t>
      </w:r>
      <w:r w:rsidRPr="00330F71">
        <w:rPr>
          <w:rFonts w:asciiTheme="majorBidi" w:eastAsia="Times New Roman" w:hAnsiTheme="majorBidi" w:cstheme="majorBidi"/>
          <w:i/>
          <w:iCs/>
          <w:lang w:eastAsia="en-GB"/>
        </w:rPr>
        <w:t>Who we are | MPTF Office</w:t>
      </w:r>
      <w:r w:rsidRPr="00330F71">
        <w:rPr>
          <w:rFonts w:asciiTheme="majorBidi" w:eastAsia="Times New Roman" w:hAnsiTheme="majorBidi" w:cstheme="majorBidi"/>
          <w:lang w:eastAsia="en-GB"/>
        </w:rPr>
        <w:t>. Available at: http://mptf.undp.org/page/who-we-are (Accessed: 17 December 2025).</w:t>
      </w:r>
    </w:p>
    <w:p w14:paraId="140F8BAD"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lastRenderedPageBreak/>
        <w:t xml:space="preserve">United Nations Treaty Collection (2026) </w:t>
      </w:r>
      <w:r w:rsidRPr="00330F71">
        <w:rPr>
          <w:rFonts w:asciiTheme="majorBidi" w:eastAsia="Times New Roman" w:hAnsiTheme="majorBidi" w:cstheme="majorBidi"/>
          <w:i/>
          <w:iCs/>
          <w:lang w:eastAsia="en-GB"/>
        </w:rPr>
        <w:t>Status of the Agreement under the United Nations Convention on the Law of the Sea on the Conservation and Sustainable Use of Marine Biological Diversity of Areas beyond National Jurisdiction</w:t>
      </w:r>
      <w:r w:rsidRPr="00330F71">
        <w:rPr>
          <w:rFonts w:asciiTheme="majorBidi" w:eastAsia="Times New Roman" w:hAnsiTheme="majorBidi" w:cstheme="majorBidi"/>
          <w:lang w:eastAsia="en-GB"/>
        </w:rPr>
        <w:t xml:space="preserve">, </w:t>
      </w:r>
      <w:r w:rsidRPr="00330F71">
        <w:rPr>
          <w:rFonts w:asciiTheme="majorBidi" w:eastAsia="Times New Roman" w:hAnsiTheme="majorBidi" w:cstheme="majorBidi"/>
          <w:i/>
          <w:iCs/>
          <w:lang w:eastAsia="en-GB"/>
        </w:rPr>
        <w:t>United Nations Treaty Collection</w:t>
      </w:r>
      <w:r w:rsidRPr="00330F71">
        <w:rPr>
          <w:rFonts w:asciiTheme="majorBidi" w:eastAsia="Times New Roman" w:hAnsiTheme="majorBidi" w:cstheme="majorBidi"/>
          <w:lang w:eastAsia="en-GB"/>
        </w:rPr>
        <w:t>. Available at: https://treaties.un.org/Pages/ViewDetails.aspx?src=TREATY&amp;mtdsg_no=XXI-10&amp;chapter=21&amp;clang=_en (Accessed: 11 May 2026).</w:t>
      </w:r>
    </w:p>
    <w:p w14:paraId="336E270B"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UNSD (2026) </w:t>
      </w:r>
      <w:r w:rsidRPr="00330F71">
        <w:rPr>
          <w:rFonts w:asciiTheme="majorBidi" w:eastAsia="Times New Roman" w:hAnsiTheme="majorBidi" w:cstheme="majorBidi"/>
          <w:i/>
          <w:iCs/>
          <w:lang w:eastAsia="en-GB"/>
        </w:rPr>
        <w:t>International Standard Industrial Classification of All Economic Activities (ISIC) Revision 5</w:t>
      </w:r>
      <w:r w:rsidRPr="00330F71">
        <w:rPr>
          <w:rFonts w:asciiTheme="majorBidi" w:eastAsia="Times New Roman" w:hAnsiTheme="majorBidi" w:cstheme="majorBidi"/>
          <w:lang w:eastAsia="en-GB"/>
        </w:rPr>
        <w:t>. Available at: https://unstats.un.org/unsd/classifications/Family/Detail/2095 (Accessed: 22 December 2025).</w:t>
      </w:r>
    </w:p>
    <w:p w14:paraId="23DC9781"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Urquhart, L. (2022) ‘Top companies and drugs by sales in 2021’, </w:t>
      </w:r>
      <w:r w:rsidRPr="00330F71">
        <w:rPr>
          <w:rFonts w:asciiTheme="majorBidi" w:eastAsia="Times New Roman" w:hAnsiTheme="majorBidi" w:cstheme="majorBidi"/>
          <w:i/>
          <w:iCs/>
          <w:lang w:eastAsia="en-GB"/>
        </w:rPr>
        <w:t>Nature Reviews Drug Discovery</w:t>
      </w:r>
      <w:r w:rsidRPr="00330F71">
        <w:rPr>
          <w:rFonts w:asciiTheme="majorBidi" w:eastAsia="Times New Roman" w:hAnsiTheme="majorBidi" w:cstheme="majorBidi"/>
          <w:lang w:eastAsia="en-GB"/>
        </w:rPr>
        <w:t>, 21(4), pp. 251–251. Available at: https://doi.org/10.1038/d41573-022-00047-9.</w:t>
      </w:r>
    </w:p>
    <w:p w14:paraId="60AD06C7"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U.S. Census Bureau (2022) </w:t>
      </w:r>
      <w:r w:rsidRPr="00330F71">
        <w:rPr>
          <w:rFonts w:asciiTheme="majorBidi" w:eastAsia="Times New Roman" w:hAnsiTheme="majorBidi" w:cstheme="majorBidi"/>
          <w:i/>
          <w:iCs/>
          <w:lang w:eastAsia="en-GB"/>
        </w:rPr>
        <w:t>North American Industry Classification System: United States, 2022</w:t>
      </w:r>
      <w:r w:rsidRPr="00330F71">
        <w:rPr>
          <w:rFonts w:asciiTheme="majorBidi" w:eastAsia="Times New Roman" w:hAnsiTheme="majorBidi" w:cstheme="majorBidi"/>
          <w:lang w:eastAsia="en-GB"/>
        </w:rPr>
        <w:t>. Washington, DC: U.S. Government Publishing Office. Available at: https://www.census.gov/naics/ (Accessed: 31 March 2026).</w:t>
      </w:r>
    </w:p>
    <w:p w14:paraId="68E9F51B"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Van Eenennaam, A.L. (2025) ‘Current and future uses of genetic improvement technologies in livestock breeding programs’, </w:t>
      </w:r>
      <w:r w:rsidRPr="00330F71">
        <w:rPr>
          <w:rFonts w:asciiTheme="majorBidi" w:eastAsia="Times New Roman" w:hAnsiTheme="majorBidi" w:cstheme="majorBidi"/>
          <w:i/>
          <w:iCs/>
          <w:lang w:eastAsia="en-GB"/>
        </w:rPr>
        <w:t>Animal Frontiers</w:t>
      </w:r>
      <w:r w:rsidRPr="00330F71">
        <w:rPr>
          <w:rFonts w:asciiTheme="majorBidi" w:eastAsia="Times New Roman" w:hAnsiTheme="majorBidi" w:cstheme="majorBidi"/>
          <w:lang w:eastAsia="en-GB"/>
        </w:rPr>
        <w:t>, 15(1), pp. 80–90. Available at: https://doi.org/10.1093/af/vfae042.</w:t>
      </w:r>
    </w:p>
    <w:p w14:paraId="726CED77"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Venmans, F., Ellis, J. and Nachtigall, D. (2020) ‘Carbon pricing and competitiveness: are they at odds?’, </w:t>
      </w:r>
      <w:r w:rsidRPr="00330F71">
        <w:rPr>
          <w:rFonts w:asciiTheme="majorBidi" w:eastAsia="Times New Roman" w:hAnsiTheme="majorBidi" w:cstheme="majorBidi"/>
          <w:i/>
          <w:iCs/>
          <w:lang w:eastAsia="en-GB"/>
        </w:rPr>
        <w:t>Climate Policy</w:t>
      </w:r>
      <w:r w:rsidRPr="00330F71">
        <w:rPr>
          <w:rFonts w:asciiTheme="majorBidi" w:eastAsia="Times New Roman" w:hAnsiTheme="majorBidi" w:cstheme="majorBidi"/>
          <w:lang w:eastAsia="en-GB"/>
        </w:rPr>
        <w:t>, 20(9), pp. 1070–1091. Available at: https://doi.org/10.1080/14693062.2020.1805291.</w:t>
      </w:r>
    </w:p>
    <w:p w14:paraId="57DED435" w14:textId="77777777" w:rsidR="00330F71" w:rsidRPr="006D18BD"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val="fr-FR" w:eastAsia="en-GB"/>
        </w:rPr>
      </w:pPr>
      <w:r w:rsidRPr="00330F71">
        <w:rPr>
          <w:rFonts w:asciiTheme="majorBidi" w:eastAsia="Times New Roman" w:hAnsiTheme="majorBidi" w:cstheme="majorBidi"/>
          <w:lang w:eastAsia="en-GB"/>
        </w:rPr>
        <w:t xml:space="preserve">Videras, J. and Alberini, A. (2000) ‘The appeal of voluntary environmental programs: which firms participate and why?’, </w:t>
      </w:r>
      <w:r w:rsidRPr="00330F71">
        <w:rPr>
          <w:rFonts w:asciiTheme="majorBidi" w:eastAsia="Times New Roman" w:hAnsiTheme="majorBidi" w:cstheme="majorBidi"/>
          <w:i/>
          <w:iCs/>
          <w:lang w:eastAsia="en-GB"/>
        </w:rPr>
        <w:t>Contemporary Economic Policy</w:t>
      </w:r>
      <w:r w:rsidRPr="00330F71">
        <w:rPr>
          <w:rFonts w:asciiTheme="majorBidi" w:eastAsia="Times New Roman" w:hAnsiTheme="majorBidi" w:cstheme="majorBidi"/>
          <w:lang w:eastAsia="en-GB"/>
        </w:rPr>
        <w:t xml:space="preserve">, 18(4), pp. 449–460. </w:t>
      </w:r>
      <w:r w:rsidRPr="006D18BD">
        <w:rPr>
          <w:rFonts w:asciiTheme="majorBidi" w:eastAsia="Times New Roman" w:hAnsiTheme="majorBidi" w:cstheme="majorBidi"/>
          <w:lang w:val="fr-FR" w:eastAsia="en-GB"/>
        </w:rPr>
        <w:t>Available at: https://doi.org/10.1111/j.1465-7287.2000.tb00041.x.</w:t>
      </w:r>
    </w:p>
    <w:p w14:paraId="1A7FD756"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6D18BD">
        <w:rPr>
          <w:rFonts w:asciiTheme="majorBidi" w:eastAsia="Times New Roman" w:hAnsiTheme="majorBidi" w:cstheme="majorBidi"/>
          <w:lang w:val="fr-FR" w:eastAsia="en-GB"/>
        </w:rPr>
        <w:t xml:space="preserve">Vieira, D. </w:t>
      </w:r>
      <w:r w:rsidRPr="006D18BD">
        <w:rPr>
          <w:rFonts w:asciiTheme="majorBidi" w:eastAsia="Times New Roman" w:hAnsiTheme="majorBidi" w:cstheme="majorBidi"/>
          <w:i/>
          <w:iCs/>
          <w:lang w:val="fr-FR" w:eastAsia="en-GB"/>
        </w:rPr>
        <w:t>et al.</w:t>
      </w:r>
      <w:r w:rsidRPr="006D18BD">
        <w:rPr>
          <w:rFonts w:asciiTheme="majorBidi" w:eastAsia="Times New Roman" w:hAnsiTheme="majorBidi" w:cstheme="majorBidi"/>
          <w:lang w:val="fr-FR" w:eastAsia="en-GB"/>
        </w:rPr>
        <w:t xml:space="preserve"> </w:t>
      </w:r>
      <w:r w:rsidRPr="00330F71">
        <w:rPr>
          <w:rFonts w:asciiTheme="majorBidi" w:eastAsia="Times New Roman" w:hAnsiTheme="majorBidi" w:cstheme="majorBidi"/>
          <w:lang w:eastAsia="en-GB"/>
        </w:rPr>
        <w:t xml:space="preserve">(2024) ‘Regulation and Safety of Cosmetics: Pre- and Post-Market Considerations for Adverse Events and Environmental Impacts’, </w:t>
      </w:r>
      <w:r w:rsidRPr="00330F71">
        <w:rPr>
          <w:rFonts w:asciiTheme="majorBidi" w:eastAsia="Times New Roman" w:hAnsiTheme="majorBidi" w:cstheme="majorBidi"/>
          <w:i/>
          <w:iCs/>
          <w:lang w:eastAsia="en-GB"/>
        </w:rPr>
        <w:t>Cosmetics</w:t>
      </w:r>
      <w:r w:rsidRPr="00330F71">
        <w:rPr>
          <w:rFonts w:asciiTheme="majorBidi" w:eastAsia="Times New Roman" w:hAnsiTheme="majorBidi" w:cstheme="majorBidi"/>
          <w:lang w:eastAsia="en-GB"/>
        </w:rPr>
        <w:t>, 11(6), p. 184. Available at: https://doi.org/10.3390/cosmetics11060184.</w:t>
      </w:r>
    </w:p>
    <w:p w14:paraId="3574CF2A"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Vieira, H. (2015) ‘The top ten ways in which firms and universities interact - LSE Business Review’, </w:t>
      </w:r>
      <w:r w:rsidRPr="00330F71">
        <w:rPr>
          <w:rFonts w:asciiTheme="majorBidi" w:eastAsia="Times New Roman" w:hAnsiTheme="majorBidi" w:cstheme="majorBidi"/>
          <w:i/>
          <w:iCs/>
          <w:lang w:eastAsia="en-GB"/>
        </w:rPr>
        <w:t>LSE Business Review - Connecting business research with policy, practice and public debate</w:t>
      </w:r>
      <w:r w:rsidRPr="00330F71">
        <w:rPr>
          <w:rFonts w:asciiTheme="majorBidi" w:eastAsia="Times New Roman" w:hAnsiTheme="majorBidi" w:cstheme="majorBidi"/>
          <w:lang w:eastAsia="en-GB"/>
        </w:rPr>
        <w:t>, 7 September. Available at: https://blogs.lse.ac.uk/businessreview/2015/09/07/the-top-ten-ways-in-which-firms-and-universities-interact/ (Accessed: 4 February 2026).</w:t>
      </w:r>
    </w:p>
    <w:p w14:paraId="5D3C5EB0"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Vogel, M. </w:t>
      </w:r>
      <w:r w:rsidRPr="00330F71">
        <w:rPr>
          <w:rFonts w:asciiTheme="majorBidi" w:eastAsia="Times New Roman" w:hAnsiTheme="majorBidi" w:cstheme="majorBidi"/>
          <w:i/>
          <w:iCs/>
          <w:lang w:eastAsia="en-GB"/>
        </w:rPr>
        <w:t>et al.</w:t>
      </w:r>
      <w:r w:rsidRPr="00330F71">
        <w:rPr>
          <w:rFonts w:asciiTheme="majorBidi" w:eastAsia="Times New Roman" w:hAnsiTheme="majorBidi" w:cstheme="majorBidi"/>
          <w:lang w:eastAsia="en-GB"/>
        </w:rPr>
        <w:t xml:space="preserve"> (2024) ‘Medicare price negotiation and pharmaceutical innovation following the Inflation Reduction Act’, </w:t>
      </w:r>
      <w:r w:rsidRPr="00330F71">
        <w:rPr>
          <w:rFonts w:asciiTheme="majorBidi" w:eastAsia="Times New Roman" w:hAnsiTheme="majorBidi" w:cstheme="majorBidi"/>
          <w:i/>
          <w:iCs/>
          <w:lang w:eastAsia="en-GB"/>
        </w:rPr>
        <w:t>Nature Biotechnology</w:t>
      </w:r>
      <w:r w:rsidRPr="00330F71">
        <w:rPr>
          <w:rFonts w:asciiTheme="majorBidi" w:eastAsia="Times New Roman" w:hAnsiTheme="majorBidi" w:cstheme="majorBidi"/>
          <w:lang w:eastAsia="en-GB"/>
        </w:rPr>
        <w:t>, 42(3), pp. 406–412. Available at: https://doi.org/10.1038/s41587-023-02096-w.</w:t>
      </w:r>
    </w:p>
    <w:p w14:paraId="70097D5F"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Wallace, T.C. and Koturbash, I. (2025) ‘DSHEA 1994 – Celebrating 30 Years of Dietary Supplement Regulation in the United States’, </w:t>
      </w:r>
      <w:r w:rsidRPr="00330F71">
        <w:rPr>
          <w:rFonts w:asciiTheme="majorBidi" w:eastAsia="Times New Roman" w:hAnsiTheme="majorBidi" w:cstheme="majorBidi"/>
          <w:i/>
          <w:iCs/>
          <w:lang w:eastAsia="en-GB"/>
        </w:rPr>
        <w:t>Journal of Dietary Supplements</w:t>
      </w:r>
      <w:r w:rsidRPr="00330F71">
        <w:rPr>
          <w:rFonts w:asciiTheme="majorBidi" w:eastAsia="Times New Roman" w:hAnsiTheme="majorBidi" w:cstheme="majorBidi"/>
          <w:lang w:eastAsia="en-GB"/>
        </w:rPr>
        <w:t>, 22(1), pp. 1–8. Available at: https://doi.org/10.1080/19390211.2024.2419434.</w:t>
      </w:r>
    </w:p>
    <w:p w14:paraId="371B93E2" w14:textId="77777777" w:rsidR="00330F71" w:rsidRPr="006D18BD"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val="fr-FR" w:eastAsia="en-GB"/>
        </w:rPr>
      </w:pPr>
      <w:r w:rsidRPr="00330F71">
        <w:rPr>
          <w:rFonts w:asciiTheme="majorBidi" w:eastAsia="Times New Roman" w:hAnsiTheme="majorBidi" w:cstheme="majorBidi"/>
          <w:lang w:eastAsia="en-GB"/>
        </w:rPr>
        <w:t xml:space="preserve">Watson, M. (2014) ‘Illuminating the future of DNA sequencing’, </w:t>
      </w:r>
      <w:r w:rsidRPr="00330F71">
        <w:rPr>
          <w:rFonts w:asciiTheme="majorBidi" w:eastAsia="Times New Roman" w:hAnsiTheme="majorBidi" w:cstheme="majorBidi"/>
          <w:i/>
          <w:iCs/>
          <w:lang w:eastAsia="en-GB"/>
        </w:rPr>
        <w:t>Genome Biology</w:t>
      </w:r>
      <w:r w:rsidRPr="00330F71">
        <w:rPr>
          <w:rFonts w:asciiTheme="majorBidi" w:eastAsia="Times New Roman" w:hAnsiTheme="majorBidi" w:cstheme="majorBidi"/>
          <w:lang w:eastAsia="en-GB"/>
        </w:rPr>
        <w:t xml:space="preserve">, 15(2), p. 108. </w:t>
      </w:r>
      <w:r w:rsidRPr="006D18BD">
        <w:rPr>
          <w:rFonts w:asciiTheme="majorBidi" w:eastAsia="Times New Roman" w:hAnsiTheme="majorBidi" w:cstheme="majorBidi"/>
          <w:lang w:val="fr-FR" w:eastAsia="en-GB"/>
        </w:rPr>
        <w:t>Available at: https://doi.org/10.1186/gb4165.</w:t>
      </w:r>
    </w:p>
    <w:p w14:paraId="38050E02"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6D18BD">
        <w:rPr>
          <w:rFonts w:asciiTheme="majorBidi" w:eastAsia="Times New Roman" w:hAnsiTheme="majorBidi" w:cstheme="majorBidi"/>
          <w:lang w:val="fr-FR" w:eastAsia="en-GB"/>
        </w:rPr>
        <w:t xml:space="preserve">Wätzold, F. </w:t>
      </w:r>
      <w:r w:rsidRPr="006D18BD">
        <w:rPr>
          <w:rFonts w:asciiTheme="majorBidi" w:eastAsia="Times New Roman" w:hAnsiTheme="majorBidi" w:cstheme="majorBidi"/>
          <w:i/>
          <w:iCs/>
          <w:lang w:val="fr-FR" w:eastAsia="en-GB"/>
        </w:rPr>
        <w:t>et al.</w:t>
      </w:r>
      <w:r w:rsidRPr="006D18BD">
        <w:rPr>
          <w:rFonts w:asciiTheme="majorBidi" w:eastAsia="Times New Roman" w:hAnsiTheme="majorBidi" w:cstheme="majorBidi"/>
          <w:lang w:val="fr-FR" w:eastAsia="en-GB"/>
        </w:rPr>
        <w:t xml:space="preserve"> </w:t>
      </w:r>
      <w:r w:rsidRPr="00330F71">
        <w:rPr>
          <w:rFonts w:asciiTheme="majorBidi" w:eastAsia="Times New Roman" w:hAnsiTheme="majorBidi" w:cstheme="majorBidi"/>
          <w:lang w:eastAsia="en-GB"/>
        </w:rPr>
        <w:t xml:space="preserve">(2001) ‘EMAS and regulatory relief in Europe: lessons from national experience’, </w:t>
      </w:r>
      <w:r w:rsidRPr="00330F71">
        <w:rPr>
          <w:rFonts w:asciiTheme="majorBidi" w:eastAsia="Times New Roman" w:hAnsiTheme="majorBidi" w:cstheme="majorBidi"/>
          <w:i/>
          <w:iCs/>
          <w:lang w:eastAsia="en-GB"/>
        </w:rPr>
        <w:t>European Environment</w:t>
      </w:r>
      <w:r w:rsidRPr="00330F71">
        <w:rPr>
          <w:rFonts w:asciiTheme="majorBidi" w:eastAsia="Times New Roman" w:hAnsiTheme="majorBidi" w:cstheme="majorBidi"/>
          <w:lang w:eastAsia="en-GB"/>
        </w:rPr>
        <w:t>, 11(1), pp. 37–48. Available at: https://doi.org/10.1002/eet.249.</w:t>
      </w:r>
    </w:p>
    <w:p w14:paraId="34F73274"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lastRenderedPageBreak/>
        <w:t xml:space="preserve">von Wettberg, E. and Khoury, C.K. (2020) ‘Access to crop digital information and the sharing of benefits derived from its use: Background and perspectives’, </w:t>
      </w:r>
      <w:r w:rsidRPr="00330F71">
        <w:rPr>
          <w:rFonts w:asciiTheme="majorBidi" w:eastAsia="Times New Roman" w:hAnsiTheme="majorBidi" w:cstheme="majorBidi"/>
          <w:i/>
          <w:iCs/>
          <w:lang w:eastAsia="en-GB"/>
        </w:rPr>
        <w:t>PLANTS, PEOPLE, PLANET</w:t>
      </w:r>
      <w:r w:rsidRPr="00330F71">
        <w:rPr>
          <w:rFonts w:asciiTheme="majorBidi" w:eastAsia="Times New Roman" w:hAnsiTheme="majorBidi" w:cstheme="majorBidi"/>
          <w:lang w:eastAsia="en-GB"/>
        </w:rPr>
        <w:t>, 2(3), pp. 178–180. Available at: https://doi.org/10.1002/ppp3.10105.</w:t>
      </w:r>
    </w:p>
    <w:p w14:paraId="0A5749CF"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WHO (2021) </w:t>
      </w:r>
      <w:r w:rsidRPr="00330F71">
        <w:rPr>
          <w:rFonts w:asciiTheme="majorBidi" w:eastAsia="Times New Roman" w:hAnsiTheme="majorBidi" w:cstheme="majorBidi"/>
          <w:i/>
          <w:iCs/>
          <w:lang w:eastAsia="en-GB"/>
        </w:rPr>
        <w:t>Pandemic Influenza Preparedness (PIP) Framework for the Sharing of Influenza Viruses and Access to Vaccines and Other Benefits</w:t>
      </w:r>
      <w:r w:rsidRPr="00330F71">
        <w:rPr>
          <w:rFonts w:asciiTheme="majorBidi" w:eastAsia="Times New Roman" w:hAnsiTheme="majorBidi" w:cstheme="majorBidi"/>
          <w:lang w:eastAsia="en-GB"/>
        </w:rPr>
        <w:t>. 2nd ed. Geneva: World Health Organization.</w:t>
      </w:r>
    </w:p>
    <w:p w14:paraId="51B7507B"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WHO (2025a) </w:t>
      </w:r>
      <w:r w:rsidRPr="00330F71">
        <w:rPr>
          <w:rFonts w:asciiTheme="majorBidi" w:eastAsia="Times New Roman" w:hAnsiTheme="majorBidi" w:cstheme="majorBidi"/>
          <w:i/>
          <w:iCs/>
          <w:lang w:eastAsia="en-GB"/>
        </w:rPr>
        <w:t>PIP Partnership Contributions (2012-2025)</w:t>
      </w:r>
      <w:r w:rsidRPr="00330F71">
        <w:rPr>
          <w:rFonts w:asciiTheme="majorBidi" w:eastAsia="Times New Roman" w:hAnsiTheme="majorBidi" w:cstheme="majorBidi"/>
          <w:lang w:eastAsia="en-GB"/>
        </w:rPr>
        <w:t>. Available at: https://cdn.who.int/media/docs/default-source/pip-framework/partnership-contribution/pc-collection/pc-total-contributions.pdf?sfvrsn=ce1eb4d1_8.</w:t>
      </w:r>
    </w:p>
    <w:p w14:paraId="00976710"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WHO (2025b) ‘WHO Pandemic Agreement (WHA78.1)’, </w:t>
      </w:r>
      <w:r w:rsidRPr="00330F71">
        <w:rPr>
          <w:rFonts w:asciiTheme="majorBidi" w:eastAsia="Times New Roman" w:hAnsiTheme="majorBidi" w:cstheme="majorBidi"/>
          <w:i/>
          <w:iCs/>
          <w:lang w:eastAsia="en-GB"/>
        </w:rPr>
        <w:t>The Seventy-eighth World Health Assembly</w:t>
      </w:r>
      <w:r w:rsidRPr="00330F71">
        <w:rPr>
          <w:rFonts w:asciiTheme="majorBidi" w:eastAsia="Times New Roman" w:hAnsiTheme="majorBidi" w:cstheme="majorBidi"/>
          <w:lang w:eastAsia="en-GB"/>
        </w:rPr>
        <w:t xml:space="preserve"> [Preprint]. Available at: https://apps.who.int/gb/ebwha/pdf_files/WHA78/A78_R1-en.pdf.</w:t>
      </w:r>
    </w:p>
    <w:p w14:paraId="4B598543"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WHO (2026) </w:t>
      </w:r>
      <w:r w:rsidRPr="00330F71">
        <w:rPr>
          <w:rFonts w:asciiTheme="majorBidi" w:eastAsia="Times New Roman" w:hAnsiTheme="majorBidi" w:cstheme="majorBidi"/>
          <w:i/>
          <w:iCs/>
          <w:lang w:eastAsia="en-GB"/>
        </w:rPr>
        <w:t>Category A. SMTA2 and other agreements with vaccine &amp; antiviral manufacturers (factsheet)</w:t>
      </w:r>
      <w:r w:rsidRPr="00330F71">
        <w:rPr>
          <w:rFonts w:asciiTheme="majorBidi" w:eastAsia="Times New Roman" w:hAnsiTheme="majorBidi" w:cstheme="majorBidi"/>
          <w:lang w:eastAsia="en-GB"/>
        </w:rPr>
        <w:t>. Available at: https://cdn.who.int/media/docs/default-source/pip-framework/smta2/20241025-smta2-benefits-cat-a.pdf?sfvrsn=17bc74dd_6.</w:t>
      </w:r>
    </w:p>
    <w:p w14:paraId="445A3AE0" w14:textId="77777777" w:rsidR="00330F71" w:rsidRPr="006D18BD"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val="fr-FR" w:eastAsia="en-GB"/>
        </w:rPr>
      </w:pPr>
      <w:r w:rsidRPr="00330F71">
        <w:rPr>
          <w:rFonts w:asciiTheme="majorBidi" w:eastAsia="Times New Roman" w:hAnsiTheme="majorBidi" w:cstheme="majorBidi"/>
          <w:lang w:eastAsia="en-GB"/>
        </w:rPr>
        <w:t xml:space="preserve">Whomersley, C. (2025) ‘Innovations in the Institutional Arrangements in the BBNJ Agreement’, </w:t>
      </w:r>
      <w:r w:rsidRPr="00330F71">
        <w:rPr>
          <w:rFonts w:asciiTheme="majorBidi" w:eastAsia="Times New Roman" w:hAnsiTheme="majorBidi" w:cstheme="majorBidi"/>
          <w:i/>
          <w:iCs/>
          <w:lang w:eastAsia="en-GB"/>
        </w:rPr>
        <w:t>The International Journal of Marine and Coastal Law</w:t>
      </w:r>
      <w:r w:rsidRPr="00330F71">
        <w:rPr>
          <w:rFonts w:asciiTheme="majorBidi" w:eastAsia="Times New Roman" w:hAnsiTheme="majorBidi" w:cstheme="majorBidi"/>
          <w:lang w:eastAsia="en-GB"/>
        </w:rPr>
        <w:t xml:space="preserve">, 40(2), pp. 308–327. </w:t>
      </w:r>
      <w:r w:rsidRPr="006D18BD">
        <w:rPr>
          <w:rFonts w:asciiTheme="majorBidi" w:eastAsia="Times New Roman" w:hAnsiTheme="majorBidi" w:cstheme="majorBidi"/>
          <w:lang w:val="fr-FR" w:eastAsia="en-GB"/>
        </w:rPr>
        <w:t>Available at: https://doi.org/10.1163/15718085-bja10230.</w:t>
      </w:r>
    </w:p>
    <w:p w14:paraId="54917904"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6D18BD">
        <w:rPr>
          <w:rFonts w:asciiTheme="majorBidi" w:eastAsia="Times New Roman" w:hAnsiTheme="majorBidi" w:cstheme="majorBidi"/>
          <w:lang w:val="fr-FR" w:eastAsia="en-GB"/>
        </w:rPr>
        <w:t xml:space="preserve">Wilde, D. </w:t>
      </w:r>
      <w:r w:rsidRPr="006D18BD">
        <w:rPr>
          <w:rFonts w:asciiTheme="majorBidi" w:eastAsia="Times New Roman" w:hAnsiTheme="majorBidi" w:cstheme="majorBidi"/>
          <w:i/>
          <w:iCs/>
          <w:lang w:val="fr-FR" w:eastAsia="en-GB"/>
        </w:rPr>
        <w:t>et al.</w:t>
      </w:r>
      <w:r w:rsidRPr="006D18BD">
        <w:rPr>
          <w:rFonts w:asciiTheme="majorBidi" w:eastAsia="Times New Roman" w:hAnsiTheme="majorBidi" w:cstheme="majorBidi"/>
          <w:lang w:val="fr-FR" w:eastAsia="en-GB"/>
        </w:rPr>
        <w:t xml:space="preserve"> </w:t>
      </w:r>
      <w:r w:rsidRPr="00330F71">
        <w:rPr>
          <w:rFonts w:asciiTheme="majorBidi" w:eastAsia="Times New Roman" w:hAnsiTheme="majorBidi" w:cstheme="majorBidi"/>
          <w:lang w:eastAsia="en-GB"/>
        </w:rPr>
        <w:t xml:space="preserve">(2023) ‘Equitable sharing of deep-sea mining benefits: More questions than answers’, </w:t>
      </w:r>
      <w:r w:rsidRPr="00330F71">
        <w:rPr>
          <w:rFonts w:asciiTheme="majorBidi" w:eastAsia="Times New Roman" w:hAnsiTheme="majorBidi" w:cstheme="majorBidi"/>
          <w:i/>
          <w:iCs/>
          <w:lang w:eastAsia="en-GB"/>
        </w:rPr>
        <w:t>Marine Policy</w:t>
      </w:r>
      <w:r w:rsidRPr="00330F71">
        <w:rPr>
          <w:rFonts w:asciiTheme="majorBidi" w:eastAsia="Times New Roman" w:hAnsiTheme="majorBidi" w:cstheme="majorBidi"/>
          <w:lang w:eastAsia="en-GB"/>
        </w:rPr>
        <w:t>, 151, p. 105572. Available at: https://doi.org/10.1016/j.marpol.2023.105572.</w:t>
      </w:r>
    </w:p>
    <w:p w14:paraId="6BDC7FE4" w14:textId="77777777" w:rsidR="00330F71" w:rsidRPr="006D18BD"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val="fr-FR" w:eastAsia="en-GB"/>
        </w:rPr>
      </w:pPr>
      <w:r w:rsidRPr="00330F71">
        <w:rPr>
          <w:rFonts w:asciiTheme="majorBidi" w:eastAsia="Times New Roman" w:hAnsiTheme="majorBidi" w:cstheme="majorBidi"/>
          <w:lang w:eastAsia="en-GB"/>
        </w:rPr>
        <w:t xml:space="preserve">Willaert, K. (2022) ‘Fair Share: Equitable Distribution of Deep Sea Mining Proceeds’, </w:t>
      </w:r>
      <w:r w:rsidRPr="00330F71">
        <w:rPr>
          <w:rFonts w:asciiTheme="majorBidi" w:eastAsia="Times New Roman" w:hAnsiTheme="majorBidi" w:cstheme="majorBidi"/>
          <w:i/>
          <w:iCs/>
          <w:lang w:eastAsia="en-GB"/>
        </w:rPr>
        <w:t>The International Journal of Marine and Coastal Law</w:t>
      </w:r>
      <w:r w:rsidRPr="00330F71">
        <w:rPr>
          <w:rFonts w:asciiTheme="majorBidi" w:eastAsia="Times New Roman" w:hAnsiTheme="majorBidi" w:cstheme="majorBidi"/>
          <w:lang w:eastAsia="en-GB"/>
        </w:rPr>
        <w:t xml:space="preserve">, 37(2), pp. 217–240. </w:t>
      </w:r>
      <w:r w:rsidRPr="006D18BD">
        <w:rPr>
          <w:rFonts w:asciiTheme="majorBidi" w:eastAsia="Times New Roman" w:hAnsiTheme="majorBidi" w:cstheme="majorBidi"/>
          <w:lang w:val="fr-FR" w:eastAsia="en-GB"/>
        </w:rPr>
        <w:t>Available at: https://doi.org/10.1163/15718085-bja10086.</w:t>
      </w:r>
    </w:p>
    <w:p w14:paraId="05234E2F"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6D18BD">
        <w:rPr>
          <w:rFonts w:asciiTheme="majorBidi" w:eastAsia="Times New Roman" w:hAnsiTheme="majorBidi" w:cstheme="majorBidi"/>
          <w:lang w:val="fr-FR" w:eastAsia="en-GB"/>
        </w:rPr>
        <w:t xml:space="preserve">Wilsdon, T. </w:t>
      </w:r>
      <w:r w:rsidRPr="006D18BD">
        <w:rPr>
          <w:rFonts w:asciiTheme="majorBidi" w:eastAsia="Times New Roman" w:hAnsiTheme="majorBidi" w:cstheme="majorBidi"/>
          <w:i/>
          <w:iCs/>
          <w:lang w:val="fr-FR" w:eastAsia="en-GB"/>
        </w:rPr>
        <w:t>et al.</w:t>
      </w:r>
      <w:r w:rsidRPr="006D18BD">
        <w:rPr>
          <w:rFonts w:asciiTheme="majorBidi" w:eastAsia="Times New Roman" w:hAnsiTheme="majorBidi" w:cstheme="majorBidi"/>
          <w:lang w:val="fr-FR" w:eastAsia="en-GB"/>
        </w:rPr>
        <w:t xml:space="preserve"> </w:t>
      </w:r>
      <w:r w:rsidRPr="00330F71">
        <w:rPr>
          <w:rFonts w:asciiTheme="majorBidi" w:eastAsia="Times New Roman" w:hAnsiTheme="majorBidi" w:cstheme="majorBidi"/>
          <w:lang w:eastAsia="en-GB"/>
        </w:rPr>
        <w:t xml:space="preserve">(2020) ‘The impact of vaccine procurement methods on public health in selected European countries’, </w:t>
      </w:r>
      <w:r w:rsidRPr="00330F71">
        <w:rPr>
          <w:rFonts w:asciiTheme="majorBidi" w:eastAsia="Times New Roman" w:hAnsiTheme="majorBidi" w:cstheme="majorBidi"/>
          <w:i/>
          <w:iCs/>
          <w:lang w:eastAsia="en-GB"/>
        </w:rPr>
        <w:t>Expert Review of Vaccines</w:t>
      </w:r>
      <w:r w:rsidRPr="00330F71">
        <w:rPr>
          <w:rFonts w:asciiTheme="majorBidi" w:eastAsia="Times New Roman" w:hAnsiTheme="majorBidi" w:cstheme="majorBidi"/>
          <w:lang w:eastAsia="en-GB"/>
        </w:rPr>
        <w:t>, 19(2), pp. 123–132. Available at: https://doi.org/10.1080/14760584.2020.1717952.</w:t>
      </w:r>
    </w:p>
    <w:p w14:paraId="367B1A65"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WIPO (2025) ‘Recommended standard for the presentation of nucleotide and amino acid sequence listings using XML’. Available at: https://www.wipo.int/documents/d/standards/docs-en-archives-03-25-01arc2009.pdf.</w:t>
      </w:r>
    </w:p>
    <w:p w14:paraId="2BB06CCF"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330F71">
        <w:rPr>
          <w:rFonts w:asciiTheme="majorBidi" w:eastAsia="Times New Roman" w:hAnsiTheme="majorBidi" w:cstheme="majorBidi"/>
          <w:lang w:eastAsia="en-GB"/>
        </w:rPr>
        <w:t xml:space="preserve">Wydra, S. (2019a) ‘Value Chains for Industrial Biotechnology in the Bioeconomy-Innovation System Analysis’, </w:t>
      </w:r>
      <w:r w:rsidRPr="00330F71">
        <w:rPr>
          <w:rFonts w:asciiTheme="majorBidi" w:eastAsia="Times New Roman" w:hAnsiTheme="majorBidi" w:cstheme="majorBidi"/>
          <w:i/>
          <w:iCs/>
          <w:lang w:eastAsia="en-GB"/>
        </w:rPr>
        <w:t>Sustainability</w:t>
      </w:r>
      <w:r w:rsidRPr="00330F71">
        <w:rPr>
          <w:rFonts w:asciiTheme="majorBidi" w:eastAsia="Times New Roman" w:hAnsiTheme="majorBidi" w:cstheme="majorBidi"/>
          <w:lang w:eastAsia="en-GB"/>
        </w:rPr>
        <w:t>, 11(8), p. 2435. Available at: https://doi.org/10.3390/su11082435.</w:t>
      </w:r>
    </w:p>
    <w:p w14:paraId="2A4B0C0E" w14:textId="77777777" w:rsidR="00330F71" w:rsidRPr="006D18BD"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val="fr-FR" w:eastAsia="en-GB"/>
        </w:rPr>
      </w:pPr>
      <w:r w:rsidRPr="00330F71">
        <w:rPr>
          <w:rFonts w:asciiTheme="majorBidi" w:eastAsia="Times New Roman" w:hAnsiTheme="majorBidi" w:cstheme="majorBidi"/>
          <w:lang w:eastAsia="en-GB"/>
        </w:rPr>
        <w:t xml:space="preserve">Wydra, S. (2019b) ‘Value Chains for Industrial Biotechnology in the Bioeconomy-Innovation System Analysis’, </w:t>
      </w:r>
      <w:r w:rsidRPr="00330F71">
        <w:rPr>
          <w:rFonts w:asciiTheme="majorBidi" w:eastAsia="Times New Roman" w:hAnsiTheme="majorBidi" w:cstheme="majorBidi"/>
          <w:i/>
          <w:iCs/>
          <w:lang w:eastAsia="en-GB"/>
        </w:rPr>
        <w:t>Sustainability</w:t>
      </w:r>
      <w:r w:rsidRPr="00330F71">
        <w:rPr>
          <w:rFonts w:asciiTheme="majorBidi" w:eastAsia="Times New Roman" w:hAnsiTheme="majorBidi" w:cstheme="majorBidi"/>
          <w:lang w:eastAsia="en-GB"/>
        </w:rPr>
        <w:t xml:space="preserve">, 11(8), p. 2435. </w:t>
      </w:r>
      <w:r w:rsidRPr="006D18BD">
        <w:rPr>
          <w:rFonts w:asciiTheme="majorBidi" w:eastAsia="Times New Roman" w:hAnsiTheme="majorBidi" w:cstheme="majorBidi"/>
          <w:lang w:val="fr-FR" w:eastAsia="en-GB"/>
        </w:rPr>
        <w:t>Available at: https://doi.org/10.3390/su11082435.</w:t>
      </w:r>
    </w:p>
    <w:p w14:paraId="1C1A3A2C" w14:textId="77777777" w:rsidR="00330F71" w:rsidRPr="006D18BD"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val="fr-FR" w:eastAsia="en-GB"/>
        </w:rPr>
      </w:pPr>
      <w:r w:rsidRPr="006D18BD">
        <w:rPr>
          <w:rFonts w:asciiTheme="majorBidi" w:eastAsia="Times New Roman" w:hAnsiTheme="majorBidi" w:cstheme="majorBidi"/>
          <w:lang w:val="fr-FR" w:eastAsia="en-GB"/>
        </w:rPr>
        <w:t xml:space="preserve">Wynberg, R. </w:t>
      </w:r>
      <w:r w:rsidRPr="006D18BD">
        <w:rPr>
          <w:rFonts w:asciiTheme="majorBidi" w:eastAsia="Times New Roman" w:hAnsiTheme="majorBidi" w:cstheme="majorBidi"/>
          <w:i/>
          <w:iCs/>
          <w:lang w:val="fr-FR" w:eastAsia="en-GB"/>
        </w:rPr>
        <w:t>et al.</w:t>
      </w:r>
      <w:r w:rsidRPr="006D18BD">
        <w:rPr>
          <w:rFonts w:asciiTheme="majorBidi" w:eastAsia="Times New Roman" w:hAnsiTheme="majorBidi" w:cstheme="majorBidi"/>
          <w:lang w:val="fr-FR" w:eastAsia="en-GB"/>
        </w:rPr>
        <w:t xml:space="preserve"> </w:t>
      </w:r>
      <w:r w:rsidRPr="00330F71">
        <w:rPr>
          <w:rFonts w:asciiTheme="majorBidi" w:eastAsia="Times New Roman" w:hAnsiTheme="majorBidi" w:cstheme="majorBidi"/>
          <w:lang w:eastAsia="en-GB"/>
        </w:rPr>
        <w:t xml:space="preserve">(2021) ‘Farmers’ Rights and Digital Sequence Information: Crisis or Opportunity to Reclaim Stewardship Over Agrobiodiversity?’, </w:t>
      </w:r>
      <w:r w:rsidRPr="00330F71">
        <w:rPr>
          <w:rFonts w:asciiTheme="majorBidi" w:eastAsia="Times New Roman" w:hAnsiTheme="majorBidi" w:cstheme="majorBidi"/>
          <w:i/>
          <w:iCs/>
          <w:lang w:eastAsia="en-GB"/>
        </w:rPr>
        <w:t>Frontiers in Plant Science</w:t>
      </w:r>
      <w:r w:rsidRPr="00330F71">
        <w:rPr>
          <w:rFonts w:asciiTheme="majorBidi" w:eastAsia="Times New Roman" w:hAnsiTheme="majorBidi" w:cstheme="majorBidi"/>
          <w:lang w:eastAsia="en-GB"/>
        </w:rPr>
        <w:t xml:space="preserve">, 12. </w:t>
      </w:r>
      <w:r w:rsidRPr="006D18BD">
        <w:rPr>
          <w:rFonts w:asciiTheme="majorBidi" w:eastAsia="Times New Roman" w:hAnsiTheme="majorBidi" w:cstheme="majorBidi"/>
          <w:lang w:val="fr-FR" w:eastAsia="en-GB"/>
        </w:rPr>
        <w:t>Available at: https://doi.org/10.3389/fpls.2021.686728.</w:t>
      </w:r>
    </w:p>
    <w:p w14:paraId="35366F98" w14:textId="77777777" w:rsidR="00330F71" w:rsidRPr="006D18BD"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val="fr-FR" w:eastAsia="en-GB"/>
        </w:rPr>
      </w:pPr>
      <w:r w:rsidRPr="006D18BD">
        <w:rPr>
          <w:rFonts w:asciiTheme="majorBidi" w:eastAsia="Times New Roman" w:hAnsiTheme="majorBidi" w:cstheme="majorBidi"/>
          <w:lang w:val="fr-FR" w:eastAsia="en-GB"/>
        </w:rPr>
        <w:t xml:space="preserve">Xing, J. </w:t>
      </w:r>
      <w:r w:rsidRPr="006D18BD">
        <w:rPr>
          <w:rFonts w:asciiTheme="majorBidi" w:eastAsia="Times New Roman" w:hAnsiTheme="majorBidi" w:cstheme="majorBidi"/>
          <w:i/>
          <w:iCs/>
          <w:lang w:val="fr-FR" w:eastAsia="en-GB"/>
        </w:rPr>
        <w:t>et al.</w:t>
      </w:r>
      <w:r w:rsidRPr="006D18BD">
        <w:rPr>
          <w:rFonts w:asciiTheme="majorBidi" w:eastAsia="Times New Roman" w:hAnsiTheme="majorBidi" w:cstheme="majorBidi"/>
          <w:lang w:val="fr-FR" w:eastAsia="en-GB"/>
        </w:rPr>
        <w:t xml:space="preserve"> </w:t>
      </w:r>
      <w:r w:rsidRPr="00330F71">
        <w:rPr>
          <w:rFonts w:asciiTheme="majorBidi" w:eastAsia="Times New Roman" w:hAnsiTheme="majorBidi" w:cstheme="majorBidi"/>
          <w:lang w:eastAsia="en-GB"/>
        </w:rPr>
        <w:t xml:space="preserve">(2024) ‘How distortive are turnover taxes? Evidence from China’, </w:t>
      </w:r>
      <w:r w:rsidRPr="00330F71">
        <w:rPr>
          <w:rFonts w:asciiTheme="majorBidi" w:eastAsia="Times New Roman" w:hAnsiTheme="majorBidi" w:cstheme="majorBidi"/>
          <w:i/>
          <w:iCs/>
          <w:lang w:eastAsia="en-GB"/>
        </w:rPr>
        <w:t>Journal of Development Economics</w:t>
      </w:r>
      <w:r w:rsidRPr="00330F71">
        <w:rPr>
          <w:rFonts w:asciiTheme="majorBidi" w:eastAsia="Times New Roman" w:hAnsiTheme="majorBidi" w:cstheme="majorBidi"/>
          <w:lang w:eastAsia="en-GB"/>
        </w:rPr>
        <w:t xml:space="preserve">, 171, p. 103332. </w:t>
      </w:r>
      <w:r w:rsidRPr="006D18BD">
        <w:rPr>
          <w:rFonts w:asciiTheme="majorBidi" w:eastAsia="Times New Roman" w:hAnsiTheme="majorBidi" w:cstheme="majorBidi"/>
          <w:lang w:val="fr-FR" w:eastAsia="en-GB"/>
        </w:rPr>
        <w:t>Available at: https://doi.org/10.1016/j.jdeveco.2024.103332.</w:t>
      </w:r>
    </w:p>
    <w:p w14:paraId="0463EA3F" w14:textId="77777777" w:rsidR="00330F71" w:rsidRPr="006D18BD"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val="fr-FR" w:eastAsia="en-GB"/>
        </w:rPr>
      </w:pPr>
      <w:r w:rsidRPr="006D18BD">
        <w:rPr>
          <w:rFonts w:asciiTheme="majorBidi" w:eastAsia="Times New Roman" w:hAnsiTheme="majorBidi" w:cstheme="majorBidi"/>
          <w:lang w:val="fr-FR" w:eastAsia="en-GB"/>
        </w:rPr>
        <w:lastRenderedPageBreak/>
        <w:t xml:space="preserve">Yu, W. </w:t>
      </w:r>
      <w:r w:rsidRPr="006D18BD">
        <w:rPr>
          <w:rFonts w:asciiTheme="majorBidi" w:eastAsia="Times New Roman" w:hAnsiTheme="majorBidi" w:cstheme="majorBidi"/>
          <w:i/>
          <w:iCs/>
          <w:lang w:val="fr-FR" w:eastAsia="en-GB"/>
        </w:rPr>
        <w:t>et al.</w:t>
      </w:r>
      <w:r w:rsidRPr="006D18BD">
        <w:rPr>
          <w:rFonts w:asciiTheme="majorBidi" w:eastAsia="Times New Roman" w:hAnsiTheme="majorBidi" w:cstheme="majorBidi"/>
          <w:lang w:val="fr-FR" w:eastAsia="en-GB"/>
        </w:rPr>
        <w:t xml:space="preserve"> </w:t>
      </w:r>
      <w:r w:rsidRPr="00330F71">
        <w:rPr>
          <w:rFonts w:asciiTheme="majorBidi" w:eastAsia="Times New Roman" w:hAnsiTheme="majorBidi" w:cstheme="majorBidi"/>
          <w:lang w:eastAsia="en-GB"/>
        </w:rPr>
        <w:t xml:space="preserve">(2025) ‘Form follows function: in pursuit of solutions to the unresolved issues of the benefit-sharing regime for marine genetic resources under the BBNJ agreement’, </w:t>
      </w:r>
      <w:r w:rsidRPr="00330F71">
        <w:rPr>
          <w:rFonts w:asciiTheme="majorBidi" w:eastAsia="Times New Roman" w:hAnsiTheme="majorBidi" w:cstheme="majorBidi"/>
          <w:i/>
          <w:iCs/>
          <w:lang w:eastAsia="en-GB"/>
        </w:rPr>
        <w:t>Frontiers in Marine Science</w:t>
      </w:r>
      <w:r w:rsidRPr="00330F71">
        <w:rPr>
          <w:rFonts w:asciiTheme="majorBidi" w:eastAsia="Times New Roman" w:hAnsiTheme="majorBidi" w:cstheme="majorBidi"/>
          <w:lang w:eastAsia="en-GB"/>
        </w:rPr>
        <w:t xml:space="preserve">, 12. </w:t>
      </w:r>
      <w:r w:rsidRPr="006D18BD">
        <w:rPr>
          <w:rFonts w:asciiTheme="majorBidi" w:eastAsia="Times New Roman" w:hAnsiTheme="majorBidi" w:cstheme="majorBidi"/>
          <w:lang w:val="fr-FR" w:eastAsia="en-GB"/>
        </w:rPr>
        <w:t>Available at: https://doi.org/10.3389/fmars.2025.1726523.</w:t>
      </w:r>
    </w:p>
    <w:p w14:paraId="081E2611" w14:textId="77777777" w:rsidR="00330F71" w:rsidRPr="00330F71"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eastAsia="en-GB"/>
        </w:rPr>
      </w:pPr>
      <w:r w:rsidRPr="006D18BD">
        <w:rPr>
          <w:rFonts w:asciiTheme="majorBidi" w:eastAsia="Times New Roman" w:hAnsiTheme="majorBidi" w:cstheme="majorBidi"/>
          <w:lang w:val="fr-FR" w:eastAsia="en-GB"/>
        </w:rPr>
        <w:t xml:space="preserve">Zhang, W. </w:t>
      </w:r>
      <w:r w:rsidRPr="006D18BD">
        <w:rPr>
          <w:rFonts w:asciiTheme="majorBidi" w:eastAsia="Times New Roman" w:hAnsiTheme="majorBidi" w:cstheme="majorBidi"/>
          <w:i/>
          <w:iCs/>
          <w:lang w:val="fr-FR" w:eastAsia="en-GB"/>
        </w:rPr>
        <w:t>et al.</w:t>
      </w:r>
      <w:r w:rsidRPr="006D18BD">
        <w:rPr>
          <w:rFonts w:asciiTheme="majorBidi" w:eastAsia="Times New Roman" w:hAnsiTheme="majorBidi" w:cstheme="majorBidi"/>
          <w:lang w:val="fr-FR" w:eastAsia="en-GB"/>
        </w:rPr>
        <w:t xml:space="preserve"> </w:t>
      </w:r>
      <w:r w:rsidRPr="00330F71">
        <w:rPr>
          <w:rFonts w:asciiTheme="majorBidi" w:eastAsia="Times New Roman" w:hAnsiTheme="majorBidi" w:cstheme="majorBidi"/>
          <w:lang w:eastAsia="en-GB"/>
        </w:rPr>
        <w:t xml:space="preserve">(2024) ‘Revisiting the Porter hypothesis: a multi-country meta-analysis of the relationship between environmental regulation and green innovation’, </w:t>
      </w:r>
      <w:r w:rsidRPr="00330F71">
        <w:rPr>
          <w:rFonts w:asciiTheme="majorBidi" w:eastAsia="Times New Roman" w:hAnsiTheme="majorBidi" w:cstheme="majorBidi"/>
          <w:i/>
          <w:iCs/>
          <w:lang w:eastAsia="en-GB"/>
        </w:rPr>
        <w:t>Humanities and Social Sciences Communications</w:t>
      </w:r>
      <w:r w:rsidRPr="00330F71">
        <w:rPr>
          <w:rFonts w:asciiTheme="majorBidi" w:eastAsia="Times New Roman" w:hAnsiTheme="majorBidi" w:cstheme="majorBidi"/>
          <w:lang w:eastAsia="en-GB"/>
        </w:rPr>
        <w:t>, 11(1), p. 232. Available at: https://doi.org/10.1057/s41599-024-02671-9.</w:t>
      </w:r>
    </w:p>
    <w:p w14:paraId="49955242" w14:textId="07A70FFA" w:rsidR="005F0A67" w:rsidRDefault="00330F71" w:rsidP="00330F71">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r w:rsidRPr="00330F71">
        <w:rPr>
          <w:rFonts w:asciiTheme="majorBidi" w:eastAsia="Times New Roman" w:hAnsiTheme="majorBidi" w:cstheme="majorBidi"/>
          <w:lang w:val="en-CA" w:eastAsia="en-GB"/>
        </w:rPr>
        <w:fldChar w:fldCharType="end"/>
      </w:r>
    </w:p>
    <w:p w14:paraId="25376C6F" w14:textId="77777777" w:rsidR="00330F71" w:rsidRDefault="00330F71"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p>
    <w:p w14:paraId="1F43391D" w14:textId="77777777" w:rsidR="00330F71" w:rsidRPr="005F0A67" w:rsidRDefault="00330F71"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sectPr w:rsidR="00330F71" w:rsidRPr="005F0A67" w:rsidSect="005F0A67">
          <w:pgSz w:w="12240" w:h="15840"/>
          <w:pgMar w:top="1080" w:right="1260" w:bottom="1080" w:left="1260" w:header="706" w:footer="706" w:gutter="0"/>
          <w:cols w:space="720"/>
          <w:docGrid w:linePitch="360"/>
        </w:sectPr>
      </w:pPr>
    </w:p>
    <w:p w14:paraId="70F2D4CA" w14:textId="77777777" w:rsidR="005F0A67" w:rsidRPr="005F0A67" w:rsidRDefault="005F0A67" w:rsidP="005F0A67">
      <w:pPr>
        <w:pBdr>
          <w:bottom w:val="single" w:sz="2" w:space="6" w:color="D9D9D9"/>
        </w:pBdr>
        <w:tabs>
          <w:tab w:val="clear" w:pos="567"/>
          <w:tab w:val="clear" w:pos="1134"/>
          <w:tab w:val="clear" w:pos="1701"/>
          <w:tab w:val="clear" w:pos="2268"/>
        </w:tabs>
        <w:spacing w:before="400" w:after="60"/>
        <w:jc w:val="left"/>
        <w:outlineLvl w:val="0"/>
        <w:rPr>
          <w:rFonts w:asciiTheme="majorBidi" w:eastAsia="Arial" w:hAnsiTheme="majorBidi" w:cstheme="majorBidi"/>
          <w:b/>
          <w:bCs/>
          <w:color w:val="1A1A1A"/>
          <w:sz w:val="28"/>
          <w:szCs w:val="28"/>
          <w:lang w:val="en-CA" w:eastAsia="en-GB"/>
        </w:rPr>
      </w:pPr>
      <w:bookmarkStart w:id="264" w:name="_Toc234579625"/>
      <w:bookmarkStart w:id="265" w:name="_Toc234579791"/>
      <w:r w:rsidRPr="005F0A67">
        <w:rPr>
          <w:rFonts w:asciiTheme="majorBidi" w:eastAsia="Arial" w:hAnsiTheme="majorBidi" w:cstheme="majorBidi"/>
          <w:b/>
          <w:bCs/>
          <w:color w:val="1A1A1A"/>
          <w:sz w:val="28"/>
          <w:szCs w:val="28"/>
          <w:lang w:val="en-CA" w:eastAsia="en-GB"/>
        </w:rPr>
        <w:lastRenderedPageBreak/>
        <w:t>Annex A: Methodological Notes</w:t>
      </w:r>
      <w:bookmarkEnd w:id="264"/>
      <w:bookmarkEnd w:id="265"/>
    </w:p>
    <w:p w14:paraId="2EDA3F9F" w14:textId="77777777" w:rsidR="005F0A67" w:rsidRPr="005F0A67" w:rsidRDefault="005F0A67" w:rsidP="005F0A67">
      <w:pPr>
        <w:tabs>
          <w:tab w:val="clear" w:pos="567"/>
          <w:tab w:val="clear" w:pos="1134"/>
          <w:tab w:val="clear" w:pos="1701"/>
          <w:tab w:val="clear" w:pos="2268"/>
        </w:tabs>
        <w:spacing w:before="320" w:after="160"/>
        <w:ind w:left="576" w:hanging="576"/>
        <w:jc w:val="left"/>
        <w:outlineLvl w:val="1"/>
        <w:rPr>
          <w:rFonts w:asciiTheme="majorBidi" w:eastAsia="Arial" w:hAnsiTheme="majorBidi" w:cstheme="majorBidi"/>
          <w:b/>
          <w:bCs/>
          <w:color w:val="1A1A1A"/>
          <w:sz w:val="23"/>
          <w:szCs w:val="23"/>
          <w:lang w:val="en-CA" w:eastAsia="en-GB"/>
        </w:rPr>
      </w:pPr>
      <w:bookmarkStart w:id="266" w:name="_Toc234579626"/>
      <w:bookmarkStart w:id="267" w:name="_Ref230024719"/>
      <w:r w:rsidRPr="005F0A67">
        <w:rPr>
          <w:rFonts w:asciiTheme="majorBidi" w:eastAsia="Arial" w:hAnsiTheme="majorBidi" w:cstheme="majorBidi"/>
          <w:b/>
          <w:bCs/>
          <w:color w:val="1A1A1A"/>
          <w:sz w:val="23"/>
          <w:szCs w:val="23"/>
          <w:lang w:val="en-CA" w:eastAsia="en-GB"/>
        </w:rPr>
        <w:t>A.1 Geographical scope (Part II)</w:t>
      </w:r>
      <w:bookmarkEnd w:id="266"/>
    </w:p>
    <w:bookmarkEnd w:id="267"/>
    <w:p w14:paraId="05C78285" w14:textId="77777777" w:rsidR="005F0A67" w:rsidRPr="005F0A67" w:rsidRDefault="005F0A67" w:rsidP="005F0A67">
      <w:pPr>
        <w:tabs>
          <w:tab w:val="clear" w:pos="567"/>
          <w:tab w:val="clear" w:pos="1134"/>
          <w:tab w:val="clear" w:pos="1701"/>
          <w:tab w:val="clear" w:pos="2268"/>
        </w:tabs>
        <w:spacing w:after="200" w:line="312" w:lineRule="auto"/>
        <w:contextualSpacing/>
        <w:rPr>
          <w:rFonts w:asciiTheme="majorBidi" w:eastAsia="Yu Mincho" w:hAnsiTheme="majorBidi" w:cstheme="majorBidi"/>
          <w:i/>
          <w:iCs/>
          <w:color w:val="0E2841"/>
          <w:sz w:val="24"/>
          <w:szCs w:val="24"/>
          <w:lang w:val="en-US" w:eastAsia="ja-JP"/>
        </w:rPr>
      </w:pPr>
      <w:r w:rsidRPr="005F0A67">
        <w:rPr>
          <w:rFonts w:asciiTheme="majorBidi" w:eastAsia="Georgia" w:hAnsiTheme="majorBidi" w:cstheme="majorBidi"/>
          <w:b/>
          <w:bCs/>
          <w:color w:val="419844"/>
          <w:lang w:val="en-US" w:eastAsia="ja-JP"/>
        </w:rPr>
        <w:t xml:space="preserve">Table </w:t>
      </w:r>
      <w:r w:rsidRPr="005F0A67">
        <w:rPr>
          <w:rFonts w:asciiTheme="majorBidi" w:eastAsia="Georgia" w:hAnsiTheme="majorBidi" w:cstheme="majorBidi"/>
          <w:b/>
          <w:bCs/>
          <w:color w:val="419844"/>
          <w:lang w:eastAsia="en-GB"/>
        </w:rPr>
        <w:fldChar w:fldCharType="begin"/>
      </w:r>
      <w:r w:rsidRPr="005F0A67">
        <w:rPr>
          <w:rFonts w:asciiTheme="majorBidi" w:eastAsia="Georgia" w:hAnsiTheme="majorBidi" w:cstheme="majorBidi"/>
          <w:b/>
          <w:bCs/>
          <w:color w:val="419844"/>
          <w:lang w:eastAsia="en-GB"/>
        </w:rPr>
        <w:instrText xml:space="preserve"> SEQ Table \* ARABIC </w:instrText>
      </w:r>
      <w:r w:rsidRPr="005F0A67">
        <w:rPr>
          <w:rFonts w:asciiTheme="majorBidi" w:eastAsia="Georgia" w:hAnsiTheme="majorBidi" w:cstheme="majorBidi"/>
          <w:b/>
          <w:bCs/>
          <w:color w:val="419844"/>
          <w:lang w:eastAsia="en-GB"/>
        </w:rPr>
        <w:fldChar w:fldCharType="separate"/>
      </w:r>
      <w:r w:rsidRPr="005F0A67">
        <w:rPr>
          <w:rFonts w:asciiTheme="majorBidi" w:eastAsia="Georgia" w:hAnsiTheme="majorBidi" w:cstheme="majorBidi"/>
          <w:b/>
          <w:bCs/>
          <w:noProof/>
          <w:color w:val="419844"/>
          <w:lang w:eastAsia="en-GB"/>
        </w:rPr>
        <w:t>45</w:t>
      </w:r>
      <w:r w:rsidRPr="005F0A67">
        <w:rPr>
          <w:rFonts w:asciiTheme="majorBidi" w:eastAsia="Georgia" w:hAnsiTheme="majorBidi" w:cstheme="majorBidi"/>
          <w:b/>
          <w:bCs/>
          <w:color w:val="419844"/>
          <w:lang w:eastAsia="en-GB"/>
        </w:rPr>
        <w:fldChar w:fldCharType="end"/>
      </w:r>
      <w:r w:rsidRPr="005F0A67">
        <w:rPr>
          <w:rFonts w:asciiTheme="majorBidi" w:eastAsia="Georgia" w:hAnsiTheme="majorBidi" w:cstheme="majorBidi"/>
          <w:b/>
          <w:bCs/>
          <w:color w:val="419844"/>
          <w:lang w:val="en-US" w:eastAsia="ja-JP"/>
        </w:rPr>
        <w:t xml:space="preserve"> CBD Parties not included in the revenue modelling</w:t>
      </w:r>
      <w:r w:rsidRPr="005F0A67">
        <w:rPr>
          <w:rFonts w:asciiTheme="majorBidi" w:eastAsia="Yu Mincho" w:hAnsiTheme="majorBidi" w:cstheme="majorBidi"/>
          <w:i/>
          <w:iCs/>
          <w:color w:val="0E2841"/>
          <w:sz w:val="24"/>
          <w:szCs w:val="24"/>
          <w:lang w:val="en-US" w:eastAsia="ja-JP"/>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982"/>
        <w:gridCol w:w="991"/>
        <w:gridCol w:w="5525"/>
      </w:tblGrid>
      <w:tr w:rsidR="005F0A67" w:rsidRPr="005F0A67" w14:paraId="1591290E" w14:textId="77777777" w:rsidTr="00FB671B">
        <w:trPr>
          <w:trHeight w:val="209"/>
          <w:tblHeader/>
        </w:trPr>
        <w:tc>
          <w:tcPr>
            <w:tcW w:w="1166" w:type="pct"/>
            <w:tcBorders>
              <w:top w:val="single" w:sz="1" w:space="0" w:color="AAAAAA"/>
              <w:left w:val="single" w:sz="1" w:space="0" w:color="AAAAAA"/>
              <w:bottom w:val="single" w:sz="1" w:space="0" w:color="AAAAAA"/>
              <w:right w:val="single" w:sz="1" w:space="0" w:color="AAAAAA"/>
            </w:tcBorders>
            <w:shd w:val="clear" w:color="auto" w:fill="1F4E6B"/>
            <w:tcMar>
              <w:top w:w="60" w:type="dxa"/>
              <w:left w:w="100" w:type="dxa"/>
              <w:bottom w:w="60" w:type="dxa"/>
              <w:right w:w="100" w:type="dxa"/>
            </w:tcMar>
          </w:tcPr>
          <w:p w14:paraId="51E6CDEE"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FFFFFF"/>
                <w:sz w:val="18"/>
                <w:szCs w:val="18"/>
                <w:lang w:val="en-CA" w:eastAsia="en-GB"/>
              </w:rPr>
            </w:pPr>
            <w:r w:rsidRPr="005F0A67">
              <w:rPr>
                <w:rFonts w:asciiTheme="majorBidi" w:eastAsia="Tahoma" w:hAnsiTheme="majorBidi" w:cstheme="majorBidi"/>
                <w:b/>
                <w:bCs/>
                <w:color w:val="FFFFFF"/>
                <w:sz w:val="18"/>
                <w:szCs w:val="18"/>
                <w:lang w:val="en-CA" w:eastAsia="en-GB"/>
              </w:rPr>
              <w:t>Category</w:t>
            </w:r>
          </w:p>
        </w:tc>
        <w:tc>
          <w:tcPr>
            <w:tcW w:w="583" w:type="pct"/>
            <w:tcBorders>
              <w:top w:val="single" w:sz="1" w:space="0" w:color="AAAAAA"/>
              <w:left w:val="single" w:sz="1" w:space="0" w:color="AAAAAA"/>
              <w:bottom w:val="single" w:sz="1" w:space="0" w:color="AAAAAA"/>
              <w:right w:val="single" w:sz="1" w:space="0" w:color="AAAAAA"/>
            </w:tcBorders>
            <w:shd w:val="clear" w:color="auto" w:fill="1F4E6B"/>
          </w:tcPr>
          <w:p w14:paraId="1E770458"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FFFFFF"/>
                <w:sz w:val="18"/>
                <w:szCs w:val="18"/>
                <w:lang w:val="en-CA" w:eastAsia="en-GB"/>
              </w:rPr>
            </w:pPr>
            <w:r w:rsidRPr="005F0A67">
              <w:rPr>
                <w:rFonts w:asciiTheme="majorBidi" w:eastAsia="Tahoma" w:hAnsiTheme="majorBidi" w:cstheme="majorBidi"/>
                <w:b/>
                <w:bCs/>
                <w:color w:val="FFFFFF"/>
                <w:sz w:val="18"/>
                <w:szCs w:val="18"/>
                <w:lang w:val="en-CA" w:eastAsia="en-GB"/>
              </w:rPr>
              <w:t xml:space="preserve">N </w:t>
            </w:r>
          </w:p>
        </w:tc>
        <w:tc>
          <w:tcPr>
            <w:tcW w:w="3251" w:type="pct"/>
            <w:tcBorders>
              <w:top w:val="single" w:sz="1" w:space="0" w:color="AAAAAA"/>
              <w:left w:val="single" w:sz="1" w:space="0" w:color="AAAAAA"/>
              <w:bottom w:val="single" w:sz="1" w:space="0" w:color="AAAAAA"/>
              <w:right w:val="single" w:sz="1" w:space="0" w:color="AAAAAA"/>
            </w:tcBorders>
            <w:shd w:val="clear" w:color="auto" w:fill="1F4E6B"/>
            <w:tcMar>
              <w:top w:w="60" w:type="dxa"/>
              <w:left w:w="100" w:type="dxa"/>
              <w:bottom w:w="60" w:type="dxa"/>
              <w:right w:w="100" w:type="dxa"/>
            </w:tcMar>
          </w:tcPr>
          <w:p w14:paraId="56EE787D"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FFFFFF"/>
                <w:sz w:val="18"/>
                <w:szCs w:val="18"/>
                <w:lang w:val="en-CA" w:eastAsia="en-GB"/>
              </w:rPr>
            </w:pPr>
            <w:r w:rsidRPr="005F0A67">
              <w:rPr>
                <w:rFonts w:asciiTheme="majorBidi" w:eastAsia="Tahoma" w:hAnsiTheme="majorBidi" w:cstheme="majorBidi"/>
                <w:b/>
                <w:bCs/>
                <w:color w:val="FFFFFF"/>
                <w:sz w:val="18"/>
                <w:szCs w:val="18"/>
                <w:lang w:val="en-CA" w:eastAsia="en-GB"/>
              </w:rPr>
              <w:t>Parties</w:t>
            </w:r>
          </w:p>
        </w:tc>
      </w:tr>
      <w:tr w:rsidR="005F0A67" w:rsidRPr="005F0A67" w14:paraId="79E2C327" w14:textId="77777777" w:rsidTr="005F0A67">
        <w:trPr>
          <w:trHeight w:val="685"/>
        </w:trPr>
        <w:tc>
          <w:tcPr>
            <w:tcW w:w="1166"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7CE0C929"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b/>
                <w:bCs/>
                <w:sz w:val="18"/>
                <w:szCs w:val="18"/>
                <w:lang w:eastAsia="en-GB"/>
              </w:rPr>
            </w:pPr>
            <w:r w:rsidRPr="005F0A67">
              <w:rPr>
                <w:rFonts w:asciiTheme="majorBidi" w:eastAsia="Times New Roman" w:hAnsiTheme="majorBidi" w:cstheme="majorBidi"/>
                <w:b/>
                <w:bCs/>
                <w:sz w:val="18"/>
                <w:szCs w:val="18"/>
                <w:lang w:eastAsia="en-GB"/>
              </w:rPr>
              <w:t>In-scope firms present but none meet eligibility thresholds</w:t>
            </w:r>
          </w:p>
        </w:tc>
        <w:tc>
          <w:tcPr>
            <w:tcW w:w="583" w:type="pct"/>
            <w:tcBorders>
              <w:top w:val="single" w:sz="1" w:space="0" w:color="AAAAAA"/>
              <w:left w:val="single" w:sz="1" w:space="0" w:color="AAAAAA"/>
              <w:bottom w:val="single" w:sz="1" w:space="0" w:color="AAAAAA"/>
              <w:right w:val="single" w:sz="1" w:space="0" w:color="AAAAAA"/>
            </w:tcBorders>
            <w:vAlign w:val="center"/>
          </w:tcPr>
          <w:p w14:paraId="56922A3F"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15 Parties</w:t>
            </w:r>
          </w:p>
        </w:tc>
        <w:tc>
          <w:tcPr>
            <w:tcW w:w="3251" w:type="pct"/>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vAlign w:val="center"/>
          </w:tcPr>
          <w:p w14:paraId="406B9292"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ahoma" w:hAnsiTheme="majorBidi" w:cstheme="majorBidi"/>
                <w:sz w:val="18"/>
                <w:szCs w:val="18"/>
                <w:lang w:eastAsia="en-GB"/>
              </w:rPr>
            </w:pPr>
            <w:r w:rsidRPr="005F0A67">
              <w:rPr>
                <w:rFonts w:asciiTheme="majorBidi" w:eastAsia="Times New Roman" w:hAnsiTheme="majorBidi" w:cstheme="majorBidi"/>
                <w:sz w:val="18"/>
                <w:szCs w:val="18"/>
                <w:lang w:eastAsia="en-GB"/>
              </w:rPr>
              <w:t>Congo (Democratic Republic of the), Ethiopia, Ghana, Iraq, Kyrgyzstan, Lao People's Democratic Republic, Lebanon, Liechtenstein, Malawi, Mongolia, Montenegro, Papua New Guinea, Paraguay, Syrian Arab Republic, Tanzania (United Republic of)</w:t>
            </w:r>
          </w:p>
        </w:tc>
      </w:tr>
      <w:tr w:rsidR="005F0A67" w:rsidRPr="005F0A67" w14:paraId="5A20A1CB" w14:textId="77777777" w:rsidTr="005F0A67">
        <w:trPr>
          <w:trHeight w:val="276"/>
        </w:trPr>
        <w:tc>
          <w:tcPr>
            <w:tcW w:w="1166"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0B65A063"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b/>
                <w:bCs/>
                <w:sz w:val="18"/>
                <w:szCs w:val="18"/>
                <w:lang w:val="en-CA" w:eastAsia="en-GB"/>
              </w:rPr>
            </w:pPr>
            <w:r w:rsidRPr="005F0A67">
              <w:rPr>
                <w:rFonts w:asciiTheme="majorBidi" w:eastAsia="Times New Roman" w:hAnsiTheme="majorBidi" w:cstheme="majorBidi"/>
                <w:b/>
                <w:bCs/>
                <w:sz w:val="18"/>
                <w:szCs w:val="18"/>
                <w:lang w:val="en-CA" w:eastAsia="en-GB"/>
              </w:rPr>
              <w:t>In the database but no in-scope firms identified (9 Parties)</w:t>
            </w:r>
          </w:p>
        </w:tc>
        <w:tc>
          <w:tcPr>
            <w:tcW w:w="583" w:type="pct"/>
            <w:tcBorders>
              <w:top w:val="single" w:sz="1" w:space="0" w:color="AAAAAA"/>
              <w:left w:val="single" w:sz="1" w:space="0" w:color="AAAAAA"/>
              <w:bottom w:val="single" w:sz="1" w:space="0" w:color="AAAAAA"/>
              <w:right w:val="single" w:sz="1" w:space="0" w:color="AAAAAA"/>
            </w:tcBorders>
            <w:vAlign w:val="center"/>
          </w:tcPr>
          <w:p w14:paraId="54C6BB1F"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9 Parties</w:t>
            </w:r>
          </w:p>
        </w:tc>
        <w:tc>
          <w:tcPr>
            <w:tcW w:w="3251" w:type="pct"/>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vAlign w:val="center"/>
          </w:tcPr>
          <w:p w14:paraId="67058733"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ahoma" w:hAnsiTheme="majorBidi" w:cstheme="majorBidi"/>
                <w:sz w:val="18"/>
                <w:szCs w:val="18"/>
                <w:lang w:eastAsia="en-GB"/>
              </w:rPr>
            </w:pPr>
            <w:r w:rsidRPr="005F0A67">
              <w:rPr>
                <w:rFonts w:asciiTheme="majorBidi" w:eastAsia="Times New Roman" w:hAnsiTheme="majorBidi" w:cstheme="majorBidi"/>
                <w:sz w:val="18"/>
                <w:szCs w:val="18"/>
                <w:lang w:eastAsia="en-GB"/>
              </w:rPr>
              <w:t>Azerbaijan, Barbados, Benin, Costa Rica, Guyana, Marshall Islands, Rwanda, Saint Kitts and Nevis, Venezuela (Bolivarian Republic of)</w:t>
            </w:r>
          </w:p>
        </w:tc>
      </w:tr>
      <w:tr w:rsidR="005F0A67" w:rsidRPr="005F0A67" w14:paraId="67BB88BB" w14:textId="77777777" w:rsidTr="005F0A67">
        <w:trPr>
          <w:trHeight w:val="276"/>
        </w:trPr>
        <w:tc>
          <w:tcPr>
            <w:tcW w:w="1166"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30EBC2A9"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b/>
                <w:bCs/>
                <w:sz w:val="18"/>
                <w:szCs w:val="18"/>
                <w:lang w:eastAsia="en-GB"/>
              </w:rPr>
            </w:pPr>
            <w:r w:rsidRPr="005F0A67">
              <w:rPr>
                <w:rFonts w:asciiTheme="majorBidi" w:eastAsia="Times New Roman" w:hAnsiTheme="majorBidi" w:cstheme="majorBidi"/>
                <w:b/>
                <w:bCs/>
                <w:sz w:val="18"/>
                <w:szCs w:val="18"/>
                <w:lang w:eastAsia="en-GB"/>
              </w:rPr>
              <w:t>No database coverage</w:t>
            </w:r>
          </w:p>
        </w:tc>
        <w:tc>
          <w:tcPr>
            <w:tcW w:w="583" w:type="pct"/>
            <w:tcBorders>
              <w:top w:val="single" w:sz="1" w:space="0" w:color="AAAAAA"/>
              <w:left w:val="single" w:sz="1" w:space="0" w:color="AAAAAA"/>
              <w:bottom w:val="single" w:sz="1" w:space="0" w:color="AAAAAA"/>
              <w:right w:val="single" w:sz="1" w:space="0" w:color="AAAAAA"/>
            </w:tcBorders>
            <w:vAlign w:val="center"/>
          </w:tcPr>
          <w:p w14:paraId="5F97A608"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71 Parties</w:t>
            </w:r>
          </w:p>
        </w:tc>
        <w:tc>
          <w:tcPr>
            <w:tcW w:w="3251" w:type="pct"/>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vAlign w:val="center"/>
          </w:tcPr>
          <w:p w14:paraId="57C97C89"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ahoma" w:hAnsiTheme="majorBidi" w:cstheme="majorBidi"/>
                <w:sz w:val="18"/>
                <w:szCs w:val="18"/>
                <w:lang w:eastAsia="en-GB"/>
              </w:rPr>
            </w:pPr>
            <w:r w:rsidRPr="005F0A67">
              <w:rPr>
                <w:rFonts w:asciiTheme="majorBidi" w:eastAsia="Times New Roman" w:hAnsiTheme="majorBidi" w:cstheme="majorBidi"/>
                <w:sz w:val="18"/>
                <w:szCs w:val="18"/>
                <w:lang w:eastAsia="en-GB"/>
              </w:rPr>
              <w:t>Afghanistan, Andorra, Angola, Belize, Bhutan, Brunei Darussalam, Burkina Faso, Burundi, Cabo Verde, Cambodia, Cameroon, Central African Republic, Chad, Comoros, Cook Islands, Cuba, Djibouti, Dominica, Dominican Republic, El Salvador, Equatorial Guinea, Eritrea, Gabon, Gambia, Grenada, Guatemala, Guinea, Guinea-Bissau, Haiti, Honduras, Kiribati, Korea (Democratic People's Republic of), Lesotho, Liberia, Libya, Madagascar, Maldives, Mali, Mauritania, Micronesia (Federated States of), Monaco, Mozambique, Myanmar, Nauru, Nicaragua, Niger, Niue, Palau, Saint Lucia, Saint Vincent and the Grenadines, Samoa, San Marino, Sao Tome and Principe, Senegal, Seychelles, Sierra Leone, Solomon Islands, Somalia, South Sudan, Sudan, Suriname, Tajikistan, Timor-Leste, Togo, Tokelau, Tonga, Turkmenistan, Tuvalu, Vanuatu, Wallis and Futuna, Yemen</w:t>
            </w:r>
          </w:p>
        </w:tc>
      </w:tr>
    </w:tbl>
    <w:p w14:paraId="20795C88"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i/>
          <w:iCs/>
          <w:sz w:val="18"/>
          <w:szCs w:val="18"/>
          <w:lang w:val="en-CA" w:eastAsia="en-GB"/>
        </w:rPr>
        <w:t xml:space="preserve">Notes: </w:t>
      </w:r>
      <w:r w:rsidRPr="005F0A67">
        <w:rPr>
          <w:rFonts w:asciiTheme="majorBidi" w:eastAsia="Times New Roman" w:hAnsiTheme="majorBidi" w:cstheme="majorBidi"/>
          <w:sz w:val="18"/>
          <w:szCs w:val="18"/>
          <w:lang w:val="en-CA" w:eastAsia="en-GB"/>
        </w:rPr>
        <w:t xml:space="preserve">Coverage status based on Orbis (Moody's Analytics) data as used in Makowska-Curran </w:t>
      </w:r>
      <w:r w:rsidRPr="005F0A67">
        <w:rPr>
          <w:rFonts w:asciiTheme="majorBidi" w:eastAsia="Times New Roman" w:hAnsiTheme="majorBidi" w:cstheme="majorBidi"/>
          <w:sz w:val="18"/>
          <w:szCs w:val="18"/>
          <w:lang w:val="en-CA" w:eastAsia="en-GB"/>
        </w:rPr>
        <w:fldChar w:fldCharType="begin"/>
      </w:r>
      <w:r w:rsidRPr="005F0A67">
        <w:rPr>
          <w:rFonts w:asciiTheme="majorBidi" w:eastAsia="Times New Roman" w:hAnsiTheme="majorBidi" w:cstheme="majorBidi"/>
          <w:sz w:val="18"/>
          <w:szCs w:val="18"/>
          <w:lang w:val="en-CA" w:eastAsia="en-GB"/>
        </w:rPr>
        <w:instrText xml:space="preserve"> ADDIN ZOTERO_ITEM CSL_CITATION {"citationID":"3lqCYzc4","properties":{"unsorted":false,"formattedCitation":"(2026)","plainCitation":"(2026)","noteIndex":0},"citationItems":[{"id":77,"uris":["http://zotero.org/users/14977742/items/2PI55QKT"],"itemData":{"id":77,"type":"article-journal","abstract":"This paper provides the first global, firm-level analysis of what the Cali Fund, designed to support global conservation, is likely to raise and how resources would be distributed.","citation-key":"GlobalBiodiversityCommitments","container-title":"Grantham Research Institute on climate change and the environment","language":"en-GB","publisher":"London School of Economics and Political Science (LSE)","title":"From global biodiversity commitments to local action: revenue potential and allocation dynamics of the Cali Fund","title-short":"From global biodiversity commitments to local action","URL":"https://www.lse.ac.uk/granthaminstitute/publication/from-global-biodiversity-commitments-to-local-action-revenue-potential-and-allocation-dynamics-of-the-cali-fund/","author":[{"family":"Makowska-Curran","given":"Agata"}],"accessed":{"date-parts":[["2026",6,3]]},"issued":{"date-parts":[["2026",6]]}},"suppress-author":true}],"schema":"https://github.com/citation-style-language/schema/raw/master/csl-citation.json"} </w:instrText>
      </w:r>
      <w:r w:rsidRPr="005F0A67">
        <w:rPr>
          <w:rFonts w:asciiTheme="majorBidi" w:eastAsia="Times New Roman" w:hAnsiTheme="majorBidi" w:cstheme="majorBidi"/>
          <w:sz w:val="18"/>
          <w:szCs w:val="18"/>
          <w:lang w:val="en-CA" w:eastAsia="en-GB"/>
        </w:rPr>
        <w:fldChar w:fldCharType="separate"/>
      </w:r>
      <w:r w:rsidRPr="005F0A67">
        <w:rPr>
          <w:rFonts w:asciiTheme="majorBidi" w:eastAsia="Times New Roman" w:hAnsiTheme="majorBidi" w:cstheme="majorBidi"/>
          <w:sz w:val="18"/>
          <w:szCs w:val="18"/>
          <w:lang w:val="en-CA" w:eastAsia="en-GB"/>
        </w:rPr>
        <w:t>(2026)</w:t>
      </w:r>
      <w:r w:rsidRPr="005F0A67">
        <w:rPr>
          <w:rFonts w:asciiTheme="majorBidi" w:eastAsia="Times New Roman" w:hAnsiTheme="majorBidi" w:cstheme="majorBidi"/>
          <w:sz w:val="18"/>
          <w:szCs w:val="18"/>
          <w:lang w:val="en-CA" w:eastAsia="en-GB"/>
        </w:rPr>
        <w:fldChar w:fldCharType="end"/>
      </w:r>
      <w:r w:rsidRPr="005F0A67">
        <w:rPr>
          <w:rFonts w:asciiTheme="majorBidi" w:eastAsia="Times New Roman" w:hAnsiTheme="majorBidi" w:cstheme="majorBidi"/>
          <w:sz w:val="18"/>
          <w:szCs w:val="18"/>
          <w:lang w:val="en-CA" w:eastAsia="en-GB"/>
        </w:rPr>
        <w:t xml:space="preserve">. In-scope firms are those operating in at least one Indicative Enclosure I sector. Eligibility thresholds applied as two-of-three rule: total assets exceeding USD 20 million, annual sales exceeding USD 50 million, and profit exceeding USD 5 million, averaged over 2021-2023. The United States is excluded as a non-Party to the CBD. </w:t>
      </w:r>
    </w:p>
    <w:p w14:paraId="6ADF84C7" w14:textId="77777777" w:rsidR="005F0A67" w:rsidRPr="005F0A67" w:rsidRDefault="005F0A67" w:rsidP="005F0A67">
      <w:pPr>
        <w:tabs>
          <w:tab w:val="clear" w:pos="567"/>
          <w:tab w:val="clear" w:pos="1134"/>
          <w:tab w:val="clear" w:pos="1701"/>
          <w:tab w:val="clear" w:pos="2268"/>
        </w:tabs>
        <w:spacing w:line="293" w:lineRule="auto"/>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i/>
          <w:iCs/>
          <w:sz w:val="18"/>
          <w:szCs w:val="18"/>
          <w:lang w:val="en-CA" w:eastAsia="en-GB"/>
        </w:rPr>
        <w:t xml:space="preserve">Source: </w:t>
      </w:r>
      <w:r w:rsidRPr="005F0A67">
        <w:rPr>
          <w:rFonts w:asciiTheme="majorBidi" w:eastAsia="Times New Roman" w:hAnsiTheme="majorBidi" w:cstheme="majorBidi"/>
          <w:sz w:val="18"/>
          <w:szCs w:val="18"/>
          <w:lang w:val="en-CA" w:eastAsia="en-GB"/>
        </w:rPr>
        <w:t>Adapted from</w:t>
      </w:r>
      <w:r w:rsidRPr="005F0A67">
        <w:rPr>
          <w:rFonts w:asciiTheme="majorBidi" w:eastAsia="Times New Roman" w:hAnsiTheme="majorBidi" w:cstheme="majorBidi"/>
          <w:i/>
          <w:iCs/>
          <w:sz w:val="18"/>
          <w:szCs w:val="18"/>
          <w:lang w:val="en-CA" w:eastAsia="en-GB"/>
        </w:rPr>
        <w:t xml:space="preserve"> </w:t>
      </w:r>
      <w:r w:rsidRPr="005F0A67">
        <w:rPr>
          <w:rFonts w:asciiTheme="majorBidi" w:eastAsia="Times New Roman" w:hAnsiTheme="majorBidi" w:cstheme="majorBidi"/>
          <w:sz w:val="18"/>
          <w:szCs w:val="18"/>
          <w:lang w:val="en-CA" w:eastAsia="en-GB"/>
        </w:rPr>
        <w:t xml:space="preserve">Makowska-Curran </w:t>
      </w:r>
      <w:r w:rsidRPr="005F0A67">
        <w:rPr>
          <w:rFonts w:asciiTheme="majorBidi" w:eastAsia="Times New Roman" w:hAnsiTheme="majorBidi" w:cstheme="majorBidi"/>
          <w:sz w:val="18"/>
          <w:szCs w:val="18"/>
          <w:lang w:val="en-CA" w:eastAsia="en-GB"/>
        </w:rPr>
        <w:fldChar w:fldCharType="begin"/>
      </w:r>
      <w:r w:rsidRPr="005F0A67">
        <w:rPr>
          <w:rFonts w:asciiTheme="majorBidi" w:eastAsia="Times New Roman" w:hAnsiTheme="majorBidi" w:cstheme="majorBidi"/>
          <w:sz w:val="18"/>
          <w:szCs w:val="18"/>
          <w:lang w:val="en-CA" w:eastAsia="en-GB"/>
        </w:rPr>
        <w:instrText xml:space="preserve"> ADDIN ZOTERO_ITEM CSL_CITATION {"citationID":"s7uFmSKh","properties":{"unsorted":false,"formattedCitation":"(2026)","plainCitation":"(2026)","noteIndex":0},"citationItems":[{"id":77,"uris":["http://zotero.org/users/14977742/items/2PI55QKT"],"itemData":{"id":77,"type":"article-journal","abstract":"This paper provides the first global, firm-level analysis of what the Cali Fund, designed to support global conservation, is likely to raise and how resources would be distributed.","citation-key":"GlobalBiodiversityCommitments","container-title":"Grantham Research Institute on climate change and the environment","language":"en-GB","publisher":"London School of Economics and Political Science (LSE)","title":"From global biodiversity commitments to local action: revenue potential and allocation dynamics of the Cali Fund","title-short":"From global biodiversity commitments to local action","URL":"https://www.lse.ac.uk/granthaminstitute/publication/from-global-biodiversity-commitments-to-local-action-revenue-potential-and-allocation-dynamics-of-the-cali-fund/","author":[{"family":"Makowska-Curran","given":"Agata"}],"accessed":{"date-parts":[["2026",6,3]]},"issued":{"date-parts":[["2026",6]]}},"suppress-author":true}],"schema":"https://github.com/citation-style-language/schema/raw/master/csl-citation.json"} </w:instrText>
      </w:r>
      <w:r w:rsidRPr="005F0A67">
        <w:rPr>
          <w:rFonts w:asciiTheme="majorBidi" w:eastAsia="Times New Roman" w:hAnsiTheme="majorBidi" w:cstheme="majorBidi"/>
          <w:sz w:val="18"/>
          <w:szCs w:val="18"/>
          <w:lang w:val="en-CA" w:eastAsia="en-GB"/>
        </w:rPr>
        <w:fldChar w:fldCharType="separate"/>
      </w:r>
      <w:r w:rsidRPr="005F0A67">
        <w:rPr>
          <w:rFonts w:asciiTheme="majorBidi" w:eastAsia="Times New Roman" w:hAnsiTheme="majorBidi" w:cstheme="majorBidi"/>
          <w:sz w:val="18"/>
          <w:szCs w:val="18"/>
          <w:lang w:val="en-CA" w:eastAsia="en-GB"/>
        </w:rPr>
        <w:t>(2026)</w:t>
      </w:r>
      <w:r w:rsidRPr="005F0A67">
        <w:rPr>
          <w:rFonts w:asciiTheme="majorBidi" w:eastAsia="Times New Roman" w:hAnsiTheme="majorBidi" w:cstheme="majorBidi"/>
          <w:sz w:val="18"/>
          <w:szCs w:val="18"/>
          <w:lang w:val="en-CA" w:eastAsia="en-GB"/>
        </w:rPr>
        <w:fldChar w:fldCharType="end"/>
      </w:r>
      <w:r w:rsidRPr="005F0A67">
        <w:rPr>
          <w:rFonts w:asciiTheme="majorBidi" w:eastAsia="Times New Roman" w:hAnsiTheme="majorBidi" w:cstheme="majorBidi"/>
          <w:sz w:val="18"/>
          <w:szCs w:val="18"/>
          <w:lang w:val="en-CA" w:eastAsia="en-GB"/>
        </w:rPr>
        <w:t>.</w:t>
      </w:r>
    </w:p>
    <w:p w14:paraId="1BF5A90D" w14:textId="77777777" w:rsidR="005F0A67" w:rsidRPr="005F0A67" w:rsidRDefault="005F0A67" w:rsidP="005F0A67">
      <w:pPr>
        <w:tabs>
          <w:tab w:val="clear" w:pos="567"/>
          <w:tab w:val="clear" w:pos="1134"/>
          <w:tab w:val="clear" w:pos="1701"/>
          <w:tab w:val="clear" w:pos="2268"/>
        </w:tabs>
        <w:spacing w:before="320" w:after="160"/>
        <w:ind w:left="576" w:hanging="576"/>
        <w:jc w:val="left"/>
        <w:outlineLvl w:val="1"/>
        <w:rPr>
          <w:rFonts w:asciiTheme="majorBidi" w:eastAsia="Arial" w:hAnsiTheme="majorBidi" w:cstheme="majorBidi"/>
          <w:b/>
          <w:bCs/>
          <w:color w:val="1A1A1A"/>
          <w:sz w:val="23"/>
          <w:szCs w:val="23"/>
          <w:lang w:val="en-CA" w:eastAsia="en-GB"/>
        </w:rPr>
      </w:pPr>
      <w:bookmarkStart w:id="268" w:name="_Toc234579627"/>
      <w:r w:rsidRPr="005F0A67">
        <w:rPr>
          <w:rFonts w:asciiTheme="majorBidi" w:eastAsia="Arial" w:hAnsiTheme="majorBidi" w:cstheme="majorBidi"/>
          <w:b/>
          <w:bCs/>
          <w:color w:val="1A1A1A"/>
          <w:sz w:val="23"/>
          <w:szCs w:val="23"/>
          <w:lang w:val="en-CA" w:eastAsia="en-GB"/>
        </w:rPr>
        <w:t>A.2 Monte Carlo calibration parameters (Part II)</w:t>
      </w:r>
      <w:bookmarkEnd w:id="268"/>
    </w:p>
    <w:p w14:paraId="3A631AC9" w14:textId="77777777" w:rsidR="005F0A67" w:rsidRPr="005F0A67" w:rsidRDefault="005F0A67" w:rsidP="005F0A67">
      <w:pPr>
        <w:tabs>
          <w:tab w:val="clear" w:pos="567"/>
          <w:tab w:val="clear" w:pos="1134"/>
          <w:tab w:val="clear" w:pos="1701"/>
          <w:tab w:val="clear" w:pos="2268"/>
        </w:tabs>
        <w:spacing w:after="200" w:line="312" w:lineRule="auto"/>
        <w:contextualSpacing/>
        <w:rPr>
          <w:rFonts w:asciiTheme="majorBidi" w:eastAsia="Yu Mincho" w:hAnsiTheme="majorBidi" w:cstheme="majorBidi"/>
          <w:i/>
          <w:iCs/>
          <w:color w:val="0E2841"/>
          <w:sz w:val="24"/>
          <w:szCs w:val="24"/>
          <w:lang w:val="en-US" w:eastAsia="ja-JP"/>
        </w:rPr>
      </w:pPr>
      <w:bookmarkStart w:id="269" w:name="_Ref235279338"/>
      <w:r w:rsidRPr="005F0A67">
        <w:rPr>
          <w:rFonts w:asciiTheme="majorBidi" w:eastAsia="Georgia" w:hAnsiTheme="majorBidi" w:cstheme="majorBidi"/>
          <w:b/>
          <w:bCs/>
          <w:color w:val="419844"/>
          <w:lang w:val="en-US" w:eastAsia="ja-JP"/>
        </w:rPr>
        <w:t xml:space="preserve">Table </w:t>
      </w:r>
      <w:r w:rsidRPr="005F0A67">
        <w:rPr>
          <w:rFonts w:asciiTheme="majorBidi" w:eastAsia="Georgia" w:hAnsiTheme="majorBidi" w:cstheme="majorBidi"/>
          <w:b/>
          <w:bCs/>
          <w:color w:val="419844"/>
          <w:lang w:eastAsia="en-GB"/>
        </w:rPr>
        <w:fldChar w:fldCharType="begin"/>
      </w:r>
      <w:r w:rsidRPr="005F0A67">
        <w:rPr>
          <w:rFonts w:asciiTheme="majorBidi" w:eastAsia="Georgia" w:hAnsiTheme="majorBidi" w:cstheme="majorBidi"/>
          <w:b/>
          <w:bCs/>
          <w:color w:val="419844"/>
          <w:lang w:eastAsia="en-GB"/>
        </w:rPr>
        <w:instrText xml:space="preserve"> SEQ Table \* ARABIC </w:instrText>
      </w:r>
      <w:r w:rsidRPr="005F0A67">
        <w:rPr>
          <w:rFonts w:asciiTheme="majorBidi" w:eastAsia="Georgia" w:hAnsiTheme="majorBidi" w:cstheme="majorBidi"/>
          <w:b/>
          <w:bCs/>
          <w:color w:val="419844"/>
          <w:lang w:eastAsia="en-GB"/>
        </w:rPr>
        <w:fldChar w:fldCharType="separate"/>
      </w:r>
      <w:r w:rsidRPr="005F0A67">
        <w:rPr>
          <w:rFonts w:asciiTheme="majorBidi" w:eastAsia="Georgia" w:hAnsiTheme="majorBidi" w:cstheme="majorBidi"/>
          <w:b/>
          <w:bCs/>
          <w:noProof/>
          <w:color w:val="419844"/>
          <w:lang w:eastAsia="en-GB"/>
        </w:rPr>
        <w:t>46</w:t>
      </w:r>
      <w:r w:rsidRPr="005F0A67">
        <w:rPr>
          <w:rFonts w:asciiTheme="majorBidi" w:eastAsia="Georgia" w:hAnsiTheme="majorBidi" w:cstheme="majorBidi"/>
          <w:b/>
          <w:bCs/>
          <w:color w:val="419844"/>
          <w:lang w:eastAsia="en-GB"/>
        </w:rPr>
        <w:fldChar w:fldCharType="end"/>
      </w:r>
      <w:bookmarkEnd w:id="269"/>
      <w:r w:rsidRPr="005F0A67">
        <w:rPr>
          <w:rFonts w:asciiTheme="majorBidi" w:eastAsia="Georgia" w:hAnsiTheme="majorBidi" w:cstheme="majorBidi"/>
          <w:b/>
          <w:bCs/>
          <w:color w:val="419844"/>
          <w:lang w:val="en-US" w:eastAsia="ja-JP"/>
        </w:rPr>
        <w:t xml:space="preserve"> Sector-level participation rate assumptions (scenarios S1-S3)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380"/>
        <w:gridCol w:w="613"/>
        <w:gridCol w:w="4953"/>
        <w:gridCol w:w="1552"/>
      </w:tblGrid>
      <w:tr w:rsidR="005F0A67" w:rsidRPr="005F0A67" w14:paraId="0A0723C3" w14:textId="77777777" w:rsidTr="00FB671B">
        <w:trPr>
          <w:trHeight w:val="209"/>
          <w:tblHeader/>
        </w:trPr>
        <w:tc>
          <w:tcPr>
            <w:tcW w:w="802" w:type="pct"/>
            <w:tcBorders>
              <w:top w:val="single" w:sz="1" w:space="0" w:color="AAAAAA"/>
              <w:left w:val="single" w:sz="1" w:space="0" w:color="AAAAAA"/>
              <w:bottom w:val="single" w:sz="1" w:space="0" w:color="AAAAAA"/>
              <w:right w:val="single" w:sz="1" w:space="0" w:color="AAAAAA"/>
            </w:tcBorders>
            <w:shd w:val="clear" w:color="auto" w:fill="1F4E6B"/>
            <w:tcMar>
              <w:top w:w="60" w:type="dxa"/>
              <w:left w:w="100" w:type="dxa"/>
              <w:bottom w:w="60" w:type="dxa"/>
              <w:right w:w="100" w:type="dxa"/>
            </w:tcMar>
          </w:tcPr>
          <w:p w14:paraId="07075A4E"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FFFFFF"/>
                <w:sz w:val="18"/>
                <w:szCs w:val="18"/>
                <w:lang w:val="en-CA" w:eastAsia="en-GB"/>
              </w:rPr>
            </w:pPr>
            <w:r w:rsidRPr="005F0A67">
              <w:rPr>
                <w:rFonts w:asciiTheme="majorBidi" w:eastAsia="Tahoma" w:hAnsiTheme="majorBidi" w:cstheme="majorBidi"/>
                <w:b/>
                <w:bCs/>
                <w:color w:val="FFFFFF"/>
                <w:sz w:val="18"/>
                <w:szCs w:val="18"/>
                <w:lang w:val="en-CA" w:eastAsia="en-GB"/>
              </w:rPr>
              <w:t>Sector</w:t>
            </w:r>
          </w:p>
        </w:tc>
        <w:tc>
          <w:tcPr>
            <w:tcW w:w="364" w:type="pct"/>
            <w:tcBorders>
              <w:top w:val="single" w:sz="1" w:space="0" w:color="AAAAAA"/>
              <w:left w:val="single" w:sz="1" w:space="0" w:color="AAAAAA"/>
              <w:bottom w:val="single" w:sz="1" w:space="0" w:color="AAAAAA"/>
              <w:right w:val="single" w:sz="1" w:space="0" w:color="AAAAAA"/>
            </w:tcBorders>
            <w:shd w:val="clear" w:color="auto" w:fill="1F4E6B"/>
          </w:tcPr>
          <w:p w14:paraId="4020082D"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FFFFFF"/>
                <w:sz w:val="18"/>
                <w:szCs w:val="18"/>
                <w:lang w:val="en-CA" w:eastAsia="en-GB"/>
              </w:rPr>
            </w:pPr>
            <w:r w:rsidRPr="005F0A67">
              <w:rPr>
                <w:rFonts w:asciiTheme="majorBidi" w:eastAsia="Tahoma" w:hAnsiTheme="majorBidi" w:cstheme="majorBidi"/>
                <w:b/>
                <w:bCs/>
                <w:color w:val="FFFFFF"/>
                <w:sz w:val="18"/>
                <w:szCs w:val="18"/>
                <w:lang w:val="en-CA" w:eastAsia="en-GB"/>
              </w:rPr>
              <w:t>Rate</w:t>
            </w:r>
          </w:p>
        </w:tc>
        <w:tc>
          <w:tcPr>
            <w:tcW w:w="2918" w:type="pct"/>
            <w:tcBorders>
              <w:top w:val="single" w:sz="1" w:space="0" w:color="AAAAAA"/>
              <w:left w:val="single" w:sz="1" w:space="0" w:color="AAAAAA"/>
              <w:bottom w:val="single" w:sz="1" w:space="0" w:color="AAAAAA"/>
              <w:right w:val="single" w:sz="1" w:space="0" w:color="AAAAAA"/>
            </w:tcBorders>
            <w:shd w:val="clear" w:color="auto" w:fill="1F4E6B"/>
            <w:tcMar>
              <w:top w:w="60" w:type="dxa"/>
              <w:left w:w="100" w:type="dxa"/>
              <w:bottom w:w="60" w:type="dxa"/>
              <w:right w:w="100" w:type="dxa"/>
            </w:tcMar>
          </w:tcPr>
          <w:p w14:paraId="27E675C6"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FFFFFF"/>
                <w:sz w:val="18"/>
                <w:szCs w:val="18"/>
                <w:lang w:val="en-CA" w:eastAsia="en-GB"/>
              </w:rPr>
            </w:pPr>
            <w:r w:rsidRPr="005F0A67">
              <w:rPr>
                <w:rFonts w:asciiTheme="majorBidi" w:eastAsia="Tahoma" w:hAnsiTheme="majorBidi" w:cstheme="majorBidi"/>
                <w:b/>
                <w:bCs/>
                <w:color w:val="FFFFFF"/>
                <w:sz w:val="18"/>
                <w:szCs w:val="18"/>
                <w:lang w:val="en-CA" w:eastAsia="en-GB"/>
              </w:rPr>
              <w:t>Justification</w:t>
            </w:r>
          </w:p>
        </w:tc>
        <w:tc>
          <w:tcPr>
            <w:tcW w:w="916" w:type="pct"/>
            <w:tcBorders>
              <w:top w:val="single" w:sz="1" w:space="0" w:color="AAAAAA"/>
              <w:left w:val="single" w:sz="1" w:space="0" w:color="AAAAAA"/>
              <w:bottom w:val="single" w:sz="1" w:space="0" w:color="AAAAAA"/>
              <w:right w:val="single" w:sz="1" w:space="0" w:color="AAAAAA"/>
            </w:tcBorders>
            <w:shd w:val="clear" w:color="auto" w:fill="1F4E6B"/>
          </w:tcPr>
          <w:p w14:paraId="4F40F516"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FFFFFF"/>
                <w:sz w:val="18"/>
                <w:szCs w:val="18"/>
                <w:lang w:val="en-CA" w:eastAsia="en-GB"/>
              </w:rPr>
            </w:pPr>
            <w:r w:rsidRPr="005F0A67">
              <w:rPr>
                <w:rFonts w:asciiTheme="majorBidi" w:eastAsia="Tahoma" w:hAnsiTheme="majorBidi" w:cstheme="majorBidi"/>
                <w:b/>
                <w:bCs/>
                <w:color w:val="FFFFFF"/>
                <w:sz w:val="18"/>
                <w:szCs w:val="18"/>
                <w:lang w:val="en-CA" w:eastAsia="en-GB"/>
              </w:rPr>
              <w:t>Key sources</w:t>
            </w:r>
          </w:p>
        </w:tc>
      </w:tr>
      <w:tr w:rsidR="005F0A67" w:rsidRPr="005F0A67" w14:paraId="16AF869B" w14:textId="77777777" w:rsidTr="005F0A67">
        <w:trPr>
          <w:trHeight w:val="685"/>
        </w:trPr>
        <w:tc>
          <w:tcPr>
            <w:tcW w:w="802"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4EF3B05A"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b/>
                <w:bCs/>
                <w:sz w:val="18"/>
                <w:szCs w:val="18"/>
                <w:lang w:eastAsia="en-GB"/>
              </w:rPr>
            </w:pPr>
            <w:r w:rsidRPr="005F0A67">
              <w:rPr>
                <w:rFonts w:asciiTheme="majorBidi" w:eastAsia="Times New Roman" w:hAnsiTheme="majorBidi" w:cstheme="majorBidi"/>
                <w:sz w:val="18"/>
                <w:szCs w:val="18"/>
                <w:lang w:eastAsia="en-GB"/>
              </w:rPr>
              <w:t>Cosmetics</w:t>
            </w:r>
          </w:p>
        </w:tc>
        <w:tc>
          <w:tcPr>
            <w:tcW w:w="364" w:type="pct"/>
            <w:tcBorders>
              <w:top w:val="single" w:sz="1" w:space="0" w:color="AAAAAA"/>
              <w:left w:val="single" w:sz="1" w:space="0" w:color="AAAAAA"/>
              <w:bottom w:val="single" w:sz="1" w:space="0" w:color="AAAAAA"/>
              <w:right w:val="single" w:sz="1" w:space="0" w:color="AAAAAA"/>
            </w:tcBorders>
            <w:vAlign w:val="center"/>
          </w:tcPr>
          <w:p w14:paraId="75C15598"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0.60</w:t>
            </w:r>
          </w:p>
        </w:tc>
        <w:tc>
          <w:tcPr>
            <w:tcW w:w="2918" w:type="pct"/>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vAlign w:val="center"/>
          </w:tcPr>
          <w:p w14:paraId="14FD8D73"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ahoma"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The cosmetics sector is characterised by direct consumer engagement and heightened brand sensitivity regarding natural ingredients and biodiversity sourcing. Reputational incentives are driven by consumer purchasing behaviour, which increases the value of public commitments for firms in this industry.</w:t>
            </w:r>
          </w:p>
        </w:tc>
        <w:tc>
          <w:tcPr>
            <w:tcW w:w="916" w:type="pct"/>
            <w:tcBorders>
              <w:top w:val="single" w:sz="1" w:space="0" w:color="AAAAAA"/>
              <w:left w:val="single" w:sz="1" w:space="0" w:color="AAAAAA"/>
              <w:bottom w:val="single" w:sz="1" w:space="0" w:color="AAAAAA"/>
              <w:right w:val="single" w:sz="1" w:space="0" w:color="AAAAAA"/>
            </w:tcBorders>
            <w:vAlign w:val="center"/>
          </w:tcPr>
          <w:p w14:paraId="5E283789"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p>
          <w:p w14:paraId="47E77CE7"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fldChar w:fldCharType="begin"/>
            </w:r>
            <w:r w:rsidRPr="005F0A67">
              <w:rPr>
                <w:rFonts w:asciiTheme="majorBidi" w:eastAsia="Times New Roman" w:hAnsiTheme="majorBidi" w:cstheme="majorBidi"/>
                <w:sz w:val="18"/>
                <w:szCs w:val="18"/>
                <w:lang w:eastAsia="en-GB"/>
              </w:rPr>
              <w:instrText xml:space="preserve"> ADDIN ZOTERO_ITEM CSL_CITATION {"citationID":"PK2DkwjO","properties":{"unsorted":false,"formattedCitation":"(Haddock-Fraser and Fraser, 2008; Escobedo and Lojenga, 2013)","plainCitation":"(Haddock-Fraser and Fraser, 2008; Escobedo and Lojenga, 2013)","noteIndex":0},"citationItems":[{"id":413,"uris":["http://zotero.org/users/14977742/items/RA4IBD64"],"itemData":{"id":413,"type":"article-journal","abstract":"In this paper we examine whether proximity to market affects the extent and form of corporate environmental reporting of companies listed in the FTSE 250. The reason for examining this issue is that it is frequently asserted, but not demonstrated, that closeness to market will correlate positively with proactive communication of environmental activities. Our results show that this assertion is, in particular reporting contexts, true. In particular, we find that companies who are close to market, or are brand-name companies, are highly likely to adopt one of the several forms of environmental reporting considered (particularly reporting on product life-cycle or supply chain and reporting through the BitC benchmark system). We also show that companies proximate to market are more likely to be the target of media attention, but are unable within the bounds of the research to assess whether this is a cause of increased environmental reporting or an effect of it. Copyright © 2007 John Wiley &amp; Sons, Ltd and ERP Environment.","citation-key":"haddock-fraserAssessingCorporateEnvironmental2008","container-title":"Corporate Social Responsibility and Environmental Management","DOI":"10.1002/csr.147","ISSN":"1535-3966","issue":"3","language":"en","note":"_eprint: https://onlinelibrary.wiley.com/doi/pdf/10.1002/csr.147","page":"140-155","source":"Wiley Online Library","title":"Assessing corporate environmental reporting motivations: differences between ‘close-to-market’ and ‘business-to-business’ companies","title-short":"Assessing corporate environmental reporting motivations","volume":"15","author":[{"family":"Haddock-Fraser","given":"Janet"},{"family":"Fraser","given":"Iain"}],"issued":{"date-parts":[["2008"]]}}},{"id":411,"uris":["http://zotero.org/users/14977742/items/YT4XI3U2"],"itemData":{"id":411,"type":"chapter","abstract":"This chapter gives a detailed account of biodiversity and its sustainable use in the cosmetics industry. The contributors are from the Union for Ethical BioTrade (UEBT) and the United Nations Conference of Trade and Development (UNCTAD). All businesses depend on, and impact, biodiversity. The cosmetics industry in particular depends on biodiversity as it provides a source of innovation and raw materials. Typically, these raw materials are used after undergoing some type of transformation, producing oils, surfactants, emulsifiers and other ingredients. In the cosmetics industry, nature is established as a source of fundamental inputs and ingredients. Now, companies are beginning to also recognise the importance of taking steps to conserve biodiversity and to ensure its sustainable use. The chapter describes international discussions on ecosystems services. It also explains how companies can have a positive impact on biodiversity through their sourcing practices.","citation-key":"escobedoBiodiversityCosmeticsIndustry2013","container-title":"Sustainability: How the Cosmetics Industry is Greening Up","DOI":"10.1002/9781118676516.ch5","ISBN":"978-1-118-67651-6","language":"en","license":"This edition first published 2014 © 2014 John Wiley &amp; Sons, Ltd","note":"section: 5\n_eprint: https://onlinelibrary.wiley.com/doi/pdf/10.1002/9781118676516.ch5\nDOI: 10.1002/9781118676516.ch5","page":"97-126","publisher":"John Wiley &amp; Sons, Ltd","source":"Wiley Online Library","title":"Biodiversity in the Cosmetics Industry","URL":"https://onlinelibrary.wiley.com/doi/abs/10.1002/9781118676516.ch5","author":[{"family":"Escobedo","given":"Eduardo"},{"family":"Lojenga","given":"Rik Kutsch"}],"accessed":{"date-parts":[["2026",4,27]]},"issued":{"date-parts":[["2013"]]}}}],"schema":"https://github.com/citation-style-language/schema/raw/master/csl-citation.json"} </w:instrText>
            </w:r>
            <w:r w:rsidRPr="005F0A67">
              <w:rPr>
                <w:rFonts w:asciiTheme="majorBidi" w:eastAsia="Times New Roman" w:hAnsiTheme="majorBidi" w:cstheme="majorBidi"/>
                <w:sz w:val="18"/>
                <w:szCs w:val="18"/>
                <w:lang w:eastAsia="en-GB"/>
              </w:rPr>
              <w:fldChar w:fldCharType="separate"/>
            </w:r>
            <w:r w:rsidRPr="005F0A67">
              <w:rPr>
                <w:rFonts w:asciiTheme="majorBidi" w:eastAsia="Times New Roman" w:hAnsiTheme="majorBidi" w:cstheme="majorBidi"/>
                <w:sz w:val="18"/>
                <w:szCs w:val="18"/>
                <w:lang w:val="en-CA" w:eastAsia="en-GB"/>
              </w:rPr>
              <w:t>(Haddock-Fraser and Fraser, 2008; Escobedo and Lojenga, 2013)</w:t>
            </w:r>
            <w:r w:rsidRPr="005F0A67">
              <w:rPr>
                <w:rFonts w:asciiTheme="majorBidi" w:eastAsia="Times New Roman" w:hAnsiTheme="majorBidi" w:cstheme="majorBidi"/>
                <w:sz w:val="18"/>
                <w:szCs w:val="18"/>
                <w:lang w:eastAsia="en-GB"/>
              </w:rPr>
              <w:fldChar w:fldCharType="end"/>
            </w:r>
          </w:p>
        </w:tc>
      </w:tr>
      <w:tr w:rsidR="005F0A67" w:rsidRPr="005F0A67" w14:paraId="51A5560D" w14:textId="77777777" w:rsidTr="005F0A67">
        <w:trPr>
          <w:trHeight w:val="276"/>
        </w:trPr>
        <w:tc>
          <w:tcPr>
            <w:tcW w:w="802"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66CBB63B"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b/>
                <w:bCs/>
                <w:sz w:val="18"/>
                <w:szCs w:val="18"/>
                <w:lang w:eastAsia="en-GB"/>
              </w:rPr>
            </w:pPr>
            <w:r w:rsidRPr="005F0A67">
              <w:rPr>
                <w:rFonts w:asciiTheme="majorBidi" w:eastAsia="Times New Roman" w:hAnsiTheme="majorBidi" w:cstheme="majorBidi"/>
                <w:sz w:val="18"/>
                <w:szCs w:val="18"/>
                <w:lang w:eastAsia="en-GB"/>
              </w:rPr>
              <w:t>Pharmaceuticals</w:t>
            </w:r>
          </w:p>
        </w:tc>
        <w:tc>
          <w:tcPr>
            <w:tcW w:w="364" w:type="pct"/>
            <w:tcBorders>
              <w:top w:val="single" w:sz="1" w:space="0" w:color="AAAAAA"/>
              <w:left w:val="single" w:sz="1" w:space="0" w:color="AAAAAA"/>
              <w:bottom w:val="single" w:sz="1" w:space="0" w:color="AAAAAA"/>
              <w:right w:val="single" w:sz="1" w:space="0" w:color="AAAAAA"/>
            </w:tcBorders>
            <w:vAlign w:val="center"/>
          </w:tcPr>
          <w:p w14:paraId="301AF20A"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0.50</w:t>
            </w:r>
          </w:p>
        </w:tc>
        <w:tc>
          <w:tcPr>
            <w:tcW w:w="2918" w:type="pct"/>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vAlign w:val="center"/>
          </w:tcPr>
          <w:p w14:paraId="14C44619"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ahoma"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Large pharmaceutical firms are accustomed to scrutiny related to access and benefit-sharing (ABS) and operate within established sustainability reporting frameworks. Although reputational pressure is significant, it is primarily addressed through investor and regulatory channels rather than direct consumer engagement. This dynamic results in a moderate participation rate.</w:t>
            </w:r>
          </w:p>
        </w:tc>
        <w:tc>
          <w:tcPr>
            <w:tcW w:w="916" w:type="pct"/>
            <w:tcBorders>
              <w:top w:val="single" w:sz="1" w:space="0" w:color="AAAAAA"/>
              <w:left w:val="single" w:sz="1" w:space="0" w:color="AAAAAA"/>
              <w:bottom w:val="single" w:sz="1" w:space="0" w:color="AAAAAA"/>
              <w:right w:val="single" w:sz="1" w:space="0" w:color="AAAAAA"/>
            </w:tcBorders>
            <w:vAlign w:val="center"/>
          </w:tcPr>
          <w:p w14:paraId="48C1E61A"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fldChar w:fldCharType="begin"/>
            </w:r>
            <w:r w:rsidRPr="005F0A67">
              <w:rPr>
                <w:rFonts w:asciiTheme="majorBidi" w:eastAsia="Times New Roman" w:hAnsiTheme="majorBidi" w:cstheme="majorBidi"/>
                <w:sz w:val="18"/>
                <w:szCs w:val="18"/>
                <w:lang w:eastAsia="en-GB"/>
              </w:rPr>
              <w:instrText xml:space="preserve"> ADDIN ZOTERO_ITEM CSL_CITATION {"citationID":"rfwHBQqt","properties":{"unsorted":false,"formattedCitation":"(Demir and Min, 2019; Michiels {\\i{}et al.}, 2022)","plainCitation":"(Demir and Min, 2019; Michiels et al., 2022)","noteIndex":0},"citationItems":[{"id":408,"uris":["http://zotero.org/users/14977742/items/MK9EQI3G"],"itemData":{"id":408,"type":"article-journal","abstract":"This paper aims to examine the consistencies and discrepancies in corporate social responsibility (CSR) reporting by analyzing the CSR reports of pharmaceutical companies. Despite the major role pharmaceutical companies play in the CSR field, our knowledge of the extent to which their disclosures provide comprehensive, material, credible and accurate information on their actual performances is limited because of a lack of sufficient literature on the CSR reporting practices of pharmaceutical companies.The authors present a literature review that serves as the basis to develop the two key research questions: Do pharmaceutical companies publish comprehensive CSR reports? Are company reports that cover more material issues more comprehensive? Using the information on material CSR topics provided by the Sustainability Accounting Standards Board (SASB) and CSR reporting quality scores by the CSR-Sustainability Monitor®, the authors analyzed the CSR reports of the world’s 15 leading pharmaceutical companies. A total of 11 material topics from SASB were mapped onto the corresponding contextual elements in the CSR-Sustainability Monitor. The Monitor evaluates CSR reports published by the world’s largest companies in terms of the degree of transparency and external verification of reporting.The analyses revealed that while the pharmaceutical industry outperforms other industries in terms of the overall comprehensiveness of reporting, certain discrepancies exist among these companies in the content of their disclosures. Specifically, pharmaceutical companies beat the averages on multiple key CSR topics. However, while disclosures on mature areas such as environment and labor relations show some level of standardization, those focusing particularly on sensitive areas such as human rights and supply chain are far from being standardized. The authors also find that CSR reports that do not include all of SASB’s material topics are just as comprehensive as those that do. A detailed analysis of US and non-US companies separately further revealed that this result is valid for both groups of companies.Considering the voluntary nature of CSR reporting, pharmaceutical companies still resort to selective disclosure techniques to highlight their achievements in areas where they feel more confident while leaving out others that can have potential negative consequences on the company. These results underscore the evolving nature of CSR reporting in the pharmaceutical industry and call for more attention and further investigation from managers and researchers alike.The originality and value of the research show that despite its rapid growth and wide recognition by different segments of society and business as an effective and promising concept, CSR reporting has not yet reached a point where its expected benefits are realized. Focusing on the disclosure side of the story, this paper tries to identify the extent to which the pharmaceutical industry appropriately addresses increasing societal demand for enhanced transparency on its sustainable business policies and practices.","citation-key":"demirConsistenciesDiscrepanciesCorporate2019","container-title":"Sustainability Accounting, Management and Policy Journal","DOI":"10.1108/SAMPJ-03-2018-0094","ISSN":"2040-8021","issue":"2","journalAbbreviation":"Sustainability Accounting, Management and Policy Journal","page":"333-364","source":"Silverchair","title":"Consistencies and discrepancies in corporate social responsibility reporting in the pharmaceutical industry","volume":"10","author":[{"family":"Demir","given":"Mert"},{"family":"Min","given":"Maung"}],"issued":{"date-parts":[["2019",5,30]]}}},{"id":248,"uris":["http://zotero.org/users/14977742/items/PVADKR33"],"itemData":{"id":248,"type":"article-journal","abstract":"Access and benefit sharing (ABS) is a framework which refers to a relatively recent type of legal requirements for access to and use of “genetic resources”. They are based on diverse national and regional laws and regulations, which mostly result from the implementation of the United Nations’ Convention on Biological Diversity (CBD) and its supplementary agreement, the Nagoya Protocol. Their ambition is to achieve fair and equitable sharing of benefits arising out of the use of genetic resources as an incentive to conserve and sustainably use them. This paper describes the experiences, practical constraints and complexities encountered by users of genetic resources when dealing with ABS legislation, with a focus on users from the private sector. We provide insights on how ABS laws have fundamentally changed the way of working with genetic resources, in the hope that it inspires re-thinking of the ABS framework, to better support the overall objectives of the CBD.","citation-key":"michielsFacingHarshReality2022a","container-title":"Sustainability","DOI":"10.3390/su14010277","ISSN":"2071-1050","issue":"1","language":"en","license":"http://creativecommons.org/licenses/by/3.0/","page":"277","publisher":"Multidisciplinary Digital Publishing Institute","source":"www.mdpi.com","title":"Facing the Harsh Reality of Access and Benefit Sharing (ABS) Legislation: An Industry Perspective","title-short":"Facing the Harsh Reality of Access and Benefit Sharing (ABS) Legislation","volume":"14","author":[{"family":"Michiels","given":"Frank"},{"family":"Feiter","given":"Ulrich"},{"family":"Paquin-Jaloux","given":"Stéphanie"},{"family":"Jungmann","given":"Diana"},{"family":"Braun","given":"Axel"},{"family":"Sayoc","given":"Mary Ann P."},{"family":"Armengol","given":"Ricard"},{"family":"Wyss","given":"Markus"},{"family":"David","given":"Bruno"}],"issued":{"date-parts":[["2022",1]]}}}],"schema":"https://github.com/citation-style-language/schema/raw/master/csl-citation.json"} </w:instrText>
            </w:r>
            <w:r w:rsidRPr="005F0A67">
              <w:rPr>
                <w:rFonts w:asciiTheme="majorBidi" w:eastAsia="Times New Roman" w:hAnsiTheme="majorBidi" w:cstheme="majorBidi"/>
                <w:sz w:val="18"/>
                <w:szCs w:val="18"/>
                <w:lang w:eastAsia="en-GB"/>
              </w:rPr>
              <w:fldChar w:fldCharType="separate"/>
            </w:r>
            <w:r w:rsidRPr="005F0A67">
              <w:rPr>
                <w:rFonts w:asciiTheme="majorBidi" w:eastAsia="Georgia" w:hAnsiTheme="majorBidi" w:cstheme="majorBidi"/>
                <w:sz w:val="18"/>
                <w:szCs w:val="18"/>
                <w:lang w:eastAsia="en-GB"/>
              </w:rPr>
              <w:t xml:space="preserve">(Demir and Min, 2019; Michiels </w:t>
            </w:r>
            <w:r w:rsidRPr="005F0A67">
              <w:rPr>
                <w:rFonts w:asciiTheme="majorBidi" w:eastAsia="Georgia" w:hAnsiTheme="majorBidi" w:cstheme="majorBidi"/>
                <w:i/>
                <w:iCs/>
                <w:sz w:val="18"/>
                <w:szCs w:val="18"/>
                <w:lang w:eastAsia="en-GB"/>
              </w:rPr>
              <w:t>et al.</w:t>
            </w:r>
            <w:r w:rsidRPr="005F0A67">
              <w:rPr>
                <w:rFonts w:asciiTheme="majorBidi" w:eastAsia="Georgia" w:hAnsiTheme="majorBidi" w:cstheme="majorBidi"/>
                <w:sz w:val="18"/>
                <w:szCs w:val="18"/>
                <w:lang w:eastAsia="en-GB"/>
              </w:rPr>
              <w:t>, 2022)</w:t>
            </w:r>
            <w:r w:rsidRPr="005F0A67">
              <w:rPr>
                <w:rFonts w:asciiTheme="majorBidi" w:eastAsia="Times New Roman" w:hAnsiTheme="majorBidi" w:cstheme="majorBidi"/>
                <w:sz w:val="18"/>
                <w:szCs w:val="18"/>
                <w:lang w:eastAsia="en-GB"/>
              </w:rPr>
              <w:fldChar w:fldCharType="end"/>
            </w:r>
          </w:p>
        </w:tc>
      </w:tr>
      <w:tr w:rsidR="005F0A67" w:rsidRPr="005F0A67" w14:paraId="7F839182" w14:textId="77777777" w:rsidTr="005F0A67">
        <w:trPr>
          <w:trHeight w:val="276"/>
        </w:trPr>
        <w:tc>
          <w:tcPr>
            <w:tcW w:w="802"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4EE30C0F"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b/>
                <w:bCs/>
                <w:sz w:val="18"/>
                <w:szCs w:val="18"/>
                <w:lang w:eastAsia="en-GB"/>
              </w:rPr>
            </w:pPr>
            <w:r w:rsidRPr="005F0A67">
              <w:rPr>
                <w:rFonts w:asciiTheme="majorBidi" w:eastAsia="Times New Roman" w:hAnsiTheme="majorBidi" w:cstheme="majorBidi"/>
                <w:sz w:val="18"/>
                <w:szCs w:val="18"/>
                <w:lang w:eastAsia="en-GB"/>
              </w:rPr>
              <w:t>Nutraceuticals</w:t>
            </w:r>
          </w:p>
        </w:tc>
        <w:tc>
          <w:tcPr>
            <w:tcW w:w="364" w:type="pct"/>
            <w:tcBorders>
              <w:top w:val="single" w:sz="1" w:space="0" w:color="AAAAAA"/>
              <w:left w:val="single" w:sz="1" w:space="0" w:color="AAAAAA"/>
              <w:bottom w:val="single" w:sz="1" w:space="0" w:color="AAAAAA"/>
              <w:right w:val="single" w:sz="1" w:space="0" w:color="AAAAAA"/>
            </w:tcBorders>
            <w:vAlign w:val="center"/>
          </w:tcPr>
          <w:p w14:paraId="77528565"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0.40</w:t>
            </w:r>
          </w:p>
        </w:tc>
        <w:tc>
          <w:tcPr>
            <w:tcW w:w="2918" w:type="pct"/>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vAlign w:val="center"/>
          </w:tcPr>
          <w:p w14:paraId="33D46DC0"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ahoma"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Consumer interest in natural origin and product provenance generates reputational incentives for participation. However, fragmented regulations across jurisdictions and complex ingredient supply chains contribute to uneven engagement across the sector.</w:t>
            </w:r>
          </w:p>
        </w:tc>
        <w:tc>
          <w:tcPr>
            <w:tcW w:w="916" w:type="pct"/>
            <w:tcBorders>
              <w:top w:val="single" w:sz="1" w:space="0" w:color="AAAAAA"/>
              <w:left w:val="single" w:sz="1" w:space="0" w:color="AAAAAA"/>
              <w:bottom w:val="single" w:sz="1" w:space="0" w:color="AAAAAA"/>
              <w:right w:val="single" w:sz="1" w:space="0" w:color="AAAAAA"/>
            </w:tcBorders>
            <w:vAlign w:val="center"/>
          </w:tcPr>
          <w:p w14:paraId="7783348A"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fldChar w:fldCharType="begin"/>
            </w:r>
            <w:r w:rsidRPr="005F0A67">
              <w:rPr>
                <w:rFonts w:asciiTheme="majorBidi" w:eastAsia="Times New Roman" w:hAnsiTheme="majorBidi" w:cstheme="majorBidi"/>
                <w:sz w:val="18"/>
                <w:szCs w:val="18"/>
                <w:lang w:eastAsia="en-GB"/>
              </w:rPr>
              <w:instrText xml:space="preserve"> ADDIN ZOTERO_ITEM CSL_CITATION {"citationID":"9gwq1ECr","properties":{"unsorted":false,"formattedCitation":"(Hobbs, 2002b; Stamboulakis and Sanderson, 2020)","plainCitation":"(Hobbs, 2002b; Stamboulakis and Sanderson, 2020)","noteIndex":0},"citationItems":[{"id":399,"uris":["http://zotero.org/users/14977742/items/6KMAGWVE"],"itemData":{"id":399,"type":"article-journal","abstract":"The rapid growth of the nutraceutical and functional foods industry in recent years has necessitated the development of new supply chain relationships. These supply chains are interesting because of the uncertain regulatory, technological and market environment in which they have evolved. Challenges include concentration in upstream input supply and downstream manufacturing sectors, intellectual property rights protection, asset specific investments in an uncertain market environment, and establishing credible quality signals for credence attributes in an era of regulatory uncertainty and consumer scepticism.","citation-key":"hobbsEvolvingSupplyChains2002","container-title":"Canadian Journal of Agricultural Economics/Revue canadienne d'agroeconomie","DOI":"10.1111/j.1744-7976.2002.tb00355.x","ISSN":"1744-7976","issue":"4","language":"en","note":"_eprint: https://onlinelibrary.wiley.com/doi/pdf/10.1111/j.1744-7976.2002.tb00355.x","page":"559-568","source":"Wiley Online Library","title":"Evolving Supply Chains in the Nutraceuticals and Functional Foods Industry","volume":"50","author":[{"family":"Hobbs","given":"Jill E."}],"issued":{"date-parts":[["2002"]]}}},{"id":395,"uris":["http://zotero.org/users/14977742/items/4VAFMF58"],"itemData":{"id":395,"type":"article-journal","abstract":"This article is concerned with the potential for private action to improve sourcing practices to promote biodiversity. More specifically this article examines the Union for Ethical BioTrade (UEBT) and its verification and certification of ‘sourcing with respect’: that is, sourcing ingredients from biodiversity in a way that is respectful to both the local environment and people. While key international biodiversity treaties and instruments—such as the Convention on Biological Diversity (CBD) and Nagoya Protocol—encourage public actors to work with private actors to develop methods for the sustainable use of biological resources, our examination of UEBT shows that there are concerns over the standards, implementation and enforcement of private initiatives. In conclusion, we suggest two key ways in which transnational or public/private initiatives can be strengthened. First, via more proactively promoting public/private cooperation, including about how certification is used to reduce inconsistency and consumer overload or confusion. Secondly, by placing greater emphasis on mechanisms that place pressure on supply chain actors to source in ways that promote biodiversity.","citation-key":"stamboulakisCertifyingBiodiversityUnion2020","container-title":"Journal of Environmental Law","DOI":"10.1093/jel/eqaa013","ISSN":"0952-8873","issue":"3","journalAbbreviation":"J Environmental Law","page":"503-528","source":"Silverchair","title":"Certifying Biodiversity: The Union for Ethical BioTrade and the Search for Ethical Sourcing","title-short":"Certifying Biodiversity","volume":"32","author":[{"family":"Stamboulakis","given":"Drossos"},{"family":"Sanderson","given":"Jay"}],"issued":{"date-parts":[["2020",12,24]]}}}],"schema":"https://github.com/citation-style-language/schema/raw/master/csl-citation.json"} </w:instrText>
            </w:r>
            <w:r w:rsidRPr="005F0A67">
              <w:rPr>
                <w:rFonts w:asciiTheme="majorBidi" w:eastAsia="Times New Roman" w:hAnsiTheme="majorBidi" w:cstheme="majorBidi"/>
                <w:sz w:val="18"/>
                <w:szCs w:val="18"/>
                <w:lang w:eastAsia="en-GB"/>
              </w:rPr>
              <w:fldChar w:fldCharType="separate"/>
            </w:r>
            <w:r w:rsidRPr="005F0A67">
              <w:rPr>
                <w:rFonts w:asciiTheme="majorBidi" w:eastAsia="Times New Roman" w:hAnsiTheme="majorBidi" w:cstheme="majorBidi"/>
                <w:sz w:val="18"/>
                <w:szCs w:val="18"/>
                <w:lang w:val="en-CA" w:eastAsia="en-GB"/>
              </w:rPr>
              <w:t>(Hobbs, 2002b; Stamboulakis and Sanderson, 2020)</w:t>
            </w:r>
            <w:r w:rsidRPr="005F0A67">
              <w:rPr>
                <w:rFonts w:asciiTheme="majorBidi" w:eastAsia="Times New Roman" w:hAnsiTheme="majorBidi" w:cstheme="majorBidi"/>
                <w:sz w:val="18"/>
                <w:szCs w:val="18"/>
                <w:lang w:eastAsia="en-GB"/>
              </w:rPr>
              <w:fldChar w:fldCharType="end"/>
            </w:r>
          </w:p>
        </w:tc>
      </w:tr>
      <w:tr w:rsidR="005F0A67" w:rsidRPr="005F0A67" w14:paraId="2B4370BF" w14:textId="77777777" w:rsidTr="005F0A67">
        <w:trPr>
          <w:trHeight w:val="276"/>
        </w:trPr>
        <w:tc>
          <w:tcPr>
            <w:tcW w:w="802"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75722055"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b/>
                <w:bCs/>
                <w:sz w:val="18"/>
                <w:szCs w:val="18"/>
                <w:lang w:eastAsia="en-GB"/>
              </w:rPr>
            </w:pPr>
            <w:r w:rsidRPr="005F0A67">
              <w:rPr>
                <w:rFonts w:asciiTheme="majorBidi" w:eastAsia="Times New Roman" w:hAnsiTheme="majorBidi" w:cstheme="majorBidi"/>
                <w:sz w:val="18"/>
                <w:szCs w:val="18"/>
                <w:lang w:eastAsia="en-GB"/>
              </w:rPr>
              <w:t>Biotechnology</w:t>
            </w:r>
          </w:p>
        </w:tc>
        <w:tc>
          <w:tcPr>
            <w:tcW w:w="364" w:type="pct"/>
            <w:tcBorders>
              <w:top w:val="single" w:sz="1" w:space="0" w:color="AAAAAA"/>
              <w:left w:val="single" w:sz="1" w:space="0" w:color="AAAAAA"/>
              <w:bottom w:val="single" w:sz="1" w:space="0" w:color="AAAAAA"/>
              <w:right w:val="single" w:sz="1" w:space="0" w:color="AAAAAA"/>
            </w:tcBorders>
            <w:vAlign w:val="center"/>
          </w:tcPr>
          <w:p w14:paraId="364F63AD"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0.35</w:t>
            </w:r>
          </w:p>
        </w:tc>
        <w:tc>
          <w:tcPr>
            <w:tcW w:w="2918" w:type="pct"/>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vAlign w:val="center"/>
          </w:tcPr>
          <w:p w14:paraId="1EAFB4FF"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val="en-CA" w:eastAsia="en-GB"/>
              </w:rPr>
              <w:t xml:space="preserve">Exposure to DSI and awareness of ABS differ significantly across biotechnology sub-sectors. Reputational and regulatory </w:t>
            </w:r>
            <w:r w:rsidRPr="005F0A67">
              <w:rPr>
                <w:rFonts w:asciiTheme="majorBidi" w:eastAsia="Times New Roman" w:hAnsiTheme="majorBidi" w:cstheme="majorBidi"/>
                <w:sz w:val="18"/>
                <w:szCs w:val="18"/>
                <w:lang w:val="en-CA" w:eastAsia="en-GB"/>
              </w:rPr>
              <w:lastRenderedPageBreak/>
              <w:t>pressures are substantial for firms adjacent to the biopharmaceutical industry but are considerably weaker for upstream research companies. This variation supports an intermediate participation rate.</w:t>
            </w:r>
          </w:p>
        </w:tc>
        <w:tc>
          <w:tcPr>
            <w:tcW w:w="916" w:type="pct"/>
            <w:tcBorders>
              <w:top w:val="single" w:sz="1" w:space="0" w:color="AAAAAA"/>
              <w:left w:val="single" w:sz="1" w:space="0" w:color="AAAAAA"/>
              <w:bottom w:val="single" w:sz="1" w:space="0" w:color="AAAAAA"/>
              <w:right w:val="single" w:sz="1" w:space="0" w:color="AAAAAA"/>
            </w:tcBorders>
            <w:vAlign w:val="center"/>
          </w:tcPr>
          <w:p w14:paraId="55BF699C"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lastRenderedPageBreak/>
              <w:fldChar w:fldCharType="begin"/>
            </w:r>
            <w:r w:rsidRPr="005F0A67">
              <w:rPr>
                <w:rFonts w:asciiTheme="majorBidi" w:eastAsia="Times New Roman" w:hAnsiTheme="majorBidi" w:cstheme="majorBidi"/>
                <w:sz w:val="18"/>
                <w:szCs w:val="18"/>
                <w:lang w:eastAsia="en-GB"/>
              </w:rPr>
              <w:instrText xml:space="preserve"> ADDIN ZOTERO_ITEM CSL_CITATION {"citationID":"P19jAvdO","properties":{"unsorted":false,"formattedCitation":"(Kang, Jung and Ryu, 2015; Karabin, Mansfield and Frow, 2021)","plainCitation":"(Kang, Jung and Ryu, 2015; Karabin, Mansfield and Frow, 2021)","noteIndex":0},"citationItems":[{"id":434,"uris":["http://zotero.org/users/14977742/items/6TKLAI6W"],"itemData":{"id":434,"type":"article-journal","citation-key":"kangNagoyaProtocolBiotechnology2015","container-title":"International Journal of Pharma Medicine and Biological Sciences","DOI":"10.18178/ijpmbs.4.3.209-212","ISSN":"22785221","journalAbbreviation":"IJPMBS","source":"DOI.org (Crossref)","title":"The Nagoya Protocol and the Biotechnology Industry","URL":"http://www.ijpmbs.com/index.php?m=content&amp;c=index&amp;a=show&amp;catid=132&amp;id=173","author":[{"family":"Kang","given":"Kyung-Nam"},{"family":"Jung","given":"Chan-Sik"},{"family":"Ryu","given":"Tae-Kyu"}],"accessed":{"date-parts":[["2026",4,23]]},"issued":{"date-parts":[["2015"]]}}},{"id":401,"uris":["http://zotero.org/users/14977742/items/P9DNQBAN"],"itemData":{"id":401,"type":"article-journal","abstract":"The field of synthetic biology is increasingly being positioned as a key driver of a more sustainable, bio-based economy, and has seen rapid industry growth over the past 15 years. In this paper we undertake an exploratory investigation of the relationship between sustainability and synthetic biology, identifying and analyzing sustainability-related language on the public websites of 24, US-based synthetic biology companies. We observe that sustainability is a visible part of the self-presentation of the nascent synthetic biology industry, explicitly mentioned by 18 of the 24 companies. The dominant framing of sustainability on these company websites emphasizes environmental gains and “free-market” approaches to sustainability, with little explicit mention of social dimensions of sustainability such as access, justice or intergenerational equity. Furthermore, the model of sustainability presented focuses on incremental transition towards environmental sustainability through direct substitution of products and processes using bioengineered alternatives (n = 16 companies), with no change in societal consumption or policy frameworks required in order to see sustainability gains. One-third of the companies analyzed (n = 8) mention “nature” on their websites, variously framing it as a resource to be managed or as a source of inspiration; whether the latter signals a potentially more complex relationship with nature than advanced free-market models of sustainability remains to be seen. As the synthetic biology industry begins to grow in size and visibility, we suggest this is an opportune time for the community to engage in explicit deliberation about its approach to sustainability.","citation-key":"karabinExploringPresentationsSustainability2021","container-title":"PLOS ONE","DOI":"10.1371/journal.pone.0257327","ISSN":"1932-6203","issue":"9","journalAbbreviation":"PLOS ONE","language":"en","page":"e0257327","publisher":"Public Library of Science","source":"PLoS Journals","title":"Exploring presentations of sustainability by US synthetic biology companies","volume":"16","author":[{"family":"Karabin","given":"James"},{"family":"Mansfield","given":"Izaac"},{"family":"Frow","given":"Emma K."}],"issued":{"date-parts":[["2021",9,17]]}}}],"schema":"https://github.com/citation-style-language/schema/raw/master/csl-citation.json"} </w:instrText>
            </w:r>
            <w:r w:rsidRPr="005F0A67">
              <w:rPr>
                <w:rFonts w:asciiTheme="majorBidi" w:eastAsia="Times New Roman" w:hAnsiTheme="majorBidi" w:cstheme="majorBidi"/>
                <w:sz w:val="18"/>
                <w:szCs w:val="18"/>
                <w:lang w:eastAsia="en-GB"/>
              </w:rPr>
              <w:fldChar w:fldCharType="separate"/>
            </w:r>
            <w:r w:rsidRPr="005F0A67">
              <w:rPr>
                <w:rFonts w:asciiTheme="majorBidi" w:eastAsia="Times New Roman" w:hAnsiTheme="majorBidi" w:cstheme="majorBidi"/>
                <w:sz w:val="18"/>
                <w:szCs w:val="18"/>
                <w:lang w:eastAsia="en-GB"/>
              </w:rPr>
              <w:t xml:space="preserve">(Kang, Jung and Ryu, 2015; Karabin, </w:t>
            </w:r>
            <w:r w:rsidRPr="005F0A67">
              <w:rPr>
                <w:rFonts w:asciiTheme="majorBidi" w:eastAsia="Times New Roman" w:hAnsiTheme="majorBidi" w:cstheme="majorBidi"/>
                <w:sz w:val="18"/>
                <w:szCs w:val="18"/>
                <w:lang w:eastAsia="en-GB"/>
              </w:rPr>
              <w:lastRenderedPageBreak/>
              <w:t>Mansfield and Frow, 2021)</w:t>
            </w:r>
            <w:r w:rsidRPr="005F0A67">
              <w:rPr>
                <w:rFonts w:asciiTheme="majorBidi" w:eastAsia="Times New Roman" w:hAnsiTheme="majorBidi" w:cstheme="majorBidi"/>
                <w:sz w:val="18"/>
                <w:szCs w:val="18"/>
                <w:lang w:eastAsia="en-GB"/>
              </w:rPr>
              <w:fldChar w:fldCharType="end"/>
            </w:r>
          </w:p>
        </w:tc>
      </w:tr>
      <w:tr w:rsidR="005F0A67" w:rsidRPr="005F0A67" w14:paraId="1ECF7182" w14:textId="77777777" w:rsidTr="005F0A67">
        <w:trPr>
          <w:trHeight w:val="276"/>
        </w:trPr>
        <w:tc>
          <w:tcPr>
            <w:tcW w:w="802"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55491884"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b/>
                <w:bCs/>
                <w:sz w:val="18"/>
                <w:szCs w:val="18"/>
                <w:lang w:eastAsia="en-GB"/>
              </w:rPr>
            </w:pPr>
            <w:r w:rsidRPr="005F0A67">
              <w:rPr>
                <w:rFonts w:asciiTheme="majorBidi" w:eastAsia="Times New Roman" w:hAnsiTheme="majorBidi" w:cstheme="majorBidi"/>
                <w:sz w:val="18"/>
                <w:szCs w:val="18"/>
                <w:lang w:eastAsia="en-GB"/>
              </w:rPr>
              <w:lastRenderedPageBreak/>
              <w:t>Laboratory equipment</w:t>
            </w:r>
          </w:p>
        </w:tc>
        <w:tc>
          <w:tcPr>
            <w:tcW w:w="364" w:type="pct"/>
            <w:tcBorders>
              <w:top w:val="single" w:sz="1" w:space="0" w:color="AAAAAA"/>
              <w:left w:val="single" w:sz="1" w:space="0" w:color="AAAAAA"/>
              <w:bottom w:val="single" w:sz="1" w:space="0" w:color="AAAAAA"/>
              <w:right w:val="single" w:sz="1" w:space="0" w:color="AAAAAA"/>
            </w:tcBorders>
            <w:vAlign w:val="center"/>
          </w:tcPr>
          <w:p w14:paraId="703E6494"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0.20</w:t>
            </w:r>
          </w:p>
        </w:tc>
        <w:tc>
          <w:tcPr>
            <w:tcW w:w="2918" w:type="pct"/>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vAlign w:val="center"/>
          </w:tcPr>
          <w:p w14:paraId="24A57FCC"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Laboratory equipment and reagent suppliers occupy an upstream position in the DSI value chain and do not typically face direct consumer or biodiversity-related reputational pressure. Their indirect connection to DSI use limits both the visibility and the perceived relevance of voluntary benefit-sharing commitments.</w:t>
            </w:r>
          </w:p>
        </w:tc>
        <w:tc>
          <w:tcPr>
            <w:tcW w:w="916" w:type="pct"/>
            <w:tcBorders>
              <w:top w:val="single" w:sz="1" w:space="0" w:color="AAAAAA"/>
              <w:left w:val="single" w:sz="1" w:space="0" w:color="AAAAAA"/>
              <w:bottom w:val="single" w:sz="1" w:space="0" w:color="AAAAAA"/>
              <w:right w:val="single" w:sz="1" w:space="0" w:color="AAAAAA"/>
            </w:tcBorders>
            <w:vAlign w:val="center"/>
          </w:tcPr>
          <w:p w14:paraId="7C247CAA"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fldChar w:fldCharType="begin"/>
            </w:r>
            <w:r w:rsidRPr="005F0A67">
              <w:rPr>
                <w:rFonts w:asciiTheme="majorBidi" w:eastAsia="Times New Roman" w:hAnsiTheme="majorBidi" w:cstheme="majorBidi"/>
                <w:sz w:val="18"/>
                <w:szCs w:val="18"/>
                <w:lang w:eastAsia="en-GB"/>
              </w:rPr>
              <w:instrText xml:space="preserve"> ADDIN ZOTERO_ITEM CSL_CITATION {"citationID":"zJKT6DU0","properties":{"unsorted":false,"formattedCitation":"(Haddock-Fraser and Fraser, 2008)","plainCitation":"(Haddock-Fraser and Fraser, 2008)","noteIndex":0},"citationItems":[{"id":413,"uris":["http://zotero.org/users/14977742/items/RA4IBD64"],"itemData":{"id":413,"type":"article-journal","abstract":"In this paper we examine whether proximity to market affects the extent and form of corporate environmental reporting of companies listed in the FTSE 250. The reason for examining this issue is that it is frequently asserted, but not demonstrated, that closeness to market will correlate positively with proactive communication of environmental activities. Our results show that this assertion is, in particular reporting contexts, true. In particular, we find that companies who are close to market, or are brand-name companies, are highly likely to adopt one of the several forms of environmental reporting considered (particularly reporting on product life-cycle or supply chain and reporting through the BitC benchmark system). We also show that companies proximate to market are more likely to be the target of media attention, but are unable within the bounds of the research to assess whether this is a cause of increased environmental reporting or an effect of it. Copyright © 2007 John Wiley &amp; Sons, Ltd and ERP Environment.","citation-key":"haddock-fraserAssessingCorporateEnvironmental2008","container-title":"Corporate Social Responsibility and Environmental Management","DOI":"10.1002/csr.147","ISSN":"1535-3966","issue":"3","language":"en","note":"_eprint: https://onlinelibrary.wiley.com/doi/pdf/10.1002/csr.147","page":"140-155","source":"Wiley Online Library","title":"Assessing corporate environmental reporting motivations: differences between ‘close-to-market’ and ‘business-to-business’ companies","title-short":"Assessing corporate environmental reporting motivations","volume":"15","author":[{"family":"Haddock-Fraser","given":"Janet"},{"family":"Fraser","given":"Iain"}],"issued":{"date-parts":[["2008"]]}}}],"schema":"https://github.com/citation-style-language/schema/raw/master/csl-citation.json"} </w:instrText>
            </w:r>
            <w:r w:rsidRPr="005F0A67">
              <w:rPr>
                <w:rFonts w:asciiTheme="majorBidi" w:eastAsia="Times New Roman" w:hAnsiTheme="majorBidi" w:cstheme="majorBidi"/>
                <w:sz w:val="18"/>
                <w:szCs w:val="18"/>
                <w:lang w:eastAsia="en-GB"/>
              </w:rPr>
              <w:fldChar w:fldCharType="separate"/>
            </w:r>
            <w:r w:rsidRPr="005F0A67">
              <w:rPr>
                <w:rFonts w:asciiTheme="majorBidi" w:eastAsia="Times New Roman" w:hAnsiTheme="majorBidi" w:cstheme="majorBidi"/>
                <w:sz w:val="18"/>
                <w:szCs w:val="18"/>
                <w:lang w:eastAsia="en-GB"/>
              </w:rPr>
              <w:t>(Haddock-Fraser and Fraser, 2008)</w:t>
            </w:r>
            <w:r w:rsidRPr="005F0A67">
              <w:rPr>
                <w:rFonts w:asciiTheme="majorBidi" w:eastAsia="Times New Roman" w:hAnsiTheme="majorBidi" w:cstheme="majorBidi"/>
                <w:sz w:val="18"/>
                <w:szCs w:val="18"/>
                <w:lang w:eastAsia="en-GB"/>
              </w:rPr>
              <w:fldChar w:fldCharType="end"/>
            </w:r>
          </w:p>
        </w:tc>
      </w:tr>
      <w:tr w:rsidR="005F0A67" w:rsidRPr="005F0A67" w14:paraId="2543F707" w14:textId="77777777" w:rsidTr="005F0A67">
        <w:trPr>
          <w:trHeight w:val="276"/>
        </w:trPr>
        <w:tc>
          <w:tcPr>
            <w:tcW w:w="802"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1742437F"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b/>
                <w:bCs/>
                <w:sz w:val="18"/>
                <w:szCs w:val="18"/>
                <w:lang w:eastAsia="en-GB"/>
              </w:rPr>
            </w:pPr>
            <w:r w:rsidRPr="005F0A67">
              <w:rPr>
                <w:rFonts w:asciiTheme="majorBidi" w:eastAsia="Times New Roman" w:hAnsiTheme="majorBidi" w:cstheme="majorBidi"/>
                <w:sz w:val="18"/>
                <w:szCs w:val="18"/>
                <w:lang w:eastAsia="en-GB"/>
              </w:rPr>
              <w:t>Animal and plant breeding</w:t>
            </w:r>
          </w:p>
        </w:tc>
        <w:tc>
          <w:tcPr>
            <w:tcW w:w="364" w:type="pct"/>
            <w:tcBorders>
              <w:top w:val="single" w:sz="1" w:space="0" w:color="AAAAAA"/>
              <w:left w:val="single" w:sz="1" w:space="0" w:color="AAAAAA"/>
              <w:bottom w:val="single" w:sz="1" w:space="0" w:color="AAAAAA"/>
              <w:right w:val="single" w:sz="1" w:space="0" w:color="AAAAAA"/>
            </w:tcBorders>
            <w:vAlign w:val="center"/>
          </w:tcPr>
          <w:p w14:paraId="64242C9C"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0.20</w:t>
            </w:r>
          </w:p>
        </w:tc>
        <w:tc>
          <w:tcPr>
            <w:tcW w:w="2918" w:type="pct"/>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vAlign w:val="center"/>
          </w:tcPr>
          <w:p w14:paraId="5AD055D4"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Despite substantial use of plant genetic resources and related sequence data, the sector has historically shown limited engagement with monetary benefit-sharing under comparable multilateral frameworks, including the ITPGRFA. Traceability challenges and high transaction costs further constrain participation incentives.</w:t>
            </w:r>
          </w:p>
        </w:tc>
        <w:tc>
          <w:tcPr>
            <w:tcW w:w="916" w:type="pct"/>
            <w:tcBorders>
              <w:top w:val="single" w:sz="1" w:space="0" w:color="AAAAAA"/>
              <w:left w:val="single" w:sz="1" w:space="0" w:color="AAAAAA"/>
              <w:bottom w:val="single" w:sz="1" w:space="0" w:color="AAAAAA"/>
              <w:right w:val="single" w:sz="1" w:space="0" w:color="AAAAAA"/>
            </w:tcBorders>
            <w:vAlign w:val="center"/>
          </w:tcPr>
          <w:p w14:paraId="05799B35"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fldChar w:fldCharType="begin"/>
            </w:r>
            <w:r w:rsidRPr="005F0A67">
              <w:rPr>
                <w:rFonts w:asciiTheme="majorBidi" w:eastAsia="Times New Roman" w:hAnsiTheme="majorBidi" w:cstheme="majorBidi"/>
                <w:sz w:val="18"/>
                <w:szCs w:val="18"/>
                <w:lang w:eastAsia="en-GB"/>
              </w:rPr>
              <w:instrText xml:space="preserve"> ADDIN ZOTERO_ITEM CSL_CITATION {"citationID":"KGCCOLyc","properties":{"unsorted":false,"formattedCitation":"(Rabitz, 2017; Wynberg {\\i{}et al.}, 2021)","plainCitation":"(Rabitz, 2017; Wynberg et al., 2021)","noteIndex":0},"citationItems":[{"id":462,"uris":["http://zotero.org/users/14977742/items/PB3UF4AI"],"itemData":{"id":462,"type":"article-journal","abstract":"The 2001 International Treaty on Plant Genetic Resources for Food andAgriculture established a global network of seed banks which grants facilitated access to crops for breeding purposes while aiming that the resulting commercial benefits are shared fairly and equitably. While the treaty has been successful in terms of access, benefits are not being shared. I analyze the causes for the lack of benefit-sharing in terms of the treaty’s institutional design, implementation challenges and the wider problem structure of plant genetic resources for food and agriculture. Subsequently, I evaluate the options which are currently under discussion for a comprehensive reform. I conclude by proposing a set of measures which would enhance the treaty’s effectiveness both in terms of access to plant genetic resources for food and agriculture and the fair and equitable sharing of relevant benefits.","citation-key":"rabitzAccessBenefitsharingDesign2017","container-title":"International Journal of the Commons","DOI":"10.18352/ijc.736","ISSN":"1875-0281","issue":"2","language":"en","source":"thecommonsjournal.org","title":"Access without benefit-sharing: Design, effectiveness and reform of the FAO Seed Treaty","title-short":"Access without benefit-sharing","URL":"https://thecommonsjournal.org/articles/10.18352/ijc.736","volume":"11","author":[{"family":"Rabitz","given":"Florian"}],"accessed":{"date-parts":[["2026",4,10]]},"issued":{"date-parts":[["2017",10,16]]}}},{"id":388,"uris":["http://zotero.org/users/14977742/items/JF5C9ZTJ"],"itemData":{"id":388,"type":"article-journal","abstract":"Contestations about the way in which digital sequence information is used and regulated have created stumbling blocks across multiple international policy processes. Such schisms have profound implications for the way in which we manage and conceptualise agrobiodiversity and its benefits. This paper explores the relationship between farmers’ rights, as recognised in the International Treaty on Plant Genetic Resources for Food and Agriculture, and the dematerialization of genetic resources. Using concepts of ‘stewardship’ and ‘ownership’ we emphasise the need to move away from viewing agrobiodiversity as a commodity that can be owned, towards a strengthened, proactive and expansive stewardship approach that recognizes plant genetic resources for food and agriculture as a public good which should be governed as such. Through this lens we analyse the relationship between digital sequence information and different elements of farmers’ rights to compare and contrast implications for the governance of digital sequence information. Two possible parallel pathways are presented, the first envisaging an enhanced multilateral system that includes digital sequence information and which promotes and enhances the realization of farmers’ rights; and the second a more radical approach that folds together concepts of stewardship, farmers’ rights, and open source science. Farmers’ rights, we suggest, may well be the linchpin for finding fair and equitable solutions for digital sequence information beyond the bilateral and transactional approach that has come to characterize access and benefit sharing under the Convention on Biological Diversity. Existing policy uncertainties could be seized as an unexpected but serendipitous opportunity to chart an alternative and visionary pathway for the rights of farmers and other custodians of plant genetic resources.","citation-key":"wynbergFarmersRightsDigital2021","container-title":"Frontiers in Plant Science","DOI":"10.3389/fpls.2021.686728","ISSN":"1664-462X","journalAbbreviation":"Front. Plant Sci.","language":"English","publisher":"Frontiers","source":"Frontiers","title":"Farmers’ Rights and Digital Sequence Information: Crisis or Opportunity to Reclaim Stewardship Over Agrobiodiversity?","title-short":"Farmers’ Rights and Digital Sequence Information","URL":"https://www.frontiersin.org/journals/plant-science/articles/10.3389/fpls.2021.686728/full","volume":"12","author":[{"family":"Wynberg","given":"Rachel"},{"family":"Andersen","given":"Regine"},{"family":"Laird","given":"Sarah"},{"family":"Kusena","given":"Kudzai"},{"family":"Prip","given":"Christian"},{"family":"Westengen","given":"Ola Tveitereid"}],"accessed":{"date-parts":[["2026",4,27]]},"issued":{"date-parts":[["2021",8,13]]}}}],"schema":"https://github.com/citation-style-language/schema/raw/master/csl-citation.json"} </w:instrText>
            </w:r>
            <w:r w:rsidRPr="005F0A67">
              <w:rPr>
                <w:rFonts w:asciiTheme="majorBidi" w:eastAsia="Times New Roman" w:hAnsiTheme="majorBidi" w:cstheme="majorBidi"/>
                <w:sz w:val="18"/>
                <w:szCs w:val="18"/>
                <w:lang w:eastAsia="en-GB"/>
              </w:rPr>
              <w:fldChar w:fldCharType="separate"/>
            </w:r>
            <w:r w:rsidRPr="005F0A67">
              <w:rPr>
                <w:rFonts w:asciiTheme="majorBidi" w:eastAsia="Georgia" w:hAnsiTheme="majorBidi" w:cstheme="majorBidi"/>
                <w:sz w:val="18"/>
                <w:szCs w:val="18"/>
                <w:lang w:eastAsia="en-GB"/>
              </w:rPr>
              <w:t xml:space="preserve">(Rabitz, 2017; Wynberg </w:t>
            </w:r>
            <w:r w:rsidRPr="005F0A67">
              <w:rPr>
                <w:rFonts w:asciiTheme="majorBidi" w:eastAsia="Georgia" w:hAnsiTheme="majorBidi" w:cstheme="majorBidi"/>
                <w:i/>
                <w:iCs/>
                <w:sz w:val="18"/>
                <w:szCs w:val="18"/>
                <w:lang w:eastAsia="en-GB"/>
              </w:rPr>
              <w:t>et al.</w:t>
            </w:r>
            <w:r w:rsidRPr="005F0A67">
              <w:rPr>
                <w:rFonts w:asciiTheme="majorBidi" w:eastAsia="Georgia" w:hAnsiTheme="majorBidi" w:cstheme="majorBidi"/>
                <w:sz w:val="18"/>
                <w:szCs w:val="18"/>
                <w:lang w:eastAsia="en-GB"/>
              </w:rPr>
              <w:t>, 2021)</w:t>
            </w:r>
            <w:r w:rsidRPr="005F0A67">
              <w:rPr>
                <w:rFonts w:asciiTheme="majorBidi" w:eastAsia="Times New Roman" w:hAnsiTheme="majorBidi" w:cstheme="majorBidi"/>
                <w:sz w:val="18"/>
                <w:szCs w:val="18"/>
                <w:lang w:eastAsia="en-GB"/>
              </w:rPr>
              <w:fldChar w:fldCharType="end"/>
            </w:r>
          </w:p>
        </w:tc>
      </w:tr>
      <w:tr w:rsidR="005F0A67" w:rsidRPr="005F0A67" w14:paraId="59EF6D02" w14:textId="77777777" w:rsidTr="005F0A67">
        <w:trPr>
          <w:trHeight w:val="276"/>
        </w:trPr>
        <w:tc>
          <w:tcPr>
            <w:tcW w:w="802"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3B6898EA"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b/>
                <w:bCs/>
                <w:sz w:val="18"/>
                <w:szCs w:val="18"/>
                <w:lang w:eastAsia="en-GB"/>
              </w:rPr>
            </w:pPr>
            <w:r w:rsidRPr="005F0A67">
              <w:rPr>
                <w:rFonts w:asciiTheme="majorBidi" w:eastAsia="Times New Roman" w:hAnsiTheme="majorBidi" w:cstheme="majorBidi"/>
                <w:sz w:val="18"/>
                <w:szCs w:val="18"/>
                <w:lang w:eastAsia="en-GB"/>
              </w:rPr>
              <w:t>Information and AI</w:t>
            </w:r>
          </w:p>
        </w:tc>
        <w:tc>
          <w:tcPr>
            <w:tcW w:w="364" w:type="pct"/>
            <w:tcBorders>
              <w:top w:val="single" w:sz="1" w:space="0" w:color="AAAAAA"/>
              <w:left w:val="single" w:sz="1" w:space="0" w:color="AAAAAA"/>
              <w:bottom w:val="single" w:sz="1" w:space="0" w:color="AAAAAA"/>
              <w:right w:val="single" w:sz="1" w:space="0" w:color="AAAAAA"/>
            </w:tcBorders>
            <w:vAlign w:val="center"/>
          </w:tcPr>
          <w:p w14:paraId="36BF2CE3"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0.15</w:t>
            </w:r>
          </w:p>
        </w:tc>
        <w:tc>
          <w:tcPr>
            <w:tcW w:w="2918" w:type="pct"/>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vAlign w:val="center"/>
          </w:tcPr>
          <w:p w14:paraId="5F29DF2C"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val="en-CA" w:eastAsia="en-GB"/>
              </w:rPr>
              <w:t>DSI use in this sector is diffuse and technically complex, and is not typically linked to biodiversity-facing products or supply chains visible to consumers. The lack of established ABS engagement and weak reputational connections to biodiversity outcomes contribute to a low baseline participation rate.</w:t>
            </w:r>
          </w:p>
        </w:tc>
        <w:tc>
          <w:tcPr>
            <w:tcW w:w="916" w:type="pct"/>
            <w:tcBorders>
              <w:top w:val="single" w:sz="1" w:space="0" w:color="AAAAAA"/>
              <w:left w:val="single" w:sz="1" w:space="0" w:color="AAAAAA"/>
              <w:bottom w:val="single" w:sz="1" w:space="0" w:color="AAAAAA"/>
              <w:right w:val="single" w:sz="1" w:space="0" w:color="AAAAAA"/>
            </w:tcBorders>
            <w:vAlign w:val="center"/>
          </w:tcPr>
          <w:p w14:paraId="64638B9A"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fldChar w:fldCharType="begin"/>
            </w:r>
            <w:r w:rsidRPr="005F0A67">
              <w:rPr>
                <w:rFonts w:asciiTheme="majorBidi" w:eastAsia="Times New Roman" w:hAnsiTheme="majorBidi" w:cstheme="majorBidi"/>
                <w:sz w:val="18"/>
                <w:szCs w:val="18"/>
                <w:lang w:eastAsia="en-GB"/>
              </w:rPr>
              <w:instrText xml:space="preserve"> ADDIN ZOTERO_ITEM CSL_CITATION {"citationID":"1XRlIfle","properties":{"unsorted":false,"formattedCitation":"(Nawaz, Satterfield and Hagerman, 2021; Lawson, Englezos and Rourke, 2025)","plainCitation":"(Nawaz, Satterfield and Hagerman, 2021; Lawson, Englezos and Rourke, 2025)","noteIndex":0},"citationItems":[{"id":564,"uris":["http://zotero.org/users/14977742/items/28KMEN4P"],"itemData":{"id":564,"type":"article-journal","abstract":"In the past decade and a half, key international agreements have established systems of access and benefit sharing that aim to obtain consent and provide compensation for commercial use of plants, animals, and microorganisms—particularly those sourced in the Global South. Yet the rise of genomics, gene editing and synthetic biology may threaten the legitimacy of these agreements. Thus far, agreements have governed these resources in their physical form—as organisms in situ or germplasm in gene banks. However, both public and private research are increasingly utilizing genomic sequences and associated information. As a result of this shift, debates are unfolding at international fora such as the Convention on Biological Diversity and the International Treaty on Plant Genetic Resources for Food and Agriculture on whether existing agreements apply to physical resources only, or also to their sequence data or other associated information. Some call uninhibited access to digital sequence information (DSI) a new form of biopiracy, whereby digital resources are used without permission from those in the Global South. Others argue that access to DSI should remain unencumbered by bureaucracy, as it is key to biodiversity conservation and food security. This paper examines these debates over DSI and the rationales and justifications employed by the two sides, which loosely follow a divide between Global South and North. We find that different conceptualizations of genetic resources—particularly with regard to when, where and how value is added—define respective positions. Outcomes of these debates have important implications for management of global biodiversity, food security and issues of equity and justice for actors in biodiverse regions of the world.","citation-key":"nawazSeedSequenceDematerialization2021","container-title":"Global Environmental Change","DOI":"10.1016/j.gloenvcha.2021.102260","ISSN":"0959-3780","journalAbbreviation":"Global Environmental Change","page":"102260","source":"ScienceDirect","title":"From seed to sequence: Dematerialization and the battle to (re)define genetic resources","title-short":"From seed to sequence","volume":"68","author":[{"family":"Nawaz","given":"Sara"},{"family":"Satterfield","given":"Terre"},{"family":"Hagerman","given":"Shannon"}],"issued":{"date-parts":[["2021",5,1]]}}},{"id":443,"uris":["http://zotero.org/users/14977742/items/PABJYXG5"],"itemData":{"id":443,"type":"article-journal","abstract":"Societal Impact Statement Future research and development of biological materials for foods, feeds, fibres, materials and medicines will increasingly rely on information and knowledge using Artificial Intelligence (AI) applications for detecting patterns to make useful decisions. The access and use of this information and knowledge is increasingly being regulated under international laws according to an ideal that delivers money and other benefits from the uses of the information and knowledge. We conclude these issues will require specific attention to ensure the ideals of fair and equitable benefit sharing are sustainable and can deliver real benefits. Summary The global regulation of access and benefit sharing (ABS) biological materials is starting to impose complex rules for governing information and knowledge about those materials. Artificial Intelligence (AI) poses existential challenges for the research and development of those materials for foods, feeds, fibres, materials and medicines under these ABS schemes. We speculate these challenges are in three distinct scenarios: (1) data used to train the AI models; (2) data used to test (and verify) the AI models; and (3) data used in applying the models to reveal useful patterns. Building in ‘explainability’ to the AI algorithms may be a solution, at least in part, to delivering on fair and equitable ABS. We then posit two issues for ABS: (1) negotiating the ownership status to use the input data with each data owner for training, testing (and verifying) and using the models (although a further complication here is that most data is without an owner because it is already open and free as a public domain without intellectual property restrictions); and (2) following the data per se through the AI models (explainability). We conclude that how ABS will be addressed in developing and applying AI models will require careful consideration to avoid the apparent dulling effects of current ABS regulation and the potentially significant consequences this may have for biology-based research and the commercialisation of biology-based products and services.","citation-key":"lawsonAccessBenefitSharing2025","container-title":"PLANTS, PEOPLE, PLANET","DOI":"10.1002/ppp3.70007","ISSN":"2572-2611","issue":"5","language":"en","license":"© 2025 The Author(s). Plants, People, Planet published by John Wiley &amp; Sons Ltd on behalf of New Phytologist Foundation.","note":"_eprint: https://nph.onlinelibrary.wiley.com/doi/pdf/10.1002/ppp3.70007","page":"1485-1497","source":"Wiley Online Library","title":"Access and benefit sharing biological materials for machines: Artificial intelligence, machine learning and deep learning","title-short":"Access and benefit sharing biological materials for machines","volume":"7","author":[{"family":"Lawson","given":"Charles"},{"family":"Englezos","given":"Elizabeth"},{"family":"Rourke","given":"Michelle"}],"issued":{"date-parts":[["2025"]]}}}],"schema":"https://github.com/citation-style-language/schema/raw/master/csl-citation.json"} </w:instrText>
            </w:r>
            <w:r w:rsidRPr="005F0A67">
              <w:rPr>
                <w:rFonts w:asciiTheme="majorBidi" w:eastAsia="Times New Roman" w:hAnsiTheme="majorBidi" w:cstheme="majorBidi"/>
                <w:sz w:val="18"/>
                <w:szCs w:val="18"/>
                <w:lang w:eastAsia="en-GB"/>
              </w:rPr>
              <w:fldChar w:fldCharType="separate"/>
            </w:r>
            <w:r w:rsidRPr="005F0A67">
              <w:rPr>
                <w:rFonts w:asciiTheme="majorBidi" w:eastAsia="Times New Roman" w:hAnsiTheme="majorBidi" w:cstheme="majorBidi"/>
                <w:sz w:val="18"/>
                <w:szCs w:val="18"/>
                <w:lang w:eastAsia="en-GB"/>
              </w:rPr>
              <w:t>(Nawaz, Satterfield and Hagerman, 2021; Lawson, Englezos and Rourke, 2025)</w:t>
            </w:r>
            <w:r w:rsidRPr="005F0A67">
              <w:rPr>
                <w:rFonts w:asciiTheme="majorBidi" w:eastAsia="Times New Roman" w:hAnsiTheme="majorBidi" w:cstheme="majorBidi"/>
                <w:sz w:val="18"/>
                <w:szCs w:val="18"/>
                <w:lang w:eastAsia="en-GB"/>
              </w:rPr>
              <w:fldChar w:fldCharType="end"/>
            </w:r>
          </w:p>
        </w:tc>
      </w:tr>
    </w:tbl>
    <w:p w14:paraId="5135CC4D"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i/>
          <w:iCs/>
          <w:sz w:val="18"/>
          <w:szCs w:val="18"/>
          <w:lang w:val="en-CA" w:eastAsia="en-GB"/>
        </w:rPr>
        <w:t xml:space="preserve">Notes: </w:t>
      </w:r>
      <w:r w:rsidRPr="005F0A67">
        <w:rPr>
          <w:rFonts w:asciiTheme="majorBidi" w:eastAsia="Times New Roman" w:hAnsiTheme="majorBidi" w:cstheme="majorBidi"/>
          <w:sz w:val="18"/>
          <w:szCs w:val="18"/>
          <w:lang w:val="en-CA" w:eastAsia="en-GB"/>
        </w:rPr>
        <w:t xml:space="preserve">Rate values are calibrated from the empirical literature on voluntary environmental scheme membership, including engagement with existing ABS, and represent central estimates rather than observed participation rates. Full literature justifications are provided in Makowska-Curran </w:t>
      </w:r>
      <w:r w:rsidRPr="005F0A67">
        <w:rPr>
          <w:rFonts w:asciiTheme="majorBidi" w:eastAsia="Times New Roman" w:hAnsiTheme="majorBidi" w:cstheme="majorBidi"/>
          <w:sz w:val="18"/>
          <w:szCs w:val="18"/>
          <w:lang w:val="en-CA" w:eastAsia="en-GB"/>
        </w:rPr>
        <w:fldChar w:fldCharType="begin"/>
      </w:r>
      <w:r w:rsidRPr="005F0A67">
        <w:rPr>
          <w:rFonts w:asciiTheme="majorBidi" w:eastAsia="Times New Roman" w:hAnsiTheme="majorBidi" w:cstheme="majorBidi"/>
          <w:sz w:val="18"/>
          <w:szCs w:val="18"/>
          <w:lang w:val="en-CA" w:eastAsia="en-GB"/>
        </w:rPr>
        <w:instrText xml:space="preserve"> ADDIN ZOTERO_ITEM CSL_CITATION {"citationID":"mlcbLxj1","properties":{"unsorted":false,"formattedCitation":"(2026)","plainCitation":"(2026)","noteIndex":0},"citationItems":[{"id":77,"uris":["http://zotero.org/users/14977742/items/2PI55QKT"],"itemData":{"id":77,"type":"article-journal","abstract":"This paper provides the first global, firm-level analysis of what the Cali Fund, designed to support global conservation, is likely to raise and how resources would be distributed.","citation-key":"GlobalBiodiversityCommitments","container-title":"Grantham Research Institute on climate change and the environment","language":"en-GB","publisher":"London School of Economics and Political Science (LSE)","title":"From global biodiversity commitments to local action: revenue potential and allocation dynamics of the Cali Fund","title-short":"From global biodiversity commitments to local action","URL":"https://www.lse.ac.uk/granthaminstitute/publication/from-global-biodiversity-commitments-to-local-action-revenue-potential-and-allocation-dynamics-of-the-cali-fund/","author":[{"family":"Makowska-Curran","given":"Agata"}],"accessed":{"date-parts":[["2026",6,3]]},"issued":{"date-parts":[["2026",6]]}},"suppress-author":true}],"schema":"https://github.com/citation-style-language/schema/raw/master/csl-citation.json"} </w:instrText>
      </w:r>
      <w:r w:rsidRPr="005F0A67">
        <w:rPr>
          <w:rFonts w:asciiTheme="majorBidi" w:eastAsia="Times New Roman" w:hAnsiTheme="majorBidi" w:cstheme="majorBidi"/>
          <w:sz w:val="18"/>
          <w:szCs w:val="18"/>
          <w:lang w:val="en-CA" w:eastAsia="en-GB"/>
        </w:rPr>
        <w:fldChar w:fldCharType="separate"/>
      </w:r>
      <w:r w:rsidRPr="005F0A67">
        <w:rPr>
          <w:rFonts w:asciiTheme="majorBidi" w:eastAsia="Times New Roman" w:hAnsiTheme="majorBidi" w:cstheme="majorBidi"/>
          <w:sz w:val="18"/>
          <w:szCs w:val="18"/>
          <w:lang w:val="en-CA" w:eastAsia="en-GB"/>
        </w:rPr>
        <w:t>(2026)</w:t>
      </w:r>
      <w:r w:rsidRPr="005F0A67">
        <w:rPr>
          <w:rFonts w:asciiTheme="majorBidi" w:eastAsia="Times New Roman" w:hAnsiTheme="majorBidi" w:cstheme="majorBidi"/>
          <w:sz w:val="18"/>
          <w:szCs w:val="18"/>
          <w:lang w:val="en-CA" w:eastAsia="en-GB"/>
        </w:rPr>
        <w:fldChar w:fldCharType="end"/>
      </w:r>
      <w:r w:rsidRPr="005F0A67">
        <w:rPr>
          <w:rFonts w:asciiTheme="majorBidi" w:eastAsia="Times New Roman" w:hAnsiTheme="majorBidi" w:cstheme="majorBidi"/>
          <w:sz w:val="18"/>
          <w:szCs w:val="18"/>
          <w:lang w:val="en-CA" w:eastAsia="en-GB"/>
        </w:rPr>
        <w:t xml:space="preserve">. The author also provides sensitivity analysis results for varying parameter ranges. </w:t>
      </w:r>
    </w:p>
    <w:p w14:paraId="17EB995D" w14:textId="77777777" w:rsidR="005F0A67" w:rsidRPr="005F0A67" w:rsidRDefault="005F0A67" w:rsidP="005F0A67">
      <w:pPr>
        <w:tabs>
          <w:tab w:val="clear" w:pos="567"/>
          <w:tab w:val="clear" w:pos="1134"/>
          <w:tab w:val="clear" w:pos="1701"/>
          <w:tab w:val="clear" w:pos="2268"/>
        </w:tabs>
        <w:spacing w:line="293" w:lineRule="auto"/>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i/>
          <w:iCs/>
          <w:sz w:val="18"/>
          <w:szCs w:val="18"/>
          <w:lang w:val="en-CA" w:eastAsia="en-GB"/>
        </w:rPr>
        <w:t xml:space="preserve">Source: </w:t>
      </w:r>
      <w:r w:rsidRPr="005F0A67">
        <w:rPr>
          <w:rFonts w:asciiTheme="majorBidi" w:eastAsia="Times New Roman" w:hAnsiTheme="majorBidi" w:cstheme="majorBidi"/>
          <w:sz w:val="18"/>
          <w:szCs w:val="18"/>
          <w:lang w:val="en-CA" w:eastAsia="en-GB"/>
        </w:rPr>
        <w:t>Adapted from</w:t>
      </w:r>
      <w:r w:rsidRPr="005F0A67">
        <w:rPr>
          <w:rFonts w:asciiTheme="majorBidi" w:eastAsia="Times New Roman" w:hAnsiTheme="majorBidi" w:cstheme="majorBidi"/>
          <w:i/>
          <w:iCs/>
          <w:sz w:val="18"/>
          <w:szCs w:val="18"/>
          <w:lang w:val="en-CA" w:eastAsia="en-GB"/>
        </w:rPr>
        <w:t xml:space="preserve"> </w:t>
      </w:r>
      <w:r w:rsidRPr="005F0A67">
        <w:rPr>
          <w:rFonts w:asciiTheme="majorBidi" w:eastAsia="Times New Roman" w:hAnsiTheme="majorBidi" w:cstheme="majorBidi"/>
          <w:sz w:val="18"/>
          <w:szCs w:val="18"/>
          <w:lang w:val="en-CA" w:eastAsia="en-GB"/>
        </w:rPr>
        <w:t xml:space="preserve">Makowska-Curran </w:t>
      </w:r>
      <w:r w:rsidRPr="005F0A67">
        <w:rPr>
          <w:rFonts w:asciiTheme="majorBidi" w:eastAsia="Times New Roman" w:hAnsiTheme="majorBidi" w:cstheme="majorBidi"/>
          <w:sz w:val="18"/>
          <w:szCs w:val="18"/>
          <w:lang w:val="en-CA" w:eastAsia="en-GB"/>
        </w:rPr>
        <w:fldChar w:fldCharType="begin"/>
      </w:r>
      <w:r w:rsidRPr="005F0A67">
        <w:rPr>
          <w:rFonts w:asciiTheme="majorBidi" w:eastAsia="Times New Roman" w:hAnsiTheme="majorBidi" w:cstheme="majorBidi"/>
          <w:sz w:val="18"/>
          <w:szCs w:val="18"/>
          <w:lang w:val="en-CA" w:eastAsia="en-GB"/>
        </w:rPr>
        <w:instrText xml:space="preserve"> ADDIN ZOTERO_ITEM CSL_CITATION {"citationID":"rviuacZG","properties":{"unsorted":false,"formattedCitation":"(2026)","plainCitation":"(2026)","noteIndex":0},"citationItems":[{"id":77,"uris":["http://zotero.org/users/14977742/items/2PI55QKT"],"itemData":{"id":77,"type":"article-journal","abstract":"This paper provides the first global, firm-level analysis of what the Cali Fund, designed to support global conservation, is likely to raise and how resources would be distributed.","citation-key":"GlobalBiodiversityCommitments","container-title":"Grantham Research Institute on climate change and the environment","language":"en-GB","publisher":"London School of Economics and Political Science (LSE)","title":"From global biodiversity commitments to local action: revenue potential and allocation dynamics of the Cali Fund","title-short":"From global biodiversity commitments to local action","URL":"https://www.lse.ac.uk/granthaminstitute/publication/from-global-biodiversity-commitments-to-local-action-revenue-potential-and-allocation-dynamics-of-the-cali-fund/","author":[{"family":"Makowska-Curran","given":"Agata"}],"accessed":{"date-parts":[["2026",6,3]]},"issued":{"date-parts":[["2026",6]]}},"suppress-author":true}],"schema":"https://github.com/citation-style-language/schema/raw/master/csl-citation.json"} </w:instrText>
      </w:r>
      <w:r w:rsidRPr="005F0A67">
        <w:rPr>
          <w:rFonts w:asciiTheme="majorBidi" w:eastAsia="Times New Roman" w:hAnsiTheme="majorBidi" w:cstheme="majorBidi"/>
          <w:sz w:val="18"/>
          <w:szCs w:val="18"/>
          <w:lang w:val="en-CA" w:eastAsia="en-GB"/>
        </w:rPr>
        <w:fldChar w:fldCharType="separate"/>
      </w:r>
      <w:r w:rsidRPr="005F0A67">
        <w:rPr>
          <w:rFonts w:asciiTheme="majorBidi" w:eastAsia="Times New Roman" w:hAnsiTheme="majorBidi" w:cstheme="majorBidi"/>
          <w:sz w:val="18"/>
          <w:szCs w:val="18"/>
          <w:lang w:val="en-CA" w:eastAsia="en-GB"/>
        </w:rPr>
        <w:t>(2026)</w:t>
      </w:r>
      <w:r w:rsidRPr="005F0A67">
        <w:rPr>
          <w:rFonts w:asciiTheme="majorBidi" w:eastAsia="Times New Roman" w:hAnsiTheme="majorBidi" w:cstheme="majorBidi"/>
          <w:sz w:val="18"/>
          <w:szCs w:val="18"/>
          <w:lang w:val="en-CA" w:eastAsia="en-GB"/>
        </w:rPr>
        <w:fldChar w:fldCharType="end"/>
      </w:r>
      <w:r w:rsidRPr="005F0A67">
        <w:rPr>
          <w:rFonts w:asciiTheme="majorBidi" w:eastAsia="Times New Roman" w:hAnsiTheme="majorBidi" w:cstheme="majorBidi"/>
          <w:sz w:val="18"/>
          <w:szCs w:val="18"/>
          <w:lang w:val="en-CA" w:eastAsia="en-GB"/>
        </w:rPr>
        <w:t>.</w:t>
      </w:r>
    </w:p>
    <w:p w14:paraId="44675422" w14:textId="77777777" w:rsidR="005F0A67" w:rsidRPr="005F0A67" w:rsidRDefault="005F0A67" w:rsidP="005F0A67">
      <w:pPr>
        <w:tabs>
          <w:tab w:val="clear" w:pos="567"/>
          <w:tab w:val="clear" w:pos="1134"/>
          <w:tab w:val="clear" w:pos="1701"/>
          <w:tab w:val="clear" w:pos="2268"/>
        </w:tabs>
        <w:spacing w:after="200"/>
        <w:jc w:val="left"/>
        <w:rPr>
          <w:rFonts w:asciiTheme="majorBidi" w:eastAsia="Times New Roman" w:hAnsiTheme="majorBidi" w:cstheme="majorBidi"/>
          <w:sz w:val="24"/>
          <w:szCs w:val="24"/>
          <w:lang w:val="en-CA" w:eastAsia="en-GB"/>
        </w:rPr>
      </w:pPr>
    </w:p>
    <w:p w14:paraId="4B1383E7" w14:textId="77777777" w:rsidR="005F0A67" w:rsidRPr="005F0A67" w:rsidRDefault="005F0A67" w:rsidP="005F0A67">
      <w:pPr>
        <w:tabs>
          <w:tab w:val="clear" w:pos="567"/>
          <w:tab w:val="clear" w:pos="1134"/>
          <w:tab w:val="clear" w:pos="1701"/>
          <w:tab w:val="clear" w:pos="2268"/>
        </w:tabs>
        <w:spacing w:after="200" w:line="312" w:lineRule="auto"/>
        <w:contextualSpacing/>
        <w:rPr>
          <w:rFonts w:asciiTheme="majorBidi" w:eastAsia="Yu Mincho" w:hAnsiTheme="majorBidi" w:cstheme="majorBidi"/>
          <w:i/>
          <w:iCs/>
          <w:color w:val="0E2841"/>
          <w:sz w:val="24"/>
          <w:szCs w:val="24"/>
          <w:lang w:val="en-US" w:eastAsia="ja-JP"/>
        </w:rPr>
      </w:pPr>
      <w:bookmarkStart w:id="270" w:name="_Ref231036773"/>
      <w:r w:rsidRPr="005F0A67">
        <w:rPr>
          <w:rFonts w:asciiTheme="majorBidi" w:eastAsia="Georgia" w:hAnsiTheme="majorBidi" w:cstheme="majorBidi"/>
          <w:b/>
          <w:bCs/>
          <w:color w:val="419844"/>
          <w:lang w:val="en-US" w:eastAsia="ja-JP"/>
        </w:rPr>
        <w:t xml:space="preserve">Table </w:t>
      </w:r>
      <w:r w:rsidRPr="005F0A67">
        <w:rPr>
          <w:rFonts w:asciiTheme="majorBidi" w:eastAsia="Georgia" w:hAnsiTheme="majorBidi" w:cstheme="majorBidi"/>
          <w:b/>
          <w:bCs/>
          <w:color w:val="419844"/>
          <w:lang w:eastAsia="en-GB"/>
        </w:rPr>
        <w:fldChar w:fldCharType="begin"/>
      </w:r>
      <w:r w:rsidRPr="005F0A67">
        <w:rPr>
          <w:rFonts w:asciiTheme="majorBidi" w:eastAsia="Georgia" w:hAnsiTheme="majorBidi" w:cstheme="majorBidi"/>
          <w:b/>
          <w:bCs/>
          <w:color w:val="419844"/>
          <w:lang w:eastAsia="en-GB"/>
        </w:rPr>
        <w:instrText xml:space="preserve"> SEQ Table \* ARABIC </w:instrText>
      </w:r>
      <w:r w:rsidRPr="005F0A67">
        <w:rPr>
          <w:rFonts w:asciiTheme="majorBidi" w:eastAsia="Georgia" w:hAnsiTheme="majorBidi" w:cstheme="majorBidi"/>
          <w:b/>
          <w:bCs/>
          <w:color w:val="419844"/>
          <w:lang w:eastAsia="en-GB"/>
        </w:rPr>
        <w:fldChar w:fldCharType="separate"/>
      </w:r>
      <w:r w:rsidRPr="005F0A67">
        <w:rPr>
          <w:rFonts w:asciiTheme="majorBidi" w:eastAsia="Georgia" w:hAnsiTheme="majorBidi" w:cstheme="majorBidi"/>
          <w:b/>
          <w:bCs/>
          <w:noProof/>
          <w:color w:val="419844"/>
          <w:lang w:eastAsia="en-GB"/>
        </w:rPr>
        <w:t>47</w:t>
      </w:r>
      <w:r w:rsidRPr="005F0A67">
        <w:rPr>
          <w:rFonts w:asciiTheme="majorBidi" w:eastAsia="Georgia" w:hAnsiTheme="majorBidi" w:cstheme="majorBidi"/>
          <w:b/>
          <w:bCs/>
          <w:color w:val="419844"/>
          <w:lang w:eastAsia="en-GB"/>
        </w:rPr>
        <w:fldChar w:fldCharType="end"/>
      </w:r>
      <w:bookmarkEnd w:id="270"/>
      <w:r w:rsidRPr="005F0A67">
        <w:rPr>
          <w:rFonts w:asciiTheme="majorBidi" w:eastAsia="Georgia" w:hAnsiTheme="majorBidi" w:cstheme="majorBidi"/>
          <w:b/>
          <w:bCs/>
          <w:color w:val="419844"/>
          <w:lang w:val="en-US" w:eastAsia="ja-JP"/>
        </w:rPr>
        <w:t xml:space="preserve"> Ownership-based participation multipliers (scenarios S1-S2)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363"/>
        <w:gridCol w:w="743"/>
        <w:gridCol w:w="4835"/>
        <w:gridCol w:w="1557"/>
      </w:tblGrid>
      <w:tr w:rsidR="005F0A67" w:rsidRPr="005F0A67" w14:paraId="3094303F" w14:textId="77777777" w:rsidTr="00FB671B">
        <w:trPr>
          <w:trHeight w:val="209"/>
          <w:tblHeader/>
        </w:trPr>
        <w:tc>
          <w:tcPr>
            <w:tcW w:w="802" w:type="pct"/>
            <w:tcBorders>
              <w:top w:val="single" w:sz="1" w:space="0" w:color="AAAAAA"/>
              <w:left w:val="single" w:sz="1" w:space="0" w:color="AAAAAA"/>
              <w:bottom w:val="single" w:sz="1" w:space="0" w:color="AAAAAA"/>
              <w:right w:val="single" w:sz="1" w:space="0" w:color="AAAAAA"/>
            </w:tcBorders>
            <w:shd w:val="clear" w:color="auto" w:fill="1F4E6B"/>
            <w:tcMar>
              <w:top w:w="60" w:type="dxa"/>
              <w:left w:w="100" w:type="dxa"/>
              <w:bottom w:w="60" w:type="dxa"/>
              <w:right w:w="100" w:type="dxa"/>
            </w:tcMar>
          </w:tcPr>
          <w:p w14:paraId="46B80FCE"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FFFFFF"/>
                <w:sz w:val="18"/>
                <w:szCs w:val="18"/>
                <w:lang w:val="en-CA" w:eastAsia="en-GB"/>
              </w:rPr>
            </w:pPr>
            <w:r w:rsidRPr="005F0A67">
              <w:rPr>
                <w:rFonts w:asciiTheme="majorBidi" w:eastAsia="Tahoma" w:hAnsiTheme="majorBidi" w:cstheme="majorBidi"/>
                <w:b/>
                <w:bCs/>
                <w:color w:val="FFFFFF"/>
                <w:sz w:val="18"/>
                <w:szCs w:val="18"/>
                <w:lang w:val="en-CA" w:eastAsia="en-GB"/>
              </w:rPr>
              <w:t>Firm category</w:t>
            </w:r>
          </w:p>
        </w:tc>
        <w:tc>
          <w:tcPr>
            <w:tcW w:w="437" w:type="pct"/>
            <w:tcBorders>
              <w:top w:val="single" w:sz="1" w:space="0" w:color="AAAAAA"/>
              <w:left w:val="single" w:sz="1" w:space="0" w:color="AAAAAA"/>
              <w:bottom w:val="single" w:sz="1" w:space="0" w:color="AAAAAA"/>
              <w:right w:val="single" w:sz="1" w:space="0" w:color="AAAAAA"/>
            </w:tcBorders>
            <w:shd w:val="clear" w:color="auto" w:fill="1F4E6B"/>
          </w:tcPr>
          <w:p w14:paraId="1E433857"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FFFFFF"/>
                <w:sz w:val="18"/>
                <w:szCs w:val="18"/>
                <w:lang w:val="en-CA" w:eastAsia="en-GB"/>
              </w:rPr>
            </w:pPr>
            <w:r w:rsidRPr="005F0A67">
              <w:rPr>
                <w:rFonts w:asciiTheme="majorBidi" w:eastAsia="Tahoma" w:hAnsiTheme="majorBidi" w:cstheme="majorBidi"/>
                <w:b/>
                <w:bCs/>
                <w:color w:val="FFFFFF"/>
                <w:sz w:val="18"/>
                <w:szCs w:val="18"/>
                <w:lang w:val="en-CA" w:eastAsia="en-GB"/>
              </w:rPr>
              <w:t>Rate</w:t>
            </w:r>
          </w:p>
        </w:tc>
        <w:tc>
          <w:tcPr>
            <w:tcW w:w="2845" w:type="pct"/>
            <w:tcBorders>
              <w:top w:val="single" w:sz="1" w:space="0" w:color="AAAAAA"/>
              <w:left w:val="single" w:sz="1" w:space="0" w:color="AAAAAA"/>
              <w:bottom w:val="single" w:sz="1" w:space="0" w:color="AAAAAA"/>
              <w:right w:val="single" w:sz="1" w:space="0" w:color="AAAAAA"/>
            </w:tcBorders>
            <w:shd w:val="clear" w:color="auto" w:fill="1F4E6B"/>
            <w:tcMar>
              <w:top w:w="60" w:type="dxa"/>
              <w:left w:w="100" w:type="dxa"/>
              <w:bottom w:w="60" w:type="dxa"/>
              <w:right w:w="100" w:type="dxa"/>
            </w:tcMar>
          </w:tcPr>
          <w:p w14:paraId="13D527AB"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FFFFFF"/>
                <w:sz w:val="18"/>
                <w:szCs w:val="18"/>
                <w:lang w:val="en-CA" w:eastAsia="en-GB"/>
              </w:rPr>
            </w:pPr>
            <w:r w:rsidRPr="005F0A67">
              <w:rPr>
                <w:rFonts w:asciiTheme="majorBidi" w:eastAsia="Tahoma" w:hAnsiTheme="majorBidi" w:cstheme="majorBidi"/>
                <w:b/>
                <w:bCs/>
                <w:color w:val="FFFFFF"/>
                <w:sz w:val="18"/>
                <w:szCs w:val="18"/>
                <w:lang w:val="en-CA" w:eastAsia="en-GB"/>
              </w:rPr>
              <w:t>Justification</w:t>
            </w:r>
          </w:p>
        </w:tc>
        <w:tc>
          <w:tcPr>
            <w:tcW w:w="916" w:type="pct"/>
            <w:tcBorders>
              <w:top w:val="single" w:sz="1" w:space="0" w:color="AAAAAA"/>
              <w:left w:val="single" w:sz="1" w:space="0" w:color="AAAAAA"/>
              <w:bottom w:val="single" w:sz="1" w:space="0" w:color="AAAAAA"/>
              <w:right w:val="single" w:sz="1" w:space="0" w:color="AAAAAA"/>
            </w:tcBorders>
            <w:shd w:val="clear" w:color="auto" w:fill="1F4E6B"/>
          </w:tcPr>
          <w:p w14:paraId="735F783A"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FFFFFF"/>
                <w:sz w:val="18"/>
                <w:szCs w:val="18"/>
                <w:lang w:val="en-CA" w:eastAsia="en-GB"/>
              </w:rPr>
            </w:pPr>
            <w:r w:rsidRPr="005F0A67">
              <w:rPr>
                <w:rFonts w:asciiTheme="majorBidi" w:eastAsia="Tahoma" w:hAnsiTheme="majorBidi" w:cstheme="majorBidi"/>
                <w:b/>
                <w:bCs/>
                <w:color w:val="FFFFFF"/>
                <w:sz w:val="18"/>
                <w:szCs w:val="18"/>
                <w:lang w:val="en-CA" w:eastAsia="en-GB"/>
              </w:rPr>
              <w:t>Key sources</w:t>
            </w:r>
          </w:p>
        </w:tc>
      </w:tr>
      <w:tr w:rsidR="005F0A67" w:rsidRPr="005F0A67" w14:paraId="613CBF93" w14:textId="77777777" w:rsidTr="005F0A67">
        <w:trPr>
          <w:trHeight w:val="685"/>
        </w:trPr>
        <w:tc>
          <w:tcPr>
            <w:tcW w:w="802"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400BBF5F"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b/>
                <w:bCs/>
                <w:sz w:val="18"/>
                <w:szCs w:val="18"/>
                <w:lang w:eastAsia="en-GB"/>
              </w:rPr>
            </w:pPr>
            <w:r w:rsidRPr="005F0A67">
              <w:rPr>
                <w:rFonts w:asciiTheme="majorBidi" w:eastAsia="Times New Roman" w:hAnsiTheme="majorBidi" w:cstheme="majorBidi"/>
                <w:sz w:val="18"/>
                <w:szCs w:val="18"/>
                <w:lang w:eastAsia="en-GB"/>
              </w:rPr>
              <w:t>Listed</w:t>
            </w:r>
          </w:p>
        </w:tc>
        <w:tc>
          <w:tcPr>
            <w:tcW w:w="437" w:type="pct"/>
            <w:tcBorders>
              <w:top w:val="single" w:sz="1" w:space="0" w:color="AAAAAA"/>
              <w:left w:val="single" w:sz="1" w:space="0" w:color="AAAAAA"/>
              <w:bottom w:val="single" w:sz="1" w:space="0" w:color="AAAAAA"/>
              <w:right w:val="single" w:sz="1" w:space="0" w:color="AAAAAA"/>
            </w:tcBorders>
            <w:vAlign w:val="center"/>
          </w:tcPr>
          <w:p w14:paraId="1DB97B3A"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1.30</w:t>
            </w:r>
          </w:p>
        </w:tc>
        <w:tc>
          <w:tcPr>
            <w:tcW w:w="2845" w:type="pct"/>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vAlign w:val="center"/>
          </w:tcPr>
          <w:p w14:paraId="6FB92022"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ahoma"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Publicly listed firms experience heightened investor scrutiny, more frequent sustainability disclosure requirements, and greater reputational exposure than unlisted firms of similar size. Empirical literature associates these factors with higher rates of voluntary participation in environmental schemes.</w:t>
            </w:r>
          </w:p>
        </w:tc>
        <w:bookmarkStart w:id="271" w:name="_Hlk230175353"/>
        <w:tc>
          <w:tcPr>
            <w:tcW w:w="916" w:type="pct"/>
            <w:tcBorders>
              <w:top w:val="single" w:sz="1" w:space="0" w:color="AAAAAA"/>
              <w:left w:val="single" w:sz="1" w:space="0" w:color="AAAAAA"/>
              <w:bottom w:val="single" w:sz="1" w:space="0" w:color="AAAAAA"/>
              <w:right w:val="single" w:sz="1" w:space="0" w:color="AAAAAA"/>
            </w:tcBorders>
            <w:vAlign w:val="center"/>
          </w:tcPr>
          <w:p w14:paraId="2C129DCE"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fldChar w:fldCharType="begin"/>
            </w:r>
            <w:r w:rsidRPr="005F0A67">
              <w:rPr>
                <w:rFonts w:asciiTheme="majorBidi" w:eastAsia="Times New Roman" w:hAnsiTheme="majorBidi" w:cstheme="majorBidi"/>
                <w:sz w:val="18"/>
                <w:szCs w:val="18"/>
                <w:lang w:eastAsia="en-GB"/>
              </w:rPr>
              <w:instrText xml:space="preserve"> ADDIN ZOTERO_ITEM CSL_CITATION {"citationID":"uxKweZfR","properties":{"unsorted":false,"formattedCitation":"(Lee, 2009; Rasche {\\i{}et al.}, 2022)","plainCitation":"(Lee, 2009; Rasche et al., 2022)","noteIndex":0},"citationItems":[{"id":439,"uris":["http://zotero.org/users/14977742/items/BU7LNY3Q"],"itemData":{"id":439,"type":"article-journal","abstract":"This study examines whether a firm's ownership form has any influence on its social performance. Conventional wisdom suggests that public (publicly traded) corporations are more susceptible to corruption and socially irresponsible behavior than privately owned corporations because of the intense short-term profit maximization pressure from shareholders and the lack of sufficient monitoring mechanisms. This study introduces an alternate perspective in thinking about the relationship between ownership form and corporate social responsibility. This study reasons that public corporations are more likely to become socially responsible because of their greater exposure to external influence and greater dependence on external actors with diverse interests. Using a panel data on the pollution management practices of 118 industrial facilities over a 13-year period, this study shows that public corporations were indeed subject to greater external pressure to reduce pollution, and the pressure led to consistently stronger environmental performance.","citation-key":"leeDoesOwnershipForm2009","container-title":"Business and Society Review","DOI":"10.1111/j.1467-8594.2009.00349.x","ISSN":"1467-8594","issue":"4","language":"en","license":"© 2009 Center for Business Ethics at Bentley University.","note":"_eprint: https://onlinelibrary.wiley.com/doi/pdf/10.1111/j.1467-8594.2009.00349.x","page":"435-456","source":"Wiley Online Library","title":"Does Ownership Form Matter for Corporate Social Responsibility? A Longitudinal Comparison of Environmental Performance between Public, Private, and Joint-venture Firms","title-short":"Does Ownership Form Matter for Corporate Social Responsibility?","volume":"114","author":[{"family":"Lee","given":"Min-Dong Paul"}],"issued":{"date-parts":[["2009"]]}}},{"id":441,"uris":["http://zotero.org/users/14977742/items/BM9LUFVX"],"itemData":{"id":441,"type":"article-journal","abstract":"This study analyzes which firms leave multi-stakeholder initiatives (MSIs) for corporate social responsibility. Based on an analysis of all active and delisted business participants from the United Nations Global Compact between 2000 and 2015 (n = 15,853), we find that small and medium-sized enterprises are more likely to leave than larger and publicly traded firms; that early adopters are less likely to leave than late adopters; and that the presence of a local network in a country reduces the likelihood of leaving. Based on these findings, we discuss theoretical implications related to MSIs' output legitimacy, the nature of organizational platforms supporting norm entrepreneurs within MSIs, and the occurrence of legitimacy spillover effects in local networks.","citation-key":"rascheWhichFirmsLeave2022","container-title":"Regulation &amp; Governance","DOI":"10.1111/rego.12322","ISSN":"1748-5991","issue":"1","language":"en","license":"© 2020 John Wiley &amp; Sons Australia, Ltd","note":"_eprint: https://onlinelibrary.wiley.com/doi/pdf/10.1111/rego.12322","page":"309-326","source":"Wiley Online Library","title":"Which firms leave multi-stakeholder initiatives? An analysis of delistings from the United Nations Global Compact","title-short":"Which firms leave multi-stakeholder initiatives?","volume":"16","author":[{"family":"Rasche","given":"Andreas"},{"family":"Gwozdz","given":"Wencke"},{"family":"Lund Larsen","given":"Mathias"},{"family":"Moon","given":"Jeremy"}],"issued":{"date-parts":[["2022"]]}}}],"schema":"https://github.com/citation-style-language/schema/raw/master/csl-citation.json"} </w:instrText>
            </w:r>
            <w:r w:rsidRPr="005F0A67">
              <w:rPr>
                <w:rFonts w:asciiTheme="majorBidi" w:eastAsia="Times New Roman" w:hAnsiTheme="majorBidi" w:cstheme="majorBidi"/>
                <w:sz w:val="18"/>
                <w:szCs w:val="18"/>
                <w:lang w:eastAsia="en-GB"/>
              </w:rPr>
              <w:fldChar w:fldCharType="separate"/>
            </w:r>
            <w:r w:rsidRPr="005F0A67">
              <w:rPr>
                <w:rFonts w:asciiTheme="majorBidi" w:eastAsia="Georgia" w:hAnsiTheme="majorBidi" w:cstheme="majorBidi"/>
                <w:sz w:val="18"/>
                <w:szCs w:val="18"/>
                <w:lang w:eastAsia="en-GB"/>
              </w:rPr>
              <w:t xml:space="preserve">(Lee, 2009; Rasche </w:t>
            </w:r>
            <w:r w:rsidRPr="005F0A67">
              <w:rPr>
                <w:rFonts w:asciiTheme="majorBidi" w:eastAsia="Georgia" w:hAnsiTheme="majorBidi" w:cstheme="majorBidi"/>
                <w:i/>
                <w:iCs/>
                <w:sz w:val="18"/>
                <w:szCs w:val="18"/>
                <w:lang w:eastAsia="en-GB"/>
              </w:rPr>
              <w:t>et al.</w:t>
            </w:r>
            <w:r w:rsidRPr="005F0A67">
              <w:rPr>
                <w:rFonts w:asciiTheme="majorBidi" w:eastAsia="Georgia" w:hAnsiTheme="majorBidi" w:cstheme="majorBidi"/>
                <w:sz w:val="18"/>
                <w:szCs w:val="18"/>
                <w:lang w:eastAsia="en-GB"/>
              </w:rPr>
              <w:t>, 2022)</w:t>
            </w:r>
            <w:r w:rsidRPr="005F0A67">
              <w:rPr>
                <w:rFonts w:asciiTheme="majorBidi" w:eastAsia="Times New Roman" w:hAnsiTheme="majorBidi" w:cstheme="majorBidi"/>
                <w:sz w:val="18"/>
                <w:szCs w:val="18"/>
                <w:lang w:eastAsia="en-GB"/>
              </w:rPr>
              <w:fldChar w:fldCharType="end"/>
            </w:r>
            <w:bookmarkEnd w:id="271"/>
          </w:p>
        </w:tc>
      </w:tr>
      <w:tr w:rsidR="005F0A67" w:rsidRPr="005F0A67" w14:paraId="148366AE" w14:textId="77777777" w:rsidTr="005F0A67">
        <w:trPr>
          <w:trHeight w:val="276"/>
        </w:trPr>
        <w:tc>
          <w:tcPr>
            <w:tcW w:w="802"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728E5F23"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b/>
                <w:bCs/>
                <w:sz w:val="18"/>
                <w:szCs w:val="18"/>
                <w:lang w:eastAsia="en-GB"/>
              </w:rPr>
            </w:pPr>
            <w:r w:rsidRPr="005F0A67">
              <w:rPr>
                <w:rFonts w:asciiTheme="majorBidi" w:eastAsia="Times New Roman" w:hAnsiTheme="majorBidi" w:cstheme="majorBidi"/>
                <w:sz w:val="18"/>
                <w:szCs w:val="18"/>
                <w:lang w:eastAsia="en-GB"/>
              </w:rPr>
              <w:t>Unlisted</w:t>
            </w:r>
          </w:p>
        </w:tc>
        <w:tc>
          <w:tcPr>
            <w:tcW w:w="437" w:type="pct"/>
            <w:tcBorders>
              <w:top w:val="single" w:sz="1" w:space="0" w:color="AAAAAA"/>
              <w:left w:val="single" w:sz="1" w:space="0" w:color="AAAAAA"/>
              <w:bottom w:val="single" w:sz="1" w:space="0" w:color="AAAAAA"/>
              <w:right w:val="single" w:sz="1" w:space="0" w:color="AAAAAA"/>
            </w:tcBorders>
            <w:vAlign w:val="center"/>
          </w:tcPr>
          <w:p w14:paraId="5AE4C1C4"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0.85</w:t>
            </w:r>
          </w:p>
        </w:tc>
        <w:tc>
          <w:tcPr>
            <w:tcW w:w="2845" w:type="pct"/>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vAlign w:val="center"/>
          </w:tcPr>
          <w:p w14:paraId="14EA6661"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ahoma"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Unlisted firms encounter weaker external disclosure pressures and reduced exposure to investor-driven sustainability expectations. Although customer and supply chain pressures can incentivise participation in certain instances, average participation rates remain lower than those observed for listed firms.</w:t>
            </w:r>
          </w:p>
        </w:tc>
        <w:tc>
          <w:tcPr>
            <w:tcW w:w="916" w:type="pct"/>
            <w:tcBorders>
              <w:top w:val="single" w:sz="1" w:space="0" w:color="AAAAAA"/>
              <w:left w:val="single" w:sz="1" w:space="0" w:color="AAAAAA"/>
              <w:bottom w:val="single" w:sz="1" w:space="0" w:color="AAAAAA"/>
              <w:right w:val="single" w:sz="1" w:space="0" w:color="AAAAAA"/>
            </w:tcBorders>
            <w:vAlign w:val="center"/>
          </w:tcPr>
          <w:p w14:paraId="7F665979"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fldChar w:fldCharType="begin"/>
            </w:r>
            <w:r w:rsidRPr="005F0A67">
              <w:rPr>
                <w:rFonts w:asciiTheme="majorBidi" w:eastAsia="Times New Roman" w:hAnsiTheme="majorBidi" w:cstheme="majorBidi"/>
                <w:sz w:val="18"/>
                <w:szCs w:val="18"/>
                <w:lang w:eastAsia="en-GB"/>
              </w:rPr>
              <w:instrText xml:space="preserve"> ADDIN ZOTERO_ITEM CSL_CITATION {"citationID":"qQetn33n","properties":{"unsorted":false,"formattedCitation":"(Lee, 2009; Rasche {\\i{}et al.}, 2022)","plainCitation":"(Lee, 2009; Rasche et al., 2022)","noteIndex":0},"citationItems":[{"id":439,"uris":["http://zotero.org/users/14977742/items/BU7LNY3Q"],"itemData":{"id":439,"type":"article-journal","abstract":"This study examines whether a firm's ownership form has any influence on its social performance. Conventional wisdom suggests that public (publicly traded) corporations are more susceptible to corruption and socially irresponsible behavior than privately owned corporations because of the intense short-term profit maximization pressure from shareholders and the lack of sufficient monitoring mechanisms. This study introduces an alternate perspective in thinking about the relationship between ownership form and corporate social responsibility. This study reasons that public corporations are more likely to become socially responsible because of their greater exposure to external influence and greater dependence on external actors with diverse interests. Using a panel data on the pollution management practices of 118 industrial facilities over a 13-year period, this study shows that public corporations were indeed subject to greater external pressure to reduce pollution, and the pressure led to consistently stronger environmental performance.","citation-key":"leeDoesOwnershipForm2009","container-title":"Business and Society Review","DOI":"10.1111/j.1467-8594.2009.00349.x","ISSN":"1467-8594","issue":"4","language":"en","license":"© 2009 Center for Business Ethics at Bentley University.","note":"_eprint: https://onlinelibrary.wiley.com/doi/pdf/10.1111/j.1467-8594.2009.00349.x","page":"435-456","source":"Wiley Online Library","title":"Does Ownership Form Matter for Corporate Social Responsibility? A Longitudinal Comparison of Environmental Performance between Public, Private, and Joint-venture Firms","title-short":"Does Ownership Form Matter for Corporate Social Responsibility?","volume":"114","author":[{"family":"Lee","given":"Min-Dong Paul"}],"issued":{"date-parts":[["2009"]]}}},{"id":441,"uris":["http://zotero.org/users/14977742/items/BM9LUFVX"],"itemData":{"id":441,"type":"article-journal","abstract":"This study analyzes which firms leave multi-stakeholder initiatives (MSIs) for corporate social responsibility. Based on an analysis of all active and delisted business participants from the United Nations Global Compact between 2000 and 2015 (n = 15,853), we find that small and medium-sized enterprises are more likely to leave than larger and publicly traded firms; that early adopters are less likely to leave than late adopters; and that the presence of a local network in a country reduces the likelihood of leaving. Based on these findings, we discuss theoretical implications related to MSIs' output legitimacy, the nature of organizational platforms supporting norm entrepreneurs within MSIs, and the occurrence of legitimacy spillover effects in local networks.","citation-key":"rascheWhichFirmsLeave2022","container-title":"Regulation &amp; Governance","DOI":"10.1111/rego.12322","ISSN":"1748-5991","issue":"1","language":"en","license":"© 2020 John Wiley &amp; Sons Australia, Ltd","note":"_eprint: https://onlinelibrary.wiley.com/doi/pdf/10.1111/rego.12322","page":"309-326","source":"Wiley Online Library","title":"Which firms leave multi-stakeholder initiatives? An analysis of delistings from the United Nations Global Compact","title-short":"Which firms leave multi-stakeholder initiatives?","volume":"16","author":[{"family":"Rasche","given":"Andreas"},{"family":"Gwozdz","given":"Wencke"},{"family":"Lund Larsen","given":"Mathias"},{"family":"Moon","given":"Jeremy"}],"issued":{"date-parts":[["2022"]]}}}],"schema":"https://github.com/citation-style-language/schema/raw/master/csl-citation.json"} </w:instrText>
            </w:r>
            <w:r w:rsidRPr="005F0A67">
              <w:rPr>
                <w:rFonts w:asciiTheme="majorBidi" w:eastAsia="Times New Roman" w:hAnsiTheme="majorBidi" w:cstheme="majorBidi"/>
                <w:sz w:val="18"/>
                <w:szCs w:val="18"/>
                <w:lang w:eastAsia="en-GB"/>
              </w:rPr>
              <w:fldChar w:fldCharType="separate"/>
            </w:r>
            <w:r w:rsidRPr="005F0A67">
              <w:rPr>
                <w:rFonts w:asciiTheme="majorBidi" w:eastAsia="Georgia" w:hAnsiTheme="majorBidi" w:cstheme="majorBidi"/>
                <w:sz w:val="18"/>
                <w:szCs w:val="18"/>
                <w:lang w:eastAsia="en-GB"/>
              </w:rPr>
              <w:t xml:space="preserve">(Lee, 2009; Rasche </w:t>
            </w:r>
            <w:r w:rsidRPr="005F0A67">
              <w:rPr>
                <w:rFonts w:asciiTheme="majorBidi" w:eastAsia="Georgia" w:hAnsiTheme="majorBidi" w:cstheme="majorBidi"/>
                <w:i/>
                <w:iCs/>
                <w:sz w:val="18"/>
                <w:szCs w:val="18"/>
                <w:lang w:eastAsia="en-GB"/>
              </w:rPr>
              <w:t>et al.</w:t>
            </w:r>
            <w:r w:rsidRPr="005F0A67">
              <w:rPr>
                <w:rFonts w:asciiTheme="majorBidi" w:eastAsia="Georgia" w:hAnsiTheme="majorBidi" w:cstheme="majorBidi"/>
                <w:sz w:val="18"/>
                <w:szCs w:val="18"/>
                <w:lang w:eastAsia="en-GB"/>
              </w:rPr>
              <w:t>, 2022)</w:t>
            </w:r>
            <w:r w:rsidRPr="005F0A67">
              <w:rPr>
                <w:rFonts w:asciiTheme="majorBidi" w:eastAsia="Times New Roman" w:hAnsiTheme="majorBidi" w:cstheme="majorBidi"/>
                <w:sz w:val="18"/>
                <w:szCs w:val="18"/>
                <w:lang w:eastAsia="en-GB"/>
              </w:rPr>
              <w:fldChar w:fldCharType="end"/>
            </w:r>
          </w:p>
        </w:tc>
      </w:tr>
    </w:tbl>
    <w:p w14:paraId="1006CE19"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i/>
          <w:iCs/>
          <w:sz w:val="18"/>
          <w:szCs w:val="18"/>
          <w:lang w:val="en-CA" w:eastAsia="en-GB"/>
        </w:rPr>
        <w:t xml:space="preserve">Notes: </w:t>
      </w:r>
      <w:r w:rsidRPr="005F0A67">
        <w:rPr>
          <w:rFonts w:asciiTheme="majorBidi" w:eastAsia="Times New Roman" w:hAnsiTheme="majorBidi" w:cstheme="majorBidi"/>
          <w:sz w:val="18"/>
          <w:szCs w:val="18"/>
          <w:lang w:val="en-CA" w:eastAsia="en-GB"/>
        </w:rPr>
        <w:t xml:space="preserve">Rate values are calibrated from the empirical literature on voluntary environmental scheme membership, and reputational pressure across company types. Full literature justifications are provided in Makowska-Curran </w:t>
      </w:r>
      <w:r w:rsidRPr="005F0A67">
        <w:rPr>
          <w:rFonts w:asciiTheme="majorBidi" w:eastAsia="Times New Roman" w:hAnsiTheme="majorBidi" w:cstheme="majorBidi"/>
          <w:sz w:val="18"/>
          <w:szCs w:val="18"/>
          <w:lang w:val="en-CA" w:eastAsia="en-GB"/>
        </w:rPr>
        <w:fldChar w:fldCharType="begin"/>
      </w:r>
      <w:r w:rsidRPr="005F0A67">
        <w:rPr>
          <w:rFonts w:asciiTheme="majorBidi" w:eastAsia="Times New Roman" w:hAnsiTheme="majorBidi" w:cstheme="majorBidi"/>
          <w:sz w:val="18"/>
          <w:szCs w:val="18"/>
          <w:lang w:val="en-CA" w:eastAsia="en-GB"/>
        </w:rPr>
        <w:instrText xml:space="preserve"> ADDIN ZOTERO_ITEM CSL_CITATION {"citationID":"PYIhZMZO","properties":{"unsorted":false,"formattedCitation":"(2026)","plainCitation":"(2026)","noteIndex":0},"citationItems":[{"id":77,"uris":["http://zotero.org/users/14977742/items/2PI55QKT"],"itemData":{"id":77,"type":"article-journal","abstract":"This paper provides the first global, firm-level analysis of what the Cali Fund, designed to support global conservation, is likely to raise and how resources would be distributed.","citation-key":"GlobalBiodiversityCommitments","container-title":"Grantham Research Institute on climate change and the environment","language":"en-GB","publisher":"London School of Economics and Political Science (LSE)","title":"From global biodiversity commitments to local action: revenue potential and allocation dynamics of the Cali Fund","title-short":"From global biodiversity commitments to local action","URL":"https://www.lse.ac.uk/granthaminstitute/publication/from-global-biodiversity-commitments-to-local-action-revenue-potential-and-allocation-dynamics-of-the-cali-fund/","author":[{"family":"Makowska-Curran","given":"Agata"}],"accessed":{"date-parts":[["2026",6,3]]},"issued":{"date-parts":[["2026",6]]}},"suppress-author":true}],"schema":"https://github.com/citation-style-language/schema/raw/master/csl-citation.json"} </w:instrText>
      </w:r>
      <w:r w:rsidRPr="005F0A67">
        <w:rPr>
          <w:rFonts w:asciiTheme="majorBidi" w:eastAsia="Times New Roman" w:hAnsiTheme="majorBidi" w:cstheme="majorBidi"/>
          <w:sz w:val="18"/>
          <w:szCs w:val="18"/>
          <w:lang w:val="en-CA" w:eastAsia="en-GB"/>
        </w:rPr>
        <w:fldChar w:fldCharType="separate"/>
      </w:r>
      <w:r w:rsidRPr="005F0A67">
        <w:rPr>
          <w:rFonts w:asciiTheme="majorBidi" w:eastAsia="Times New Roman" w:hAnsiTheme="majorBidi" w:cstheme="majorBidi"/>
          <w:sz w:val="18"/>
          <w:szCs w:val="18"/>
          <w:lang w:val="en-CA" w:eastAsia="en-GB"/>
        </w:rPr>
        <w:t>(2026)</w:t>
      </w:r>
      <w:r w:rsidRPr="005F0A67">
        <w:rPr>
          <w:rFonts w:asciiTheme="majorBidi" w:eastAsia="Times New Roman" w:hAnsiTheme="majorBidi" w:cstheme="majorBidi"/>
          <w:sz w:val="18"/>
          <w:szCs w:val="18"/>
          <w:lang w:val="en-CA" w:eastAsia="en-GB"/>
        </w:rPr>
        <w:fldChar w:fldCharType="end"/>
      </w:r>
      <w:r w:rsidRPr="005F0A67">
        <w:rPr>
          <w:rFonts w:asciiTheme="majorBidi" w:eastAsia="Times New Roman" w:hAnsiTheme="majorBidi" w:cstheme="majorBidi"/>
          <w:sz w:val="18"/>
          <w:szCs w:val="18"/>
          <w:lang w:val="en-CA" w:eastAsia="en-GB"/>
        </w:rPr>
        <w:t xml:space="preserve">. The author also provides sensitivity analysis results for varying parameter ranges. </w:t>
      </w:r>
    </w:p>
    <w:p w14:paraId="701D40FD" w14:textId="77777777" w:rsidR="005F0A67" w:rsidRPr="005F0A67" w:rsidRDefault="005F0A67" w:rsidP="005F0A67">
      <w:pPr>
        <w:tabs>
          <w:tab w:val="clear" w:pos="567"/>
          <w:tab w:val="clear" w:pos="1134"/>
          <w:tab w:val="clear" w:pos="1701"/>
          <w:tab w:val="clear" w:pos="2268"/>
        </w:tabs>
        <w:spacing w:line="293" w:lineRule="auto"/>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i/>
          <w:iCs/>
          <w:sz w:val="18"/>
          <w:szCs w:val="18"/>
          <w:lang w:val="en-CA" w:eastAsia="en-GB"/>
        </w:rPr>
        <w:t xml:space="preserve">Source: </w:t>
      </w:r>
      <w:r w:rsidRPr="005F0A67">
        <w:rPr>
          <w:rFonts w:asciiTheme="majorBidi" w:eastAsia="Times New Roman" w:hAnsiTheme="majorBidi" w:cstheme="majorBidi"/>
          <w:sz w:val="18"/>
          <w:szCs w:val="18"/>
          <w:lang w:val="en-CA" w:eastAsia="en-GB"/>
        </w:rPr>
        <w:t>Adapted from</w:t>
      </w:r>
      <w:r w:rsidRPr="005F0A67">
        <w:rPr>
          <w:rFonts w:asciiTheme="majorBidi" w:eastAsia="Times New Roman" w:hAnsiTheme="majorBidi" w:cstheme="majorBidi"/>
          <w:i/>
          <w:iCs/>
          <w:sz w:val="18"/>
          <w:szCs w:val="18"/>
          <w:lang w:val="en-CA" w:eastAsia="en-GB"/>
        </w:rPr>
        <w:t xml:space="preserve"> </w:t>
      </w:r>
      <w:r w:rsidRPr="005F0A67">
        <w:rPr>
          <w:rFonts w:asciiTheme="majorBidi" w:eastAsia="Times New Roman" w:hAnsiTheme="majorBidi" w:cstheme="majorBidi"/>
          <w:sz w:val="18"/>
          <w:szCs w:val="18"/>
          <w:lang w:val="en-CA" w:eastAsia="en-GB"/>
        </w:rPr>
        <w:t xml:space="preserve">Makowska-Curran </w:t>
      </w:r>
      <w:r w:rsidRPr="005F0A67">
        <w:rPr>
          <w:rFonts w:asciiTheme="majorBidi" w:eastAsia="Times New Roman" w:hAnsiTheme="majorBidi" w:cstheme="majorBidi"/>
          <w:sz w:val="18"/>
          <w:szCs w:val="18"/>
          <w:lang w:val="en-CA" w:eastAsia="en-GB"/>
        </w:rPr>
        <w:fldChar w:fldCharType="begin"/>
      </w:r>
      <w:r w:rsidRPr="005F0A67">
        <w:rPr>
          <w:rFonts w:asciiTheme="majorBidi" w:eastAsia="Times New Roman" w:hAnsiTheme="majorBidi" w:cstheme="majorBidi"/>
          <w:sz w:val="18"/>
          <w:szCs w:val="18"/>
          <w:lang w:val="en-CA" w:eastAsia="en-GB"/>
        </w:rPr>
        <w:instrText xml:space="preserve"> ADDIN ZOTERO_ITEM CSL_CITATION {"citationID":"aGQQhjK8","properties":{"unsorted":false,"formattedCitation":"(2026)","plainCitation":"(2026)","noteIndex":0},"citationItems":[{"id":77,"uris":["http://zotero.org/users/14977742/items/2PI55QKT"],"itemData":{"id":77,"type":"article-journal","abstract":"This paper provides the first global, firm-level analysis of what the Cali Fund, designed to support global conservation, is likely to raise and how resources would be distributed.","citation-key":"GlobalBiodiversityCommitments","container-title":"Grantham Research Institute on climate change and the environment","language":"en-GB","publisher":"London School of Economics and Political Science (LSE)","title":"From global biodiversity commitments to local action: revenue potential and allocation dynamics of the Cali Fund","title-short":"From global biodiversity commitments to local action","URL":"https://www.lse.ac.uk/granthaminstitute/publication/from-global-biodiversity-commitments-to-local-action-revenue-potential-and-allocation-dynamics-of-the-cali-fund/","author":[{"family":"Makowska-Curran","given":"Agata"}],"accessed":{"date-parts":[["2026",6,3]]},"issued":{"date-parts":[["2026",6]]}},"suppress-author":true}],"schema":"https://github.com/citation-style-language/schema/raw/master/csl-citation.json"} </w:instrText>
      </w:r>
      <w:r w:rsidRPr="005F0A67">
        <w:rPr>
          <w:rFonts w:asciiTheme="majorBidi" w:eastAsia="Times New Roman" w:hAnsiTheme="majorBidi" w:cstheme="majorBidi"/>
          <w:sz w:val="18"/>
          <w:szCs w:val="18"/>
          <w:lang w:val="en-CA" w:eastAsia="en-GB"/>
        </w:rPr>
        <w:fldChar w:fldCharType="separate"/>
      </w:r>
      <w:r w:rsidRPr="005F0A67">
        <w:rPr>
          <w:rFonts w:asciiTheme="majorBidi" w:eastAsia="Times New Roman" w:hAnsiTheme="majorBidi" w:cstheme="majorBidi"/>
          <w:sz w:val="18"/>
          <w:szCs w:val="18"/>
          <w:lang w:val="en-CA" w:eastAsia="en-GB"/>
        </w:rPr>
        <w:t>(2026)</w:t>
      </w:r>
      <w:r w:rsidRPr="005F0A67">
        <w:rPr>
          <w:rFonts w:asciiTheme="majorBidi" w:eastAsia="Times New Roman" w:hAnsiTheme="majorBidi" w:cstheme="majorBidi"/>
          <w:sz w:val="18"/>
          <w:szCs w:val="18"/>
          <w:lang w:val="en-CA" w:eastAsia="en-GB"/>
        </w:rPr>
        <w:fldChar w:fldCharType="end"/>
      </w:r>
      <w:r w:rsidRPr="005F0A67">
        <w:rPr>
          <w:rFonts w:asciiTheme="majorBidi" w:eastAsia="Times New Roman" w:hAnsiTheme="majorBidi" w:cstheme="majorBidi"/>
          <w:sz w:val="18"/>
          <w:szCs w:val="18"/>
          <w:lang w:val="en-CA" w:eastAsia="en-GB"/>
        </w:rPr>
        <w:t>.</w:t>
      </w:r>
    </w:p>
    <w:p w14:paraId="2D5314AF" w14:textId="77777777" w:rsidR="005F0A67" w:rsidRPr="005F0A67" w:rsidRDefault="005F0A67" w:rsidP="005F0A67">
      <w:pPr>
        <w:tabs>
          <w:tab w:val="clear" w:pos="567"/>
          <w:tab w:val="clear" w:pos="1134"/>
          <w:tab w:val="clear" w:pos="1701"/>
          <w:tab w:val="clear" w:pos="2268"/>
        </w:tabs>
        <w:spacing w:line="293" w:lineRule="auto"/>
        <w:rPr>
          <w:rFonts w:asciiTheme="majorBidi" w:eastAsia="Times New Roman" w:hAnsiTheme="majorBidi" w:cstheme="majorBidi"/>
          <w:sz w:val="18"/>
          <w:szCs w:val="18"/>
          <w:lang w:val="en-CA" w:eastAsia="en-GB"/>
        </w:rPr>
      </w:pPr>
    </w:p>
    <w:p w14:paraId="674D5144" w14:textId="77777777" w:rsidR="005F0A67" w:rsidRPr="005F0A67" w:rsidRDefault="005F0A67" w:rsidP="005F0A67">
      <w:pPr>
        <w:tabs>
          <w:tab w:val="clear" w:pos="567"/>
          <w:tab w:val="clear" w:pos="1134"/>
          <w:tab w:val="clear" w:pos="1701"/>
          <w:tab w:val="clear" w:pos="2268"/>
        </w:tabs>
        <w:spacing w:after="200" w:line="312" w:lineRule="auto"/>
        <w:contextualSpacing/>
        <w:rPr>
          <w:rFonts w:asciiTheme="majorBidi" w:eastAsia="Yu Mincho" w:hAnsiTheme="majorBidi" w:cstheme="majorBidi"/>
          <w:i/>
          <w:iCs/>
          <w:color w:val="0E2841"/>
          <w:sz w:val="24"/>
          <w:szCs w:val="24"/>
          <w:lang w:val="en-US" w:eastAsia="ja-JP"/>
        </w:rPr>
      </w:pPr>
      <w:bookmarkStart w:id="272" w:name="_Ref235279344"/>
      <w:r w:rsidRPr="005F0A67">
        <w:rPr>
          <w:rFonts w:asciiTheme="majorBidi" w:eastAsia="Georgia" w:hAnsiTheme="majorBidi" w:cstheme="majorBidi"/>
          <w:b/>
          <w:bCs/>
          <w:color w:val="419844"/>
          <w:lang w:val="en-US" w:eastAsia="ja-JP"/>
        </w:rPr>
        <w:t xml:space="preserve">Table </w:t>
      </w:r>
      <w:r w:rsidRPr="005F0A67">
        <w:rPr>
          <w:rFonts w:asciiTheme="majorBidi" w:eastAsia="Georgia" w:hAnsiTheme="majorBidi" w:cstheme="majorBidi"/>
          <w:b/>
          <w:bCs/>
          <w:color w:val="419844"/>
          <w:lang w:eastAsia="en-GB"/>
        </w:rPr>
        <w:fldChar w:fldCharType="begin"/>
      </w:r>
      <w:r w:rsidRPr="005F0A67">
        <w:rPr>
          <w:rFonts w:asciiTheme="majorBidi" w:eastAsia="Georgia" w:hAnsiTheme="majorBidi" w:cstheme="majorBidi"/>
          <w:b/>
          <w:bCs/>
          <w:color w:val="419844"/>
          <w:lang w:eastAsia="en-GB"/>
        </w:rPr>
        <w:instrText xml:space="preserve"> SEQ Table \* ARABIC </w:instrText>
      </w:r>
      <w:r w:rsidRPr="005F0A67">
        <w:rPr>
          <w:rFonts w:asciiTheme="majorBidi" w:eastAsia="Georgia" w:hAnsiTheme="majorBidi" w:cstheme="majorBidi"/>
          <w:b/>
          <w:bCs/>
          <w:color w:val="419844"/>
          <w:lang w:eastAsia="en-GB"/>
        </w:rPr>
        <w:fldChar w:fldCharType="separate"/>
      </w:r>
      <w:r w:rsidRPr="005F0A67">
        <w:rPr>
          <w:rFonts w:asciiTheme="majorBidi" w:eastAsia="Georgia" w:hAnsiTheme="majorBidi" w:cstheme="majorBidi"/>
          <w:b/>
          <w:bCs/>
          <w:noProof/>
          <w:color w:val="419844"/>
          <w:lang w:eastAsia="en-GB"/>
        </w:rPr>
        <w:t>48</w:t>
      </w:r>
      <w:r w:rsidRPr="005F0A67">
        <w:rPr>
          <w:rFonts w:asciiTheme="majorBidi" w:eastAsia="Georgia" w:hAnsiTheme="majorBidi" w:cstheme="majorBidi"/>
          <w:b/>
          <w:bCs/>
          <w:color w:val="419844"/>
          <w:lang w:eastAsia="en-GB"/>
        </w:rPr>
        <w:fldChar w:fldCharType="end"/>
      </w:r>
      <w:bookmarkEnd w:id="272"/>
      <w:r w:rsidRPr="005F0A67">
        <w:rPr>
          <w:rFonts w:asciiTheme="majorBidi" w:eastAsia="Georgia" w:hAnsiTheme="majorBidi" w:cstheme="majorBidi"/>
          <w:b/>
          <w:bCs/>
          <w:color w:val="419844"/>
          <w:lang w:val="en-US" w:eastAsia="ja-JP"/>
        </w:rPr>
        <w:t xml:space="preserve"> DSI intensity multipliers (scenario S3 only)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487"/>
        <w:gridCol w:w="743"/>
        <w:gridCol w:w="4713"/>
        <w:gridCol w:w="1555"/>
      </w:tblGrid>
      <w:tr w:rsidR="005F0A67" w:rsidRPr="005F0A67" w14:paraId="6F7262CF" w14:textId="77777777" w:rsidTr="00FB671B">
        <w:trPr>
          <w:trHeight w:val="209"/>
          <w:tblHeader/>
        </w:trPr>
        <w:tc>
          <w:tcPr>
            <w:tcW w:w="875" w:type="pct"/>
            <w:tcBorders>
              <w:top w:val="single" w:sz="1" w:space="0" w:color="AAAAAA"/>
              <w:left w:val="single" w:sz="1" w:space="0" w:color="AAAAAA"/>
              <w:bottom w:val="single" w:sz="1" w:space="0" w:color="AAAAAA"/>
              <w:right w:val="single" w:sz="1" w:space="0" w:color="AAAAAA"/>
            </w:tcBorders>
            <w:shd w:val="clear" w:color="auto" w:fill="1F4E6B"/>
            <w:tcMar>
              <w:top w:w="60" w:type="dxa"/>
              <w:left w:w="100" w:type="dxa"/>
              <w:bottom w:w="60" w:type="dxa"/>
              <w:right w:w="100" w:type="dxa"/>
            </w:tcMar>
          </w:tcPr>
          <w:p w14:paraId="1C3399C9"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FFFFFF"/>
                <w:sz w:val="18"/>
                <w:szCs w:val="18"/>
                <w:lang w:val="en-CA" w:eastAsia="en-GB"/>
              </w:rPr>
            </w:pPr>
            <w:r w:rsidRPr="005F0A67">
              <w:rPr>
                <w:rFonts w:asciiTheme="majorBidi" w:eastAsia="Tahoma" w:hAnsiTheme="majorBidi" w:cstheme="majorBidi"/>
                <w:b/>
                <w:bCs/>
                <w:color w:val="FFFFFF"/>
                <w:sz w:val="18"/>
                <w:szCs w:val="18"/>
                <w:lang w:val="en-CA" w:eastAsia="en-GB"/>
              </w:rPr>
              <w:t>Sector</w:t>
            </w:r>
          </w:p>
        </w:tc>
        <w:tc>
          <w:tcPr>
            <w:tcW w:w="437" w:type="pct"/>
            <w:tcBorders>
              <w:top w:val="single" w:sz="1" w:space="0" w:color="AAAAAA"/>
              <w:left w:val="single" w:sz="1" w:space="0" w:color="AAAAAA"/>
              <w:bottom w:val="single" w:sz="1" w:space="0" w:color="AAAAAA"/>
              <w:right w:val="single" w:sz="1" w:space="0" w:color="AAAAAA"/>
            </w:tcBorders>
            <w:shd w:val="clear" w:color="auto" w:fill="1F4E6B"/>
          </w:tcPr>
          <w:p w14:paraId="029F8612"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FFFFFF"/>
                <w:sz w:val="18"/>
                <w:szCs w:val="18"/>
                <w:lang w:val="en-CA" w:eastAsia="en-GB"/>
              </w:rPr>
            </w:pPr>
            <w:r w:rsidRPr="005F0A67">
              <w:rPr>
                <w:rFonts w:asciiTheme="majorBidi" w:eastAsia="Tahoma" w:hAnsiTheme="majorBidi" w:cstheme="majorBidi"/>
                <w:b/>
                <w:bCs/>
                <w:color w:val="FFFFFF"/>
                <w:sz w:val="18"/>
                <w:szCs w:val="18"/>
                <w:lang w:val="en-CA" w:eastAsia="en-GB"/>
              </w:rPr>
              <w:t>Rate</w:t>
            </w:r>
          </w:p>
        </w:tc>
        <w:tc>
          <w:tcPr>
            <w:tcW w:w="2773" w:type="pct"/>
            <w:tcBorders>
              <w:top w:val="single" w:sz="1" w:space="0" w:color="AAAAAA"/>
              <w:left w:val="single" w:sz="1" w:space="0" w:color="AAAAAA"/>
              <w:bottom w:val="single" w:sz="1" w:space="0" w:color="AAAAAA"/>
              <w:right w:val="single" w:sz="1" w:space="0" w:color="AAAAAA"/>
            </w:tcBorders>
            <w:shd w:val="clear" w:color="auto" w:fill="1F4E6B"/>
            <w:tcMar>
              <w:top w:w="60" w:type="dxa"/>
              <w:left w:w="100" w:type="dxa"/>
              <w:bottom w:w="60" w:type="dxa"/>
              <w:right w:w="100" w:type="dxa"/>
            </w:tcMar>
          </w:tcPr>
          <w:p w14:paraId="3CE7100B"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FFFFFF"/>
                <w:sz w:val="18"/>
                <w:szCs w:val="18"/>
                <w:lang w:val="en-CA" w:eastAsia="en-GB"/>
              </w:rPr>
            </w:pPr>
            <w:r w:rsidRPr="005F0A67">
              <w:rPr>
                <w:rFonts w:asciiTheme="majorBidi" w:eastAsia="Tahoma" w:hAnsiTheme="majorBidi" w:cstheme="majorBidi"/>
                <w:b/>
                <w:bCs/>
                <w:color w:val="FFFFFF"/>
                <w:sz w:val="18"/>
                <w:szCs w:val="18"/>
                <w:lang w:val="en-CA" w:eastAsia="en-GB"/>
              </w:rPr>
              <w:t>Justification</w:t>
            </w:r>
          </w:p>
        </w:tc>
        <w:tc>
          <w:tcPr>
            <w:tcW w:w="915" w:type="pct"/>
            <w:tcBorders>
              <w:top w:val="single" w:sz="1" w:space="0" w:color="AAAAAA"/>
              <w:left w:val="single" w:sz="1" w:space="0" w:color="AAAAAA"/>
              <w:bottom w:val="single" w:sz="1" w:space="0" w:color="AAAAAA"/>
              <w:right w:val="single" w:sz="1" w:space="0" w:color="AAAAAA"/>
            </w:tcBorders>
            <w:shd w:val="clear" w:color="auto" w:fill="1F4E6B"/>
          </w:tcPr>
          <w:p w14:paraId="075F55FC" w14:textId="77777777" w:rsidR="005F0A67" w:rsidRPr="005F0A67" w:rsidRDefault="005F0A67" w:rsidP="005F0A67">
            <w:pPr>
              <w:tabs>
                <w:tab w:val="clear" w:pos="567"/>
                <w:tab w:val="clear" w:pos="1134"/>
                <w:tab w:val="clear" w:pos="1701"/>
                <w:tab w:val="clear" w:pos="2268"/>
              </w:tabs>
              <w:jc w:val="left"/>
              <w:rPr>
                <w:rFonts w:asciiTheme="majorBidi" w:eastAsia="Tahoma" w:hAnsiTheme="majorBidi" w:cstheme="majorBidi"/>
                <w:b/>
                <w:bCs/>
                <w:color w:val="FFFFFF"/>
                <w:sz w:val="18"/>
                <w:szCs w:val="18"/>
                <w:lang w:val="en-CA" w:eastAsia="en-GB"/>
              </w:rPr>
            </w:pPr>
            <w:r w:rsidRPr="005F0A67">
              <w:rPr>
                <w:rFonts w:asciiTheme="majorBidi" w:eastAsia="Tahoma" w:hAnsiTheme="majorBidi" w:cstheme="majorBidi"/>
                <w:b/>
                <w:bCs/>
                <w:color w:val="FFFFFF"/>
                <w:sz w:val="18"/>
                <w:szCs w:val="18"/>
                <w:lang w:val="en-CA" w:eastAsia="en-GB"/>
              </w:rPr>
              <w:t>Key sources</w:t>
            </w:r>
          </w:p>
        </w:tc>
      </w:tr>
      <w:tr w:rsidR="005F0A67" w:rsidRPr="005F0A67" w14:paraId="418E45D0" w14:textId="77777777" w:rsidTr="005F0A67">
        <w:trPr>
          <w:trHeight w:val="685"/>
        </w:trPr>
        <w:tc>
          <w:tcPr>
            <w:tcW w:w="875"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12459D3B"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b/>
                <w:bCs/>
                <w:sz w:val="18"/>
                <w:szCs w:val="18"/>
                <w:lang w:eastAsia="en-GB"/>
              </w:rPr>
            </w:pPr>
            <w:r w:rsidRPr="005F0A67">
              <w:rPr>
                <w:rFonts w:asciiTheme="majorBidi" w:eastAsia="Times New Roman" w:hAnsiTheme="majorBidi" w:cstheme="majorBidi"/>
                <w:sz w:val="18"/>
                <w:szCs w:val="18"/>
                <w:lang w:eastAsia="en-GB"/>
              </w:rPr>
              <w:t>Biotechnology</w:t>
            </w:r>
          </w:p>
        </w:tc>
        <w:tc>
          <w:tcPr>
            <w:tcW w:w="437" w:type="pct"/>
            <w:tcBorders>
              <w:top w:val="single" w:sz="1" w:space="0" w:color="AAAAAA"/>
              <w:left w:val="single" w:sz="1" w:space="0" w:color="AAAAAA"/>
              <w:bottom w:val="single" w:sz="1" w:space="0" w:color="AAAAAA"/>
              <w:right w:val="single" w:sz="1" w:space="0" w:color="AAAAAA"/>
            </w:tcBorders>
            <w:vAlign w:val="center"/>
          </w:tcPr>
          <w:p w14:paraId="13ADA7FE"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1.00</w:t>
            </w:r>
          </w:p>
        </w:tc>
        <w:tc>
          <w:tcPr>
            <w:tcW w:w="2773" w:type="pct"/>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vAlign w:val="center"/>
          </w:tcPr>
          <w:p w14:paraId="081280A9"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ahoma"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Patent citation studies and analyses of database usage demonstrate that publicly deposited sequence data is essential to commercial innovation in biotechnology, thereby supporting a maximum DSI intensity value.</w:t>
            </w:r>
          </w:p>
        </w:tc>
        <w:tc>
          <w:tcPr>
            <w:tcW w:w="915" w:type="pct"/>
            <w:tcBorders>
              <w:top w:val="single" w:sz="1" w:space="0" w:color="AAAAAA"/>
              <w:left w:val="single" w:sz="1" w:space="0" w:color="AAAAAA"/>
              <w:bottom w:val="single" w:sz="1" w:space="0" w:color="AAAAAA"/>
              <w:right w:val="single" w:sz="1" w:space="0" w:color="AAAAAA"/>
            </w:tcBorders>
            <w:vAlign w:val="center"/>
          </w:tcPr>
          <w:p w14:paraId="48DE8E83"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p>
          <w:p w14:paraId="1D0E1D7F"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fldChar w:fldCharType="begin"/>
            </w:r>
            <w:r w:rsidRPr="005F0A67">
              <w:rPr>
                <w:rFonts w:asciiTheme="majorBidi" w:eastAsia="Times New Roman" w:hAnsiTheme="majorBidi" w:cstheme="majorBidi"/>
                <w:sz w:val="18"/>
                <w:szCs w:val="18"/>
                <w:lang w:eastAsia="en-GB"/>
              </w:rPr>
              <w:instrText xml:space="preserve"> ADDIN ZOTERO_ITEM CSL_CITATION {"citationID":"4DK6CzNN","properties":{"unsorted":false,"formattedCitation":"(Oldham, Hall and Forero, 2013; Bousfield {\\i{}et al.}, 2016b)","plainCitation":"(Oldham, Hall and Forero, 2013; Bousfield et al., 2016b)","noteIndex":0},"citationItems":[{"id":436,"uris":["http://zotero.org/users/14977742/items/KMC99ATY"],"itemData":{"id":436,"type":"article-journal","citation-key":"oldhamBiologicalDiversityPatent2013","container-title":"PLoS ONE","DOI":"10.1371/journal.pone.0078737","ISSN":"1932-6203","issue":"11","journalAbbreviation":"PLoS ONE","language":"en","page":"e78737","source":"DOI.org (Crossref)","title":"Biological Diversity in the Patent System","volume":"8","author":[{"family":"Oldham","given":"Paul"},{"family":"Hall","given":"Stephen"},{"family":"Forero","given":"Oscar"}],"editor":[{"family":"Pappalardo","given":"Francesco"}],"issued":{"date-parts":[["2013",11,12]]}}},{"id":437,"uris":["http://zotero.org/users/14977742/items/KFNKJEP8"],"itemData":{"id":437,"type":"article-journal","abstract":"Data from open access biomolecular data resources, such as the European Nucleotide Archive and the Protein Data Bank are extensively reused within life science research for comparative studies, method development and to derive new scientific insights. Indicators that estimate the extent and utility of such secondary use of research data need to reflect this complex and highly variable data usage. By linking open access scientific literature, via Europe PubMedCentral, to the metadata in biological data resources we separate data citations associated with a deposition statement from citations that capture the subsequent, long-term, reuse of data in academia and industry.  We extend this analysis to begin to investigate citations of biomolecular resources in patent documents. We find citations in more than 8,000 patents from 2014, demonstrating substantial use and an important role for data resources in defining biological concepts in granted patents to both academic and industrial innovators. Combined together our results indicate that the citation patterns in biomedical literature and patents vary, not only due to citation practice but also according to the data resource cited. The results guard against the use of simple metrics such as citation counts and show that indicators of data use must not only take into account citations within the biomedical literature but also include reuse of data in industry and other parts of society by including patents and other scientific and technical documents such as guidelines, reports and grant applications.","citation-key":"bousfieldPatternsDatabaseCitation2016","container-title":"F1000Research","DOI":"10.12688/f1000research.7911.1","ISSN":"2046-1402","journalAbbreviation":"F1000Res","language":"en","page":"160","source":"DOI.org (Crossref)","title":"Patterns of database citation in articles and patents indicate long-term scientific and industry value of biological data resources","volume":"5","author":[{"family":"Bousfield","given":"David"},{"family":"McEntyre","given":"Johanna"},{"family":"Velankar","given":"Sameer"},{"family":"Papadatos","given":"George"},{"family":"Bateman","given":"Alex"},{"family":"Cochrane","given":"Guy"},{"family":"Kim","given":"Jee-Hyub"},{"family":"Graef","given":"Florian"},{"family":"Vartak","given":"Vid"},{"family":"Alako","given":"Blaise"},{"family":"Blomberg","given":"Niklas"}],"issued":{"date-parts":[["2016",2,11]]}}}],"schema":"https://github.com/citation-style-language/schema/raw/master/csl-citation.json"} </w:instrText>
            </w:r>
            <w:r w:rsidRPr="005F0A67">
              <w:rPr>
                <w:rFonts w:asciiTheme="majorBidi" w:eastAsia="Times New Roman" w:hAnsiTheme="majorBidi" w:cstheme="majorBidi"/>
                <w:sz w:val="18"/>
                <w:szCs w:val="18"/>
                <w:lang w:eastAsia="en-GB"/>
              </w:rPr>
              <w:fldChar w:fldCharType="separate"/>
            </w:r>
            <w:r w:rsidRPr="005F0A67">
              <w:rPr>
                <w:rFonts w:asciiTheme="majorBidi" w:eastAsia="Georgia" w:hAnsiTheme="majorBidi" w:cstheme="majorBidi"/>
                <w:sz w:val="18"/>
                <w:szCs w:val="18"/>
                <w:lang w:eastAsia="en-GB"/>
              </w:rPr>
              <w:t xml:space="preserve">(Oldham, Hall and Forero, 2013; Bousfield </w:t>
            </w:r>
            <w:r w:rsidRPr="005F0A67">
              <w:rPr>
                <w:rFonts w:asciiTheme="majorBidi" w:eastAsia="Georgia" w:hAnsiTheme="majorBidi" w:cstheme="majorBidi"/>
                <w:i/>
                <w:iCs/>
                <w:sz w:val="18"/>
                <w:szCs w:val="18"/>
                <w:lang w:eastAsia="en-GB"/>
              </w:rPr>
              <w:t>et al.</w:t>
            </w:r>
            <w:r w:rsidRPr="005F0A67">
              <w:rPr>
                <w:rFonts w:asciiTheme="majorBidi" w:eastAsia="Georgia" w:hAnsiTheme="majorBidi" w:cstheme="majorBidi"/>
                <w:sz w:val="18"/>
                <w:szCs w:val="18"/>
                <w:lang w:eastAsia="en-GB"/>
              </w:rPr>
              <w:t>, 2016b)</w:t>
            </w:r>
            <w:r w:rsidRPr="005F0A67">
              <w:rPr>
                <w:rFonts w:asciiTheme="majorBidi" w:eastAsia="Times New Roman" w:hAnsiTheme="majorBidi" w:cstheme="majorBidi"/>
                <w:sz w:val="18"/>
                <w:szCs w:val="18"/>
                <w:lang w:eastAsia="en-GB"/>
              </w:rPr>
              <w:fldChar w:fldCharType="end"/>
            </w:r>
          </w:p>
        </w:tc>
      </w:tr>
      <w:tr w:rsidR="005F0A67" w:rsidRPr="005F0A67" w14:paraId="0E8EF4DC" w14:textId="77777777" w:rsidTr="005F0A67">
        <w:trPr>
          <w:trHeight w:val="276"/>
        </w:trPr>
        <w:tc>
          <w:tcPr>
            <w:tcW w:w="875"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0A190AA4"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b/>
                <w:bCs/>
                <w:sz w:val="18"/>
                <w:szCs w:val="18"/>
                <w:lang w:eastAsia="en-GB"/>
              </w:rPr>
            </w:pPr>
            <w:r w:rsidRPr="005F0A67">
              <w:rPr>
                <w:rFonts w:asciiTheme="majorBidi" w:eastAsia="Times New Roman" w:hAnsiTheme="majorBidi" w:cstheme="majorBidi"/>
                <w:sz w:val="18"/>
                <w:szCs w:val="18"/>
                <w:lang w:eastAsia="en-GB"/>
              </w:rPr>
              <w:lastRenderedPageBreak/>
              <w:t>Pharmaceuticals</w:t>
            </w:r>
          </w:p>
        </w:tc>
        <w:tc>
          <w:tcPr>
            <w:tcW w:w="437" w:type="pct"/>
            <w:tcBorders>
              <w:top w:val="single" w:sz="1" w:space="0" w:color="AAAAAA"/>
              <w:left w:val="single" w:sz="1" w:space="0" w:color="AAAAAA"/>
              <w:bottom w:val="single" w:sz="1" w:space="0" w:color="AAAAAA"/>
              <w:right w:val="single" w:sz="1" w:space="0" w:color="AAAAAA"/>
            </w:tcBorders>
            <w:vAlign w:val="center"/>
          </w:tcPr>
          <w:p w14:paraId="7DB9F364"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1.00</w:t>
            </w:r>
          </w:p>
        </w:tc>
        <w:tc>
          <w:tcPr>
            <w:tcW w:w="2773" w:type="pct"/>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vAlign w:val="center"/>
          </w:tcPr>
          <w:p w14:paraId="61BB3DE9"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ahoma"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Public sequence databases play a significant role in pharmaceutical research and drug discovery, with substantial evidence indicating a connection between DSI access and subsequent patenting activity. The sector is primarily composed of innovative firms and large generic manufacturers with extensive biosimilar portfolios, both of which depend on sequence-based analysis.</w:t>
            </w:r>
          </w:p>
        </w:tc>
        <w:tc>
          <w:tcPr>
            <w:tcW w:w="915" w:type="pct"/>
            <w:tcBorders>
              <w:top w:val="single" w:sz="1" w:space="0" w:color="AAAAAA"/>
              <w:left w:val="single" w:sz="1" w:space="0" w:color="AAAAAA"/>
              <w:bottom w:val="single" w:sz="1" w:space="0" w:color="AAAAAA"/>
              <w:right w:val="single" w:sz="1" w:space="0" w:color="AAAAAA"/>
            </w:tcBorders>
            <w:vAlign w:val="center"/>
          </w:tcPr>
          <w:p w14:paraId="6742F3C7"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fldChar w:fldCharType="begin"/>
            </w:r>
            <w:r w:rsidRPr="005F0A67">
              <w:rPr>
                <w:rFonts w:asciiTheme="majorBidi" w:eastAsia="Times New Roman" w:hAnsiTheme="majorBidi" w:cstheme="majorBidi"/>
                <w:sz w:val="18"/>
                <w:szCs w:val="18"/>
                <w:lang w:eastAsia="en-GB"/>
              </w:rPr>
              <w:instrText xml:space="preserve"> ADDIN ZOTERO_ITEM CSL_CITATION {"citationID":"hsI2dEno","properties":{"unsorted":false,"formattedCitation":"(Jefferson {\\i{}et al.}, 2015; Bousfield {\\i{}et al.}, 2016b)","plainCitation":"(Jefferson et al., 2015; Bousfield et al., 2016b)","noteIndex":0},"citationItems":[{"id":382,"uris":["http://zotero.org/users/14977742/items/EEA57RPI"],"itemData":{"id":382,"type":"article-journal","abstract":"Biological sequences are an important part of global patenting, with unique challenges for their effective and equitable use in practice and in policy. Because their function can only be determined with computer-aided technology, the form in which sequences are disclosed matters greatly. Similarly, the scope of patent rights sought and granted requires computer readable data and tools for comparison. Critically, the primary data provided to the national patent offices and thence to the public, must be comprehensive, standardized, timely and meaningful. It is not yet. The proposed global Patent Sequence (PatSeq) Data platform can enable national and regional jurisdictions meet the desired standards.","citation-key":"jeffersonPublicDisclosureBiological2015","container-title":"World Patent Information","DOI":"10.1016/j.wpi.2015.08.005","ISSN":"0172-2190","journalAbbreviation":"World Patent Information","page":"12-24","source":"ScienceDirect","title":"Public disclosure of biological sequences in global patent practice","volume":"43","author":[{"family":"Jefferson","given":"Osmat A."},{"family":"Köllhofer","given":"Deniz"},{"family":"Ajjikuttira","given":"Prabha"},{"family":"Jefferson","given":"Richard A."}],"issued":{"date-parts":[["2015",12,1]]}}},{"id":437,"uris":["http://zotero.org/users/14977742/items/KFNKJEP8"],"itemData":{"id":437,"type":"article-journal","abstract":"Data from open access biomolecular data resources, such as the European Nucleotide Archive and the Protein Data Bank are extensively reused within life science research for comparative studies, method development and to derive new scientific insights. Indicators that estimate the extent and utility of such secondary use of research data need to reflect this complex and highly variable data usage. By linking open access scientific literature, via Europe PubMedCentral, to the metadata in biological data resources we separate data citations associated with a deposition statement from citations that capture the subsequent, long-term, reuse of data in academia and industry.  We extend this analysis to begin to investigate citations of biomolecular resources in patent documents. We find citations in more than 8,000 patents from 2014, demonstrating substantial use and an important role for data resources in defining biological concepts in granted patents to both academic and industrial innovators. Combined together our results indicate that the citation patterns in biomedical literature and patents vary, not only due to citation practice but also according to the data resource cited. The results guard against the use of simple metrics such as citation counts and show that indicators of data use must not only take into account citations within the biomedical literature but also include reuse of data in industry and other parts of society by including patents and other scientific and technical documents such as guidelines, reports and grant applications.","citation-key":"bousfieldPatternsDatabaseCitation2016","container-title":"F1000Research","DOI":"10.12688/f1000research.7911.1","ISSN":"2046-1402","journalAbbreviation":"F1000Res","language":"en","page":"160","source":"DOI.org (Crossref)","title":"Patterns of database citation in articles and patents indicate long-term scientific and industry value of biological data resources","volume":"5","author":[{"family":"Bousfield","given":"David"},{"family":"McEntyre","given":"Johanna"},{"family":"Velankar","given":"Sameer"},{"family":"Papadatos","given":"George"},{"family":"Bateman","given":"Alex"},{"family":"Cochrane","given":"Guy"},{"family":"Kim","given":"Jee-Hyub"},{"family":"Graef","given":"Florian"},{"family":"Vartak","given":"Vid"},{"family":"Alako","given":"Blaise"},{"family":"Blomberg","given":"Niklas"}],"issued":{"date-parts":[["2016",2,11]]}}}],"schema":"https://github.com/citation-style-language/schema/raw/master/csl-citation.json"} </w:instrText>
            </w:r>
            <w:r w:rsidRPr="005F0A67">
              <w:rPr>
                <w:rFonts w:asciiTheme="majorBidi" w:eastAsia="Times New Roman" w:hAnsiTheme="majorBidi" w:cstheme="majorBidi"/>
                <w:sz w:val="18"/>
                <w:szCs w:val="18"/>
                <w:lang w:eastAsia="en-GB"/>
              </w:rPr>
              <w:fldChar w:fldCharType="separate"/>
            </w:r>
            <w:r w:rsidRPr="005F0A67">
              <w:rPr>
                <w:rFonts w:asciiTheme="majorBidi" w:eastAsia="Georgia" w:hAnsiTheme="majorBidi" w:cstheme="majorBidi"/>
                <w:sz w:val="18"/>
                <w:szCs w:val="18"/>
                <w:lang w:eastAsia="en-GB"/>
              </w:rPr>
              <w:t xml:space="preserve">(Jefferson </w:t>
            </w:r>
            <w:r w:rsidRPr="005F0A67">
              <w:rPr>
                <w:rFonts w:asciiTheme="majorBidi" w:eastAsia="Georgia" w:hAnsiTheme="majorBidi" w:cstheme="majorBidi"/>
                <w:i/>
                <w:iCs/>
                <w:sz w:val="18"/>
                <w:szCs w:val="18"/>
                <w:lang w:eastAsia="en-GB"/>
              </w:rPr>
              <w:t>et al.</w:t>
            </w:r>
            <w:r w:rsidRPr="005F0A67">
              <w:rPr>
                <w:rFonts w:asciiTheme="majorBidi" w:eastAsia="Georgia" w:hAnsiTheme="majorBidi" w:cstheme="majorBidi"/>
                <w:sz w:val="18"/>
                <w:szCs w:val="18"/>
                <w:lang w:eastAsia="en-GB"/>
              </w:rPr>
              <w:t xml:space="preserve">, 2015; Bousfield </w:t>
            </w:r>
            <w:r w:rsidRPr="005F0A67">
              <w:rPr>
                <w:rFonts w:asciiTheme="majorBidi" w:eastAsia="Georgia" w:hAnsiTheme="majorBidi" w:cstheme="majorBidi"/>
                <w:i/>
                <w:iCs/>
                <w:sz w:val="18"/>
                <w:szCs w:val="18"/>
                <w:lang w:eastAsia="en-GB"/>
              </w:rPr>
              <w:t>et al.</w:t>
            </w:r>
            <w:r w:rsidRPr="005F0A67">
              <w:rPr>
                <w:rFonts w:asciiTheme="majorBidi" w:eastAsia="Georgia" w:hAnsiTheme="majorBidi" w:cstheme="majorBidi"/>
                <w:sz w:val="18"/>
                <w:szCs w:val="18"/>
                <w:lang w:eastAsia="en-GB"/>
              </w:rPr>
              <w:t>, 2016b)</w:t>
            </w:r>
            <w:r w:rsidRPr="005F0A67">
              <w:rPr>
                <w:rFonts w:asciiTheme="majorBidi" w:eastAsia="Times New Roman" w:hAnsiTheme="majorBidi" w:cstheme="majorBidi"/>
                <w:sz w:val="18"/>
                <w:szCs w:val="18"/>
                <w:lang w:eastAsia="en-GB"/>
              </w:rPr>
              <w:fldChar w:fldCharType="end"/>
            </w:r>
          </w:p>
        </w:tc>
      </w:tr>
      <w:tr w:rsidR="005F0A67" w:rsidRPr="005F0A67" w14:paraId="34DBAA1F" w14:textId="77777777" w:rsidTr="005F0A67">
        <w:trPr>
          <w:trHeight w:val="276"/>
        </w:trPr>
        <w:tc>
          <w:tcPr>
            <w:tcW w:w="875"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1D544E0D"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b/>
                <w:bCs/>
                <w:sz w:val="18"/>
                <w:szCs w:val="18"/>
                <w:lang w:eastAsia="en-GB"/>
              </w:rPr>
            </w:pPr>
            <w:r w:rsidRPr="005F0A67">
              <w:rPr>
                <w:rFonts w:asciiTheme="majorBidi" w:eastAsia="Times New Roman" w:hAnsiTheme="majorBidi" w:cstheme="majorBidi"/>
                <w:sz w:val="18"/>
                <w:szCs w:val="18"/>
                <w:lang w:eastAsia="en-GB"/>
              </w:rPr>
              <w:t>Animal and plant breeding</w:t>
            </w:r>
          </w:p>
        </w:tc>
        <w:tc>
          <w:tcPr>
            <w:tcW w:w="437" w:type="pct"/>
            <w:tcBorders>
              <w:top w:val="single" w:sz="1" w:space="0" w:color="AAAAAA"/>
              <w:left w:val="single" w:sz="1" w:space="0" w:color="AAAAAA"/>
              <w:bottom w:val="single" w:sz="1" w:space="0" w:color="AAAAAA"/>
              <w:right w:val="single" w:sz="1" w:space="0" w:color="AAAAAA"/>
            </w:tcBorders>
            <w:vAlign w:val="center"/>
          </w:tcPr>
          <w:p w14:paraId="4643100E"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0.80</w:t>
            </w:r>
          </w:p>
        </w:tc>
        <w:tc>
          <w:tcPr>
            <w:tcW w:w="2773" w:type="pct"/>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vAlign w:val="center"/>
          </w:tcPr>
          <w:p w14:paraId="15CBBFEE"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ahoma" w:hAnsiTheme="majorBidi" w:cstheme="majorBidi"/>
                <w:sz w:val="18"/>
                <w:szCs w:val="18"/>
                <w:lang w:val="en-CA" w:eastAsia="en-GB"/>
              </w:rPr>
            </w:pPr>
            <w:r w:rsidRPr="005F0A67">
              <w:rPr>
                <w:rFonts w:asciiTheme="majorBidi" w:eastAsia="Times New Roman" w:hAnsiTheme="majorBidi" w:cstheme="majorBidi"/>
                <w:sz w:val="18"/>
                <w:szCs w:val="18"/>
                <w:lang w:val="en-CA" w:eastAsia="en-GB"/>
              </w:rPr>
              <w:t>Substantial use of DSI is well documented in the plant segment of this sector, as evidenced by research on crop genomics and plant genetic resource databases. In contrast, evidence for DSI use in animal breeding is less comprehensive, supporting a high, but not maximum, multiplier.</w:t>
            </w:r>
          </w:p>
        </w:tc>
        <w:tc>
          <w:tcPr>
            <w:tcW w:w="915" w:type="pct"/>
            <w:tcBorders>
              <w:top w:val="single" w:sz="1" w:space="0" w:color="AAAAAA"/>
              <w:left w:val="single" w:sz="1" w:space="0" w:color="AAAAAA"/>
              <w:bottom w:val="single" w:sz="1" w:space="0" w:color="AAAAAA"/>
              <w:right w:val="single" w:sz="1" w:space="0" w:color="AAAAAA"/>
            </w:tcBorders>
            <w:vAlign w:val="center"/>
          </w:tcPr>
          <w:p w14:paraId="448ED4F1"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p>
          <w:p w14:paraId="368C0655"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fldChar w:fldCharType="begin"/>
            </w:r>
            <w:r w:rsidRPr="005F0A67">
              <w:rPr>
                <w:rFonts w:asciiTheme="majorBidi" w:eastAsia="Times New Roman" w:hAnsiTheme="majorBidi" w:cstheme="majorBidi"/>
                <w:sz w:val="18"/>
                <w:szCs w:val="18"/>
                <w:lang w:eastAsia="en-GB"/>
              </w:rPr>
              <w:instrText xml:space="preserve"> ADDIN ZOTERO_ITEM CSL_CITATION {"citationID":"V6JPhjJd","properties":{"unsorted":false,"formattedCitation":"(von Wettberg and Khoury, 2020; Brink and van Hintum, 2022)","plainCitation":"(von Wettberg and Khoury, 2020; Brink and van Hintum, 2022)","noteIndex":0},"citationItems":[{"id":389,"uris":["http://zotero.org/users/14977742/items/KG9L6MSP"],"itemData":{"id":389,"type":"article-journal","abstract":"Crop diversity remains as valuable to global food security as ever. Yet information about this diversity seems to have become nearly as important as the seeds themselves. With the advent of high-throughput DNA sequencing technologies and emerging “phenomic” approaches, and new platforms to store and explore the data they generate, the ways in which our global community can produce and access this information, and share the benefits of its use, is rapidly changing, creating a set of challenges that we will explore in a special collection of papers in Plants, People, Planet.","citation-key":"vonwettbergAccessCropDigital2020","container-title":"PLANTS, PEOPLE, PLANET","DOI":"10.1002/ppp3.10105","ISSN":"2572-2611","issue":"3","language":"en","note":"_eprint: https://nph.onlinelibrary.wiley.com/doi/pdf/10.1002/ppp3.10105","page":"178-180","source":"Wiley Online Library","title":"Access to crop digital information and the sharing of benefits derived from its use: Background and perspectives","title-short":"Access to crop digital information and the sharing of benefits derived from its use","volume":"2","author":[{"family":"Wettberg","given":"Eric","non-dropping-particle":"von"},{"family":"Khoury","given":"Colin K."}],"issued":{"date-parts":[["2020"]]}}},{"id":557,"uris":["http://zotero.org/users/14977742/items/SSP7UCVP"],"itemData":{"id":557,"type":"article-journal","abstract":"Societal Impact Statement As the world is facing a climate crisis and a growing population, feeding this population is a big challenge. Genebanks, conserving and providing access to genetic resources, and plant breeders, using genetic resources from genebanks to create new varieties, play important roles in meeting this challenge. Before making decisions potentially restricting access to digital sequence information (DSI) on genetic resources, it is therefore important to consider the impact of the decisions on the activities of these actors. In this paper, an analysis is made of DSI definitions and access and benefit-sharing scenarios in the context of their consequences for genebank management. Summary It is currently discussed whether the use of digital sequence information (DSI) on genetic resources would need to be subject to access and benefit-sharing obligations, like the use of genetic resources. In this paper, we analyse the consequences of genebank management of DSI definitions currently considered, and of scenarios proposed for dealing with the access and benefit-sharing aspects of DSI. The analysis is based on publicly accessible literature and experiences of and discussions with genebank managers, researchers and experts on genetic resources policies. The key findings are as follows: the definition of DSI is still disputed and definitions currently considered vary from only the base sequence of genomic DNA to all information associated with genetic resources; four groups of scenarios proposed for arranging the access and benefit-sharing aspects of DSI can be distinguished, with these scenarios differing in their benefit-sharing modalities, technical feasibility, the complexity they generate and thus the ease of access to information and genetic resources; from a genebank perspective, the scenario generating the lowest complexity and the easiest access to DSI would be preferable. It is concluded that the multilateral and the free access scenarios seem most beneficial for genebanks, as these scenarios limit the complexity for users and allow easy access and use. We are aware of the political difficulties to arrive at these solutions, but hope this paper will contribute to guiding the discussions in a direction that will be beneficial for genebanks, for users of genebank materials and information, and ultimately for addressing the challenges to present and future food security.","citation-key":"brinkPracticalConsequencesDigital2022","container-title":"PLANTS, PEOPLE, PLANET","DOI":"10.1002/ppp3.10201","ISSN":"2572-2611","issue":"1","language":"en","note":"_eprint: https://nph.onlinelibrary.wiley.com/doi/pdf/10.1002/ppp3.10201","page":"23-32","source":"Wiley Online Library","title":"Practical consequences of digital sequence information (DSI) definitions and access and benefit-sharing scenarios from a plant genebank’s perspective","volume":"4","author":[{"family":"Brink","given":"Martin"},{"family":"Hintum","given":"Theo","non-dropping-particle":"van"}],"issued":{"date-parts":[["2022"]]}}}],"schema":"https://github.com/citation-style-language/schema/raw/master/csl-citation.json"} </w:instrText>
            </w:r>
            <w:r w:rsidRPr="005F0A67">
              <w:rPr>
                <w:rFonts w:asciiTheme="majorBidi" w:eastAsia="Times New Roman" w:hAnsiTheme="majorBidi" w:cstheme="majorBidi"/>
                <w:sz w:val="18"/>
                <w:szCs w:val="18"/>
                <w:lang w:eastAsia="en-GB"/>
              </w:rPr>
              <w:fldChar w:fldCharType="separate"/>
            </w:r>
            <w:r w:rsidRPr="005F0A67">
              <w:rPr>
                <w:rFonts w:asciiTheme="majorBidi" w:eastAsia="Times New Roman" w:hAnsiTheme="majorBidi" w:cstheme="majorBidi"/>
                <w:sz w:val="18"/>
                <w:szCs w:val="18"/>
                <w:lang w:val="en-CA" w:eastAsia="en-GB"/>
              </w:rPr>
              <w:t>(von Wettberg and Khoury, 2020; Brink and van Hintum, 2022)</w:t>
            </w:r>
            <w:r w:rsidRPr="005F0A67">
              <w:rPr>
                <w:rFonts w:asciiTheme="majorBidi" w:eastAsia="Times New Roman" w:hAnsiTheme="majorBidi" w:cstheme="majorBidi"/>
                <w:sz w:val="18"/>
                <w:szCs w:val="18"/>
                <w:lang w:eastAsia="en-GB"/>
              </w:rPr>
              <w:fldChar w:fldCharType="end"/>
            </w:r>
          </w:p>
        </w:tc>
      </w:tr>
      <w:tr w:rsidR="005F0A67" w:rsidRPr="005F0A67" w14:paraId="38896B90" w14:textId="77777777" w:rsidTr="005F0A67">
        <w:trPr>
          <w:trHeight w:val="276"/>
        </w:trPr>
        <w:tc>
          <w:tcPr>
            <w:tcW w:w="875"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6A1A266D"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b/>
                <w:bCs/>
                <w:sz w:val="18"/>
                <w:szCs w:val="18"/>
                <w:lang w:eastAsia="en-GB"/>
              </w:rPr>
            </w:pPr>
            <w:r w:rsidRPr="005F0A67">
              <w:rPr>
                <w:rFonts w:asciiTheme="majorBidi" w:eastAsia="Times New Roman" w:hAnsiTheme="majorBidi" w:cstheme="majorBidi"/>
                <w:sz w:val="18"/>
                <w:szCs w:val="18"/>
                <w:lang w:eastAsia="en-GB"/>
              </w:rPr>
              <w:t>Information and AI</w:t>
            </w:r>
          </w:p>
        </w:tc>
        <w:tc>
          <w:tcPr>
            <w:tcW w:w="437" w:type="pct"/>
            <w:tcBorders>
              <w:top w:val="single" w:sz="1" w:space="0" w:color="AAAAAA"/>
              <w:left w:val="single" w:sz="1" w:space="0" w:color="AAAAAA"/>
              <w:bottom w:val="single" w:sz="1" w:space="0" w:color="AAAAAA"/>
              <w:right w:val="single" w:sz="1" w:space="0" w:color="AAAAAA"/>
            </w:tcBorders>
            <w:vAlign w:val="center"/>
          </w:tcPr>
          <w:p w14:paraId="08410229"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0.75</w:t>
            </w:r>
          </w:p>
        </w:tc>
        <w:tc>
          <w:tcPr>
            <w:tcW w:w="2773" w:type="pct"/>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vAlign w:val="center"/>
          </w:tcPr>
          <w:p w14:paraId="40FC9B36"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val="en-CA" w:eastAsia="en-GB"/>
              </w:rPr>
              <w:t>Bioinformatics and data-intensive life science services make significant use of public sequence data; however, commercial DSI utilisation in this sector is often indirect and not adequately reflected in standard sector-level metrics, justifying a high but sub-maximum multiplier.</w:t>
            </w:r>
          </w:p>
        </w:tc>
        <w:tc>
          <w:tcPr>
            <w:tcW w:w="915" w:type="pct"/>
            <w:tcBorders>
              <w:top w:val="single" w:sz="1" w:space="0" w:color="AAAAAA"/>
              <w:left w:val="single" w:sz="1" w:space="0" w:color="AAAAAA"/>
              <w:bottom w:val="single" w:sz="1" w:space="0" w:color="AAAAAA"/>
              <w:right w:val="single" w:sz="1" w:space="0" w:color="AAAAAA"/>
            </w:tcBorders>
            <w:vAlign w:val="center"/>
          </w:tcPr>
          <w:p w14:paraId="35DB48ED"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fldChar w:fldCharType="begin"/>
            </w:r>
            <w:r w:rsidRPr="005F0A67">
              <w:rPr>
                <w:rFonts w:asciiTheme="majorBidi" w:eastAsia="Times New Roman" w:hAnsiTheme="majorBidi" w:cstheme="majorBidi"/>
                <w:sz w:val="18"/>
                <w:szCs w:val="18"/>
                <w:lang w:eastAsia="en-GB"/>
              </w:rPr>
              <w:instrText xml:space="preserve"> ADDIN ZOTERO_ITEM CSL_CITATION {"citationID":"ZACd2yYT","properties":{"unsorted":false,"formattedCitation":"(Lawson, Englezos and Rourke, 2025)","plainCitation":"(Lawson, Englezos and Rourke, 2025)","noteIndex":0},"citationItems":[{"id":443,"uris":["http://zotero.org/users/14977742/items/PABJYXG5"],"itemData":{"id":443,"type":"article-journal","abstract":"Societal Impact Statement Future research and development of biological materials for foods, feeds, fibres, materials and medicines will increasingly rely on information and knowledge using Artificial Intelligence (AI) applications for detecting patterns to make useful decisions. The access and use of this information and knowledge is increasingly being regulated under international laws according to an ideal that delivers money and other benefits from the uses of the information and knowledge. We conclude these issues will require specific attention to ensure the ideals of fair and equitable benefit sharing are sustainable and can deliver real benefits. Summary The global regulation of access and benefit sharing (ABS) biological materials is starting to impose complex rules for governing information and knowledge about those materials. Artificial Intelligence (AI) poses existential challenges for the research and development of those materials for foods, feeds, fibres, materials and medicines under these ABS schemes. We speculate these challenges are in three distinct scenarios: (1) data used to train the AI models; (2) data used to test (and verify) the AI models; and (3) data used in applying the models to reveal useful patterns. Building in ‘explainability’ to the AI algorithms may be a solution, at least in part, to delivering on fair and equitable ABS. We then posit two issues for ABS: (1) negotiating the ownership status to use the input data with each data owner for training, testing (and verifying) and using the models (although a further complication here is that most data is without an owner because it is already open and free as a public domain without intellectual property restrictions); and (2) following the data per se through the AI models (explainability). We conclude that how ABS will be addressed in developing and applying AI models will require careful consideration to avoid the apparent dulling effects of current ABS regulation and the potentially significant consequences this may have for biology-based research and the commercialisation of biology-based products and services.","citation-key":"lawsonAccessBenefitSharing2025","container-title":"PLANTS, PEOPLE, PLANET","DOI":"10.1002/ppp3.70007","ISSN":"2572-2611","issue":"5","language":"en","license":"© 2025 The Author(s). Plants, People, Planet published by John Wiley &amp; Sons Ltd on behalf of New Phytologist Foundation.","note":"_eprint: https://nph.onlinelibrary.wiley.com/doi/pdf/10.1002/ppp3.70007","page":"1485-1497","source":"Wiley Online Library","title":"Access and benefit sharing biological materials for machines: Artificial intelligence, machine learning and deep learning","title-short":"Access and benefit sharing biological materials for machines","volume":"7","author":[{"family":"Lawson","given":"Charles"},{"family":"Englezos","given":"Elizabeth"},{"family":"Rourke","given":"Michelle"}],"issued":{"date-parts":[["2025"]]}}}],"schema":"https://github.com/citation-style-language/schema/raw/master/csl-citation.json"} </w:instrText>
            </w:r>
            <w:r w:rsidRPr="005F0A67">
              <w:rPr>
                <w:rFonts w:asciiTheme="majorBidi" w:eastAsia="Times New Roman" w:hAnsiTheme="majorBidi" w:cstheme="majorBidi"/>
                <w:sz w:val="18"/>
                <w:szCs w:val="18"/>
                <w:lang w:eastAsia="en-GB"/>
              </w:rPr>
              <w:fldChar w:fldCharType="separate"/>
            </w:r>
            <w:r w:rsidRPr="005F0A67">
              <w:rPr>
                <w:rFonts w:asciiTheme="majorBidi" w:eastAsia="Times New Roman" w:hAnsiTheme="majorBidi" w:cstheme="majorBidi"/>
                <w:sz w:val="18"/>
                <w:szCs w:val="18"/>
                <w:lang w:eastAsia="en-GB"/>
              </w:rPr>
              <w:t>(Lawson, Englezos and Rourke, 2025)</w:t>
            </w:r>
            <w:r w:rsidRPr="005F0A67">
              <w:rPr>
                <w:rFonts w:asciiTheme="majorBidi" w:eastAsia="Times New Roman" w:hAnsiTheme="majorBidi" w:cstheme="majorBidi"/>
                <w:sz w:val="18"/>
                <w:szCs w:val="18"/>
                <w:lang w:eastAsia="en-GB"/>
              </w:rPr>
              <w:fldChar w:fldCharType="end"/>
            </w:r>
          </w:p>
        </w:tc>
      </w:tr>
      <w:tr w:rsidR="005F0A67" w:rsidRPr="005F0A67" w14:paraId="1F8D3534" w14:textId="77777777" w:rsidTr="005F0A67">
        <w:trPr>
          <w:trHeight w:val="276"/>
        </w:trPr>
        <w:tc>
          <w:tcPr>
            <w:tcW w:w="875"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0AF04763"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b/>
                <w:bCs/>
                <w:sz w:val="18"/>
                <w:szCs w:val="18"/>
                <w:lang w:eastAsia="en-GB"/>
              </w:rPr>
            </w:pPr>
            <w:r w:rsidRPr="005F0A67">
              <w:rPr>
                <w:rFonts w:asciiTheme="majorBidi" w:eastAsia="Times New Roman" w:hAnsiTheme="majorBidi" w:cstheme="majorBidi"/>
                <w:sz w:val="18"/>
                <w:szCs w:val="18"/>
                <w:lang w:eastAsia="en-GB"/>
              </w:rPr>
              <w:t>Laboratory equipment</w:t>
            </w:r>
          </w:p>
        </w:tc>
        <w:tc>
          <w:tcPr>
            <w:tcW w:w="437" w:type="pct"/>
            <w:tcBorders>
              <w:top w:val="single" w:sz="1" w:space="0" w:color="AAAAAA"/>
              <w:left w:val="single" w:sz="1" w:space="0" w:color="AAAAAA"/>
              <w:bottom w:val="single" w:sz="1" w:space="0" w:color="AAAAAA"/>
              <w:right w:val="single" w:sz="1" w:space="0" w:color="AAAAAA"/>
            </w:tcBorders>
            <w:vAlign w:val="center"/>
          </w:tcPr>
          <w:p w14:paraId="3EEF4CCC"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0.55</w:t>
            </w:r>
          </w:p>
        </w:tc>
        <w:tc>
          <w:tcPr>
            <w:tcW w:w="2773" w:type="pct"/>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vAlign w:val="center"/>
          </w:tcPr>
          <w:p w14:paraId="7D6211E9"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val="en-CA" w:eastAsia="en-GB"/>
              </w:rPr>
              <w:t>Suppliers of sequencing equipment and consumables benefit from DSI primarily through increased demand for sequencing capacity, rather than through direct application of sequence data in their products or processes. Consumables account for a significant portion of sequencing costs, supporting a moderate multiplier.</w:t>
            </w:r>
          </w:p>
        </w:tc>
        <w:tc>
          <w:tcPr>
            <w:tcW w:w="915" w:type="pct"/>
            <w:tcBorders>
              <w:top w:val="single" w:sz="1" w:space="0" w:color="AAAAAA"/>
              <w:left w:val="single" w:sz="1" w:space="0" w:color="AAAAAA"/>
              <w:bottom w:val="single" w:sz="1" w:space="0" w:color="AAAAAA"/>
              <w:right w:val="single" w:sz="1" w:space="0" w:color="AAAAAA"/>
            </w:tcBorders>
            <w:vAlign w:val="center"/>
          </w:tcPr>
          <w:p w14:paraId="365615C0"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fldChar w:fldCharType="begin"/>
            </w:r>
            <w:r w:rsidRPr="005F0A67">
              <w:rPr>
                <w:rFonts w:asciiTheme="majorBidi" w:eastAsia="Times New Roman" w:hAnsiTheme="majorBidi" w:cstheme="majorBidi"/>
                <w:sz w:val="18"/>
                <w:szCs w:val="18"/>
                <w:lang w:eastAsia="en-GB"/>
              </w:rPr>
              <w:instrText xml:space="preserve"> ADDIN ZOTERO_ITEM CSL_CITATION {"citationID":"SOwYZK9N","properties":{"unsorted":false,"formattedCitation":"(Schwarze {\\i{}et al.}, 2020)","plainCitation":"(Schwarze et al., 2020)","noteIndex":0},"citationItems":[{"id":373,"uris":["http://zotero.org/users/14977742/items/NSZHIRYE"],"itemData":{"id":373,"type":"article-journal","citation-key":"schwarzeCompleteCostsGenome2020","container-title":"Genetics in Medicine","DOI":"10.1038/s41436-019-0618-7","ISSN":"1098-3600, 1530-0366","issue":"1","journalAbbreviation":"Genetics in Medicine","language":"English","page":"85-94","PMID":"31358947","publisher":"Elsevier","source":"www.gimjournal.org","title":"The complete costs of genome sequencing: a microcosting study in cancer and rare diseases from a single center in the United Kingdom","title-short":"The complete costs of genome sequencing","volume":"22","author":[{"family":"Schwarze","given":"Katharina"},{"family":"Buchanan","given":"James"},{"family":"Fermont","given":"Jilles M."},{"family":"Dreau","given":"Helene"},{"family":"Tilley","given":"Mark W."},{"family":"Taylor","given":"John M."},{"family":"Antoniou","given":"Pavlos"},{"family":"Knight","given":"Samantha J. L."},{"family":"Camps","given":"Carme"},{"family":"Pentony","given":"Melissa M."},{"family":"Kvikstad","given":"Erika M."},{"family":"Harris","given":"Steve"},{"family":"Popitsch","given":"Niko"},{"family":"Pagnamenta","given":"Alistair T."},{"family":"Schuh","given":"Anna"},{"family":"Taylor","given":"Jenny C."},{"family":"Wordsworth","given":"Sarah"}],"issued":{"date-parts":[["2020",1,1]]}}}],"schema":"https://github.com/citation-style-language/schema/raw/master/csl-citation.json"} </w:instrText>
            </w:r>
            <w:r w:rsidRPr="005F0A67">
              <w:rPr>
                <w:rFonts w:asciiTheme="majorBidi" w:eastAsia="Times New Roman" w:hAnsiTheme="majorBidi" w:cstheme="majorBidi"/>
                <w:sz w:val="18"/>
                <w:szCs w:val="18"/>
                <w:lang w:eastAsia="en-GB"/>
              </w:rPr>
              <w:fldChar w:fldCharType="separate"/>
            </w:r>
            <w:r w:rsidRPr="005F0A67">
              <w:rPr>
                <w:rFonts w:asciiTheme="majorBidi" w:eastAsia="Georgia" w:hAnsiTheme="majorBidi" w:cstheme="majorBidi"/>
                <w:sz w:val="18"/>
                <w:szCs w:val="18"/>
                <w:lang w:eastAsia="en-GB"/>
              </w:rPr>
              <w:t xml:space="preserve">(Schwarze </w:t>
            </w:r>
            <w:r w:rsidRPr="005F0A67">
              <w:rPr>
                <w:rFonts w:asciiTheme="majorBidi" w:eastAsia="Georgia" w:hAnsiTheme="majorBidi" w:cstheme="majorBidi"/>
                <w:i/>
                <w:iCs/>
                <w:sz w:val="18"/>
                <w:szCs w:val="18"/>
                <w:lang w:eastAsia="en-GB"/>
              </w:rPr>
              <w:t>et al.</w:t>
            </w:r>
            <w:r w:rsidRPr="005F0A67">
              <w:rPr>
                <w:rFonts w:asciiTheme="majorBidi" w:eastAsia="Georgia" w:hAnsiTheme="majorBidi" w:cstheme="majorBidi"/>
                <w:sz w:val="18"/>
                <w:szCs w:val="18"/>
                <w:lang w:eastAsia="en-GB"/>
              </w:rPr>
              <w:t>, 2020)</w:t>
            </w:r>
            <w:r w:rsidRPr="005F0A67">
              <w:rPr>
                <w:rFonts w:asciiTheme="majorBidi" w:eastAsia="Times New Roman" w:hAnsiTheme="majorBidi" w:cstheme="majorBidi"/>
                <w:sz w:val="18"/>
                <w:szCs w:val="18"/>
                <w:lang w:eastAsia="en-GB"/>
              </w:rPr>
              <w:fldChar w:fldCharType="end"/>
            </w:r>
          </w:p>
        </w:tc>
      </w:tr>
      <w:tr w:rsidR="005F0A67" w:rsidRPr="005F0A67" w14:paraId="0F79EB06" w14:textId="77777777" w:rsidTr="005F0A67">
        <w:trPr>
          <w:trHeight w:val="276"/>
        </w:trPr>
        <w:tc>
          <w:tcPr>
            <w:tcW w:w="875"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073EC630"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b/>
                <w:bCs/>
                <w:sz w:val="18"/>
                <w:szCs w:val="18"/>
                <w:lang w:eastAsia="en-GB"/>
              </w:rPr>
            </w:pPr>
            <w:r w:rsidRPr="005F0A67">
              <w:rPr>
                <w:rFonts w:asciiTheme="majorBidi" w:eastAsia="Times New Roman" w:hAnsiTheme="majorBidi" w:cstheme="majorBidi"/>
                <w:sz w:val="18"/>
                <w:szCs w:val="18"/>
                <w:lang w:eastAsia="en-GB"/>
              </w:rPr>
              <w:t>Nutraceuticals</w:t>
            </w:r>
          </w:p>
        </w:tc>
        <w:tc>
          <w:tcPr>
            <w:tcW w:w="437" w:type="pct"/>
            <w:tcBorders>
              <w:top w:val="single" w:sz="1" w:space="0" w:color="AAAAAA"/>
              <w:left w:val="single" w:sz="1" w:space="0" w:color="AAAAAA"/>
              <w:bottom w:val="single" w:sz="1" w:space="0" w:color="AAAAAA"/>
              <w:right w:val="single" w:sz="1" w:space="0" w:color="AAAAAA"/>
            </w:tcBorders>
            <w:vAlign w:val="center"/>
          </w:tcPr>
          <w:p w14:paraId="0E45DF0E"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0.45</w:t>
            </w:r>
          </w:p>
        </w:tc>
        <w:tc>
          <w:tcPr>
            <w:tcW w:w="2773" w:type="pct"/>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vAlign w:val="center"/>
          </w:tcPr>
          <w:p w14:paraId="298AD7BB"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Commercial activity in this sector is primarily extract-based, with minimal evidence of systematic use of genetic sequence data in product development. Patent activity is limited in scope and focused on specific compounds rather than genomic innovations, supporting a below-midpoint multiplier.</w:t>
            </w:r>
          </w:p>
        </w:tc>
        <w:tc>
          <w:tcPr>
            <w:tcW w:w="915" w:type="pct"/>
            <w:tcBorders>
              <w:top w:val="single" w:sz="1" w:space="0" w:color="AAAAAA"/>
              <w:left w:val="single" w:sz="1" w:space="0" w:color="AAAAAA"/>
              <w:bottom w:val="single" w:sz="1" w:space="0" w:color="AAAAAA"/>
              <w:right w:val="single" w:sz="1" w:space="0" w:color="AAAAAA"/>
            </w:tcBorders>
            <w:vAlign w:val="center"/>
          </w:tcPr>
          <w:p w14:paraId="4E82EAE3"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fldChar w:fldCharType="begin"/>
            </w:r>
            <w:r w:rsidRPr="005F0A67">
              <w:rPr>
                <w:rFonts w:asciiTheme="majorBidi" w:eastAsia="Times New Roman" w:hAnsiTheme="majorBidi" w:cstheme="majorBidi"/>
                <w:sz w:val="18"/>
                <w:szCs w:val="18"/>
                <w:lang w:eastAsia="en-GB"/>
              </w:rPr>
              <w:instrText xml:space="preserve"> ADDIN ZOTERO_ITEM CSL_CITATION {"citationID":"C8dXh40g","properties":{"unsorted":false,"formattedCitation":"(Oldham, Hall and Forero, 2013)","plainCitation":"(Oldham, Hall and Forero, 2013)","noteIndex":0},"citationItems":[{"id":436,"uris":["http://zotero.org/users/14977742/items/KMC99ATY"],"itemData":{"id":436,"type":"article-journal","citation-key":"oldhamBiologicalDiversityPatent2013","container-title":"PLoS ONE","DOI":"10.1371/journal.pone.0078737","ISSN":"1932-6203","issue":"11","journalAbbreviation":"PLoS ONE","language":"en","page":"e78737","source":"DOI.org (Crossref)","title":"Biological Diversity in the Patent System","volume":"8","author":[{"family":"Oldham","given":"Paul"},{"family":"Hall","given":"Stephen"},{"family":"Forero","given":"Oscar"}],"editor":[{"family":"Pappalardo","given":"Francesco"}],"issued":{"date-parts":[["2013",11,12]]}}}],"schema":"https://github.com/citation-style-language/schema/raw/master/csl-citation.json"} </w:instrText>
            </w:r>
            <w:r w:rsidRPr="005F0A67">
              <w:rPr>
                <w:rFonts w:asciiTheme="majorBidi" w:eastAsia="Times New Roman" w:hAnsiTheme="majorBidi" w:cstheme="majorBidi"/>
                <w:sz w:val="18"/>
                <w:szCs w:val="18"/>
                <w:lang w:eastAsia="en-GB"/>
              </w:rPr>
              <w:fldChar w:fldCharType="separate"/>
            </w:r>
            <w:r w:rsidRPr="005F0A67">
              <w:rPr>
                <w:rFonts w:asciiTheme="majorBidi" w:eastAsia="Times New Roman" w:hAnsiTheme="majorBidi" w:cstheme="majorBidi"/>
                <w:sz w:val="18"/>
                <w:szCs w:val="18"/>
                <w:lang w:eastAsia="en-GB"/>
              </w:rPr>
              <w:t>(Oldham, Hall and Forero, 2013)</w:t>
            </w:r>
            <w:r w:rsidRPr="005F0A67">
              <w:rPr>
                <w:rFonts w:asciiTheme="majorBidi" w:eastAsia="Times New Roman" w:hAnsiTheme="majorBidi" w:cstheme="majorBidi"/>
                <w:sz w:val="18"/>
                <w:szCs w:val="18"/>
                <w:lang w:eastAsia="en-GB"/>
              </w:rPr>
              <w:fldChar w:fldCharType="end"/>
            </w:r>
          </w:p>
        </w:tc>
      </w:tr>
      <w:tr w:rsidR="005F0A67" w:rsidRPr="005F0A67" w14:paraId="661024B5" w14:textId="77777777" w:rsidTr="005F0A67">
        <w:trPr>
          <w:trHeight w:val="276"/>
        </w:trPr>
        <w:tc>
          <w:tcPr>
            <w:tcW w:w="875" w:type="pct"/>
            <w:tcBorders>
              <w:top w:val="single" w:sz="1" w:space="0" w:color="AAAAAA"/>
              <w:left w:val="single" w:sz="1" w:space="0" w:color="AAAAAA"/>
              <w:bottom w:val="single" w:sz="1" w:space="0" w:color="AAAAAA"/>
              <w:right w:val="single" w:sz="1" w:space="0" w:color="AAAAAA"/>
            </w:tcBorders>
            <w:shd w:val="clear" w:color="auto" w:fill="FFFFFF"/>
            <w:tcMar>
              <w:top w:w="60" w:type="dxa"/>
              <w:left w:w="100" w:type="dxa"/>
              <w:bottom w:w="60" w:type="dxa"/>
              <w:right w:w="100" w:type="dxa"/>
            </w:tcMar>
            <w:vAlign w:val="center"/>
          </w:tcPr>
          <w:p w14:paraId="5339EF83"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b/>
                <w:bCs/>
                <w:sz w:val="18"/>
                <w:szCs w:val="18"/>
                <w:lang w:eastAsia="en-GB"/>
              </w:rPr>
            </w:pPr>
            <w:r w:rsidRPr="005F0A67">
              <w:rPr>
                <w:rFonts w:asciiTheme="majorBidi" w:eastAsia="Times New Roman" w:hAnsiTheme="majorBidi" w:cstheme="majorBidi"/>
                <w:sz w:val="18"/>
                <w:szCs w:val="18"/>
                <w:lang w:eastAsia="en-GB"/>
              </w:rPr>
              <w:t>Cosmetics</w:t>
            </w:r>
          </w:p>
        </w:tc>
        <w:tc>
          <w:tcPr>
            <w:tcW w:w="437" w:type="pct"/>
            <w:tcBorders>
              <w:top w:val="single" w:sz="1" w:space="0" w:color="AAAAAA"/>
              <w:left w:val="single" w:sz="1" w:space="0" w:color="AAAAAA"/>
              <w:bottom w:val="single" w:sz="1" w:space="0" w:color="AAAAAA"/>
              <w:right w:val="single" w:sz="1" w:space="0" w:color="AAAAAA"/>
            </w:tcBorders>
            <w:vAlign w:val="center"/>
          </w:tcPr>
          <w:p w14:paraId="70A6667A"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t>0.35</w:t>
            </w:r>
          </w:p>
        </w:tc>
        <w:tc>
          <w:tcPr>
            <w:tcW w:w="2773" w:type="pct"/>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vAlign w:val="center"/>
          </w:tcPr>
          <w:p w14:paraId="3AB65A1F"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val="en-CA" w:eastAsia="en-GB"/>
              </w:rPr>
              <w:t>The primary cosmetics pipeline relies on plant and botanical extracts rather than sequence-based research. Although an emerging subsector utilises fermentation and synthetic biology, which may involve DSI use, this constitutes only a small portion of the eligible population, supporting a low multiplier.</w:t>
            </w:r>
          </w:p>
        </w:tc>
        <w:tc>
          <w:tcPr>
            <w:tcW w:w="915" w:type="pct"/>
            <w:tcBorders>
              <w:top w:val="single" w:sz="1" w:space="0" w:color="AAAAAA"/>
              <w:left w:val="single" w:sz="1" w:space="0" w:color="AAAAAA"/>
              <w:bottom w:val="single" w:sz="1" w:space="0" w:color="AAAAAA"/>
              <w:right w:val="single" w:sz="1" w:space="0" w:color="AAAAAA"/>
            </w:tcBorders>
            <w:vAlign w:val="center"/>
          </w:tcPr>
          <w:p w14:paraId="00AC1E39"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Times New Roman" w:hAnsiTheme="majorBidi" w:cstheme="majorBidi"/>
                <w:sz w:val="18"/>
                <w:szCs w:val="18"/>
                <w:lang w:eastAsia="en-GB"/>
              </w:rPr>
            </w:pPr>
            <w:r w:rsidRPr="005F0A67">
              <w:rPr>
                <w:rFonts w:asciiTheme="majorBidi" w:eastAsia="Times New Roman" w:hAnsiTheme="majorBidi" w:cstheme="majorBidi"/>
                <w:sz w:val="18"/>
                <w:szCs w:val="18"/>
                <w:lang w:eastAsia="en-GB"/>
              </w:rPr>
              <w:fldChar w:fldCharType="begin"/>
            </w:r>
            <w:r w:rsidRPr="005F0A67">
              <w:rPr>
                <w:rFonts w:asciiTheme="majorBidi" w:eastAsia="Times New Roman" w:hAnsiTheme="majorBidi" w:cstheme="majorBidi"/>
                <w:sz w:val="18"/>
                <w:szCs w:val="18"/>
                <w:lang w:eastAsia="en-GB"/>
              </w:rPr>
              <w:instrText xml:space="preserve"> ADDIN ZOTERO_ITEM CSL_CITATION {"citationID":"0ZQWhZJL","properties":{"unsorted":false,"formattedCitation":"(Oldham, Hall and Forero, 2013)","plainCitation":"(Oldham, Hall and Forero, 2013)","noteIndex":0},"citationItems":[{"id":436,"uris":["http://zotero.org/users/14977742/items/KMC99ATY"],"itemData":{"id":436,"type":"article-journal","citation-key":"oldhamBiologicalDiversityPatent2013","container-title":"PLoS ONE","DOI":"10.1371/journal.pone.0078737","ISSN":"1932-6203","issue":"11","journalAbbreviation":"PLoS ONE","language":"en","page":"e78737","source":"DOI.org (Crossref)","title":"Biological Diversity in the Patent System","volume":"8","author":[{"family":"Oldham","given":"Paul"},{"family":"Hall","given":"Stephen"},{"family":"Forero","given":"Oscar"}],"editor":[{"family":"Pappalardo","given":"Francesco"}],"issued":{"date-parts":[["2013",11,12]]}}}],"schema":"https://github.com/citation-style-language/schema/raw/master/csl-citation.json"} </w:instrText>
            </w:r>
            <w:r w:rsidRPr="005F0A67">
              <w:rPr>
                <w:rFonts w:asciiTheme="majorBidi" w:eastAsia="Times New Roman" w:hAnsiTheme="majorBidi" w:cstheme="majorBidi"/>
                <w:sz w:val="18"/>
                <w:szCs w:val="18"/>
                <w:lang w:eastAsia="en-GB"/>
              </w:rPr>
              <w:fldChar w:fldCharType="separate"/>
            </w:r>
            <w:r w:rsidRPr="005F0A67">
              <w:rPr>
                <w:rFonts w:asciiTheme="majorBidi" w:eastAsia="Times New Roman" w:hAnsiTheme="majorBidi" w:cstheme="majorBidi"/>
                <w:sz w:val="18"/>
                <w:szCs w:val="18"/>
                <w:lang w:eastAsia="en-GB"/>
              </w:rPr>
              <w:t>(Oldham, Hall and Forero, 2013)</w:t>
            </w:r>
            <w:r w:rsidRPr="005F0A67">
              <w:rPr>
                <w:rFonts w:asciiTheme="majorBidi" w:eastAsia="Times New Roman" w:hAnsiTheme="majorBidi" w:cstheme="majorBidi"/>
                <w:sz w:val="18"/>
                <w:szCs w:val="18"/>
                <w:lang w:eastAsia="en-GB"/>
              </w:rPr>
              <w:fldChar w:fldCharType="end"/>
            </w:r>
          </w:p>
        </w:tc>
      </w:tr>
    </w:tbl>
    <w:p w14:paraId="145D0FD8"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18"/>
          <w:szCs w:val="18"/>
          <w:lang w:val="en-CA" w:eastAsia="en-GB"/>
        </w:rPr>
      </w:pPr>
      <w:r w:rsidRPr="005F0A67">
        <w:rPr>
          <w:rFonts w:asciiTheme="majorBidi" w:eastAsia="Times New Roman" w:hAnsiTheme="majorBidi" w:cstheme="majorBidi"/>
          <w:i/>
          <w:iCs/>
          <w:sz w:val="18"/>
          <w:szCs w:val="18"/>
          <w:lang w:val="en-CA" w:eastAsia="en-GB"/>
        </w:rPr>
        <w:t xml:space="preserve">Notes: </w:t>
      </w:r>
      <w:r w:rsidRPr="005F0A67">
        <w:rPr>
          <w:rFonts w:asciiTheme="majorBidi" w:eastAsia="Times New Roman" w:hAnsiTheme="majorBidi" w:cstheme="majorBidi"/>
          <w:sz w:val="18"/>
          <w:szCs w:val="18"/>
          <w:lang w:val="en-CA" w:eastAsia="en-GB"/>
        </w:rPr>
        <w:t xml:space="preserve">Values are expert-informed estimates based on indirect evidence of sectoral DSI use intensity. Direct observation of firm-level DSI use is not currently possible. Because Decision 16/2 defines the contribution base as total financials rather than DSI-attributed activity, S3 represents a conceptual lower bound rather than an alternative central estimate. Full literature justifications are provided in Makowska-Curran </w:t>
      </w:r>
      <w:r w:rsidRPr="005F0A67">
        <w:rPr>
          <w:rFonts w:asciiTheme="majorBidi" w:eastAsia="Times New Roman" w:hAnsiTheme="majorBidi" w:cstheme="majorBidi"/>
          <w:sz w:val="18"/>
          <w:szCs w:val="18"/>
          <w:lang w:val="en-CA" w:eastAsia="en-GB"/>
        </w:rPr>
        <w:fldChar w:fldCharType="begin"/>
      </w:r>
      <w:r w:rsidRPr="005F0A67">
        <w:rPr>
          <w:rFonts w:asciiTheme="majorBidi" w:eastAsia="Times New Roman" w:hAnsiTheme="majorBidi" w:cstheme="majorBidi"/>
          <w:sz w:val="18"/>
          <w:szCs w:val="18"/>
          <w:lang w:val="en-CA" w:eastAsia="en-GB"/>
        </w:rPr>
        <w:instrText xml:space="preserve"> ADDIN ZOTERO_ITEM CSL_CITATION {"citationID":"wFoZoKa2","properties":{"unsorted":false,"formattedCitation":"(2026)","plainCitation":"(2026)","noteIndex":0},"citationItems":[{"id":77,"uris":["http://zotero.org/users/14977742/items/2PI55QKT"],"itemData":{"id":77,"type":"article-journal","abstract":"This paper provides the first global, firm-level analysis of what the Cali Fund, designed to support global conservation, is likely to raise and how resources would be distributed.","citation-key":"GlobalBiodiversityCommitments","container-title":"Grantham Research Institute on climate change and the environment","language":"en-GB","publisher":"London School of Economics and Political Science (LSE)","title":"From global biodiversity commitments to local action: revenue potential and allocation dynamics of the Cali Fund","title-short":"From global biodiversity commitments to local action","URL":"https://www.lse.ac.uk/granthaminstitute/publication/from-global-biodiversity-commitments-to-local-action-revenue-potential-and-allocation-dynamics-of-the-cali-fund/","author":[{"family":"Makowska-Curran","given":"Agata"}],"accessed":{"date-parts":[["2026",6,3]]},"issued":{"date-parts":[["2026",6]]}},"suppress-author":true}],"schema":"https://github.com/citation-style-language/schema/raw/master/csl-citation.json"} </w:instrText>
      </w:r>
      <w:r w:rsidRPr="005F0A67">
        <w:rPr>
          <w:rFonts w:asciiTheme="majorBidi" w:eastAsia="Times New Roman" w:hAnsiTheme="majorBidi" w:cstheme="majorBidi"/>
          <w:sz w:val="18"/>
          <w:szCs w:val="18"/>
          <w:lang w:val="en-CA" w:eastAsia="en-GB"/>
        </w:rPr>
        <w:fldChar w:fldCharType="separate"/>
      </w:r>
      <w:r w:rsidRPr="005F0A67">
        <w:rPr>
          <w:rFonts w:asciiTheme="majorBidi" w:eastAsia="Times New Roman" w:hAnsiTheme="majorBidi" w:cstheme="majorBidi"/>
          <w:sz w:val="18"/>
          <w:szCs w:val="18"/>
          <w:lang w:val="en-CA" w:eastAsia="en-GB"/>
        </w:rPr>
        <w:t>(2026)</w:t>
      </w:r>
      <w:r w:rsidRPr="005F0A67">
        <w:rPr>
          <w:rFonts w:asciiTheme="majorBidi" w:eastAsia="Times New Roman" w:hAnsiTheme="majorBidi" w:cstheme="majorBidi"/>
          <w:sz w:val="18"/>
          <w:szCs w:val="18"/>
          <w:lang w:val="en-CA" w:eastAsia="en-GB"/>
        </w:rPr>
        <w:fldChar w:fldCharType="end"/>
      </w:r>
      <w:r w:rsidRPr="005F0A67">
        <w:rPr>
          <w:rFonts w:asciiTheme="majorBidi" w:eastAsia="Times New Roman" w:hAnsiTheme="majorBidi" w:cstheme="majorBidi"/>
          <w:sz w:val="18"/>
          <w:szCs w:val="18"/>
          <w:lang w:val="en-CA" w:eastAsia="en-GB"/>
        </w:rPr>
        <w:t xml:space="preserve">. The author also provides sensitivity analysis results for varying parameter ranges. </w:t>
      </w:r>
    </w:p>
    <w:p w14:paraId="51359979" w14:textId="77777777" w:rsidR="005F0A67" w:rsidRPr="005F0A67" w:rsidRDefault="005F0A67" w:rsidP="005F0A67">
      <w:pPr>
        <w:tabs>
          <w:tab w:val="clear" w:pos="567"/>
          <w:tab w:val="clear" w:pos="1134"/>
          <w:tab w:val="clear" w:pos="1701"/>
          <w:tab w:val="clear" w:pos="2268"/>
        </w:tabs>
        <w:spacing w:line="293" w:lineRule="auto"/>
        <w:rPr>
          <w:rFonts w:asciiTheme="majorBidi" w:eastAsia="Times New Roman" w:hAnsiTheme="majorBidi" w:cstheme="majorBidi"/>
          <w:sz w:val="18"/>
          <w:szCs w:val="18"/>
          <w:lang w:val="en-CA" w:eastAsia="en-GB"/>
        </w:rPr>
        <w:sectPr w:rsidR="005F0A67" w:rsidRPr="005F0A67" w:rsidSect="005F0A67">
          <w:pgSz w:w="11900" w:h="16840"/>
          <w:pgMar w:top="1360" w:right="1700" w:bottom="280" w:left="1700" w:header="720" w:footer="720" w:gutter="0"/>
          <w:cols w:space="720"/>
        </w:sectPr>
      </w:pPr>
      <w:r w:rsidRPr="005F0A67">
        <w:rPr>
          <w:rFonts w:asciiTheme="majorBidi" w:eastAsia="Times New Roman" w:hAnsiTheme="majorBidi" w:cstheme="majorBidi"/>
          <w:i/>
          <w:iCs/>
          <w:sz w:val="18"/>
          <w:szCs w:val="18"/>
          <w:lang w:val="en-CA" w:eastAsia="en-GB"/>
        </w:rPr>
        <w:t xml:space="preserve">Source: </w:t>
      </w:r>
      <w:r w:rsidRPr="005F0A67">
        <w:rPr>
          <w:rFonts w:asciiTheme="majorBidi" w:eastAsia="Times New Roman" w:hAnsiTheme="majorBidi" w:cstheme="majorBidi"/>
          <w:sz w:val="18"/>
          <w:szCs w:val="18"/>
          <w:lang w:val="en-CA" w:eastAsia="en-GB"/>
        </w:rPr>
        <w:t>Adapted from</w:t>
      </w:r>
      <w:r w:rsidRPr="005F0A67">
        <w:rPr>
          <w:rFonts w:asciiTheme="majorBidi" w:eastAsia="Times New Roman" w:hAnsiTheme="majorBidi" w:cstheme="majorBidi"/>
          <w:i/>
          <w:iCs/>
          <w:sz w:val="18"/>
          <w:szCs w:val="18"/>
          <w:lang w:val="en-CA" w:eastAsia="en-GB"/>
        </w:rPr>
        <w:t xml:space="preserve"> </w:t>
      </w:r>
      <w:r w:rsidRPr="005F0A67">
        <w:rPr>
          <w:rFonts w:asciiTheme="majorBidi" w:eastAsia="Times New Roman" w:hAnsiTheme="majorBidi" w:cstheme="majorBidi"/>
          <w:sz w:val="18"/>
          <w:szCs w:val="18"/>
          <w:lang w:val="en-CA" w:eastAsia="en-GB"/>
        </w:rPr>
        <w:t xml:space="preserve">Makowska-Curran </w:t>
      </w:r>
      <w:r w:rsidRPr="005F0A67">
        <w:rPr>
          <w:rFonts w:asciiTheme="majorBidi" w:eastAsia="Times New Roman" w:hAnsiTheme="majorBidi" w:cstheme="majorBidi"/>
          <w:sz w:val="18"/>
          <w:szCs w:val="18"/>
          <w:lang w:val="en-CA" w:eastAsia="en-GB"/>
        </w:rPr>
        <w:fldChar w:fldCharType="begin"/>
      </w:r>
      <w:r w:rsidRPr="005F0A67">
        <w:rPr>
          <w:rFonts w:asciiTheme="majorBidi" w:eastAsia="Times New Roman" w:hAnsiTheme="majorBidi" w:cstheme="majorBidi"/>
          <w:sz w:val="18"/>
          <w:szCs w:val="18"/>
          <w:lang w:val="en-CA" w:eastAsia="en-GB"/>
        </w:rPr>
        <w:instrText xml:space="preserve"> ADDIN ZOTERO_ITEM CSL_CITATION {"citationID":"3tZZXgvC","properties":{"unsorted":false,"formattedCitation":"(2026)","plainCitation":"(2026)","noteIndex":0},"citationItems":[{"id":77,"uris":["http://zotero.org/users/14977742/items/2PI55QKT"],"itemData":{"id":77,"type":"article-journal","abstract":"This paper provides the first global, firm-level analysis of what the Cali Fund, designed to support global conservation, is likely to raise and how resources would be distributed.","citation-key":"GlobalBiodiversityCommitments","container-title":"Grantham Research Institute on climate change and the environment","language":"en-GB","publisher":"London School of Economics and Political Science (LSE)","title":"From global biodiversity commitments to local action: revenue potential and allocation dynamics of the Cali Fund","title-short":"From global biodiversity commitments to local action","URL":"https://www.lse.ac.uk/granthaminstitute/publication/from-global-biodiversity-commitments-to-local-action-revenue-potential-and-allocation-dynamics-of-the-cali-fund/","author":[{"family":"Makowska-Curran","given":"Agata"}],"accessed":{"date-parts":[["2026",6,3]]},"issued":{"date-parts":[["2026",6]]}},"suppress-author":true}],"schema":"https://github.com/citation-style-language/schema/raw/master/csl-citation.json"} </w:instrText>
      </w:r>
      <w:r w:rsidRPr="005F0A67">
        <w:rPr>
          <w:rFonts w:asciiTheme="majorBidi" w:eastAsia="Times New Roman" w:hAnsiTheme="majorBidi" w:cstheme="majorBidi"/>
          <w:sz w:val="18"/>
          <w:szCs w:val="18"/>
          <w:lang w:val="en-CA" w:eastAsia="en-GB"/>
        </w:rPr>
        <w:fldChar w:fldCharType="separate"/>
      </w:r>
      <w:r w:rsidRPr="005F0A67">
        <w:rPr>
          <w:rFonts w:asciiTheme="majorBidi" w:eastAsia="Times New Roman" w:hAnsiTheme="majorBidi" w:cstheme="majorBidi"/>
          <w:sz w:val="18"/>
          <w:szCs w:val="18"/>
          <w:lang w:val="en-CA" w:eastAsia="en-GB"/>
        </w:rPr>
        <w:t>(2026)</w:t>
      </w:r>
      <w:r w:rsidRPr="005F0A67">
        <w:rPr>
          <w:rFonts w:asciiTheme="majorBidi" w:eastAsia="Times New Roman" w:hAnsiTheme="majorBidi" w:cstheme="majorBidi"/>
          <w:sz w:val="18"/>
          <w:szCs w:val="18"/>
          <w:lang w:val="en-CA" w:eastAsia="en-GB"/>
        </w:rPr>
        <w:fldChar w:fldCharType="end"/>
      </w:r>
      <w:r w:rsidRPr="005F0A67">
        <w:rPr>
          <w:rFonts w:asciiTheme="majorBidi" w:eastAsia="Times New Roman" w:hAnsiTheme="majorBidi" w:cstheme="majorBidi"/>
          <w:sz w:val="18"/>
          <w:szCs w:val="18"/>
          <w:lang w:val="en-CA" w:eastAsia="en-GB"/>
        </w:rPr>
        <w:t xml:space="preserve">. </w:t>
      </w:r>
    </w:p>
    <w:p w14:paraId="104DA627" w14:textId="77777777" w:rsidR="005F0A67" w:rsidRPr="005F0A67" w:rsidRDefault="005F0A67" w:rsidP="005F0A67">
      <w:pPr>
        <w:pBdr>
          <w:bottom w:val="single" w:sz="2" w:space="6" w:color="D9D9D9"/>
        </w:pBdr>
        <w:tabs>
          <w:tab w:val="clear" w:pos="567"/>
          <w:tab w:val="clear" w:pos="1134"/>
          <w:tab w:val="clear" w:pos="1701"/>
          <w:tab w:val="clear" w:pos="2268"/>
        </w:tabs>
        <w:spacing w:before="400" w:after="60"/>
        <w:jc w:val="left"/>
        <w:outlineLvl w:val="0"/>
        <w:rPr>
          <w:rFonts w:asciiTheme="majorBidi" w:eastAsia="Arial" w:hAnsiTheme="majorBidi" w:cstheme="majorBidi"/>
          <w:b/>
          <w:bCs/>
          <w:color w:val="1A1A1A"/>
          <w:sz w:val="28"/>
          <w:szCs w:val="28"/>
          <w:lang w:val="en-CA" w:eastAsia="en-GB"/>
        </w:rPr>
      </w:pPr>
      <w:bookmarkStart w:id="273" w:name="_Toc234579628"/>
      <w:bookmarkStart w:id="274" w:name="_Toc234579792"/>
      <w:r w:rsidRPr="005F0A67">
        <w:rPr>
          <w:rFonts w:asciiTheme="majorBidi" w:eastAsia="Arial" w:hAnsiTheme="majorBidi" w:cstheme="majorBidi"/>
          <w:b/>
          <w:bCs/>
          <w:color w:val="1A1A1A"/>
          <w:sz w:val="28"/>
          <w:szCs w:val="28"/>
          <w:lang w:val="en-CA" w:eastAsia="en-GB"/>
        </w:rPr>
        <w:lastRenderedPageBreak/>
        <w:t>Annex B: Industry Consultation Questionnaire</w:t>
      </w:r>
      <w:bookmarkEnd w:id="273"/>
      <w:bookmarkEnd w:id="274"/>
    </w:p>
    <w:p w14:paraId="0DEBEEED" w14:textId="77777777" w:rsidR="005F0A67" w:rsidRPr="005F0A67" w:rsidRDefault="005F0A67" w:rsidP="005F0A67">
      <w:pPr>
        <w:tabs>
          <w:tab w:val="clear" w:pos="567"/>
          <w:tab w:val="clear" w:pos="1134"/>
          <w:tab w:val="clear" w:pos="1701"/>
          <w:tab w:val="clear" w:pos="2268"/>
        </w:tabs>
        <w:spacing w:line="276" w:lineRule="auto"/>
        <w:jc w:val="left"/>
        <w:rPr>
          <w:rFonts w:asciiTheme="majorBidi" w:eastAsia="Georgia" w:hAnsiTheme="majorBidi" w:cstheme="majorBidi"/>
          <w:color w:val="1A1A1A"/>
          <w:sz w:val="56"/>
          <w:szCs w:val="56"/>
          <w:lang w:eastAsia="en-GB"/>
        </w:rPr>
      </w:pPr>
      <w:r w:rsidRPr="005F0A67">
        <w:rPr>
          <w:rFonts w:asciiTheme="majorBidi" w:eastAsia="Georgia" w:hAnsiTheme="majorBidi" w:cstheme="majorBidi"/>
          <w:noProof/>
          <w:color w:val="1A1A1A"/>
          <w:sz w:val="32"/>
          <w:szCs w:val="32"/>
          <w:lang w:eastAsia="en-GB"/>
        </w:rPr>
        <mc:AlternateContent>
          <mc:Choice Requires="wpg">
            <w:drawing>
              <wp:anchor distT="0" distB="0" distL="0" distR="0" simplePos="0" relativeHeight="251658364" behindDoc="1" locked="0" layoutInCell="1" allowOverlap="1" wp14:anchorId="451D5553" wp14:editId="115F370F">
                <wp:simplePos x="0" y="0"/>
                <wp:positionH relativeFrom="page">
                  <wp:posOffset>992221</wp:posOffset>
                </wp:positionH>
                <wp:positionV relativeFrom="paragraph">
                  <wp:posOffset>2162</wp:posOffset>
                </wp:positionV>
                <wp:extent cx="5575300" cy="8286750"/>
                <wp:effectExtent l="0" t="0" r="0" b="6350"/>
                <wp:wrapNone/>
                <wp:docPr id="1744851725" name="Group 17448517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75300" cy="8286750"/>
                          <a:chOff x="0" y="0"/>
                          <a:chExt cx="5575300" cy="8286750"/>
                        </a:xfrm>
                      </wpg:grpSpPr>
                      <wps:wsp>
                        <wps:cNvPr id="711897849" name="Graphic 2"/>
                        <wps:cNvSpPr/>
                        <wps:spPr>
                          <a:xfrm>
                            <a:off x="311149" y="0"/>
                            <a:ext cx="4953000" cy="4584700"/>
                          </a:xfrm>
                          <a:custGeom>
                            <a:avLst/>
                            <a:gdLst/>
                            <a:ahLst/>
                            <a:cxnLst/>
                            <a:rect l="l" t="t" r="r" b="b"/>
                            <a:pathLst>
                              <a:path w="4953000" h="4584700">
                                <a:moveTo>
                                  <a:pt x="4953000" y="4584700"/>
                                </a:moveTo>
                                <a:lnTo>
                                  <a:pt x="0" y="4584700"/>
                                </a:lnTo>
                                <a:lnTo>
                                  <a:pt x="0" y="0"/>
                                </a:lnTo>
                                <a:lnTo>
                                  <a:pt x="4953000" y="0"/>
                                </a:lnTo>
                                <a:lnTo>
                                  <a:pt x="4953000" y="4584700"/>
                                </a:lnTo>
                                <a:close/>
                              </a:path>
                            </a:pathLst>
                          </a:custGeom>
                          <a:solidFill>
                            <a:srgbClr val="FFFFFF"/>
                          </a:solidFill>
                        </wps:spPr>
                        <wps:bodyPr wrap="square" lIns="0" tIns="0" rIns="0" bIns="0" rtlCol="0">
                          <a:prstTxWarp prst="textNoShape">
                            <a:avLst/>
                          </a:prstTxWarp>
                          <a:noAutofit/>
                        </wps:bodyPr>
                      </wps:wsp>
                      <wps:wsp>
                        <wps:cNvPr id="1572154753" name="Graphic 4"/>
                        <wps:cNvSpPr/>
                        <wps:spPr>
                          <a:xfrm>
                            <a:off x="0" y="4286250"/>
                            <a:ext cx="5575300" cy="4000500"/>
                          </a:xfrm>
                          <a:custGeom>
                            <a:avLst/>
                            <a:gdLst/>
                            <a:ahLst/>
                            <a:cxnLst/>
                            <a:rect l="l" t="t" r="r" b="b"/>
                            <a:pathLst>
                              <a:path w="5575300" h="4000500">
                                <a:moveTo>
                                  <a:pt x="5575299" y="4000500"/>
                                </a:moveTo>
                                <a:lnTo>
                                  <a:pt x="0" y="4000500"/>
                                </a:lnTo>
                                <a:lnTo>
                                  <a:pt x="0" y="0"/>
                                </a:lnTo>
                                <a:lnTo>
                                  <a:pt x="5575299" y="0"/>
                                </a:lnTo>
                                <a:lnTo>
                                  <a:pt x="5575299" y="400050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1AE893FA" id="Group 1744851725" o:spid="_x0000_s1026" style="position:absolute;margin-left:78.15pt;margin-top:.15pt;width:439pt;height:652.5pt;z-index:-251658116;mso-wrap-distance-left:0;mso-wrap-distance-right:0;mso-position-horizontal-relative:page" coordsize="55753,828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">
                <v:shape id="Graphic 2" o:spid="_x0000_s1027" style="position:absolute;left:3111;width:49530;height:45847;visibility:visible;mso-wrap-style:square;v-text-anchor:top" coordsize="4953000,4584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" path="m4953000,4584700l,4584700,,,4953000,r,4584700xe" stroked="f">
                  <v:path arrowok="t"/>
                </v:shape>
                <v:shape id="Graphic 4" o:spid="_x0000_s1028" style="position:absolute;top:42862;width:55753;height:40005;visibility:visible;mso-wrap-style:square;v-text-anchor:top" coordsize="5575300,400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" path="m5575299,4000500l,4000500,,,5575299,r,4000500xe" stroked="f">
                  <v:path arrowok="t"/>
                </v:shape>
                <w10:wrap anchorx="page"/>
              </v:group>
            </w:pict>
          </mc:Fallback>
        </mc:AlternateContent>
      </w:r>
      <w:r w:rsidRPr="005F0A67">
        <w:rPr>
          <w:rFonts w:asciiTheme="majorBidi" w:eastAsia="Georgia" w:hAnsiTheme="majorBidi" w:cstheme="majorBidi"/>
          <w:color w:val="616161"/>
          <w:spacing w:val="-10"/>
          <w:sz w:val="32"/>
          <w:szCs w:val="32"/>
          <w:lang w:eastAsia="en-GB"/>
        </w:rPr>
        <w:t>Cali</w:t>
      </w:r>
      <w:r w:rsidRPr="005F0A67">
        <w:rPr>
          <w:rFonts w:asciiTheme="majorBidi" w:eastAsia="Georgia" w:hAnsiTheme="majorBidi" w:cstheme="majorBidi"/>
          <w:color w:val="616161"/>
          <w:spacing w:val="-3"/>
          <w:sz w:val="32"/>
          <w:szCs w:val="32"/>
          <w:lang w:eastAsia="en-GB"/>
        </w:rPr>
        <w:t xml:space="preserve"> </w:t>
      </w:r>
      <w:r w:rsidRPr="005F0A67">
        <w:rPr>
          <w:rFonts w:asciiTheme="majorBidi" w:eastAsia="Georgia" w:hAnsiTheme="majorBidi" w:cstheme="majorBidi"/>
          <w:color w:val="616161"/>
          <w:spacing w:val="-10"/>
          <w:sz w:val="32"/>
          <w:szCs w:val="32"/>
          <w:lang w:eastAsia="en-GB"/>
        </w:rPr>
        <w:t>Fund's</w:t>
      </w:r>
      <w:r w:rsidRPr="005F0A67">
        <w:rPr>
          <w:rFonts w:asciiTheme="majorBidi" w:eastAsia="Georgia" w:hAnsiTheme="majorBidi" w:cstheme="majorBidi"/>
          <w:color w:val="616161"/>
          <w:spacing w:val="-3"/>
          <w:sz w:val="32"/>
          <w:szCs w:val="32"/>
          <w:lang w:eastAsia="en-GB"/>
        </w:rPr>
        <w:t xml:space="preserve"> </w:t>
      </w:r>
      <w:r w:rsidRPr="005F0A67">
        <w:rPr>
          <w:rFonts w:asciiTheme="majorBidi" w:eastAsia="Georgia" w:hAnsiTheme="majorBidi" w:cstheme="majorBidi"/>
          <w:color w:val="616161"/>
          <w:spacing w:val="-10"/>
          <w:sz w:val="32"/>
          <w:szCs w:val="32"/>
          <w:lang w:eastAsia="en-GB"/>
        </w:rPr>
        <w:t>revenue</w:t>
      </w:r>
      <w:r w:rsidRPr="005F0A67">
        <w:rPr>
          <w:rFonts w:asciiTheme="majorBidi" w:eastAsia="Georgia" w:hAnsiTheme="majorBidi" w:cstheme="majorBidi"/>
          <w:color w:val="616161"/>
          <w:spacing w:val="-3"/>
          <w:sz w:val="32"/>
          <w:szCs w:val="32"/>
          <w:lang w:eastAsia="en-GB"/>
        </w:rPr>
        <w:t xml:space="preserve"> </w:t>
      </w:r>
      <w:r w:rsidRPr="005F0A67">
        <w:rPr>
          <w:rFonts w:asciiTheme="majorBidi" w:eastAsia="Georgia" w:hAnsiTheme="majorBidi" w:cstheme="majorBidi"/>
          <w:color w:val="616161"/>
          <w:spacing w:val="-10"/>
          <w:sz w:val="32"/>
          <w:szCs w:val="32"/>
          <w:lang w:eastAsia="en-GB"/>
        </w:rPr>
        <w:t>stability</w:t>
      </w:r>
      <w:r w:rsidRPr="005F0A67">
        <w:rPr>
          <w:rFonts w:asciiTheme="majorBidi" w:eastAsia="Georgia" w:hAnsiTheme="majorBidi" w:cstheme="majorBidi"/>
          <w:color w:val="616161"/>
          <w:spacing w:val="-3"/>
          <w:sz w:val="32"/>
          <w:szCs w:val="32"/>
          <w:lang w:eastAsia="en-GB"/>
        </w:rPr>
        <w:t xml:space="preserve"> </w:t>
      </w:r>
      <w:r w:rsidRPr="005F0A67">
        <w:rPr>
          <w:rFonts w:asciiTheme="majorBidi" w:eastAsia="Georgia" w:hAnsiTheme="majorBidi" w:cstheme="majorBidi"/>
          <w:color w:val="616161"/>
          <w:spacing w:val="-10"/>
          <w:sz w:val="32"/>
          <w:szCs w:val="32"/>
          <w:lang w:eastAsia="en-GB"/>
        </w:rPr>
        <w:t>and</w:t>
      </w:r>
      <w:r w:rsidRPr="005F0A67">
        <w:rPr>
          <w:rFonts w:asciiTheme="majorBidi" w:eastAsia="Georgia" w:hAnsiTheme="majorBidi" w:cstheme="majorBidi"/>
          <w:color w:val="616161"/>
          <w:spacing w:val="-3"/>
          <w:sz w:val="32"/>
          <w:szCs w:val="32"/>
          <w:lang w:eastAsia="en-GB"/>
        </w:rPr>
        <w:t xml:space="preserve"> </w:t>
      </w:r>
      <w:r w:rsidRPr="005F0A67">
        <w:rPr>
          <w:rFonts w:asciiTheme="majorBidi" w:eastAsia="Georgia" w:hAnsiTheme="majorBidi" w:cstheme="majorBidi"/>
          <w:color w:val="616161"/>
          <w:spacing w:val="-10"/>
          <w:sz w:val="32"/>
          <w:szCs w:val="32"/>
          <w:lang w:eastAsia="en-GB"/>
        </w:rPr>
        <w:t>competitiveness</w:t>
      </w:r>
      <w:r w:rsidRPr="005F0A67">
        <w:rPr>
          <w:rFonts w:asciiTheme="majorBidi" w:eastAsia="Georgia" w:hAnsiTheme="majorBidi" w:cstheme="majorBidi"/>
          <w:color w:val="616161"/>
          <w:spacing w:val="-3"/>
          <w:sz w:val="32"/>
          <w:szCs w:val="32"/>
          <w:lang w:eastAsia="en-GB"/>
        </w:rPr>
        <w:t xml:space="preserve"> </w:t>
      </w:r>
      <w:r w:rsidRPr="005F0A67">
        <w:rPr>
          <w:rFonts w:asciiTheme="majorBidi" w:eastAsia="Georgia" w:hAnsiTheme="majorBidi" w:cstheme="majorBidi"/>
          <w:color w:val="616161"/>
          <w:spacing w:val="-10"/>
          <w:sz w:val="32"/>
          <w:szCs w:val="32"/>
          <w:lang w:eastAsia="en-GB"/>
        </w:rPr>
        <w:t xml:space="preserve">impacts </w:t>
      </w:r>
      <w:r w:rsidRPr="005F0A67">
        <w:rPr>
          <w:rFonts w:asciiTheme="majorBidi" w:eastAsia="Georgia" w:hAnsiTheme="majorBidi" w:cstheme="majorBidi"/>
          <w:color w:val="616161"/>
          <w:spacing w:val="-2"/>
          <w:sz w:val="32"/>
          <w:szCs w:val="32"/>
          <w:lang w:eastAsia="en-GB"/>
        </w:rPr>
        <w:t>study</w:t>
      </w:r>
    </w:p>
    <w:p w14:paraId="2F39BBE3" w14:textId="77777777" w:rsidR="005F0A67" w:rsidRPr="005F0A67" w:rsidRDefault="005F0A67" w:rsidP="005F0A67">
      <w:pPr>
        <w:widowControl w:val="0"/>
        <w:tabs>
          <w:tab w:val="clear" w:pos="567"/>
          <w:tab w:val="clear" w:pos="1134"/>
          <w:tab w:val="clear" w:pos="1701"/>
          <w:tab w:val="clear" w:pos="2268"/>
        </w:tabs>
        <w:spacing w:before="49"/>
        <w:jc w:val="left"/>
        <w:rPr>
          <w:rFonts w:asciiTheme="majorBidi" w:eastAsia="Arial" w:hAnsiTheme="majorBidi" w:cstheme="majorBidi"/>
          <w:b/>
          <w:bCs/>
          <w:sz w:val="14"/>
          <w:szCs w:val="14"/>
          <w:lang w:val="en-US"/>
        </w:rPr>
      </w:pPr>
    </w:p>
    <w:p w14:paraId="54E9B95F" w14:textId="77777777" w:rsidR="005F0A67" w:rsidRPr="005F0A67" w:rsidRDefault="005F0A67" w:rsidP="005F0A67">
      <w:pPr>
        <w:tabs>
          <w:tab w:val="clear" w:pos="567"/>
          <w:tab w:val="clear" w:pos="1134"/>
          <w:tab w:val="clear" w:pos="1701"/>
          <w:tab w:val="clear" w:pos="2268"/>
        </w:tabs>
        <w:spacing w:line="297" w:lineRule="auto"/>
        <w:ind w:left="545" w:right="484" w:firstLine="76"/>
        <w:jc w:val="left"/>
        <w:rPr>
          <w:rFonts w:asciiTheme="majorBidi" w:eastAsia="Times New Roman" w:hAnsiTheme="majorBidi" w:cstheme="majorBidi"/>
          <w:sz w:val="14"/>
          <w:szCs w:val="14"/>
          <w:lang w:val="en-CA" w:eastAsia="en-GB"/>
        </w:rPr>
      </w:pPr>
      <w:r w:rsidRPr="005F0A67">
        <w:rPr>
          <w:rFonts w:asciiTheme="majorBidi" w:eastAsia="Times New Roman" w:hAnsiTheme="majorBidi" w:cstheme="majorBidi"/>
          <w:color w:val="616161"/>
          <w:sz w:val="14"/>
          <w:szCs w:val="14"/>
          <w:lang w:val="en-CA" w:eastAsia="en-GB"/>
        </w:rPr>
        <w:t xml:space="preserve">This study aims to obtain firm-level information required for modelling contribution rates to </w:t>
      </w:r>
      <w:r w:rsidRPr="005F0A67">
        <w:rPr>
          <w:rFonts w:asciiTheme="majorBidi" w:eastAsia="Times New Roman" w:hAnsiTheme="majorBidi" w:cstheme="majorBidi"/>
          <w:b/>
          <w:bCs/>
          <w:color w:val="616161"/>
          <w:sz w:val="14"/>
          <w:szCs w:val="14"/>
          <w:lang w:val="en-CA" w:eastAsia="en-GB"/>
        </w:rPr>
        <w:t>the Cali Fund</w:t>
      </w:r>
      <w:r w:rsidRPr="005F0A67">
        <w:rPr>
          <w:rFonts w:asciiTheme="majorBidi" w:eastAsia="Times New Roman" w:hAnsiTheme="majorBidi" w:cstheme="majorBidi"/>
          <w:color w:val="616161"/>
          <w:sz w:val="14"/>
          <w:szCs w:val="14"/>
          <w:lang w:val="en-CA" w:eastAsia="en-GB"/>
        </w:rPr>
        <w:t>, the new</w:t>
      </w:r>
      <w:r w:rsidRPr="005F0A67">
        <w:rPr>
          <w:rFonts w:asciiTheme="majorBidi" w:eastAsia="Times New Roman" w:hAnsiTheme="majorBidi" w:cstheme="majorBidi"/>
          <w:color w:val="616161"/>
          <w:spacing w:val="40"/>
          <w:sz w:val="14"/>
          <w:szCs w:val="14"/>
          <w:lang w:val="en-CA" w:eastAsia="en-GB"/>
        </w:rPr>
        <w:t xml:space="preserve"> </w:t>
      </w:r>
      <w:r w:rsidRPr="005F0A67">
        <w:rPr>
          <w:rFonts w:asciiTheme="majorBidi" w:eastAsia="Times New Roman" w:hAnsiTheme="majorBidi" w:cstheme="majorBidi"/>
          <w:b/>
          <w:bCs/>
          <w:color w:val="616161"/>
          <w:sz w:val="14"/>
          <w:szCs w:val="14"/>
          <w:lang w:val="en-CA" w:eastAsia="en-GB"/>
        </w:rPr>
        <w:t>multilateral mechanism for benefit-sharing from the use of Digital Sequence Information on genetic resources</w:t>
      </w:r>
      <w:r w:rsidRPr="005F0A67">
        <w:rPr>
          <w:rFonts w:asciiTheme="majorBidi" w:eastAsia="Times New Roman" w:hAnsiTheme="majorBidi" w:cstheme="majorBidi"/>
          <w:b/>
          <w:bCs/>
          <w:color w:val="616161"/>
          <w:spacing w:val="40"/>
          <w:sz w:val="14"/>
          <w:szCs w:val="14"/>
          <w:lang w:val="en-CA" w:eastAsia="en-GB"/>
        </w:rPr>
        <w:t xml:space="preserve"> </w:t>
      </w:r>
      <w:r w:rsidRPr="005F0A67">
        <w:rPr>
          <w:rFonts w:asciiTheme="majorBidi" w:eastAsia="Times New Roman" w:hAnsiTheme="majorBidi" w:cstheme="majorBidi"/>
          <w:b/>
          <w:bCs/>
          <w:color w:val="616161"/>
          <w:sz w:val="14"/>
          <w:szCs w:val="14"/>
          <w:lang w:val="en-CA" w:eastAsia="en-GB"/>
        </w:rPr>
        <w:t>(DSI)</w:t>
      </w:r>
      <w:r w:rsidRPr="005F0A67">
        <w:rPr>
          <w:rFonts w:asciiTheme="majorBidi" w:eastAsia="Times New Roman" w:hAnsiTheme="majorBidi" w:cstheme="majorBidi"/>
          <w:color w:val="616161"/>
          <w:sz w:val="14"/>
          <w:szCs w:val="14"/>
          <w:lang w:val="en-CA" w:eastAsia="en-GB"/>
        </w:rPr>
        <w:t>. The requested data will support quantitative analysis of global industry participation, revenue projections across</w:t>
      </w:r>
      <w:r w:rsidRPr="005F0A67">
        <w:rPr>
          <w:rFonts w:asciiTheme="majorBidi" w:eastAsia="Times New Roman" w:hAnsiTheme="majorBidi" w:cstheme="majorBidi"/>
          <w:color w:val="616161"/>
          <w:spacing w:val="40"/>
          <w:sz w:val="14"/>
          <w:szCs w:val="14"/>
          <w:lang w:val="en-CA" w:eastAsia="en-GB"/>
        </w:rPr>
        <w:t xml:space="preserve"> </w:t>
      </w:r>
      <w:r w:rsidRPr="005F0A67">
        <w:rPr>
          <w:rFonts w:asciiTheme="majorBidi" w:eastAsia="Times New Roman" w:hAnsiTheme="majorBidi" w:cstheme="majorBidi"/>
          <w:color w:val="616161"/>
          <w:sz w:val="14"/>
          <w:szCs w:val="14"/>
          <w:lang w:val="en-CA" w:eastAsia="en-GB"/>
        </w:rPr>
        <w:t>multiple contribution scenarios, and the design of equitable and proportionate contribution models for sectors that use</w:t>
      </w:r>
      <w:r w:rsidRPr="005F0A67">
        <w:rPr>
          <w:rFonts w:asciiTheme="majorBidi" w:eastAsia="Times New Roman" w:hAnsiTheme="majorBidi" w:cstheme="majorBidi"/>
          <w:color w:val="616161"/>
          <w:spacing w:val="40"/>
          <w:sz w:val="14"/>
          <w:szCs w:val="14"/>
          <w:lang w:val="en-CA" w:eastAsia="en-GB"/>
        </w:rPr>
        <w:t xml:space="preserve"> </w:t>
      </w:r>
      <w:r w:rsidRPr="005F0A67">
        <w:rPr>
          <w:rFonts w:asciiTheme="majorBidi" w:eastAsia="Times New Roman" w:hAnsiTheme="majorBidi" w:cstheme="majorBidi"/>
          <w:color w:val="616161"/>
          <w:spacing w:val="-4"/>
          <w:sz w:val="14"/>
          <w:szCs w:val="14"/>
          <w:lang w:val="en-CA" w:eastAsia="en-GB"/>
        </w:rPr>
        <w:t>DSI.</w:t>
      </w:r>
    </w:p>
    <w:p w14:paraId="25795D69" w14:textId="77777777" w:rsidR="005F0A67" w:rsidRPr="005F0A67" w:rsidRDefault="005F0A67" w:rsidP="005F0A67">
      <w:pPr>
        <w:widowControl w:val="0"/>
        <w:tabs>
          <w:tab w:val="clear" w:pos="567"/>
          <w:tab w:val="clear" w:pos="1134"/>
          <w:tab w:val="clear" w:pos="1701"/>
          <w:tab w:val="clear" w:pos="2268"/>
        </w:tabs>
        <w:spacing w:before="41"/>
        <w:jc w:val="left"/>
        <w:rPr>
          <w:rFonts w:asciiTheme="majorBidi" w:eastAsia="Arial" w:hAnsiTheme="majorBidi" w:cstheme="majorBidi"/>
          <w:sz w:val="14"/>
          <w:szCs w:val="14"/>
          <w:lang w:val="en-US"/>
        </w:rPr>
      </w:pPr>
    </w:p>
    <w:p w14:paraId="3C014E33" w14:textId="77777777" w:rsidR="005F0A67" w:rsidRPr="005F0A67" w:rsidRDefault="005F0A67" w:rsidP="005F0A67">
      <w:pPr>
        <w:widowControl w:val="0"/>
        <w:tabs>
          <w:tab w:val="clear" w:pos="567"/>
          <w:tab w:val="clear" w:pos="1134"/>
          <w:tab w:val="clear" w:pos="1701"/>
          <w:tab w:val="clear" w:pos="2268"/>
        </w:tabs>
        <w:spacing w:line="297" w:lineRule="auto"/>
        <w:ind w:left="545" w:right="537"/>
        <w:jc w:val="left"/>
        <w:rPr>
          <w:rFonts w:asciiTheme="majorBidi" w:eastAsia="Arial" w:hAnsiTheme="majorBidi" w:cstheme="majorBidi"/>
          <w:sz w:val="14"/>
          <w:szCs w:val="14"/>
          <w:lang w:val="en-US"/>
        </w:rPr>
      </w:pPr>
      <w:r w:rsidRPr="005F0A67">
        <w:rPr>
          <w:rFonts w:asciiTheme="majorBidi" w:eastAsia="Arial" w:hAnsiTheme="majorBidi" w:cstheme="majorBidi"/>
          <w:color w:val="616161"/>
          <w:sz w:val="14"/>
          <w:szCs w:val="14"/>
          <w:lang w:val="en-US"/>
        </w:rPr>
        <w:t>To support the implementation of Decision 16/2 establishing the Cali Fund, the CBD Secretariat has been requested to</w:t>
      </w:r>
      <w:r w:rsidRPr="005F0A67">
        <w:rPr>
          <w:rFonts w:asciiTheme="majorBidi" w:eastAsia="Arial" w:hAnsiTheme="majorBidi" w:cstheme="majorBidi"/>
          <w:color w:val="616161"/>
          <w:spacing w:val="40"/>
          <w:sz w:val="14"/>
          <w:szCs w:val="14"/>
          <w:lang w:val="en-US"/>
        </w:rPr>
        <w:t xml:space="preserve"> </w:t>
      </w:r>
      <w:r w:rsidRPr="005F0A67">
        <w:rPr>
          <w:rFonts w:asciiTheme="majorBidi" w:eastAsia="Arial" w:hAnsiTheme="majorBidi" w:cstheme="majorBidi"/>
          <w:color w:val="616161"/>
          <w:sz w:val="14"/>
          <w:szCs w:val="14"/>
          <w:lang w:val="en-US"/>
        </w:rPr>
        <w:t>produce</w:t>
      </w:r>
      <w:r w:rsidRPr="005F0A67">
        <w:rPr>
          <w:rFonts w:asciiTheme="majorBidi" w:eastAsia="Arial" w:hAnsiTheme="majorBidi" w:cstheme="majorBidi"/>
          <w:color w:val="616161"/>
          <w:spacing w:val="-4"/>
          <w:sz w:val="14"/>
          <w:szCs w:val="14"/>
          <w:lang w:val="en-US"/>
        </w:rPr>
        <w:t xml:space="preserve"> </w:t>
      </w:r>
      <w:r w:rsidRPr="005F0A67">
        <w:rPr>
          <w:rFonts w:asciiTheme="majorBidi" w:eastAsia="Arial" w:hAnsiTheme="majorBidi" w:cstheme="majorBidi"/>
          <w:color w:val="616161"/>
          <w:sz w:val="14"/>
          <w:szCs w:val="14"/>
          <w:lang w:val="en-US"/>
        </w:rPr>
        <w:t>an</w:t>
      </w:r>
      <w:r w:rsidRPr="005F0A67">
        <w:rPr>
          <w:rFonts w:asciiTheme="majorBidi" w:eastAsia="Arial" w:hAnsiTheme="majorBidi" w:cstheme="majorBidi"/>
          <w:color w:val="616161"/>
          <w:spacing w:val="-4"/>
          <w:sz w:val="14"/>
          <w:szCs w:val="14"/>
          <w:lang w:val="en-US"/>
        </w:rPr>
        <w:t xml:space="preserve"> </w:t>
      </w:r>
      <w:r w:rsidRPr="005F0A67">
        <w:rPr>
          <w:rFonts w:asciiTheme="majorBidi" w:eastAsia="Arial" w:hAnsiTheme="majorBidi" w:cstheme="majorBidi"/>
          <w:color w:val="616161"/>
          <w:sz w:val="14"/>
          <w:szCs w:val="14"/>
          <w:lang w:val="en-US"/>
        </w:rPr>
        <w:t>evidence-based</w:t>
      </w:r>
      <w:r w:rsidRPr="005F0A67">
        <w:rPr>
          <w:rFonts w:asciiTheme="majorBidi" w:eastAsia="Arial" w:hAnsiTheme="majorBidi" w:cstheme="majorBidi"/>
          <w:color w:val="616161"/>
          <w:spacing w:val="-4"/>
          <w:sz w:val="14"/>
          <w:szCs w:val="14"/>
          <w:lang w:val="en-US"/>
        </w:rPr>
        <w:t xml:space="preserve"> </w:t>
      </w:r>
      <w:r w:rsidRPr="005F0A67">
        <w:rPr>
          <w:rFonts w:asciiTheme="majorBidi" w:eastAsia="Arial" w:hAnsiTheme="majorBidi" w:cstheme="majorBidi"/>
          <w:color w:val="616161"/>
          <w:sz w:val="14"/>
          <w:szCs w:val="14"/>
          <w:lang w:val="en-US"/>
        </w:rPr>
        <w:t>assessment</w:t>
      </w:r>
      <w:r w:rsidRPr="005F0A67">
        <w:rPr>
          <w:rFonts w:asciiTheme="majorBidi" w:eastAsia="Arial" w:hAnsiTheme="majorBidi" w:cstheme="majorBidi"/>
          <w:color w:val="616161"/>
          <w:spacing w:val="-4"/>
          <w:sz w:val="14"/>
          <w:szCs w:val="14"/>
          <w:lang w:val="en-US"/>
        </w:rPr>
        <w:t xml:space="preserve"> </w:t>
      </w:r>
      <w:r w:rsidRPr="005F0A67">
        <w:rPr>
          <w:rFonts w:asciiTheme="majorBidi" w:eastAsia="Arial" w:hAnsiTheme="majorBidi" w:cstheme="majorBidi"/>
          <w:color w:val="616161"/>
          <w:sz w:val="14"/>
          <w:szCs w:val="14"/>
          <w:lang w:val="en-US"/>
        </w:rPr>
        <w:t>of</w:t>
      </w:r>
      <w:r w:rsidRPr="005F0A67">
        <w:rPr>
          <w:rFonts w:asciiTheme="majorBidi" w:eastAsia="Arial" w:hAnsiTheme="majorBidi" w:cstheme="majorBidi"/>
          <w:color w:val="616161"/>
          <w:spacing w:val="-4"/>
          <w:sz w:val="14"/>
          <w:szCs w:val="14"/>
          <w:lang w:val="en-US"/>
        </w:rPr>
        <w:t xml:space="preserve"> </w:t>
      </w:r>
      <w:r w:rsidRPr="005F0A67">
        <w:rPr>
          <w:rFonts w:asciiTheme="majorBidi" w:eastAsia="Arial" w:hAnsiTheme="majorBidi" w:cstheme="majorBidi"/>
          <w:color w:val="616161"/>
          <w:sz w:val="14"/>
          <w:szCs w:val="14"/>
          <w:lang w:val="en-US"/>
        </w:rPr>
        <w:t>contribution</w:t>
      </w:r>
      <w:r w:rsidRPr="005F0A67">
        <w:rPr>
          <w:rFonts w:asciiTheme="majorBidi" w:eastAsia="Arial" w:hAnsiTheme="majorBidi" w:cstheme="majorBidi"/>
          <w:color w:val="616161"/>
          <w:spacing w:val="-4"/>
          <w:sz w:val="14"/>
          <w:szCs w:val="14"/>
          <w:lang w:val="en-US"/>
        </w:rPr>
        <w:t xml:space="preserve"> </w:t>
      </w:r>
      <w:r w:rsidRPr="005F0A67">
        <w:rPr>
          <w:rFonts w:asciiTheme="majorBidi" w:eastAsia="Arial" w:hAnsiTheme="majorBidi" w:cstheme="majorBidi"/>
          <w:color w:val="616161"/>
          <w:sz w:val="14"/>
          <w:szCs w:val="14"/>
          <w:lang w:val="en-US"/>
        </w:rPr>
        <w:t>rates</w:t>
      </w:r>
      <w:r w:rsidRPr="005F0A67">
        <w:rPr>
          <w:rFonts w:asciiTheme="majorBidi" w:eastAsia="Arial" w:hAnsiTheme="majorBidi" w:cstheme="majorBidi"/>
          <w:color w:val="616161"/>
          <w:spacing w:val="-4"/>
          <w:sz w:val="14"/>
          <w:szCs w:val="14"/>
          <w:lang w:val="en-US"/>
        </w:rPr>
        <w:t xml:space="preserve"> </w:t>
      </w:r>
      <w:r w:rsidRPr="005F0A67">
        <w:rPr>
          <w:rFonts w:asciiTheme="majorBidi" w:eastAsia="Arial" w:hAnsiTheme="majorBidi" w:cstheme="majorBidi"/>
          <w:color w:val="616161"/>
          <w:sz w:val="14"/>
          <w:szCs w:val="14"/>
          <w:lang w:val="en-US"/>
        </w:rPr>
        <w:t>for</w:t>
      </w:r>
      <w:r w:rsidRPr="005F0A67">
        <w:rPr>
          <w:rFonts w:asciiTheme="majorBidi" w:eastAsia="Arial" w:hAnsiTheme="majorBidi" w:cstheme="majorBidi"/>
          <w:color w:val="616161"/>
          <w:spacing w:val="-4"/>
          <w:sz w:val="14"/>
          <w:szCs w:val="14"/>
          <w:lang w:val="en-US"/>
        </w:rPr>
        <w:t xml:space="preserve"> </w:t>
      </w:r>
      <w:r w:rsidRPr="005F0A67">
        <w:rPr>
          <w:rFonts w:asciiTheme="majorBidi" w:eastAsia="Arial" w:hAnsiTheme="majorBidi" w:cstheme="majorBidi"/>
          <w:color w:val="616161"/>
          <w:sz w:val="14"/>
          <w:szCs w:val="14"/>
          <w:lang w:val="en-US"/>
        </w:rPr>
        <w:t>the</w:t>
      </w:r>
      <w:r w:rsidRPr="005F0A67">
        <w:rPr>
          <w:rFonts w:asciiTheme="majorBidi" w:eastAsia="Arial" w:hAnsiTheme="majorBidi" w:cstheme="majorBidi"/>
          <w:color w:val="616161"/>
          <w:spacing w:val="-4"/>
          <w:sz w:val="14"/>
          <w:szCs w:val="14"/>
          <w:lang w:val="en-US"/>
        </w:rPr>
        <w:t xml:space="preserve"> </w:t>
      </w:r>
      <w:r w:rsidRPr="005F0A67">
        <w:rPr>
          <w:rFonts w:asciiTheme="majorBidi" w:eastAsia="Arial" w:hAnsiTheme="majorBidi" w:cstheme="majorBidi"/>
          <w:color w:val="616161"/>
          <w:sz w:val="14"/>
          <w:szCs w:val="14"/>
          <w:lang w:val="en-US"/>
        </w:rPr>
        <w:t>Fund,</w:t>
      </w:r>
      <w:r w:rsidRPr="005F0A67">
        <w:rPr>
          <w:rFonts w:asciiTheme="majorBidi" w:eastAsia="Arial" w:hAnsiTheme="majorBidi" w:cstheme="majorBidi"/>
          <w:color w:val="616161"/>
          <w:spacing w:val="-4"/>
          <w:sz w:val="14"/>
          <w:szCs w:val="14"/>
          <w:lang w:val="en-US"/>
        </w:rPr>
        <w:t xml:space="preserve"> </w:t>
      </w:r>
      <w:r w:rsidRPr="005F0A67">
        <w:rPr>
          <w:rFonts w:asciiTheme="majorBidi" w:eastAsia="Arial" w:hAnsiTheme="majorBidi" w:cstheme="majorBidi"/>
          <w:color w:val="616161"/>
          <w:sz w:val="14"/>
          <w:szCs w:val="14"/>
          <w:lang w:val="en-US"/>
        </w:rPr>
        <w:t>including</w:t>
      </w:r>
      <w:r w:rsidRPr="005F0A67">
        <w:rPr>
          <w:rFonts w:asciiTheme="majorBidi" w:eastAsia="Arial" w:hAnsiTheme="majorBidi" w:cstheme="majorBidi"/>
          <w:color w:val="616161"/>
          <w:spacing w:val="-4"/>
          <w:sz w:val="14"/>
          <w:szCs w:val="14"/>
          <w:lang w:val="en-US"/>
        </w:rPr>
        <w:t xml:space="preserve"> </w:t>
      </w:r>
      <w:r w:rsidRPr="005F0A67">
        <w:rPr>
          <w:rFonts w:asciiTheme="majorBidi" w:eastAsia="Arial" w:hAnsiTheme="majorBidi" w:cstheme="majorBidi"/>
          <w:color w:val="616161"/>
          <w:sz w:val="14"/>
          <w:szCs w:val="14"/>
          <w:lang w:val="en-US"/>
        </w:rPr>
        <w:t>implications</w:t>
      </w:r>
      <w:r w:rsidRPr="005F0A67">
        <w:rPr>
          <w:rFonts w:asciiTheme="majorBidi" w:eastAsia="Arial" w:hAnsiTheme="majorBidi" w:cstheme="majorBidi"/>
          <w:color w:val="616161"/>
          <w:spacing w:val="-4"/>
          <w:sz w:val="14"/>
          <w:szCs w:val="14"/>
          <w:lang w:val="en-US"/>
        </w:rPr>
        <w:t xml:space="preserve"> </w:t>
      </w:r>
      <w:r w:rsidRPr="005F0A67">
        <w:rPr>
          <w:rFonts w:asciiTheme="majorBidi" w:eastAsia="Arial" w:hAnsiTheme="majorBidi" w:cstheme="majorBidi"/>
          <w:color w:val="616161"/>
          <w:sz w:val="14"/>
          <w:szCs w:val="14"/>
          <w:lang w:val="en-US"/>
        </w:rPr>
        <w:t>for</w:t>
      </w:r>
      <w:r w:rsidRPr="005F0A67">
        <w:rPr>
          <w:rFonts w:asciiTheme="majorBidi" w:eastAsia="Arial" w:hAnsiTheme="majorBidi" w:cstheme="majorBidi"/>
          <w:color w:val="616161"/>
          <w:spacing w:val="-4"/>
          <w:sz w:val="14"/>
          <w:szCs w:val="14"/>
          <w:lang w:val="en-US"/>
        </w:rPr>
        <w:t xml:space="preserve"> </w:t>
      </w:r>
      <w:r w:rsidRPr="005F0A67">
        <w:rPr>
          <w:rFonts w:asciiTheme="majorBidi" w:eastAsia="Arial" w:hAnsiTheme="majorBidi" w:cstheme="majorBidi"/>
          <w:color w:val="616161"/>
          <w:sz w:val="14"/>
          <w:szCs w:val="14"/>
          <w:lang w:val="en-US"/>
        </w:rPr>
        <w:t>revenue</w:t>
      </w:r>
      <w:r w:rsidRPr="005F0A67">
        <w:rPr>
          <w:rFonts w:asciiTheme="majorBidi" w:eastAsia="Arial" w:hAnsiTheme="majorBidi" w:cstheme="majorBidi"/>
          <w:color w:val="616161"/>
          <w:spacing w:val="-4"/>
          <w:sz w:val="14"/>
          <w:szCs w:val="14"/>
          <w:lang w:val="en-US"/>
        </w:rPr>
        <w:t xml:space="preserve"> </w:t>
      </w:r>
      <w:r w:rsidRPr="005F0A67">
        <w:rPr>
          <w:rFonts w:asciiTheme="majorBidi" w:eastAsia="Arial" w:hAnsiTheme="majorBidi" w:cstheme="majorBidi"/>
          <w:color w:val="616161"/>
          <w:sz w:val="14"/>
          <w:szCs w:val="14"/>
          <w:lang w:val="en-US"/>
        </w:rPr>
        <w:t>generation</w:t>
      </w:r>
      <w:r w:rsidRPr="005F0A67">
        <w:rPr>
          <w:rFonts w:asciiTheme="majorBidi" w:eastAsia="Arial" w:hAnsiTheme="majorBidi" w:cstheme="majorBidi"/>
          <w:color w:val="616161"/>
          <w:spacing w:val="40"/>
          <w:sz w:val="14"/>
          <w:szCs w:val="14"/>
          <w:lang w:val="en-US"/>
        </w:rPr>
        <w:t xml:space="preserve"> </w:t>
      </w:r>
      <w:r w:rsidRPr="005F0A67">
        <w:rPr>
          <w:rFonts w:asciiTheme="majorBidi" w:eastAsia="Arial" w:hAnsiTheme="majorBidi" w:cstheme="majorBidi"/>
          <w:color w:val="616161"/>
          <w:sz w:val="14"/>
          <w:szCs w:val="14"/>
          <w:lang w:val="en-US"/>
        </w:rPr>
        <w:t>and economic competitiveness across DSI-dependent sectors. Delivering this analysis requires reliable information on</w:t>
      </w:r>
      <w:r w:rsidRPr="005F0A67">
        <w:rPr>
          <w:rFonts w:asciiTheme="majorBidi" w:eastAsia="Arial" w:hAnsiTheme="majorBidi" w:cstheme="majorBidi"/>
          <w:color w:val="616161"/>
          <w:spacing w:val="40"/>
          <w:sz w:val="14"/>
          <w:szCs w:val="14"/>
          <w:lang w:val="en-US"/>
        </w:rPr>
        <w:t xml:space="preserve"> </w:t>
      </w:r>
      <w:r w:rsidRPr="005F0A67">
        <w:rPr>
          <w:rFonts w:asciiTheme="majorBidi" w:eastAsia="Arial" w:hAnsiTheme="majorBidi" w:cstheme="majorBidi"/>
          <w:color w:val="616161"/>
          <w:sz w:val="14"/>
          <w:szCs w:val="14"/>
          <w:lang w:val="en-US"/>
        </w:rPr>
        <w:t>the</w:t>
      </w:r>
      <w:r w:rsidRPr="005F0A67">
        <w:rPr>
          <w:rFonts w:asciiTheme="majorBidi" w:eastAsia="Arial" w:hAnsiTheme="majorBidi" w:cstheme="majorBidi"/>
          <w:color w:val="616161"/>
          <w:spacing w:val="-3"/>
          <w:sz w:val="14"/>
          <w:szCs w:val="14"/>
          <w:lang w:val="en-US"/>
        </w:rPr>
        <w:t xml:space="preserve"> </w:t>
      </w:r>
      <w:r w:rsidRPr="005F0A67">
        <w:rPr>
          <w:rFonts w:asciiTheme="majorBidi" w:eastAsia="Arial" w:hAnsiTheme="majorBidi" w:cstheme="majorBidi"/>
          <w:color w:val="616161"/>
          <w:sz w:val="14"/>
          <w:szCs w:val="14"/>
          <w:lang w:val="en-US"/>
        </w:rPr>
        <w:t>number,</w:t>
      </w:r>
      <w:r w:rsidRPr="005F0A67">
        <w:rPr>
          <w:rFonts w:asciiTheme="majorBidi" w:eastAsia="Arial" w:hAnsiTheme="majorBidi" w:cstheme="majorBidi"/>
          <w:color w:val="616161"/>
          <w:spacing w:val="-3"/>
          <w:sz w:val="14"/>
          <w:szCs w:val="14"/>
          <w:lang w:val="en-US"/>
        </w:rPr>
        <w:t xml:space="preserve"> </w:t>
      </w:r>
      <w:r w:rsidRPr="005F0A67">
        <w:rPr>
          <w:rFonts w:asciiTheme="majorBidi" w:eastAsia="Arial" w:hAnsiTheme="majorBidi" w:cstheme="majorBidi"/>
          <w:color w:val="616161"/>
          <w:sz w:val="14"/>
          <w:szCs w:val="14"/>
          <w:lang w:val="en-US"/>
        </w:rPr>
        <w:t>size,</w:t>
      </w:r>
      <w:r w:rsidRPr="005F0A67">
        <w:rPr>
          <w:rFonts w:asciiTheme="majorBidi" w:eastAsia="Arial" w:hAnsiTheme="majorBidi" w:cstheme="majorBidi"/>
          <w:color w:val="616161"/>
          <w:spacing w:val="-3"/>
          <w:sz w:val="14"/>
          <w:szCs w:val="14"/>
          <w:lang w:val="en-US"/>
        </w:rPr>
        <w:t xml:space="preserve"> </w:t>
      </w:r>
      <w:r w:rsidRPr="005F0A67">
        <w:rPr>
          <w:rFonts w:asciiTheme="majorBidi" w:eastAsia="Arial" w:hAnsiTheme="majorBidi" w:cstheme="majorBidi"/>
          <w:color w:val="616161"/>
          <w:sz w:val="14"/>
          <w:szCs w:val="14"/>
          <w:lang w:val="en-US"/>
        </w:rPr>
        <w:t>financial</w:t>
      </w:r>
      <w:r w:rsidRPr="005F0A67">
        <w:rPr>
          <w:rFonts w:asciiTheme="majorBidi" w:eastAsia="Arial" w:hAnsiTheme="majorBidi" w:cstheme="majorBidi"/>
          <w:color w:val="616161"/>
          <w:spacing w:val="-3"/>
          <w:sz w:val="14"/>
          <w:szCs w:val="14"/>
          <w:lang w:val="en-US"/>
        </w:rPr>
        <w:t xml:space="preserve"> </w:t>
      </w:r>
      <w:r w:rsidRPr="005F0A67">
        <w:rPr>
          <w:rFonts w:asciiTheme="majorBidi" w:eastAsia="Arial" w:hAnsiTheme="majorBidi" w:cstheme="majorBidi"/>
          <w:color w:val="616161"/>
          <w:sz w:val="14"/>
          <w:szCs w:val="14"/>
          <w:lang w:val="en-US"/>
        </w:rPr>
        <w:t>characteristics,</w:t>
      </w:r>
      <w:r w:rsidRPr="005F0A67">
        <w:rPr>
          <w:rFonts w:asciiTheme="majorBidi" w:eastAsia="Arial" w:hAnsiTheme="majorBidi" w:cstheme="majorBidi"/>
          <w:color w:val="616161"/>
          <w:spacing w:val="-3"/>
          <w:sz w:val="14"/>
          <w:szCs w:val="14"/>
          <w:lang w:val="en-US"/>
        </w:rPr>
        <w:t xml:space="preserve"> </w:t>
      </w:r>
      <w:r w:rsidRPr="005F0A67">
        <w:rPr>
          <w:rFonts w:asciiTheme="majorBidi" w:eastAsia="Arial" w:hAnsiTheme="majorBidi" w:cstheme="majorBidi"/>
          <w:color w:val="616161"/>
          <w:sz w:val="14"/>
          <w:szCs w:val="14"/>
          <w:lang w:val="en-US"/>
        </w:rPr>
        <w:t>use</w:t>
      </w:r>
      <w:r w:rsidRPr="005F0A67">
        <w:rPr>
          <w:rFonts w:asciiTheme="majorBidi" w:eastAsia="Arial" w:hAnsiTheme="majorBidi" w:cstheme="majorBidi"/>
          <w:color w:val="616161"/>
          <w:spacing w:val="-3"/>
          <w:sz w:val="14"/>
          <w:szCs w:val="14"/>
          <w:lang w:val="en-US"/>
        </w:rPr>
        <w:t xml:space="preserve"> </w:t>
      </w:r>
      <w:r w:rsidRPr="005F0A67">
        <w:rPr>
          <w:rFonts w:asciiTheme="majorBidi" w:eastAsia="Arial" w:hAnsiTheme="majorBidi" w:cstheme="majorBidi"/>
          <w:color w:val="616161"/>
          <w:sz w:val="14"/>
          <w:szCs w:val="14"/>
          <w:lang w:val="en-US"/>
        </w:rPr>
        <w:t>of</w:t>
      </w:r>
      <w:r w:rsidRPr="005F0A67">
        <w:rPr>
          <w:rFonts w:asciiTheme="majorBidi" w:eastAsia="Arial" w:hAnsiTheme="majorBidi" w:cstheme="majorBidi"/>
          <w:color w:val="616161"/>
          <w:spacing w:val="-3"/>
          <w:sz w:val="14"/>
          <w:szCs w:val="14"/>
          <w:lang w:val="en-US"/>
        </w:rPr>
        <w:t xml:space="preserve"> </w:t>
      </w:r>
      <w:r w:rsidRPr="005F0A67">
        <w:rPr>
          <w:rFonts w:asciiTheme="majorBidi" w:eastAsia="Arial" w:hAnsiTheme="majorBidi" w:cstheme="majorBidi"/>
          <w:color w:val="616161"/>
          <w:sz w:val="14"/>
          <w:szCs w:val="14"/>
          <w:lang w:val="en-US"/>
        </w:rPr>
        <w:t>DSI</w:t>
      </w:r>
      <w:r w:rsidRPr="005F0A67">
        <w:rPr>
          <w:rFonts w:asciiTheme="majorBidi" w:eastAsia="Arial" w:hAnsiTheme="majorBidi" w:cstheme="majorBidi"/>
          <w:color w:val="616161"/>
          <w:spacing w:val="-3"/>
          <w:sz w:val="14"/>
          <w:szCs w:val="14"/>
          <w:lang w:val="en-US"/>
        </w:rPr>
        <w:t xml:space="preserve"> </w:t>
      </w:r>
      <w:r w:rsidRPr="005F0A67">
        <w:rPr>
          <w:rFonts w:asciiTheme="majorBidi" w:eastAsia="Arial" w:hAnsiTheme="majorBidi" w:cstheme="majorBidi"/>
          <w:color w:val="616161"/>
          <w:sz w:val="14"/>
          <w:szCs w:val="14"/>
          <w:lang w:val="en-US"/>
        </w:rPr>
        <w:t>and</w:t>
      </w:r>
      <w:r w:rsidRPr="005F0A67">
        <w:rPr>
          <w:rFonts w:asciiTheme="majorBidi" w:eastAsia="Arial" w:hAnsiTheme="majorBidi" w:cstheme="majorBidi"/>
          <w:color w:val="616161"/>
          <w:spacing w:val="-3"/>
          <w:sz w:val="14"/>
          <w:szCs w:val="14"/>
          <w:lang w:val="en-US"/>
        </w:rPr>
        <w:t xml:space="preserve"> </w:t>
      </w:r>
      <w:r w:rsidRPr="005F0A67">
        <w:rPr>
          <w:rFonts w:asciiTheme="majorBidi" w:eastAsia="Arial" w:hAnsiTheme="majorBidi" w:cstheme="majorBidi"/>
          <w:color w:val="616161"/>
          <w:sz w:val="14"/>
          <w:szCs w:val="14"/>
          <w:lang w:val="en-US"/>
        </w:rPr>
        <w:t>other</w:t>
      </w:r>
      <w:r w:rsidRPr="005F0A67">
        <w:rPr>
          <w:rFonts w:asciiTheme="majorBidi" w:eastAsia="Arial" w:hAnsiTheme="majorBidi" w:cstheme="majorBidi"/>
          <w:color w:val="616161"/>
          <w:spacing w:val="-3"/>
          <w:sz w:val="14"/>
          <w:szCs w:val="14"/>
          <w:lang w:val="en-US"/>
        </w:rPr>
        <w:t xml:space="preserve"> </w:t>
      </w:r>
      <w:r w:rsidRPr="005F0A67">
        <w:rPr>
          <w:rFonts w:asciiTheme="majorBidi" w:eastAsia="Arial" w:hAnsiTheme="majorBidi" w:cstheme="majorBidi"/>
          <w:color w:val="616161"/>
          <w:sz w:val="14"/>
          <w:szCs w:val="14"/>
          <w:lang w:val="en-US"/>
        </w:rPr>
        <w:t>attributes</w:t>
      </w:r>
      <w:r w:rsidRPr="005F0A67">
        <w:rPr>
          <w:rFonts w:asciiTheme="majorBidi" w:eastAsia="Arial" w:hAnsiTheme="majorBidi" w:cstheme="majorBidi"/>
          <w:color w:val="616161"/>
          <w:spacing w:val="-3"/>
          <w:sz w:val="14"/>
          <w:szCs w:val="14"/>
          <w:lang w:val="en-US"/>
        </w:rPr>
        <w:t xml:space="preserve"> </w:t>
      </w:r>
      <w:r w:rsidRPr="005F0A67">
        <w:rPr>
          <w:rFonts w:asciiTheme="majorBidi" w:eastAsia="Arial" w:hAnsiTheme="majorBidi" w:cstheme="majorBidi"/>
          <w:color w:val="616161"/>
          <w:sz w:val="14"/>
          <w:szCs w:val="14"/>
          <w:lang w:val="en-US"/>
        </w:rPr>
        <w:t>of</w:t>
      </w:r>
      <w:r w:rsidRPr="005F0A67">
        <w:rPr>
          <w:rFonts w:asciiTheme="majorBidi" w:eastAsia="Arial" w:hAnsiTheme="majorBidi" w:cstheme="majorBidi"/>
          <w:color w:val="616161"/>
          <w:spacing w:val="-3"/>
          <w:sz w:val="14"/>
          <w:szCs w:val="14"/>
          <w:lang w:val="en-US"/>
        </w:rPr>
        <w:t xml:space="preserve"> </w:t>
      </w:r>
      <w:r w:rsidRPr="005F0A67">
        <w:rPr>
          <w:rFonts w:asciiTheme="majorBidi" w:eastAsia="Arial" w:hAnsiTheme="majorBidi" w:cstheme="majorBidi"/>
          <w:color w:val="616161"/>
          <w:sz w:val="14"/>
          <w:szCs w:val="14"/>
          <w:lang w:val="en-US"/>
        </w:rPr>
        <w:t>firms</w:t>
      </w:r>
      <w:r w:rsidRPr="005F0A67">
        <w:rPr>
          <w:rFonts w:asciiTheme="majorBidi" w:eastAsia="Arial" w:hAnsiTheme="majorBidi" w:cstheme="majorBidi"/>
          <w:color w:val="616161"/>
          <w:spacing w:val="-3"/>
          <w:sz w:val="14"/>
          <w:szCs w:val="14"/>
          <w:lang w:val="en-US"/>
        </w:rPr>
        <w:t xml:space="preserve"> </w:t>
      </w:r>
      <w:r w:rsidRPr="005F0A67">
        <w:rPr>
          <w:rFonts w:asciiTheme="majorBidi" w:eastAsia="Arial" w:hAnsiTheme="majorBidi" w:cstheme="majorBidi"/>
          <w:color w:val="616161"/>
          <w:sz w:val="14"/>
          <w:szCs w:val="14"/>
          <w:lang w:val="en-US"/>
        </w:rPr>
        <w:t>that</w:t>
      </w:r>
      <w:r w:rsidRPr="005F0A67">
        <w:rPr>
          <w:rFonts w:asciiTheme="majorBidi" w:eastAsia="Arial" w:hAnsiTheme="majorBidi" w:cstheme="majorBidi"/>
          <w:color w:val="616161"/>
          <w:spacing w:val="-3"/>
          <w:sz w:val="14"/>
          <w:szCs w:val="14"/>
          <w:lang w:val="en-US"/>
        </w:rPr>
        <w:t xml:space="preserve"> </w:t>
      </w:r>
      <w:r w:rsidRPr="005F0A67">
        <w:rPr>
          <w:rFonts w:asciiTheme="majorBidi" w:eastAsia="Arial" w:hAnsiTheme="majorBidi" w:cstheme="majorBidi"/>
          <w:color w:val="616161"/>
          <w:sz w:val="14"/>
          <w:szCs w:val="14"/>
          <w:lang w:val="en-US"/>
        </w:rPr>
        <w:t>fall</w:t>
      </w:r>
      <w:r w:rsidRPr="005F0A67">
        <w:rPr>
          <w:rFonts w:asciiTheme="majorBidi" w:eastAsia="Arial" w:hAnsiTheme="majorBidi" w:cstheme="majorBidi"/>
          <w:color w:val="616161"/>
          <w:spacing w:val="-3"/>
          <w:sz w:val="14"/>
          <w:szCs w:val="14"/>
          <w:lang w:val="en-US"/>
        </w:rPr>
        <w:t xml:space="preserve"> </w:t>
      </w:r>
      <w:r w:rsidRPr="005F0A67">
        <w:rPr>
          <w:rFonts w:asciiTheme="majorBidi" w:eastAsia="Arial" w:hAnsiTheme="majorBidi" w:cstheme="majorBidi"/>
          <w:color w:val="616161"/>
          <w:sz w:val="14"/>
          <w:szCs w:val="14"/>
          <w:lang w:val="en-US"/>
        </w:rPr>
        <w:t>within</w:t>
      </w:r>
      <w:r w:rsidRPr="005F0A67">
        <w:rPr>
          <w:rFonts w:asciiTheme="majorBidi" w:eastAsia="Arial" w:hAnsiTheme="majorBidi" w:cstheme="majorBidi"/>
          <w:color w:val="616161"/>
          <w:spacing w:val="-3"/>
          <w:sz w:val="14"/>
          <w:szCs w:val="14"/>
          <w:lang w:val="en-US"/>
        </w:rPr>
        <w:t xml:space="preserve"> </w:t>
      </w:r>
      <w:r w:rsidRPr="005F0A67">
        <w:rPr>
          <w:rFonts w:asciiTheme="majorBidi" w:eastAsia="Arial" w:hAnsiTheme="majorBidi" w:cstheme="majorBidi"/>
          <w:color w:val="616161"/>
          <w:sz w:val="14"/>
          <w:szCs w:val="14"/>
          <w:lang w:val="en-US"/>
        </w:rPr>
        <w:t>the</w:t>
      </w:r>
      <w:r w:rsidRPr="005F0A67">
        <w:rPr>
          <w:rFonts w:asciiTheme="majorBidi" w:eastAsia="Arial" w:hAnsiTheme="majorBidi" w:cstheme="majorBidi"/>
          <w:color w:val="616161"/>
          <w:spacing w:val="-3"/>
          <w:sz w:val="14"/>
          <w:szCs w:val="14"/>
          <w:lang w:val="en-US"/>
        </w:rPr>
        <w:t xml:space="preserve"> </w:t>
      </w:r>
      <w:r w:rsidRPr="005F0A67">
        <w:rPr>
          <w:rFonts w:asciiTheme="majorBidi" w:eastAsia="Arial" w:hAnsiTheme="majorBidi" w:cstheme="majorBidi"/>
          <w:color w:val="616161"/>
          <w:sz w:val="14"/>
          <w:szCs w:val="14"/>
          <w:lang w:val="en-US"/>
        </w:rPr>
        <w:t>Decision’s</w:t>
      </w:r>
      <w:r w:rsidRPr="005F0A67">
        <w:rPr>
          <w:rFonts w:asciiTheme="majorBidi" w:eastAsia="Arial" w:hAnsiTheme="majorBidi" w:cstheme="majorBidi"/>
          <w:color w:val="616161"/>
          <w:spacing w:val="-3"/>
          <w:sz w:val="14"/>
          <w:szCs w:val="14"/>
          <w:lang w:val="en-US"/>
        </w:rPr>
        <w:t xml:space="preserve"> </w:t>
      </w:r>
      <w:r w:rsidRPr="005F0A67">
        <w:rPr>
          <w:rFonts w:asciiTheme="majorBidi" w:eastAsia="Arial" w:hAnsiTheme="majorBidi" w:cstheme="majorBidi"/>
          <w:color w:val="616161"/>
          <w:sz w:val="14"/>
          <w:szCs w:val="14"/>
          <w:lang w:val="en-US"/>
        </w:rPr>
        <w:t>definition</w:t>
      </w:r>
      <w:r w:rsidRPr="005F0A67">
        <w:rPr>
          <w:rFonts w:asciiTheme="majorBidi" w:eastAsia="Arial" w:hAnsiTheme="majorBidi" w:cstheme="majorBidi"/>
          <w:color w:val="616161"/>
          <w:spacing w:val="40"/>
          <w:sz w:val="14"/>
          <w:szCs w:val="14"/>
          <w:lang w:val="en-US"/>
        </w:rPr>
        <w:t xml:space="preserve"> </w:t>
      </w:r>
      <w:r w:rsidRPr="005F0A67">
        <w:rPr>
          <w:rFonts w:asciiTheme="majorBidi" w:eastAsia="Arial" w:hAnsiTheme="majorBidi" w:cstheme="majorBidi"/>
          <w:color w:val="616161"/>
          <w:sz w:val="14"/>
          <w:szCs w:val="14"/>
          <w:lang w:val="en-US"/>
        </w:rPr>
        <w:t>of potential contributors (see ‘Cali Fund Contributors’ below). Because no global dataset currently provides consistent</w:t>
      </w:r>
      <w:r w:rsidRPr="005F0A67">
        <w:rPr>
          <w:rFonts w:asciiTheme="majorBidi" w:eastAsia="Arial" w:hAnsiTheme="majorBidi" w:cstheme="majorBidi"/>
          <w:color w:val="616161"/>
          <w:spacing w:val="40"/>
          <w:sz w:val="14"/>
          <w:szCs w:val="14"/>
          <w:lang w:val="en-US"/>
        </w:rPr>
        <w:t xml:space="preserve"> </w:t>
      </w:r>
      <w:r w:rsidRPr="005F0A67">
        <w:rPr>
          <w:rFonts w:asciiTheme="majorBidi" w:eastAsia="Arial" w:hAnsiTheme="majorBidi" w:cstheme="majorBidi"/>
          <w:color w:val="616161"/>
          <w:sz w:val="14"/>
          <w:szCs w:val="14"/>
          <w:lang w:val="en-US"/>
        </w:rPr>
        <w:t>firm-level information across all these dimensions, targeted data collection is necessary to construct a robust sample of</w:t>
      </w:r>
      <w:r w:rsidRPr="005F0A67">
        <w:rPr>
          <w:rFonts w:asciiTheme="majorBidi" w:eastAsia="Arial" w:hAnsiTheme="majorBidi" w:cstheme="majorBidi"/>
          <w:color w:val="616161"/>
          <w:spacing w:val="40"/>
          <w:sz w:val="14"/>
          <w:szCs w:val="14"/>
          <w:lang w:val="en-US"/>
        </w:rPr>
        <w:t xml:space="preserve"> </w:t>
      </w:r>
      <w:r w:rsidRPr="005F0A67">
        <w:rPr>
          <w:rFonts w:asciiTheme="majorBidi" w:eastAsia="Arial" w:hAnsiTheme="majorBidi" w:cstheme="majorBidi"/>
          <w:color w:val="616161"/>
          <w:sz w:val="14"/>
          <w:szCs w:val="14"/>
          <w:lang w:val="en-US"/>
        </w:rPr>
        <w:t>global firms required for the analysis.</w:t>
      </w:r>
    </w:p>
    <w:p w14:paraId="1921D831" w14:textId="77777777" w:rsidR="005F0A67" w:rsidRPr="005F0A67" w:rsidRDefault="005F0A67" w:rsidP="005F0A67">
      <w:pPr>
        <w:widowControl w:val="0"/>
        <w:tabs>
          <w:tab w:val="clear" w:pos="567"/>
          <w:tab w:val="clear" w:pos="1134"/>
          <w:tab w:val="clear" w:pos="1701"/>
          <w:tab w:val="clear" w:pos="2268"/>
        </w:tabs>
        <w:spacing w:before="42"/>
        <w:jc w:val="left"/>
        <w:rPr>
          <w:rFonts w:asciiTheme="majorBidi" w:eastAsia="Arial" w:hAnsiTheme="majorBidi" w:cstheme="majorBidi"/>
          <w:sz w:val="14"/>
          <w:szCs w:val="14"/>
          <w:lang w:val="en-US"/>
        </w:rPr>
      </w:pPr>
    </w:p>
    <w:p w14:paraId="426F853A" w14:textId="77777777" w:rsidR="005F0A67" w:rsidRPr="005F0A67" w:rsidRDefault="005F0A67" w:rsidP="005F0A67">
      <w:pPr>
        <w:widowControl w:val="0"/>
        <w:tabs>
          <w:tab w:val="clear" w:pos="567"/>
          <w:tab w:val="clear" w:pos="1134"/>
          <w:tab w:val="clear" w:pos="1701"/>
          <w:tab w:val="clear" w:pos="2268"/>
        </w:tabs>
        <w:spacing w:line="297" w:lineRule="auto"/>
        <w:ind w:left="545" w:right="484"/>
        <w:jc w:val="left"/>
        <w:rPr>
          <w:rFonts w:asciiTheme="majorBidi" w:eastAsia="Arial" w:hAnsiTheme="majorBidi" w:cstheme="majorBidi"/>
          <w:sz w:val="14"/>
          <w:szCs w:val="14"/>
          <w:lang w:val="en-US"/>
        </w:rPr>
      </w:pPr>
      <w:r w:rsidRPr="005F0A67">
        <w:rPr>
          <w:rFonts w:asciiTheme="majorBidi" w:eastAsia="Arial" w:hAnsiTheme="majorBidi" w:cstheme="majorBidi"/>
          <w:color w:val="616161"/>
          <w:sz w:val="14"/>
          <w:szCs w:val="14"/>
          <w:lang w:val="en-US"/>
        </w:rPr>
        <w:t>This Data Request is intended to address this evidence gap by collecting the information required to model Cali Fund</w:t>
      </w:r>
      <w:r w:rsidRPr="005F0A67">
        <w:rPr>
          <w:rFonts w:asciiTheme="majorBidi" w:eastAsia="Arial" w:hAnsiTheme="majorBidi" w:cstheme="majorBidi"/>
          <w:color w:val="616161"/>
          <w:spacing w:val="40"/>
          <w:sz w:val="14"/>
          <w:szCs w:val="14"/>
          <w:lang w:val="en-US"/>
        </w:rPr>
        <w:t xml:space="preserve"> </w:t>
      </w:r>
      <w:r w:rsidRPr="005F0A67">
        <w:rPr>
          <w:rFonts w:asciiTheme="majorBidi" w:eastAsia="Arial" w:hAnsiTheme="majorBidi" w:cstheme="majorBidi"/>
          <w:color w:val="616161"/>
          <w:sz w:val="14"/>
          <w:szCs w:val="14"/>
          <w:lang w:val="en-US"/>
        </w:rPr>
        <w:t>contribution rates and assess their potential impacts on affected businesses. By providing the requested data, your</w:t>
      </w:r>
      <w:r w:rsidRPr="005F0A67">
        <w:rPr>
          <w:rFonts w:asciiTheme="majorBidi" w:eastAsia="Arial" w:hAnsiTheme="majorBidi" w:cstheme="majorBidi"/>
          <w:color w:val="616161"/>
          <w:spacing w:val="40"/>
          <w:sz w:val="14"/>
          <w:szCs w:val="14"/>
          <w:lang w:val="en-US"/>
        </w:rPr>
        <w:t xml:space="preserve"> </w:t>
      </w:r>
      <w:r w:rsidRPr="005F0A67">
        <w:rPr>
          <w:rFonts w:asciiTheme="majorBidi" w:eastAsia="Arial" w:hAnsiTheme="majorBidi" w:cstheme="majorBidi"/>
          <w:color w:val="616161"/>
          <w:sz w:val="14"/>
          <w:szCs w:val="14"/>
          <w:lang w:val="en-US"/>
        </w:rPr>
        <w:t>organization will directly support the quality and credibility of the underlying analysis, helping ensure that future reviews</w:t>
      </w:r>
      <w:r w:rsidRPr="005F0A67">
        <w:rPr>
          <w:rFonts w:asciiTheme="majorBidi" w:eastAsia="Arial" w:hAnsiTheme="majorBidi" w:cstheme="majorBidi"/>
          <w:color w:val="616161"/>
          <w:spacing w:val="40"/>
          <w:sz w:val="14"/>
          <w:szCs w:val="14"/>
          <w:lang w:val="en-US"/>
        </w:rPr>
        <w:t xml:space="preserve"> </w:t>
      </w:r>
      <w:r w:rsidRPr="005F0A67">
        <w:rPr>
          <w:rFonts w:asciiTheme="majorBidi" w:eastAsia="Arial" w:hAnsiTheme="majorBidi" w:cstheme="majorBidi"/>
          <w:color w:val="616161"/>
          <w:sz w:val="14"/>
          <w:szCs w:val="14"/>
          <w:lang w:val="en-US"/>
        </w:rPr>
        <w:t>and revisions of the Fund are informed by realistic estimates of sector dynamics.</w:t>
      </w:r>
    </w:p>
    <w:p w14:paraId="4B56C91A" w14:textId="77777777" w:rsidR="005F0A67" w:rsidRPr="005F0A67" w:rsidRDefault="005F0A67" w:rsidP="005F0A67">
      <w:pPr>
        <w:numPr>
          <w:ilvl w:val="0"/>
          <w:numId w:val="12"/>
        </w:numPr>
        <w:tabs>
          <w:tab w:val="clear" w:pos="567"/>
          <w:tab w:val="clear" w:pos="1134"/>
          <w:tab w:val="clear" w:pos="1701"/>
          <w:tab w:val="clear" w:pos="2268"/>
        </w:tabs>
        <w:spacing w:before="2" w:after="120"/>
        <w:ind w:left="0" w:firstLine="545"/>
        <w:jc w:val="left"/>
        <w:outlineLvl w:val="3"/>
        <w:rPr>
          <w:rFonts w:asciiTheme="majorBidi" w:eastAsia="Georgia" w:hAnsiTheme="majorBidi" w:cstheme="majorBidi"/>
          <w:b/>
          <w:bCs/>
          <w:color w:val="0F4761"/>
          <w:sz w:val="16"/>
          <w:szCs w:val="16"/>
          <w:lang w:val="en-CA" w:eastAsia="en-GB"/>
        </w:rPr>
      </w:pPr>
      <w:r w:rsidRPr="005F0A67">
        <w:rPr>
          <w:rFonts w:asciiTheme="majorBidi" w:eastAsia="Georgia" w:hAnsiTheme="majorBidi" w:cstheme="majorBidi"/>
          <w:b/>
          <w:bCs/>
          <w:color w:val="616161"/>
          <w:sz w:val="16"/>
          <w:szCs w:val="16"/>
          <w:lang w:val="en-CA" w:eastAsia="en-GB"/>
        </w:rPr>
        <w:t>We</w:t>
      </w:r>
      <w:r w:rsidRPr="005F0A67">
        <w:rPr>
          <w:rFonts w:asciiTheme="majorBidi" w:eastAsia="Georgia" w:hAnsiTheme="majorBidi" w:cstheme="majorBidi"/>
          <w:b/>
          <w:bCs/>
          <w:color w:val="616161"/>
          <w:spacing w:val="-9"/>
          <w:sz w:val="16"/>
          <w:szCs w:val="16"/>
          <w:lang w:val="en-CA" w:eastAsia="en-GB"/>
        </w:rPr>
        <w:t xml:space="preserve"> </w:t>
      </w:r>
      <w:r w:rsidRPr="005F0A67">
        <w:rPr>
          <w:rFonts w:asciiTheme="majorBidi" w:eastAsia="Georgia" w:hAnsiTheme="majorBidi" w:cstheme="majorBidi"/>
          <w:b/>
          <w:bCs/>
          <w:color w:val="616161"/>
          <w:sz w:val="16"/>
          <w:szCs w:val="16"/>
          <w:lang w:val="en-CA" w:eastAsia="en-GB"/>
        </w:rPr>
        <w:t>thank</w:t>
      </w:r>
      <w:r w:rsidRPr="005F0A67">
        <w:rPr>
          <w:rFonts w:asciiTheme="majorBidi" w:eastAsia="Georgia" w:hAnsiTheme="majorBidi" w:cstheme="majorBidi"/>
          <w:b/>
          <w:bCs/>
          <w:color w:val="616161"/>
          <w:spacing w:val="-9"/>
          <w:sz w:val="16"/>
          <w:szCs w:val="16"/>
          <w:lang w:val="en-CA" w:eastAsia="en-GB"/>
        </w:rPr>
        <w:t xml:space="preserve"> </w:t>
      </w:r>
      <w:r w:rsidRPr="005F0A67">
        <w:rPr>
          <w:rFonts w:asciiTheme="majorBidi" w:eastAsia="Georgia" w:hAnsiTheme="majorBidi" w:cstheme="majorBidi"/>
          <w:b/>
          <w:bCs/>
          <w:color w:val="616161"/>
          <w:sz w:val="16"/>
          <w:szCs w:val="16"/>
          <w:lang w:val="en-CA" w:eastAsia="en-GB"/>
        </w:rPr>
        <w:t>you</w:t>
      </w:r>
      <w:r w:rsidRPr="005F0A67">
        <w:rPr>
          <w:rFonts w:asciiTheme="majorBidi" w:eastAsia="Georgia" w:hAnsiTheme="majorBidi" w:cstheme="majorBidi"/>
          <w:b/>
          <w:bCs/>
          <w:color w:val="616161"/>
          <w:spacing w:val="-9"/>
          <w:sz w:val="16"/>
          <w:szCs w:val="16"/>
          <w:lang w:val="en-CA" w:eastAsia="en-GB"/>
        </w:rPr>
        <w:t xml:space="preserve"> </w:t>
      </w:r>
      <w:r w:rsidRPr="005F0A67">
        <w:rPr>
          <w:rFonts w:asciiTheme="majorBidi" w:eastAsia="Georgia" w:hAnsiTheme="majorBidi" w:cstheme="majorBidi"/>
          <w:b/>
          <w:bCs/>
          <w:color w:val="616161"/>
          <w:sz w:val="16"/>
          <w:szCs w:val="16"/>
          <w:lang w:val="en-CA" w:eastAsia="en-GB"/>
        </w:rPr>
        <w:t>in</w:t>
      </w:r>
      <w:r w:rsidRPr="005F0A67">
        <w:rPr>
          <w:rFonts w:asciiTheme="majorBidi" w:eastAsia="Georgia" w:hAnsiTheme="majorBidi" w:cstheme="majorBidi"/>
          <w:b/>
          <w:bCs/>
          <w:color w:val="616161"/>
          <w:spacing w:val="-9"/>
          <w:sz w:val="16"/>
          <w:szCs w:val="16"/>
          <w:lang w:val="en-CA" w:eastAsia="en-GB"/>
        </w:rPr>
        <w:t xml:space="preserve"> </w:t>
      </w:r>
      <w:r w:rsidRPr="005F0A67">
        <w:rPr>
          <w:rFonts w:asciiTheme="majorBidi" w:eastAsia="Georgia" w:hAnsiTheme="majorBidi" w:cstheme="majorBidi"/>
          <w:b/>
          <w:bCs/>
          <w:color w:val="616161"/>
          <w:sz w:val="16"/>
          <w:szCs w:val="16"/>
          <w:lang w:val="en-CA" w:eastAsia="en-GB"/>
        </w:rPr>
        <w:t>advance</w:t>
      </w:r>
      <w:r w:rsidRPr="005F0A67">
        <w:rPr>
          <w:rFonts w:asciiTheme="majorBidi" w:eastAsia="Georgia" w:hAnsiTheme="majorBidi" w:cstheme="majorBidi"/>
          <w:b/>
          <w:bCs/>
          <w:color w:val="616161"/>
          <w:spacing w:val="-9"/>
          <w:sz w:val="16"/>
          <w:szCs w:val="16"/>
          <w:lang w:val="en-CA" w:eastAsia="en-GB"/>
        </w:rPr>
        <w:t xml:space="preserve"> </w:t>
      </w:r>
      <w:r w:rsidRPr="005F0A67">
        <w:rPr>
          <w:rFonts w:asciiTheme="majorBidi" w:eastAsia="Georgia" w:hAnsiTheme="majorBidi" w:cstheme="majorBidi"/>
          <w:b/>
          <w:bCs/>
          <w:color w:val="616161"/>
          <w:sz w:val="16"/>
          <w:szCs w:val="16"/>
          <w:lang w:val="en-CA" w:eastAsia="en-GB"/>
        </w:rPr>
        <w:t>for</w:t>
      </w:r>
      <w:r w:rsidRPr="005F0A67">
        <w:rPr>
          <w:rFonts w:asciiTheme="majorBidi" w:eastAsia="Georgia" w:hAnsiTheme="majorBidi" w:cstheme="majorBidi"/>
          <w:b/>
          <w:bCs/>
          <w:color w:val="616161"/>
          <w:spacing w:val="-9"/>
          <w:sz w:val="16"/>
          <w:szCs w:val="16"/>
          <w:lang w:val="en-CA" w:eastAsia="en-GB"/>
        </w:rPr>
        <w:t xml:space="preserve"> </w:t>
      </w:r>
      <w:r w:rsidRPr="005F0A67">
        <w:rPr>
          <w:rFonts w:asciiTheme="majorBidi" w:eastAsia="Georgia" w:hAnsiTheme="majorBidi" w:cstheme="majorBidi"/>
          <w:b/>
          <w:bCs/>
          <w:color w:val="616161"/>
          <w:sz w:val="16"/>
          <w:szCs w:val="16"/>
          <w:lang w:val="en-CA" w:eastAsia="en-GB"/>
        </w:rPr>
        <w:t>your</w:t>
      </w:r>
      <w:r w:rsidRPr="005F0A67">
        <w:rPr>
          <w:rFonts w:asciiTheme="majorBidi" w:eastAsia="Georgia" w:hAnsiTheme="majorBidi" w:cstheme="majorBidi"/>
          <w:b/>
          <w:bCs/>
          <w:color w:val="616161"/>
          <w:spacing w:val="-9"/>
          <w:sz w:val="16"/>
          <w:szCs w:val="16"/>
          <w:lang w:val="en-CA" w:eastAsia="en-GB"/>
        </w:rPr>
        <w:t xml:space="preserve"> </w:t>
      </w:r>
      <w:r w:rsidRPr="005F0A67">
        <w:rPr>
          <w:rFonts w:asciiTheme="majorBidi" w:eastAsia="Georgia" w:hAnsiTheme="majorBidi" w:cstheme="majorBidi"/>
          <w:b/>
          <w:bCs/>
          <w:color w:val="616161"/>
          <w:sz w:val="16"/>
          <w:szCs w:val="16"/>
          <w:lang w:val="en-CA" w:eastAsia="en-GB"/>
        </w:rPr>
        <w:t>assistance</w:t>
      </w:r>
      <w:r w:rsidRPr="005F0A67">
        <w:rPr>
          <w:rFonts w:asciiTheme="majorBidi" w:eastAsia="Georgia" w:hAnsiTheme="majorBidi" w:cstheme="majorBidi"/>
          <w:b/>
          <w:bCs/>
          <w:color w:val="616161"/>
          <w:spacing w:val="-8"/>
          <w:sz w:val="16"/>
          <w:szCs w:val="16"/>
          <w:lang w:val="en-CA" w:eastAsia="en-GB"/>
        </w:rPr>
        <w:t xml:space="preserve"> </w:t>
      </w:r>
      <w:r w:rsidRPr="005F0A67">
        <w:rPr>
          <w:rFonts w:asciiTheme="majorBidi" w:eastAsia="Georgia" w:hAnsiTheme="majorBidi" w:cstheme="majorBidi"/>
          <w:b/>
          <w:bCs/>
          <w:color w:val="616161"/>
          <w:sz w:val="16"/>
          <w:szCs w:val="16"/>
          <w:lang w:val="en-CA" w:eastAsia="en-GB"/>
        </w:rPr>
        <w:t>and</w:t>
      </w:r>
      <w:r w:rsidRPr="005F0A67">
        <w:rPr>
          <w:rFonts w:asciiTheme="majorBidi" w:eastAsia="Georgia" w:hAnsiTheme="majorBidi" w:cstheme="majorBidi"/>
          <w:b/>
          <w:bCs/>
          <w:color w:val="616161"/>
          <w:spacing w:val="-9"/>
          <w:sz w:val="16"/>
          <w:szCs w:val="16"/>
          <w:lang w:val="en-CA" w:eastAsia="en-GB"/>
        </w:rPr>
        <w:t xml:space="preserve"> </w:t>
      </w:r>
      <w:r w:rsidRPr="005F0A67">
        <w:rPr>
          <w:rFonts w:asciiTheme="majorBidi" w:eastAsia="Georgia" w:hAnsiTheme="majorBidi" w:cstheme="majorBidi"/>
          <w:b/>
          <w:bCs/>
          <w:color w:val="616161"/>
          <w:sz w:val="16"/>
          <w:szCs w:val="16"/>
          <w:lang w:val="en-CA" w:eastAsia="en-GB"/>
        </w:rPr>
        <w:t>contribution</w:t>
      </w:r>
      <w:r w:rsidRPr="005F0A67">
        <w:rPr>
          <w:rFonts w:asciiTheme="majorBidi" w:eastAsia="Georgia" w:hAnsiTheme="majorBidi" w:cstheme="majorBidi"/>
          <w:b/>
          <w:bCs/>
          <w:color w:val="616161"/>
          <w:spacing w:val="-9"/>
          <w:sz w:val="16"/>
          <w:szCs w:val="16"/>
          <w:lang w:val="en-CA" w:eastAsia="en-GB"/>
        </w:rPr>
        <w:t xml:space="preserve"> </w:t>
      </w:r>
      <w:r w:rsidRPr="005F0A67">
        <w:rPr>
          <w:rFonts w:asciiTheme="majorBidi" w:eastAsia="Georgia" w:hAnsiTheme="majorBidi" w:cstheme="majorBidi"/>
          <w:b/>
          <w:bCs/>
          <w:color w:val="616161"/>
          <w:sz w:val="16"/>
          <w:szCs w:val="16"/>
          <w:lang w:val="en-CA" w:eastAsia="en-GB"/>
        </w:rPr>
        <w:t>to</w:t>
      </w:r>
      <w:r w:rsidRPr="005F0A67">
        <w:rPr>
          <w:rFonts w:asciiTheme="majorBidi" w:eastAsia="Georgia" w:hAnsiTheme="majorBidi" w:cstheme="majorBidi"/>
          <w:b/>
          <w:bCs/>
          <w:color w:val="616161"/>
          <w:spacing w:val="-9"/>
          <w:sz w:val="16"/>
          <w:szCs w:val="16"/>
          <w:lang w:val="en-CA" w:eastAsia="en-GB"/>
        </w:rPr>
        <w:t xml:space="preserve"> </w:t>
      </w:r>
      <w:r w:rsidRPr="005F0A67">
        <w:rPr>
          <w:rFonts w:asciiTheme="majorBidi" w:eastAsia="Georgia" w:hAnsiTheme="majorBidi" w:cstheme="majorBidi"/>
          <w:b/>
          <w:bCs/>
          <w:color w:val="616161"/>
          <w:sz w:val="16"/>
          <w:szCs w:val="16"/>
          <w:lang w:val="en-CA" w:eastAsia="en-GB"/>
        </w:rPr>
        <w:t>this</w:t>
      </w:r>
      <w:r w:rsidRPr="005F0A67">
        <w:rPr>
          <w:rFonts w:asciiTheme="majorBidi" w:eastAsia="Georgia" w:hAnsiTheme="majorBidi" w:cstheme="majorBidi"/>
          <w:b/>
          <w:bCs/>
          <w:color w:val="616161"/>
          <w:spacing w:val="-9"/>
          <w:sz w:val="16"/>
          <w:szCs w:val="16"/>
          <w:lang w:val="en-CA" w:eastAsia="en-GB"/>
        </w:rPr>
        <w:t xml:space="preserve"> </w:t>
      </w:r>
      <w:r w:rsidRPr="005F0A67">
        <w:rPr>
          <w:rFonts w:asciiTheme="majorBidi" w:eastAsia="Georgia" w:hAnsiTheme="majorBidi" w:cstheme="majorBidi"/>
          <w:b/>
          <w:bCs/>
          <w:color w:val="616161"/>
          <w:spacing w:val="-2"/>
          <w:sz w:val="16"/>
          <w:szCs w:val="16"/>
          <w:lang w:val="en-CA" w:eastAsia="en-GB"/>
        </w:rPr>
        <w:t>work.</w:t>
      </w:r>
    </w:p>
    <w:p w14:paraId="5B6DCBC7" w14:textId="77777777" w:rsidR="005F0A67" w:rsidRPr="005F0A67" w:rsidRDefault="005F0A67" w:rsidP="005F0A67">
      <w:pPr>
        <w:widowControl w:val="0"/>
        <w:tabs>
          <w:tab w:val="clear" w:pos="567"/>
          <w:tab w:val="clear" w:pos="1134"/>
          <w:tab w:val="clear" w:pos="1701"/>
          <w:tab w:val="clear" w:pos="2268"/>
        </w:tabs>
        <w:spacing w:before="77"/>
        <w:jc w:val="left"/>
        <w:rPr>
          <w:rFonts w:asciiTheme="majorBidi" w:eastAsia="Arial" w:hAnsiTheme="majorBidi" w:cstheme="majorBidi"/>
          <w:b/>
          <w:bCs/>
          <w:sz w:val="8"/>
          <w:szCs w:val="8"/>
          <w:lang w:val="en-US"/>
        </w:rPr>
      </w:pPr>
    </w:p>
    <w:p w14:paraId="1E2F6943" w14:textId="77777777" w:rsidR="005F0A67" w:rsidRPr="005F0A67" w:rsidRDefault="005F0A67" w:rsidP="005F0A67">
      <w:pPr>
        <w:widowControl w:val="0"/>
        <w:tabs>
          <w:tab w:val="clear" w:pos="567"/>
          <w:tab w:val="clear" w:pos="1134"/>
          <w:tab w:val="clear" w:pos="1701"/>
          <w:tab w:val="clear" w:pos="2268"/>
        </w:tabs>
        <w:spacing w:before="1" w:line="297" w:lineRule="auto"/>
        <w:ind w:left="545" w:right="537" w:firstLine="77"/>
        <w:jc w:val="left"/>
        <w:rPr>
          <w:rFonts w:asciiTheme="majorBidi" w:eastAsia="Arial" w:hAnsiTheme="majorBidi" w:cstheme="majorBidi"/>
          <w:sz w:val="14"/>
          <w:szCs w:val="14"/>
          <w:lang w:val="en-US"/>
        </w:rPr>
      </w:pPr>
      <w:r w:rsidRPr="005F0A67">
        <w:rPr>
          <w:rFonts w:asciiTheme="majorBidi" w:eastAsia="Arial" w:hAnsiTheme="majorBidi" w:cstheme="majorBidi"/>
          <w:b/>
          <w:bCs/>
          <w:color w:val="616161"/>
          <w:sz w:val="14"/>
          <w:szCs w:val="14"/>
          <w:lang w:val="en-US"/>
        </w:rPr>
        <w:t>USE OF DATA DISCLAIMER</w:t>
      </w:r>
      <w:r w:rsidRPr="005F0A67">
        <w:rPr>
          <w:rFonts w:asciiTheme="majorBidi" w:eastAsia="Arial" w:hAnsiTheme="majorBidi" w:cstheme="majorBidi"/>
          <w:b/>
          <w:bCs/>
          <w:color w:val="616161"/>
          <w:spacing w:val="80"/>
          <w:sz w:val="14"/>
          <w:szCs w:val="14"/>
          <w:lang w:val="en-US"/>
        </w:rPr>
        <w:t xml:space="preserve"> </w:t>
      </w:r>
      <w:r w:rsidRPr="005F0A67">
        <w:rPr>
          <w:rFonts w:asciiTheme="majorBidi" w:eastAsia="Arial" w:hAnsiTheme="majorBidi" w:cstheme="majorBidi"/>
          <w:color w:val="616161"/>
          <w:sz w:val="14"/>
          <w:szCs w:val="14"/>
          <w:lang w:val="en-US"/>
        </w:rPr>
        <w:t>All data and information provided will be used exclusively for analytical modelling to</w:t>
      </w:r>
      <w:r w:rsidRPr="005F0A67">
        <w:rPr>
          <w:rFonts w:asciiTheme="majorBidi" w:eastAsia="Arial" w:hAnsiTheme="majorBidi" w:cstheme="majorBidi"/>
          <w:color w:val="616161"/>
          <w:spacing w:val="40"/>
          <w:sz w:val="14"/>
          <w:szCs w:val="14"/>
          <w:lang w:val="en-US"/>
        </w:rPr>
        <w:t xml:space="preserve"> </w:t>
      </w:r>
      <w:r w:rsidRPr="005F0A67">
        <w:rPr>
          <w:rFonts w:asciiTheme="majorBidi" w:eastAsia="Arial" w:hAnsiTheme="majorBidi" w:cstheme="majorBidi"/>
          <w:color w:val="616161"/>
          <w:sz w:val="14"/>
          <w:szCs w:val="14"/>
          <w:lang w:val="en-US"/>
        </w:rPr>
        <w:t>assess potential contribution options for the Cali Fund. No firm-level information will be disclosed at any stage. Results</w:t>
      </w:r>
      <w:r w:rsidRPr="005F0A67">
        <w:rPr>
          <w:rFonts w:asciiTheme="majorBidi" w:eastAsia="Arial" w:hAnsiTheme="majorBidi" w:cstheme="majorBidi"/>
          <w:color w:val="616161"/>
          <w:spacing w:val="40"/>
          <w:sz w:val="14"/>
          <w:szCs w:val="14"/>
          <w:lang w:val="en-US"/>
        </w:rPr>
        <w:t xml:space="preserve"> </w:t>
      </w:r>
      <w:r w:rsidRPr="005F0A67">
        <w:rPr>
          <w:rFonts w:asciiTheme="majorBidi" w:eastAsia="Arial" w:hAnsiTheme="majorBidi" w:cstheme="majorBidi"/>
          <w:color w:val="616161"/>
          <w:sz w:val="14"/>
          <w:szCs w:val="14"/>
          <w:lang w:val="en-US"/>
        </w:rPr>
        <w:t>will be presented only in aggregated, non-disclosive form, ensuring that individual firms or identifiable attributes cannot</w:t>
      </w:r>
      <w:r w:rsidRPr="005F0A67">
        <w:rPr>
          <w:rFonts w:asciiTheme="majorBidi" w:eastAsia="Arial" w:hAnsiTheme="majorBidi" w:cstheme="majorBidi"/>
          <w:color w:val="616161"/>
          <w:spacing w:val="40"/>
          <w:sz w:val="14"/>
          <w:szCs w:val="14"/>
          <w:lang w:val="en-US"/>
        </w:rPr>
        <w:t xml:space="preserve"> </w:t>
      </w:r>
      <w:r w:rsidRPr="005F0A67">
        <w:rPr>
          <w:rFonts w:asciiTheme="majorBidi" w:eastAsia="Arial" w:hAnsiTheme="majorBidi" w:cstheme="majorBidi"/>
          <w:color w:val="616161"/>
          <w:sz w:val="14"/>
          <w:szCs w:val="14"/>
          <w:lang w:val="en-US"/>
        </w:rPr>
        <w:t>be inferred. Any analysis derived from the data will comply with confidentiality requirements and will be included solely</w:t>
      </w:r>
      <w:r w:rsidRPr="005F0A67">
        <w:rPr>
          <w:rFonts w:asciiTheme="majorBidi" w:eastAsia="Arial" w:hAnsiTheme="majorBidi" w:cstheme="majorBidi"/>
          <w:color w:val="616161"/>
          <w:spacing w:val="40"/>
          <w:sz w:val="14"/>
          <w:szCs w:val="14"/>
          <w:lang w:val="en-US"/>
        </w:rPr>
        <w:t xml:space="preserve"> </w:t>
      </w:r>
      <w:r w:rsidRPr="005F0A67">
        <w:rPr>
          <w:rFonts w:asciiTheme="majorBidi" w:eastAsia="Arial" w:hAnsiTheme="majorBidi" w:cstheme="majorBidi"/>
          <w:color w:val="616161"/>
          <w:sz w:val="14"/>
          <w:szCs w:val="14"/>
          <w:lang w:val="en-US"/>
        </w:rPr>
        <w:t>as</w:t>
      </w:r>
      <w:r w:rsidRPr="005F0A67">
        <w:rPr>
          <w:rFonts w:asciiTheme="majorBidi" w:eastAsia="Arial" w:hAnsiTheme="majorBidi" w:cstheme="majorBidi"/>
          <w:color w:val="616161"/>
          <w:spacing w:val="-6"/>
          <w:sz w:val="14"/>
          <w:szCs w:val="14"/>
          <w:lang w:val="en-US"/>
        </w:rPr>
        <w:t xml:space="preserve"> </w:t>
      </w:r>
      <w:r w:rsidRPr="005F0A67">
        <w:rPr>
          <w:rFonts w:asciiTheme="majorBidi" w:eastAsia="Arial" w:hAnsiTheme="majorBidi" w:cstheme="majorBidi"/>
          <w:color w:val="616161"/>
          <w:sz w:val="14"/>
          <w:szCs w:val="14"/>
          <w:lang w:val="en-US"/>
        </w:rPr>
        <w:t>part</w:t>
      </w:r>
      <w:r w:rsidRPr="005F0A67">
        <w:rPr>
          <w:rFonts w:asciiTheme="majorBidi" w:eastAsia="Arial" w:hAnsiTheme="majorBidi" w:cstheme="majorBidi"/>
          <w:color w:val="616161"/>
          <w:spacing w:val="-6"/>
          <w:sz w:val="14"/>
          <w:szCs w:val="14"/>
          <w:lang w:val="en-US"/>
        </w:rPr>
        <w:t xml:space="preserve"> </w:t>
      </w:r>
      <w:r w:rsidRPr="005F0A67">
        <w:rPr>
          <w:rFonts w:asciiTheme="majorBidi" w:eastAsia="Arial" w:hAnsiTheme="majorBidi" w:cstheme="majorBidi"/>
          <w:color w:val="616161"/>
          <w:sz w:val="14"/>
          <w:szCs w:val="14"/>
          <w:lang w:val="en-US"/>
        </w:rPr>
        <w:t>of</w:t>
      </w:r>
      <w:r w:rsidRPr="005F0A67">
        <w:rPr>
          <w:rFonts w:asciiTheme="majorBidi" w:eastAsia="Arial" w:hAnsiTheme="majorBidi" w:cstheme="majorBidi"/>
          <w:color w:val="616161"/>
          <w:spacing w:val="-6"/>
          <w:sz w:val="14"/>
          <w:szCs w:val="14"/>
          <w:lang w:val="en-US"/>
        </w:rPr>
        <w:t xml:space="preserve"> </w:t>
      </w:r>
      <w:r w:rsidRPr="005F0A67">
        <w:rPr>
          <w:rFonts w:asciiTheme="majorBidi" w:eastAsia="Arial" w:hAnsiTheme="majorBidi" w:cstheme="majorBidi"/>
          <w:color w:val="616161"/>
          <w:sz w:val="14"/>
          <w:szCs w:val="14"/>
          <w:lang w:val="en-US"/>
        </w:rPr>
        <w:t>the</w:t>
      </w:r>
      <w:r w:rsidRPr="005F0A67">
        <w:rPr>
          <w:rFonts w:asciiTheme="majorBidi" w:eastAsia="Arial" w:hAnsiTheme="majorBidi" w:cstheme="majorBidi"/>
          <w:color w:val="616161"/>
          <w:spacing w:val="-6"/>
          <w:sz w:val="14"/>
          <w:szCs w:val="14"/>
          <w:lang w:val="en-US"/>
        </w:rPr>
        <w:t xml:space="preserve"> </w:t>
      </w:r>
      <w:r w:rsidRPr="005F0A67">
        <w:rPr>
          <w:rFonts w:asciiTheme="majorBidi" w:eastAsia="Arial" w:hAnsiTheme="majorBidi" w:cstheme="majorBidi"/>
          <w:color w:val="616161"/>
          <w:sz w:val="14"/>
          <w:szCs w:val="14"/>
          <w:lang w:val="en-US"/>
        </w:rPr>
        <w:t>accompanying</w:t>
      </w:r>
      <w:r w:rsidRPr="005F0A67">
        <w:rPr>
          <w:rFonts w:asciiTheme="majorBidi" w:eastAsia="Arial" w:hAnsiTheme="majorBidi" w:cstheme="majorBidi"/>
          <w:color w:val="616161"/>
          <w:spacing w:val="-6"/>
          <w:sz w:val="14"/>
          <w:szCs w:val="14"/>
          <w:lang w:val="en-US"/>
        </w:rPr>
        <w:t xml:space="preserve"> </w:t>
      </w:r>
      <w:r w:rsidRPr="005F0A67">
        <w:rPr>
          <w:rFonts w:asciiTheme="majorBidi" w:eastAsia="Arial" w:hAnsiTheme="majorBidi" w:cstheme="majorBidi"/>
          <w:color w:val="616161"/>
          <w:sz w:val="14"/>
          <w:szCs w:val="14"/>
          <w:lang w:val="en-US"/>
        </w:rPr>
        <w:t>Policy</w:t>
      </w:r>
      <w:r w:rsidRPr="005F0A67">
        <w:rPr>
          <w:rFonts w:asciiTheme="majorBidi" w:eastAsia="Arial" w:hAnsiTheme="majorBidi" w:cstheme="majorBidi"/>
          <w:color w:val="616161"/>
          <w:spacing w:val="-6"/>
          <w:sz w:val="14"/>
          <w:szCs w:val="14"/>
          <w:lang w:val="en-US"/>
        </w:rPr>
        <w:t xml:space="preserve"> </w:t>
      </w:r>
      <w:r w:rsidRPr="005F0A67">
        <w:rPr>
          <w:rFonts w:asciiTheme="majorBidi" w:eastAsia="Arial" w:hAnsiTheme="majorBidi" w:cstheme="majorBidi"/>
          <w:color w:val="616161"/>
          <w:sz w:val="14"/>
          <w:szCs w:val="14"/>
          <w:lang w:val="en-US"/>
        </w:rPr>
        <w:t>and</w:t>
      </w:r>
      <w:r w:rsidRPr="005F0A67">
        <w:rPr>
          <w:rFonts w:asciiTheme="majorBidi" w:eastAsia="Arial" w:hAnsiTheme="majorBidi" w:cstheme="majorBidi"/>
          <w:color w:val="616161"/>
          <w:spacing w:val="-6"/>
          <w:sz w:val="14"/>
          <w:szCs w:val="14"/>
          <w:lang w:val="en-US"/>
        </w:rPr>
        <w:t xml:space="preserve"> </w:t>
      </w:r>
      <w:r w:rsidRPr="005F0A67">
        <w:rPr>
          <w:rFonts w:asciiTheme="majorBidi" w:eastAsia="Arial" w:hAnsiTheme="majorBidi" w:cstheme="majorBidi"/>
          <w:color w:val="616161"/>
          <w:sz w:val="14"/>
          <w:szCs w:val="14"/>
          <w:lang w:val="en-US"/>
        </w:rPr>
        <w:t>Technical</w:t>
      </w:r>
      <w:r w:rsidRPr="005F0A67">
        <w:rPr>
          <w:rFonts w:asciiTheme="majorBidi" w:eastAsia="Arial" w:hAnsiTheme="majorBidi" w:cstheme="majorBidi"/>
          <w:color w:val="616161"/>
          <w:spacing w:val="-6"/>
          <w:sz w:val="14"/>
          <w:szCs w:val="14"/>
          <w:lang w:val="en-US"/>
        </w:rPr>
        <w:t xml:space="preserve"> </w:t>
      </w:r>
      <w:r w:rsidRPr="005F0A67">
        <w:rPr>
          <w:rFonts w:asciiTheme="majorBidi" w:eastAsia="Arial" w:hAnsiTheme="majorBidi" w:cstheme="majorBidi"/>
          <w:color w:val="616161"/>
          <w:sz w:val="14"/>
          <w:szCs w:val="14"/>
          <w:lang w:val="en-US"/>
        </w:rPr>
        <w:t>Reports.</w:t>
      </w:r>
      <w:r w:rsidRPr="005F0A67">
        <w:rPr>
          <w:rFonts w:asciiTheme="majorBidi" w:eastAsia="Arial" w:hAnsiTheme="majorBidi" w:cstheme="majorBidi"/>
          <w:color w:val="616161"/>
          <w:spacing w:val="26"/>
          <w:sz w:val="14"/>
          <w:szCs w:val="14"/>
          <w:lang w:val="en-US"/>
        </w:rPr>
        <w:t xml:space="preserve"> </w:t>
      </w:r>
      <w:r w:rsidRPr="005F0A67">
        <w:rPr>
          <w:rFonts w:asciiTheme="majorBidi" w:eastAsia="Arial" w:hAnsiTheme="majorBidi" w:cstheme="majorBidi"/>
          <w:color w:val="616161"/>
          <w:sz w:val="14"/>
          <w:szCs w:val="14"/>
          <w:lang w:val="en-US"/>
        </w:rPr>
        <w:t>For</w:t>
      </w:r>
      <w:r w:rsidRPr="005F0A67">
        <w:rPr>
          <w:rFonts w:asciiTheme="majorBidi" w:eastAsia="Arial" w:hAnsiTheme="majorBidi" w:cstheme="majorBidi"/>
          <w:color w:val="616161"/>
          <w:spacing w:val="-6"/>
          <w:sz w:val="14"/>
          <w:szCs w:val="14"/>
          <w:lang w:val="en-US"/>
        </w:rPr>
        <w:t xml:space="preserve"> </w:t>
      </w:r>
      <w:r w:rsidRPr="005F0A67">
        <w:rPr>
          <w:rFonts w:asciiTheme="majorBidi" w:eastAsia="Arial" w:hAnsiTheme="majorBidi" w:cstheme="majorBidi"/>
          <w:color w:val="616161"/>
          <w:sz w:val="14"/>
          <w:szCs w:val="14"/>
          <w:lang w:val="en-US"/>
        </w:rPr>
        <w:t>a</w:t>
      </w:r>
      <w:r w:rsidRPr="005F0A67">
        <w:rPr>
          <w:rFonts w:asciiTheme="majorBidi" w:eastAsia="Arial" w:hAnsiTheme="majorBidi" w:cstheme="majorBidi"/>
          <w:color w:val="616161"/>
          <w:spacing w:val="-6"/>
          <w:sz w:val="14"/>
          <w:szCs w:val="14"/>
          <w:lang w:val="en-US"/>
        </w:rPr>
        <w:t xml:space="preserve"> </w:t>
      </w:r>
      <w:r w:rsidRPr="005F0A67">
        <w:rPr>
          <w:rFonts w:asciiTheme="majorBidi" w:eastAsia="Arial" w:hAnsiTheme="majorBidi" w:cstheme="majorBidi"/>
          <w:color w:val="616161"/>
          <w:sz w:val="14"/>
          <w:szCs w:val="14"/>
          <w:lang w:val="en-US"/>
        </w:rPr>
        <w:t>full</w:t>
      </w:r>
      <w:r w:rsidRPr="005F0A67">
        <w:rPr>
          <w:rFonts w:asciiTheme="majorBidi" w:eastAsia="Arial" w:hAnsiTheme="majorBidi" w:cstheme="majorBidi"/>
          <w:color w:val="616161"/>
          <w:spacing w:val="-6"/>
          <w:sz w:val="14"/>
          <w:szCs w:val="14"/>
          <w:lang w:val="en-US"/>
        </w:rPr>
        <w:t xml:space="preserve"> </w:t>
      </w:r>
      <w:r w:rsidRPr="005F0A67">
        <w:rPr>
          <w:rFonts w:asciiTheme="majorBidi" w:eastAsia="Arial" w:hAnsiTheme="majorBidi" w:cstheme="majorBidi"/>
          <w:color w:val="616161"/>
          <w:sz w:val="14"/>
          <w:szCs w:val="14"/>
          <w:lang w:val="en-US"/>
        </w:rPr>
        <w:t>data</w:t>
      </w:r>
      <w:r w:rsidRPr="005F0A67">
        <w:rPr>
          <w:rFonts w:asciiTheme="majorBidi" w:eastAsia="Arial" w:hAnsiTheme="majorBidi" w:cstheme="majorBidi"/>
          <w:color w:val="616161"/>
          <w:spacing w:val="-6"/>
          <w:sz w:val="14"/>
          <w:szCs w:val="14"/>
          <w:lang w:val="en-US"/>
        </w:rPr>
        <w:t xml:space="preserve"> </w:t>
      </w:r>
      <w:r w:rsidRPr="005F0A67">
        <w:rPr>
          <w:rFonts w:asciiTheme="majorBidi" w:eastAsia="Arial" w:hAnsiTheme="majorBidi" w:cstheme="majorBidi"/>
          <w:color w:val="616161"/>
          <w:sz w:val="14"/>
          <w:szCs w:val="14"/>
          <w:lang w:val="en-US"/>
        </w:rPr>
        <w:t>privacy</w:t>
      </w:r>
      <w:r w:rsidRPr="005F0A67">
        <w:rPr>
          <w:rFonts w:asciiTheme="majorBidi" w:eastAsia="Arial" w:hAnsiTheme="majorBidi" w:cstheme="majorBidi"/>
          <w:color w:val="616161"/>
          <w:spacing w:val="-6"/>
          <w:sz w:val="14"/>
          <w:szCs w:val="14"/>
          <w:lang w:val="en-US"/>
        </w:rPr>
        <w:t xml:space="preserve"> </w:t>
      </w:r>
      <w:r w:rsidRPr="005F0A67">
        <w:rPr>
          <w:rFonts w:asciiTheme="majorBidi" w:eastAsia="Arial" w:hAnsiTheme="majorBidi" w:cstheme="majorBidi"/>
          <w:color w:val="616161"/>
          <w:sz w:val="14"/>
          <w:szCs w:val="14"/>
          <w:lang w:val="en-US"/>
        </w:rPr>
        <w:t>notice,</w:t>
      </w:r>
      <w:r w:rsidRPr="005F0A67">
        <w:rPr>
          <w:rFonts w:asciiTheme="majorBidi" w:eastAsia="Arial" w:hAnsiTheme="majorBidi" w:cstheme="majorBidi"/>
          <w:color w:val="616161"/>
          <w:spacing w:val="-6"/>
          <w:sz w:val="14"/>
          <w:szCs w:val="14"/>
          <w:lang w:val="en-US"/>
        </w:rPr>
        <w:t xml:space="preserve"> </w:t>
      </w:r>
      <w:r w:rsidRPr="005F0A67">
        <w:rPr>
          <w:rFonts w:asciiTheme="majorBidi" w:eastAsia="Arial" w:hAnsiTheme="majorBidi" w:cstheme="majorBidi"/>
          <w:color w:val="616161"/>
          <w:sz w:val="14"/>
          <w:szCs w:val="14"/>
          <w:lang w:val="en-US"/>
        </w:rPr>
        <w:t>please</w:t>
      </w:r>
      <w:r w:rsidRPr="005F0A67">
        <w:rPr>
          <w:rFonts w:asciiTheme="majorBidi" w:eastAsia="Arial" w:hAnsiTheme="majorBidi" w:cstheme="majorBidi"/>
          <w:color w:val="616161"/>
          <w:spacing w:val="-6"/>
          <w:sz w:val="14"/>
          <w:szCs w:val="14"/>
          <w:lang w:val="en-US"/>
        </w:rPr>
        <w:t xml:space="preserve"> </w:t>
      </w:r>
      <w:r w:rsidRPr="005F0A67">
        <w:rPr>
          <w:rFonts w:asciiTheme="majorBidi" w:eastAsia="Arial" w:hAnsiTheme="majorBidi" w:cstheme="majorBidi"/>
          <w:color w:val="616161"/>
          <w:sz w:val="14"/>
          <w:szCs w:val="14"/>
          <w:lang w:val="en-US"/>
        </w:rPr>
        <w:t>see</w:t>
      </w:r>
      <w:r w:rsidRPr="005F0A67">
        <w:rPr>
          <w:rFonts w:asciiTheme="majorBidi" w:eastAsia="Arial" w:hAnsiTheme="majorBidi" w:cstheme="majorBidi"/>
          <w:color w:val="616161"/>
          <w:spacing w:val="-6"/>
          <w:sz w:val="14"/>
          <w:szCs w:val="14"/>
          <w:lang w:val="en-US"/>
        </w:rPr>
        <w:t xml:space="preserve"> </w:t>
      </w:r>
      <w:r w:rsidRPr="005F0A67">
        <w:rPr>
          <w:rFonts w:asciiTheme="majorBidi" w:eastAsia="Arial" w:hAnsiTheme="majorBidi" w:cstheme="majorBidi"/>
          <w:color w:val="616161"/>
          <w:sz w:val="14"/>
          <w:szCs w:val="14"/>
          <w:lang w:val="en-US"/>
        </w:rPr>
        <w:t>‘GDPR</w:t>
      </w:r>
      <w:r w:rsidRPr="005F0A67">
        <w:rPr>
          <w:rFonts w:asciiTheme="majorBidi" w:eastAsia="Arial" w:hAnsiTheme="majorBidi" w:cstheme="majorBidi"/>
          <w:color w:val="616161"/>
          <w:spacing w:val="-6"/>
          <w:sz w:val="14"/>
          <w:szCs w:val="14"/>
          <w:lang w:val="en-US"/>
        </w:rPr>
        <w:t xml:space="preserve"> </w:t>
      </w:r>
      <w:r w:rsidRPr="005F0A67">
        <w:rPr>
          <w:rFonts w:asciiTheme="majorBidi" w:eastAsia="Arial" w:hAnsiTheme="majorBidi" w:cstheme="majorBidi"/>
          <w:color w:val="616161"/>
          <w:sz w:val="14"/>
          <w:szCs w:val="14"/>
          <w:lang w:val="en-US"/>
        </w:rPr>
        <w:t>Privacy</w:t>
      </w:r>
      <w:r w:rsidRPr="005F0A67">
        <w:rPr>
          <w:rFonts w:asciiTheme="majorBidi" w:eastAsia="Arial" w:hAnsiTheme="majorBidi" w:cstheme="majorBidi"/>
          <w:color w:val="616161"/>
          <w:spacing w:val="40"/>
          <w:sz w:val="14"/>
          <w:szCs w:val="14"/>
          <w:lang w:val="en-US"/>
        </w:rPr>
        <w:t xml:space="preserve"> </w:t>
      </w:r>
      <w:r w:rsidRPr="005F0A67">
        <w:rPr>
          <w:rFonts w:asciiTheme="majorBidi" w:eastAsia="Arial" w:hAnsiTheme="majorBidi" w:cstheme="majorBidi"/>
          <w:color w:val="616161"/>
          <w:sz w:val="14"/>
          <w:szCs w:val="14"/>
          <w:lang w:val="en-US"/>
        </w:rPr>
        <w:t>Notice’ attached to the invitation email.</w:t>
      </w:r>
      <w:r w:rsidRPr="005F0A67">
        <w:rPr>
          <w:rFonts w:asciiTheme="majorBidi" w:eastAsia="Arial" w:hAnsiTheme="majorBidi" w:cstheme="majorBidi"/>
          <w:noProof/>
          <w:sz w:val="14"/>
          <w:szCs w:val="14"/>
          <w:lang w:val="en-US"/>
        </w:rPr>
        <mc:AlternateContent>
          <mc:Choice Requires="wps">
            <w:drawing>
              <wp:anchor distT="0" distB="0" distL="0" distR="0" simplePos="0" relativeHeight="251658362" behindDoc="1" locked="0" layoutInCell="1" allowOverlap="1" wp14:anchorId="0CCFEF21" wp14:editId="20156CB4">
                <wp:simplePos x="0" y="0"/>
                <wp:positionH relativeFrom="page">
                  <wp:posOffset>1304925</wp:posOffset>
                </wp:positionH>
                <wp:positionV relativeFrom="paragraph">
                  <wp:posOffset>-56918</wp:posOffset>
                </wp:positionV>
                <wp:extent cx="411480" cy="11874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1480" cy="118745"/>
                        </a:xfrm>
                        <a:prstGeom prst="rect">
                          <a:avLst/>
                        </a:prstGeom>
                      </wps:spPr>
                      <wps:txbx>
                        <w:txbxContent>
                          <w:p w14:paraId="7D5E6E8A" w14:textId="77777777" w:rsidR="005F0A67" w:rsidRDefault="005F0A67" w:rsidP="005F0A67">
                            <w:pPr>
                              <w:pStyle w:val="BodyText"/>
                              <w:spacing w:before="19"/>
                            </w:pPr>
                            <w:r>
                              <w:rPr>
                                <w:color w:val="AE1515"/>
                              </w:rPr>
                              <w:t>*</w:t>
                            </w:r>
                            <w:r>
                              <w:rPr>
                                <w:color w:val="AE1515"/>
                                <w:spacing w:val="2"/>
                              </w:rPr>
                              <w:t xml:space="preserve"> </w:t>
                            </w:r>
                            <w:r>
                              <w:rPr>
                                <w:color w:val="202020"/>
                                <w:spacing w:val="-5"/>
                              </w:rPr>
                              <w:t>Required</w:t>
                            </w:r>
                          </w:p>
                        </w:txbxContent>
                      </wps:txbx>
                      <wps:bodyPr wrap="square" lIns="0" tIns="0" rIns="0" bIns="0" rtlCol="0">
                        <a:noAutofit/>
                      </wps:bodyPr>
                    </wps:wsp>
                  </a:graphicData>
                </a:graphic>
              </wp:anchor>
            </w:drawing>
          </mc:Choice>
          <mc:Fallback>
            <w:pict>
              <v:shapetype w14:anchorId="0CCFEF21" id="_x0000_t202" coordsize="21600,21600" o:spt="202" path="m,l,21600r21600,l21600,xe">
                <v:stroke joinstyle="miter"/>
                <v:path gradientshapeok="t" o:connecttype="rect"/>
              </v:shapetype>
              <v:shape id="Textbox 5" o:spid="_x0000_s1026" type="#_x0000_t202" style="position:absolute;left:0;text-align:left;margin-left:102.75pt;margin-top:-4.5pt;width:32.4pt;height:9.35pt;z-index:-25165811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" filled="f" stroked="f">
                <v:textbox inset="0,0,0,0">
                  <w:txbxContent>
                    <w:p w14:paraId="7D5E6E8A" w14:textId="77777777" w:rsidR="005F0A67" w:rsidRDefault="005F0A67" w:rsidP="005F0A67">
                      <w:pPr>
                        <w:pStyle w:val="BodyText"/>
                        <w:spacing w:before="19"/>
                      </w:pPr>
                      <w:r>
                        <w:rPr>
                          <w:color w:val="AE1515"/>
                        </w:rPr>
                        <w:t>*</w:t>
                      </w:r>
                      <w:r>
                        <w:rPr>
                          <w:color w:val="AE1515"/>
                          <w:spacing w:val="2"/>
                        </w:rPr>
                        <w:t xml:space="preserve"> </w:t>
                      </w:r>
                      <w:r>
                        <w:rPr>
                          <w:color w:val="202020"/>
                          <w:spacing w:val="-5"/>
                        </w:rPr>
                        <w:t>Required</w:t>
                      </w:r>
                    </w:p>
                  </w:txbxContent>
                </v:textbox>
                <w10:wrap anchorx="page"/>
              </v:shape>
            </w:pict>
          </mc:Fallback>
        </mc:AlternateContent>
      </w:r>
      <w:r w:rsidRPr="005F0A67">
        <w:rPr>
          <w:rFonts w:asciiTheme="majorBidi" w:eastAsia="Arial" w:hAnsiTheme="majorBidi" w:cstheme="majorBidi"/>
          <w:noProof/>
          <w:sz w:val="14"/>
          <w:szCs w:val="14"/>
          <w:lang w:val="en-US"/>
        </w:rPr>
        <mc:AlternateContent>
          <mc:Choice Requires="wps">
            <w:drawing>
              <wp:anchor distT="0" distB="0" distL="0" distR="0" simplePos="0" relativeHeight="251658363" behindDoc="1" locked="0" layoutInCell="1" allowOverlap="1" wp14:anchorId="70F7F334" wp14:editId="733A0C78">
                <wp:simplePos x="0" y="0"/>
                <wp:positionH relativeFrom="page">
                  <wp:posOffset>1425575</wp:posOffset>
                </wp:positionH>
                <wp:positionV relativeFrom="paragraph">
                  <wp:posOffset>114531</wp:posOffset>
                </wp:positionV>
                <wp:extent cx="2317115" cy="11874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17115" cy="118745"/>
                        </a:xfrm>
                        <a:prstGeom prst="rect">
                          <a:avLst/>
                        </a:prstGeom>
                      </wps:spPr>
                      <wps:txbx>
                        <w:txbxContent>
                          <w:p w14:paraId="2AC3AA2E" w14:textId="77777777" w:rsidR="005F0A67" w:rsidRDefault="005F0A67" w:rsidP="005F0A67">
                            <w:pPr>
                              <w:pStyle w:val="BodyText"/>
                              <w:spacing w:before="19"/>
                            </w:pPr>
                            <w:r>
                              <w:rPr>
                                <w:color w:val="616161"/>
                              </w:rPr>
                              <w:t>queries</w:t>
                            </w:r>
                            <w:r>
                              <w:rPr>
                                <w:color w:val="616161"/>
                                <w:spacing w:val="-6"/>
                              </w:rPr>
                              <w:t xml:space="preserve"> </w:t>
                            </w:r>
                            <w:r>
                              <w:rPr>
                                <w:color w:val="616161"/>
                              </w:rPr>
                              <w:t>related</w:t>
                            </w:r>
                            <w:r>
                              <w:rPr>
                                <w:color w:val="616161"/>
                                <w:spacing w:val="-5"/>
                              </w:rPr>
                              <w:t xml:space="preserve"> </w:t>
                            </w:r>
                            <w:r>
                              <w:rPr>
                                <w:color w:val="616161"/>
                              </w:rPr>
                              <w:t>to</w:t>
                            </w:r>
                            <w:r>
                              <w:rPr>
                                <w:color w:val="616161"/>
                                <w:spacing w:val="-5"/>
                              </w:rPr>
                              <w:t xml:space="preserve"> </w:t>
                            </w:r>
                            <w:r>
                              <w:rPr>
                                <w:color w:val="616161"/>
                              </w:rPr>
                              <w:t>data</w:t>
                            </w:r>
                            <w:r>
                              <w:rPr>
                                <w:color w:val="616161"/>
                                <w:spacing w:val="-6"/>
                              </w:rPr>
                              <w:t xml:space="preserve"> </w:t>
                            </w:r>
                            <w:r>
                              <w:rPr>
                                <w:color w:val="616161"/>
                              </w:rPr>
                              <w:t>use</w:t>
                            </w:r>
                            <w:r>
                              <w:rPr>
                                <w:color w:val="616161"/>
                                <w:spacing w:val="-5"/>
                              </w:rPr>
                              <w:t xml:space="preserve"> </w:t>
                            </w:r>
                            <w:r>
                              <w:rPr>
                                <w:color w:val="616161"/>
                              </w:rPr>
                              <w:t>and</w:t>
                            </w:r>
                            <w:r>
                              <w:rPr>
                                <w:color w:val="616161"/>
                                <w:spacing w:val="-5"/>
                              </w:rPr>
                              <w:t xml:space="preserve"> </w:t>
                            </w:r>
                            <w:r>
                              <w:rPr>
                                <w:color w:val="616161"/>
                              </w:rPr>
                              <w:t>the</w:t>
                            </w:r>
                            <w:r>
                              <w:rPr>
                                <w:color w:val="616161"/>
                                <w:spacing w:val="-6"/>
                              </w:rPr>
                              <w:t xml:space="preserve"> </w:t>
                            </w:r>
                            <w:r>
                              <w:rPr>
                                <w:color w:val="616161"/>
                              </w:rPr>
                              <w:t>attached</w:t>
                            </w:r>
                            <w:r>
                              <w:rPr>
                                <w:color w:val="616161"/>
                                <w:spacing w:val="-5"/>
                              </w:rPr>
                              <w:t xml:space="preserve"> </w:t>
                            </w:r>
                            <w:r>
                              <w:rPr>
                                <w:color w:val="616161"/>
                              </w:rPr>
                              <w:t>privacy</w:t>
                            </w:r>
                            <w:r>
                              <w:rPr>
                                <w:color w:val="616161"/>
                                <w:spacing w:val="-5"/>
                              </w:rPr>
                              <w:t xml:space="preserve"> </w:t>
                            </w:r>
                            <w:r>
                              <w:rPr>
                                <w:color w:val="616161"/>
                                <w:spacing w:val="-2"/>
                              </w:rPr>
                              <w:t>notice.</w:t>
                            </w:r>
                          </w:p>
                        </w:txbxContent>
                      </wps:txbx>
                      <wps:bodyPr wrap="square" lIns="0" tIns="0" rIns="0" bIns="0" rtlCol="0">
                        <a:noAutofit/>
                      </wps:bodyPr>
                    </wps:wsp>
                  </a:graphicData>
                </a:graphic>
              </wp:anchor>
            </w:drawing>
          </mc:Choice>
          <mc:Fallback>
            <w:pict>
              <v:shape w14:anchorId="70F7F334" id="Textbox 6" o:spid="_x0000_s1027" type="#_x0000_t202" style="position:absolute;left:0;text-align:left;margin-left:112.25pt;margin-top:9pt;width:182.45pt;height:9.35pt;z-index:-251658117;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" filled="f" stroked="f">
                <v:textbox inset="0,0,0,0">
                  <w:txbxContent>
                    <w:p w14:paraId="2AC3AA2E" w14:textId="77777777" w:rsidR="005F0A67" w:rsidRDefault="005F0A67" w:rsidP="005F0A67">
                      <w:pPr>
                        <w:pStyle w:val="BodyText"/>
                        <w:spacing w:before="19"/>
                      </w:pPr>
                      <w:r>
                        <w:rPr>
                          <w:color w:val="616161"/>
                        </w:rPr>
                        <w:t>queries</w:t>
                      </w:r>
                      <w:r>
                        <w:rPr>
                          <w:color w:val="616161"/>
                          <w:spacing w:val="-6"/>
                        </w:rPr>
                        <w:t xml:space="preserve"> </w:t>
                      </w:r>
                      <w:r>
                        <w:rPr>
                          <w:color w:val="616161"/>
                        </w:rPr>
                        <w:t>related</w:t>
                      </w:r>
                      <w:r>
                        <w:rPr>
                          <w:color w:val="616161"/>
                          <w:spacing w:val="-5"/>
                        </w:rPr>
                        <w:t xml:space="preserve"> </w:t>
                      </w:r>
                      <w:r>
                        <w:rPr>
                          <w:color w:val="616161"/>
                        </w:rPr>
                        <w:t>to</w:t>
                      </w:r>
                      <w:r>
                        <w:rPr>
                          <w:color w:val="616161"/>
                          <w:spacing w:val="-5"/>
                        </w:rPr>
                        <w:t xml:space="preserve"> </w:t>
                      </w:r>
                      <w:r>
                        <w:rPr>
                          <w:color w:val="616161"/>
                        </w:rPr>
                        <w:t>data</w:t>
                      </w:r>
                      <w:r>
                        <w:rPr>
                          <w:color w:val="616161"/>
                          <w:spacing w:val="-6"/>
                        </w:rPr>
                        <w:t xml:space="preserve"> </w:t>
                      </w:r>
                      <w:r>
                        <w:rPr>
                          <w:color w:val="616161"/>
                        </w:rPr>
                        <w:t>use</w:t>
                      </w:r>
                      <w:r>
                        <w:rPr>
                          <w:color w:val="616161"/>
                          <w:spacing w:val="-5"/>
                        </w:rPr>
                        <w:t xml:space="preserve"> </w:t>
                      </w:r>
                      <w:r>
                        <w:rPr>
                          <w:color w:val="616161"/>
                        </w:rPr>
                        <w:t>and</w:t>
                      </w:r>
                      <w:r>
                        <w:rPr>
                          <w:color w:val="616161"/>
                          <w:spacing w:val="-5"/>
                        </w:rPr>
                        <w:t xml:space="preserve"> </w:t>
                      </w:r>
                      <w:r>
                        <w:rPr>
                          <w:color w:val="616161"/>
                        </w:rPr>
                        <w:t>the</w:t>
                      </w:r>
                      <w:r>
                        <w:rPr>
                          <w:color w:val="616161"/>
                          <w:spacing w:val="-6"/>
                        </w:rPr>
                        <w:t xml:space="preserve"> </w:t>
                      </w:r>
                      <w:r>
                        <w:rPr>
                          <w:color w:val="616161"/>
                        </w:rPr>
                        <w:t>attached</w:t>
                      </w:r>
                      <w:r>
                        <w:rPr>
                          <w:color w:val="616161"/>
                          <w:spacing w:val="-5"/>
                        </w:rPr>
                        <w:t xml:space="preserve"> </w:t>
                      </w:r>
                      <w:r>
                        <w:rPr>
                          <w:color w:val="616161"/>
                        </w:rPr>
                        <w:t>privacy</w:t>
                      </w:r>
                      <w:r>
                        <w:rPr>
                          <w:color w:val="616161"/>
                          <w:spacing w:val="-5"/>
                        </w:rPr>
                        <w:t xml:space="preserve"> </w:t>
                      </w:r>
                      <w:r>
                        <w:rPr>
                          <w:color w:val="616161"/>
                          <w:spacing w:val="-2"/>
                        </w:rPr>
                        <w:t>notice.</w:t>
                      </w:r>
                    </w:p>
                  </w:txbxContent>
                </v:textbox>
                <w10:wrap anchorx="page"/>
              </v:shape>
            </w:pict>
          </mc:Fallback>
        </mc:AlternateContent>
      </w:r>
    </w:p>
    <w:p w14:paraId="1BE5EC42" w14:textId="77777777" w:rsidR="005F0A67" w:rsidRPr="005F0A67" w:rsidRDefault="005F0A67" w:rsidP="005F0A67">
      <w:pPr>
        <w:widowControl w:val="0"/>
        <w:tabs>
          <w:tab w:val="clear" w:pos="567"/>
          <w:tab w:val="clear" w:pos="1134"/>
          <w:tab w:val="clear" w:pos="1701"/>
          <w:tab w:val="clear" w:pos="2268"/>
        </w:tabs>
        <w:spacing w:before="202"/>
        <w:jc w:val="left"/>
        <w:rPr>
          <w:rFonts w:asciiTheme="majorBidi" w:eastAsia="Arial" w:hAnsiTheme="majorBidi" w:cstheme="majorBidi"/>
          <w:sz w:val="21"/>
          <w:szCs w:val="21"/>
          <w:lang w:val="en-US"/>
        </w:rPr>
      </w:pPr>
    </w:p>
    <w:p w14:paraId="5EA56D4D" w14:textId="77777777" w:rsidR="005F0A67" w:rsidRPr="005F0A67" w:rsidRDefault="005F0A67" w:rsidP="005F0A67">
      <w:pPr>
        <w:pBdr>
          <w:bottom w:val="single" w:sz="2" w:space="6" w:color="D9D9D9"/>
        </w:pBdr>
        <w:tabs>
          <w:tab w:val="clear" w:pos="567"/>
          <w:tab w:val="clear" w:pos="1134"/>
          <w:tab w:val="clear" w:pos="1701"/>
          <w:tab w:val="clear" w:pos="2268"/>
        </w:tabs>
        <w:spacing w:before="400" w:after="60"/>
        <w:ind w:left="432" w:hanging="432"/>
        <w:jc w:val="left"/>
        <w:outlineLvl w:val="0"/>
        <w:rPr>
          <w:rFonts w:asciiTheme="majorBidi" w:eastAsia="Arial" w:hAnsiTheme="majorBidi" w:cstheme="majorBidi"/>
          <w:b/>
          <w:bCs/>
          <w:color w:val="1A1A1A"/>
          <w:sz w:val="28"/>
          <w:szCs w:val="28"/>
          <w:lang w:val="en-CA" w:eastAsia="en-GB"/>
        </w:rPr>
      </w:pPr>
      <w:bookmarkStart w:id="275" w:name="_Toc234579629"/>
      <w:r w:rsidRPr="005F0A67">
        <w:rPr>
          <w:rFonts w:asciiTheme="majorBidi" w:eastAsia="Arial" w:hAnsiTheme="majorBidi" w:cstheme="majorBidi"/>
          <w:b/>
          <w:bCs/>
          <w:color w:val="1A1A1A"/>
          <w:sz w:val="28"/>
          <w:szCs w:val="28"/>
          <w:lang w:val="en-CA" w:eastAsia="en-GB"/>
        </w:rPr>
        <w:t>. Scope</w:t>
      </w:r>
      <w:r w:rsidRPr="005F0A67">
        <w:rPr>
          <w:rFonts w:asciiTheme="majorBidi" w:eastAsia="Arial" w:hAnsiTheme="majorBidi" w:cstheme="majorBidi"/>
          <w:b/>
          <w:bCs/>
          <w:color w:val="1A1A1A"/>
          <w:spacing w:val="8"/>
          <w:sz w:val="28"/>
          <w:szCs w:val="28"/>
          <w:lang w:val="en-CA" w:eastAsia="en-GB"/>
        </w:rPr>
        <w:t xml:space="preserve"> </w:t>
      </w:r>
      <w:r w:rsidRPr="005F0A67">
        <w:rPr>
          <w:rFonts w:asciiTheme="majorBidi" w:eastAsia="Arial" w:hAnsiTheme="majorBidi" w:cstheme="majorBidi"/>
          <w:b/>
          <w:bCs/>
          <w:color w:val="1A1A1A"/>
          <w:sz w:val="28"/>
          <w:szCs w:val="28"/>
          <w:lang w:val="en-CA" w:eastAsia="en-GB"/>
        </w:rPr>
        <w:t>of</w:t>
      </w:r>
      <w:r w:rsidRPr="005F0A67">
        <w:rPr>
          <w:rFonts w:asciiTheme="majorBidi" w:eastAsia="Arial" w:hAnsiTheme="majorBidi" w:cstheme="majorBidi"/>
          <w:b/>
          <w:bCs/>
          <w:color w:val="1A1A1A"/>
          <w:spacing w:val="8"/>
          <w:sz w:val="28"/>
          <w:szCs w:val="28"/>
          <w:lang w:val="en-CA" w:eastAsia="en-GB"/>
        </w:rPr>
        <w:t xml:space="preserve"> </w:t>
      </w:r>
      <w:r w:rsidRPr="005F0A67">
        <w:rPr>
          <w:rFonts w:asciiTheme="majorBidi" w:eastAsia="Arial" w:hAnsiTheme="majorBidi" w:cstheme="majorBidi"/>
          <w:b/>
          <w:bCs/>
          <w:color w:val="1A1A1A"/>
          <w:sz w:val="28"/>
          <w:szCs w:val="28"/>
          <w:lang w:val="en-CA" w:eastAsia="en-GB"/>
        </w:rPr>
        <w:t>DSI,</w:t>
      </w:r>
      <w:r w:rsidRPr="005F0A67">
        <w:rPr>
          <w:rFonts w:asciiTheme="majorBidi" w:eastAsia="Arial" w:hAnsiTheme="majorBidi" w:cstheme="majorBidi"/>
          <w:b/>
          <w:bCs/>
          <w:color w:val="1A1A1A"/>
          <w:spacing w:val="8"/>
          <w:sz w:val="28"/>
          <w:szCs w:val="28"/>
          <w:lang w:val="en-CA" w:eastAsia="en-GB"/>
        </w:rPr>
        <w:t xml:space="preserve"> </w:t>
      </w:r>
      <w:r w:rsidRPr="005F0A67">
        <w:rPr>
          <w:rFonts w:asciiTheme="majorBidi" w:eastAsia="Arial" w:hAnsiTheme="majorBidi" w:cstheme="majorBidi"/>
          <w:b/>
          <w:bCs/>
          <w:color w:val="1A1A1A"/>
          <w:sz w:val="28"/>
          <w:szCs w:val="28"/>
          <w:lang w:val="en-CA" w:eastAsia="en-GB"/>
        </w:rPr>
        <w:t>Cali</w:t>
      </w:r>
      <w:r w:rsidRPr="005F0A67">
        <w:rPr>
          <w:rFonts w:asciiTheme="majorBidi" w:eastAsia="Arial" w:hAnsiTheme="majorBidi" w:cstheme="majorBidi"/>
          <w:b/>
          <w:bCs/>
          <w:color w:val="1A1A1A"/>
          <w:spacing w:val="9"/>
          <w:sz w:val="28"/>
          <w:szCs w:val="28"/>
          <w:lang w:val="en-CA" w:eastAsia="en-GB"/>
        </w:rPr>
        <w:t xml:space="preserve"> </w:t>
      </w:r>
      <w:r w:rsidRPr="005F0A67">
        <w:rPr>
          <w:rFonts w:asciiTheme="majorBidi" w:eastAsia="Arial" w:hAnsiTheme="majorBidi" w:cstheme="majorBidi"/>
          <w:b/>
          <w:bCs/>
          <w:color w:val="1A1A1A"/>
          <w:sz w:val="28"/>
          <w:szCs w:val="28"/>
          <w:lang w:val="en-CA" w:eastAsia="en-GB"/>
        </w:rPr>
        <w:t>Fund</w:t>
      </w:r>
      <w:r w:rsidRPr="005F0A67">
        <w:rPr>
          <w:rFonts w:asciiTheme="majorBidi" w:eastAsia="Arial" w:hAnsiTheme="majorBidi" w:cstheme="majorBidi"/>
          <w:b/>
          <w:bCs/>
          <w:color w:val="1A1A1A"/>
          <w:spacing w:val="8"/>
          <w:sz w:val="28"/>
          <w:szCs w:val="28"/>
          <w:lang w:val="en-CA" w:eastAsia="en-GB"/>
        </w:rPr>
        <w:t xml:space="preserve"> </w:t>
      </w:r>
      <w:r w:rsidRPr="005F0A67">
        <w:rPr>
          <w:rFonts w:asciiTheme="majorBidi" w:eastAsia="Arial" w:hAnsiTheme="majorBidi" w:cstheme="majorBidi"/>
          <w:b/>
          <w:bCs/>
          <w:color w:val="1A1A1A"/>
          <w:sz w:val="28"/>
          <w:szCs w:val="28"/>
          <w:lang w:val="en-CA" w:eastAsia="en-GB"/>
        </w:rPr>
        <w:t>contributors</w:t>
      </w:r>
      <w:r w:rsidRPr="005F0A67">
        <w:rPr>
          <w:rFonts w:asciiTheme="majorBidi" w:eastAsia="Arial" w:hAnsiTheme="majorBidi" w:cstheme="majorBidi"/>
          <w:b/>
          <w:bCs/>
          <w:color w:val="1A1A1A"/>
          <w:spacing w:val="8"/>
          <w:sz w:val="28"/>
          <w:szCs w:val="28"/>
          <w:lang w:val="en-CA" w:eastAsia="en-GB"/>
        </w:rPr>
        <w:t xml:space="preserve"> </w:t>
      </w:r>
      <w:r w:rsidRPr="005F0A67">
        <w:rPr>
          <w:rFonts w:asciiTheme="majorBidi" w:eastAsia="Arial" w:hAnsiTheme="majorBidi" w:cstheme="majorBidi"/>
          <w:b/>
          <w:bCs/>
          <w:color w:val="1A1A1A"/>
          <w:sz w:val="28"/>
          <w:szCs w:val="28"/>
          <w:lang w:val="en-CA" w:eastAsia="en-GB"/>
        </w:rPr>
        <w:t>and</w:t>
      </w:r>
      <w:r w:rsidRPr="005F0A67">
        <w:rPr>
          <w:rFonts w:asciiTheme="majorBidi" w:eastAsia="Arial" w:hAnsiTheme="majorBidi" w:cstheme="majorBidi"/>
          <w:b/>
          <w:bCs/>
          <w:color w:val="1A1A1A"/>
          <w:spacing w:val="8"/>
          <w:sz w:val="28"/>
          <w:szCs w:val="28"/>
          <w:lang w:val="en-CA" w:eastAsia="en-GB"/>
        </w:rPr>
        <w:t xml:space="preserve"> </w:t>
      </w:r>
      <w:r w:rsidRPr="005F0A67">
        <w:rPr>
          <w:rFonts w:asciiTheme="majorBidi" w:eastAsia="Arial" w:hAnsiTheme="majorBidi" w:cstheme="majorBidi"/>
          <w:b/>
          <w:bCs/>
          <w:color w:val="1A1A1A"/>
          <w:sz w:val="28"/>
          <w:szCs w:val="28"/>
          <w:lang w:val="en-CA" w:eastAsia="en-GB"/>
        </w:rPr>
        <w:t>contribution</w:t>
      </w:r>
      <w:r w:rsidRPr="005F0A67">
        <w:rPr>
          <w:rFonts w:asciiTheme="majorBidi" w:eastAsia="Arial" w:hAnsiTheme="majorBidi" w:cstheme="majorBidi"/>
          <w:b/>
          <w:bCs/>
          <w:color w:val="1A1A1A"/>
          <w:spacing w:val="9"/>
          <w:sz w:val="28"/>
          <w:szCs w:val="28"/>
          <w:lang w:val="en-CA" w:eastAsia="en-GB"/>
        </w:rPr>
        <w:t xml:space="preserve"> </w:t>
      </w:r>
      <w:r w:rsidRPr="005F0A67">
        <w:rPr>
          <w:rFonts w:asciiTheme="majorBidi" w:eastAsia="Arial" w:hAnsiTheme="majorBidi" w:cstheme="majorBidi"/>
          <w:b/>
          <w:bCs/>
          <w:color w:val="1A1A1A"/>
          <w:spacing w:val="-2"/>
          <w:sz w:val="28"/>
          <w:szCs w:val="28"/>
          <w:lang w:val="en-CA" w:eastAsia="en-GB"/>
        </w:rPr>
        <w:t>rates</w:t>
      </w:r>
      <w:bookmarkEnd w:id="275"/>
    </w:p>
    <w:p w14:paraId="0B5F0E33" w14:textId="77777777" w:rsidR="005F0A67" w:rsidRPr="005F0A67" w:rsidRDefault="005F0A67" w:rsidP="005F0A67">
      <w:pPr>
        <w:tabs>
          <w:tab w:val="clear" w:pos="567"/>
          <w:tab w:val="clear" w:pos="1134"/>
          <w:tab w:val="clear" w:pos="1701"/>
          <w:tab w:val="clear" w:pos="2268"/>
        </w:tabs>
        <w:spacing w:before="134" w:line="297" w:lineRule="auto"/>
        <w:ind w:left="515" w:right="484"/>
        <w:jc w:val="left"/>
        <w:rPr>
          <w:rFonts w:asciiTheme="majorBidi" w:eastAsia="Times New Roman" w:hAnsiTheme="majorBidi" w:cstheme="majorBidi"/>
          <w:sz w:val="14"/>
          <w:szCs w:val="14"/>
          <w:lang w:val="en-CA" w:eastAsia="en-GB"/>
        </w:rPr>
      </w:pPr>
      <w:r w:rsidRPr="005F0A67">
        <w:rPr>
          <w:rFonts w:asciiTheme="majorBidi" w:eastAsia="Times New Roman" w:hAnsiTheme="majorBidi" w:cstheme="majorBidi"/>
          <w:color w:val="242424"/>
          <w:spacing w:val="-2"/>
          <w:sz w:val="14"/>
          <w:szCs w:val="14"/>
          <w:lang w:val="en-CA" w:eastAsia="en-GB"/>
        </w:rPr>
        <w:t>The</w:t>
      </w:r>
      <w:r w:rsidRPr="005F0A67">
        <w:rPr>
          <w:rFonts w:asciiTheme="majorBidi" w:eastAsia="Times New Roman" w:hAnsiTheme="majorBidi" w:cstheme="majorBidi"/>
          <w:color w:val="242424"/>
          <w:spacing w:val="-4"/>
          <w:sz w:val="14"/>
          <w:szCs w:val="14"/>
          <w:lang w:val="en-CA" w:eastAsia="en-GB"/>
        </w:rPr>
        <w:t xml:space="preserve"> </w:t>
      </w:r>
      <w:r w:rsidRPr="005F0A67">
        <w:rPr>
          <w:rFonts w:asciiTheme="majorBidi" w:eastAsia="Times New Roman" w:hAnsiTheme="majorBidi" w:cstheme="majorBidi"/>
          <w:color w:val="242424"/>
          <w:spacing w:val="-2"/>
          <w:sz w:val="14"/>
          <w:szCs w:val="14"/>
          <w:lang w:val="en-CA" w:eastAsia="en-GB"/>
        </w:rPr>
        <w:t>following</w:t>
      </w:r>
      <w:r w:rsidRPr="005F0A67">
        <w:rPr>
          <w:rFonts w:asciiTheme="majorBidi" w:eastAsia="Times New Roman" w:hAnsiTheme="majorBidi" w:cstheme="majorBidi"/>
          <w:color w:val="242424"/>
          <w:spacing w:val="-4"/>
          <w:sz w:val="14"/>
          <w:szCs w:val="14"/>
          <w:lang w:val="en-CA" w:eastAsia="en-GB"/>
        </w:rPr>
        <w:t xml:space="preserve"> </w:t>
      </w:r>
      <w:r w:rsidRPr="005F0A67">
        <w:rPr>
          <w:rFonts w:asciiTheme="majorBidi" w:eastAsia="Times New Roman" w:hAnsiTheme="majorBidi" w:cstheme="majorBidi"/>
          <w:color w:val="242424"/>
          <w:spacing w:val="-2"/>
          <w:sz w:val="14"/>
          <w:szCs w:val="14"/>
          <w:lang w:val="en-CA" w:eastAsia="en-GB"/>
        </w:rPr>
        <w:t>information</w:t>
      </w:r>
      <w:r w:rsidRPr="005F0A67">
        <w:rPr>
          <w:rFonts w:asciiTheme="majorBidi" w:eastAsia="Times New Roman" w:hAnsiTheme="majorBidi" w:cstheme="majorBidi"/>
          <w:color w:val="242424"/>
          <w:spacing w:val="-4"/>
          <w:sz w:val="14"/>
          <w:szCs w:val="14"/>
          <w:lang w:val="en-CA" w:eastAsia="en-GB"/>
        </w:rPr>
        <w:t xml:space="preserve"> </w:t>
      </w:r>
      <w:r w:rsidRPr="005F0A67">
        <w:rPr>
          <w:rFonts w:asciiTheme="majorBidi" w:eastAsia="Times New Roman" w:hAnsiTheme="majorBidi" w:cstheme="majorBidi"/>
          <w:color w:val="242424"/>
          <w:spacing w:val="-2"/>
          <w:sz w:val="14"/>
          <w:szCs w:val="14"/>
          <w:lang w:val="en-CA" w:eastAsia="en-GB"/>
        </w:rPr>
        <w:t>is</w:t>
      </w:r>
      <w:r w:rsidRPr="005F0A67">
        <w:rPr>
          <w:rFonts w:asciiTheme="majorBidi" w:eastAsia="Times New Roman" w:hAnsiTheme="majorBidi" w:cstheme="majorBidi"/>
          <w:color w:val="242424"/>
          <w:spacing w:val="-4"/>
          <w:sz w:val="14"/>
          <w:szCs w:val="14"/>
          <w:lang w:val="en-CA" w:eastAsia="en-GB"/>
        </w:rPr>
        <w:t xml:space="preserve"> </w:t>
      </w:r>
      <w:r w:rsidRPr="005F0A67">
        <w:rPr>
          <w:rFonts w:asciiTheme="majorBidi" w:eastAsia="Times New Roman" w:hAnsiTheme="majorBidi" w:cstheme="majorBidi"/>
          <w:color w:val="242424"/>
          <w:spacing w:val="-2"/>
          <w:sz w:val="14"/>
          <w:szCs w:val="14"/>
          <w:lang w:val="en-CA" w:eastAsia="en-GB"/>
        </w:rPr>
        <w:t>provided</w:t>
      </w:r>
      <w:r w:rsidRPr="005F0A67">
        <w:rPr>
          <w:rFonts w:asciiTheme="majorBidi" w:eastAsia="Times New Roman" w:hAnsiTheme="majorBidi" w:cstheme="majorBidi"/>
          <w:color w:val="242424"/>
          <w:spacing w:val="-4"/>
          <w:sz w:val="14"/>
          <w:szCs w:val="14"/>
          <w:lang w:val="en-CA" w:eastAsia="en-GB"/>
        </w:rPr>
        <w:t xml:space="preserve"> </w:t>
      </w:r>
      <w:r w:rsidRPr="005F0A67">
        <w:rPr>
          <w:rFonts w:asciiTheme="majorBidi" w:eastAsia="Times New Roman" w:hAnsiTheme="majorBidi" w:cstheme="majorBidi"/>
          <w:color w:val="242424"/>
          <w:spacing w:val="-2"/>
          <w:sz w:val="14"/>
          <w:szCs w:val="14"/>
          <w:lang w:val="en-CA" w:eastAsia="en-GB"/>
        </w:rPr>
        <w:t>as</w:t>
      </w:r>
      <w:r w:rsidRPr="005F0A67">
        <w:rPr>
          <w:rFonts w:asciiTheme="majorBidi" w:eastAsia="Times New Roman" w:hAnsiTheme="majorBidi" w:cstheme="majorBidi"/>
          <w:color w:val="242424"/>
          <w:spacing w:val="-4"/>
          <w:sz w:val="14"/>
          <w:szCs w:val="14"/>
          <w:lang w:val="en-CA" w:eastAsia="en-GB"/>
        </w:rPr>
        <w:t xml:space="preserve"> </w:t>
      </w:r>
      <w:r w:rsidRPr="005F0A67">
        <w:rPr>
          <w:rFonts w:asciiTheme="majorBidi" w:eastAsia="Times New Roman" w:hAnsiTheme="majorBidi" w:cstheme="majorBidi"/>
          <w:color w:val="242424"/>
          <w:spacing w:val="-2"/>
          <w:sz w:val="14"/>
          <w:szCs w:val="14"/>
          <w:lang w:val="en-CA" w:eastAsia="en-GB"/>
        </w:rPr>
        <w:t>support</w:t>
      </w:r>
      <w:r w:rsidRPr="005F0A67">
        <w:rPr>
          <w:rFonts w:asciiTheme="majorBidi" w:eastAsia="Times New Roman" w:hAnsiTheme="majorBidi" w:cstheme="majorBidi"/>
          <w:color w:val="242424"/>
          <w:spacing w:val="-4"/>
          <w:sz w:val="14"/>
          <w:szCs w:val="14"/>
          <w:lang w:val="en-CA" w:eastAsia="en-GB"/>
        </w:rPr>
        <w:t xml:space="preserve"> </w:t>
      </w:r>
      <w:r w:rsidRPr="005F0A67">
        <w:rPr>
          <w:rFonts w:asciiTheme="majorBidi" w:eastAsia="Times New Roman" w:hAnsiTheme="majorBidi" w:cstheme="majorBidi"/>
          <w:color w:val="242424"/>
          <w:spacing w:val="-2"/>
          <w:sz w:val="14"/>
          <w:szCs w:val="14"/>
          <w:lang w:val="en-CA" w:eastAsia="en-GB"/>
        </w:rPr>
        <w:t>on</w:t>
      </w:r>
      <w:r w:rsidRPr="005F0A67">
        <w:rPr>
          <w:rFonts w:asciiTheme="majorBidi" w:eastAsia="Times New Roman" w:hAnsiTheme="majorBidi" w:cstheme="majorBidi"/>
          <w:color w:val="242424"/>
          <w:spacing w:val="-4"/>
          <w:sz w:val="14"/>
          <w:szCs w:val="14"/>
          <w:lang w:val="en-CA" w:eastAsia="en-GB"/>
        </w:rPr>
        <w:t xml:space="preserve"> </w:t>
      </w:r>
      <w:r w:rsidRPr="005F0A67">
        <w:rPr>
          <w:rFonts w:asciiTheme="majorBidi" w:eastAsia="Times New Roman" w:hAnsiTheme="majorBidi" w:cstheme="majorBidi"/>
          <w:color w:val="242424"/>
          <w:spacing w:val="-2"/>
          <w:sz w:val="14"/>
          <w:szCs w:val="14"/>
          <w:lang w:val="en-CA" w:eastAsia="en-GB"/>
        </w:rPr>
        <w:t>the</w:t>
      </w:r>
      <w:r w:rsidRPr="005F0A67">
        <w:rPr>
          <w:rFonts w:asciiTheme="majorBidi" w:eastAsia="Times New Roman" w:hAnsiTheme="majorBidi" w:cstheme="majorBidi"/>
          <w:color w:val="242424"/>
          <w:spacing w:val="-4"/>
          <w:sz w:val="14"/>
          <w:szCs w:val="14"/>
          <w:lang w:val="en-CA" w:eastAsia="en-GB"/>
        </w:rPr>
        <w:t xml:space="preserve"> </w:t>
      </w:r>
      <w:r w:rsidRPr="005F0A67">
        <w:rPr>
          <w:rFonts w:asciiTheme="majorBidi" w:eastAsia="Times New Roman" w:hAnsiTheme="majorBidi" w:cstheme="majorBidi"/>
          <w:color w:val="242424"/>
          <w:spacing w:val="-2"/>
          <w:sz w:val="14"/>
          <w:szCs w:val="14"/>
          <w:lang w:val="en-CA" w:eastAsia="en-GB"/>
        </w:rPr>
        <w:t>notions</w:t>
      </w:r>
      <w:r w:rsidRPr="005F0A67">
        <w:rPr>
          <w:rFonts w:asciiTheme="majorBidi" w:eastAsia="Times New Roman" w:hAnsiTheme="majorBidi" w:cstheme="majorBidi"/>
          <w:color w:val="242424"/>
          <w:spacing w:val="-4"/>
          <w:sz w:val="14"/>
          <w:szCs w:val="14"/>
          <w:lang w:val="en-CA" w:eastAsia="en-GB"/>
        </w:rPr>
        <w:t xml:space="preserve"> </w:t>
      </w:r>
      <w:r w:rsidRPr="005F0A67">
        <w:rPr>
          <w:rFonts w:asciiTheme="majorBidi" w:eastAsia="Times New Roman" w:hAnsiTheme="majorBidi" w:cstheme="majorBidi"/>
          <w:color w:val="242424"/>
          <w:spacing w:val="-2"/>
          <w:sz w:val="14"/>
          <w:szCs w:val="14"/>
          <w:lang w:val="en-CA" w:eastAsia="en-GB"/>
        </w:rPr>
        <w:t>of</w:t>
      </w:r>
      <w:r w:rsidRPr="005F0A67">
        <w:rPr>
          <w:rFonts w:asciiTheme="majorBidi" w:eastAsia="Times New Roman" w:hAnsiTheme="majorBidi" w:cstheme="majorBidi"/>
          <w:color w:val="242424"/>
          <w:spacing w:val="-4"/>
          <w:sz w:val="14"/>
          <w:szCs w:val="14"/>
          <w:lang w:val="en-CA" w:eastAsia="en-GB"/>
        </w:rPr>
        <w:t xml:space="preserve"> </w:t>
      </w:r>
      <w:r w:rsidRPr="005F0A67">
        <w:rPr>
          <w:rFonts w:asciiTheme="majorBidi" w:eastAsia="Times New Roman" w:hAnsiTheme="majorBidi" w:cstheme="majorBidi"/>
          <w:b/>
          <w:bCs/>
          <w:color w:val="242424"/>
          <w:spacing w:val="-2"/>
          <w:sz w:val="14"/>
          <w:szCs w:val="14"/>
          <w:lang w:val="en-CA" w:eastAsia="en-GB"/>
        </w:rPr>
        <w:t>Digital</w:t>
      </w:r>
      <w:r w:rsidRPr="005F0A67">
        <w:rPr>
          <w:rFonts w:asciiTheme="majorBidi" w:eastAsia="Times New Roman" w:hAnsiTheme="majorBidi" w:cstheme="majorBidi"/>
          <w:b/>
          <w:bCs/>
          <w:color w:val="242424"/>
          <w:spacing w:val="-4"/>
          <w:sz w:val="14"/>
          <w:szCs w:val="14"/>
          <w:lang w:val="en-CA" w:eastAsia="en-GB"/>
        </w:rPr>
        <w:t xml:space="preserve"> </w:t>
      </w:r>
      <w:r w:rsidRPr="005F0A67">
        <w:rPr>
          <w:rFonts w:asciiTheme="majorBidi" w:eastAsia="Times New Roman" w:hAnsiTheme="majorBidi" w:cstheme="majorBidi"/>
          <w:b/>
          <w:bCs/>
          <w:color w:val="242424"/>
          <w:spacing w:val="-2"/>
          <w:sz w:val="14"/>
          <w:szCs w:val="14"/>
          <w:lang w:val="en-CA" w:eastAsia="en-GB"/>
        </w:rPr>
        <w:t>Sequence</w:t>
      </w:r>
      <w:r w:rsidRPr="005F0A67">
        <w:rPr>
          <w:rFonts w:asciiTheme="majorBidi" w:eastAsia="Times New Roman" w:hAnsiTheme="majorBidi" w:cstheme="majorBidi"/>
          <w:b/>
          <w:bCs/>
          <w:color w:val="242424"/>
          <w:spacing w:val="-4"/>
          <w:sz w:val="14"/>
          <w:szCs w:val="14"/>
          <w:lang w:val="en-CA" w:eastAsia="en-GB"/>
        </w:rPr>
        <w:t xml:space="preserve"> </w:t>
      </w:r>
      <w:r w:rsidRPr="005F0A67">
        <w:rPr>
          <w:rFonts w:asciiTheme="majorBidi" w:eastAsia="Times New Roman" w:hAnsiTheme="majorBidi" w:cstheme="majorBidi"/>
          <w:b/>
          <w:bCs/>
          <w:color w:val="242424"/>
          <w:spacing w:val="-2"/>
          <w:sz w:val="14"/>
          <w:szCs w:val="14"/>
          <w:lang w:val="en-CA" w:eastAsia="en-GB"/>
        </w:rPr>
        <w:t>Information</w:t>
      </w:r>
      <w:r w:rsidRPr="005F0A67">
        <w:rPr>
          <w:rFonts w:asciiTheme="majorBidi" w:eastAsia="Times New Roman" w:hAnsiTheme="majorBidi" w:cstheme="majorBidi"/>
          <w:b/>
          <w:bCs/>
          <w:color w:val="242424"/>
          <w:spacing w:val="-4"/>
          <w:sz w:val="14"/>
          <w:szCs w:val="14"/>
          <w:lang w:val="en-CA" w:eastAsia="en-GB"/>
        </w:rPr>
        <w:t xml:space="preserve"> </w:t>
      </w:r>
      <w:r w:rsidRPr="005F0A67">
        <w:rPr>
          <w:rFonts w:asciiTheme="majorBidi" w:eastAsia="Times New Roman" w:hAnsiTheme="majorBidi" w:cstheme="majorBidi"/>
          <w:b/>
          <w:bCs/>
          <w:color w:val="242424"/>
          <w:spacing w:val="-2"/>
          <w:sz w:val="14"/>
          <w:szCs w:val="14"/>
          <w:lang w:val="en-CA" w:eastAsia="en-GB"/>
        </w:rPr>
        <w:t>(DSI)</w:t>
      </w:r>
      <w:r w:rsidRPr="005F0A67">
        <w:rPr>
          <w:rFonts w:asciiTheme="majorBidi" w:eastAsia="Times New Roman" w:hAnsiTheme="majorBidi" w:cstheme="majorBidi"/>
          <w:color w:val="242424"/>
          <w:spacing w:val="-2"/>
          <w:sz w:val="14"/>
          <w:szCs w:val="14"/>
          <w:lang w:val="en-CA" w:eastAsia="en-GB"/>
        </w:rPr>
        <w:t>,</w:t>
      </w:r>
      <w:r w:rsidRPr="005F0A67">
        <w:rPr>
          <w:rFonts w:asciiTheme="majorBidi" w:eastAsia="Times New Roman" w:hAnsiTheme="majorBidi" w:cstheme="majorBidi"/>
          <w:color w:val="242424"/>
          <w:spacing w:val="-4"/>
          <w:sz w:val="14"/>
          <w:szCs w:val="14"/>
          <w:lang w:val="en-CA" w:eastAsia="en-GB"/>
        </w:rPr>
        <w:t xml:space="preserve"> </w:t>
      </w:r>
      <w:r w:rsidRPr="005F0A67">
        <w:rPr>
          <w:rFonts w:asciiTheme="majorBidi" w:eastAsia="Times New Roman" w:hAnsiTheme="majorBidi" w:cstheme="majorBidi"/>
          <w:color w:val="242424"/>
          <w:spacing w:val="-2"/>
          <w:sz w:val="14"/>
          <w:szCs w:val="14"/>
          <w:lang w:val="en-CA" w:eastAsia="en-GB"/>
        </w:rPr>
        <w:t>the</w:t>
      </w:r>
      <w:r w:rsidRPr="005F0A67">
        <w:rPr>
          <w:rFonts w:asciiTheme="majorBidi" w:eastAsia="Times New Roman" w:hAnsiTheme="majorBidi" w:cstheme="majorBidi"/>
          <w:color w:val="242424"/>
          <w:spacing w:val="-4"/>
          <w:sz w:val="14"/>
          <w:szCs w:val="14"/>
          <w:lang w:val="en-CA" w:eastAsia="en-GB"/>
        </w:rPr>
        <w:t xml:space="preserve"> </w:t>
      </w:r>
      <w:r w:rsidRPr="005F0A67">
        <w:rPr>
          <w:rFonts w:asciiTheme="majorBidi" w:eastAsia="Times New Roman" w:hAnsiTheme="majorBidi" w:cstheme="majorBidi"/>
          <w:b/>
          <w:bCs/>
          <w:color w:val="242424"/>
          <w:spacing w:val="-2"/>
          <w:sz w:val="14"/>
          <w:szCs w:val="14"/>
          <w:lang w:val="en-CA" w:eastAsia="en-GB"/>
        </w:rPr>
        <w:t>entities</w:t>
      </w:r>
      <w:r w:rsidRPr="005F0A67">
        <w:rPr>
          <w:rFonts w:asciiTheme="majorBidi" w:eastAsia="Times New Roman" w:hAnsiTheme="majorBidi" w:cstheme="majorBidi"/>
          <w:b/>
          <w:bCs/>
          <w:color w:val="242424"/>
          <w:spacing w:val="-4"/>
          <w:sz w:val="14"/>
          <w:szCs w:val="14"/>
          <w:lang w:val="en-CA" w:eastAsia="en-GB"/>
        </w:rPr>
        <w:t xml:space="preserve"> </w:t>
      </w:r>
      <w:r w:rsidRPr="005F0A67">
        <w:rPr>
          <w:rFonts w:asciiTheme="majorBidi" w:eastAsia="Times New Roman" w:hAnsiTheme="majorBidi" w:cstheme="majorBidi"/>
          <w:b/>
          <w:bCs/>
          <w:color w:val="242424"/>
          <w:spacing w:val="-2"/>
          <w:sz w:val="14"/>
          <w:szCs w:val="14"/>
          <w:lang w:val="en-CA" w:eastAsia="en-GB"/>
        </w:rPr>
        <w:t>and</w:t>
      </w:r>
      <w:r w:rsidRPr="005F0A67">
        <w:rPr>
          <w:rFonts w:asciiTheme="majorBidi" w:eastAsia="Times New Roman" w:hAnsiTheme="majorBidi" w:cstheme="majorBidi"/>
          <w:b/>
          <w:bCs/>
          <w:color w:val="242424"/>
          <w:spacing w:val="40"/>
          <w:sz w:val="14"/>
          <w:szCs w:val="14"/>
          <w:lang w:val="en-CA" w:eastAsia="en-GB"/>
        </w:rPr>
        <w:t xml:space="preserve"> </w:t>
      </w:r>
      <w:r w:rsidRPr="005F0A67">
        <w:rPr>
          <w:rFonts w:asciiTheme="majorBidi" w:eastAsia="Times New Roman" w:hAnsiTheme="majorBidi" w:cstheme="majorBidi"/>
          <w:b/>
          <w:bCs/>
          <w:color w:val="242424"/>
          <w:spacing w:val="-2"/>
          <w:sz w:val="14"/>
          <w:szCs w:val="14"/>
          <w:lang w:val="en-CA" w:eastAsia="en-GB"/>
        </w:rPr>
        <w:t>sectors</w:t>
      </w:r>
      <w:r w:rsidRPr="005F0A67">
        <w:rPr>
          <w:rFonts w:asciiTheme="majorBidi" w:eastAsia="Times New Roman" w:hAnsiTheme="majorBidi" w:cstheme="majorBidi"/>
          <w:b/>
          <w:bCs/>
          <w:color w:val="242424"/>
          <w:spacing w:val="-5"/>
          <w:sz w:val="14"/>
          <w:szCs w:val="14"/>
          <w:lang w:val="en-CA" w:eastAsia="en-GB"/>
        </w:rPr>
        <w:t xml:space="preserve"> </w:t>
      </w:r>
      <w:r w:rsidRPr="005F0A67">
        <w:rPr>
          <w:rFonts w:asciiTheme="majorBidi" w:eastAsia="Times New Roman" w:hAnsiTheme="majorBidi" w:cstheme="majorBidi"/>
          <w:b/>
          <w:bCs/>
          <w:color w:val="242424"/>
          <w:spacing w:val="-2"/>
          <w:sz w:val="14"/>
          <w:szCs w:val="14"/>
          <w:lang w:val="en-CA" w:eastAsia="en-GB"/>
        </w:rPr>
        <w:t>identified</w:t>
      </w:r>
      <w:r w:rsidRPr="005F0A67">
        <w:rPr>
          <w:rFonts w:asciiTheme="majorBidi" w:eastAsia="Times New Roman" w:hAnsiTheme="majorBidi" w:cstheme="majorBidi"/>
          <w:b/>
          <w:bCs/>
          <w:color w:val="242424"/>
          <w:spacing w:val="-5"/>
          <w:sz w:val="14"/>
          <w:szCs w:val="14"/>
          <w:lang w:val="en-CA" w:eastAsia="en-GB"/>
        </w:rPr>
        <w:t xml:space="preserve"> </w:t>
      </w:r>
      <w:r w:rsidRPr="005F0A67">
        <w:rPr>
          <w:rFonts w:asciiTheme="majorBidi" w:eastAsia="Times New Roman" w:hAnsiTheme="majorBidi" w:cstheme="majorBidi"/>
          <w:b/>
          <w:bCs/>
          <w:color w:val="242424"/>
          <w:spacing w:val="-2"/>
          <w:sz w:val="14"/>
          <w:szCs w:val="14"/>
          <w:lang w:val="en-CA" w:eastAsia="en-GB"/>
        </w:rPr>
        <w:t>as</w:t>
      </w:r>
      <w:r w:rsidRPr="005F0A67">
        <w:rPr>
          <w:rFonts w:asciiTheme="majorBidi" w:eastAsia="Times New Roman" w:hAnsiTheme="majorBidi" w:cstheme="majorBidi"/>
          <w:b/>
          <w:bCs/>
          <w:color w:val="242424"/>
          <w:spacing w:val="-5"/>
          <w:sz w:val="14"/>
          <w:szCs w:val="14"/>
          <w:lang w:val="en-CA" w:eastAsia="en-GB"/>
        </w:rPr>
        <w:t xml:space="preserve"> </w:t>
      </w:r>
      <w:r w:rsidRPr="005F0A67">
        <w:rPr>
          <w:rFonts w:asciiTheme="majorBidi" w:eastAsia="Times New Roman" w:hAnsiTheme="majorBidi" w:cstheme="majorBidi"/>
          <w:b/>
          <w:bCs/>
          <w:color w:val="242424"/>
          <w:spacing w:val="-2"/>
          <w:sz w:val="14"/>
          <w:szCs w:val="14"/>
          <w:lang w:val="en-CA" w:eastAsia="en-GB"/>
        </w:rPr>
        <w:t>potential</w:t>
      </w:r>
      <w:r w:rsidRPr="005F0A67">
        <w:rPr>
          <w:rFonts w:asciiTheme="majorBidi" w:eastAsia="Times New Roman" w:hAnsiTheme="majorBidi" w:cstheme="majorBidi"/>
          <w:b/>
          <w:bCs/>
          <w:color w:val="242424"/>
          <w:spacing w:val="-5"/>
          <w:sz w:val="14"/>
          <w:szCs w:val="14"/>
          <w:lang w:val="en-CA" w:eastAsia="en-GB"/>
        </w:rPr>
        <w:t xml:space="preserve"> </w:t>
      </w:r>
      <w:r w:rsidRPr="005F0A67">
        <w:rPr>
          <w:rFonts w:asciiTheme="majorBidi" w:eastAsia="Times New Roman" w:hAnsiTheme="majorBidi" w:cstheme="majorBidi"/>
          <w:b/>
          <w:bCs/>
          <w:color w:val="242424"/>
          <w:spacing w:val="-2"/>
          <w:sz w:val="14"/>
          <w:szCs w:val="14"/>
          <w:lang w:val="en-CA" w:eastAsia="en-GB"/>
        </w:rPr>
        <w:t>contributors</w:t>
      </w:r>
      <w:r w:rsidRPr="005F0A67">
        <w:rPr>
          <w:rFonts w:asciiTheme="majorBidi" w:eastAsia="Times New Roman" w:hAnsiTheme="majorBidi" w:cstheme="majorBidi"/>
          <w:color w:val="242424"/>
          <w:spacing w:val="-2"/>
          <w:sz w:val="14"/>
          <w:szCs w:val="14"/>
          <w:lang w:val="en-CA" w:eastAsia="en-GB"/>
        </w:rPr>
        <w:t>,</w:t>
      </w:r>
      <w:r w:rsidRPr="005F0A67">
        <w:rPr>
          <w:rFonts w:asciiTheme="majorBidi" w:eastAsia="Times New Roman" w:hAnsiTheme="majorBidi" w:cstheme="majorBidi"/>
          <w:color w:val="242424"/>
          <w:spacing w:val="-5"/>
          <w:sz w:val="14"/>
          <w:szCs w:val="14"/>
          <w:lang w:val="en-CA" w:eastAsia="en-GB"/>
        </w:rPr>
        <w:t xml:space="preserve"> </w:t>
      </w:r>
      <w:r w:rsidRPr="005F0A67">
        <w:rPr>
          <w:rFonts w:asciiTheme="majorBidi" w:eastAsia="Times New Roman" w:hAnsiTheme="majorBidi" w:cstheme="majorBidi"/>
          <w:color w:val="242424"/>
          <w:spacing w:val="-2"/>
          <w:sz w:val="14"/>
          <w:szCs w:val="14"/>
          <w:lang w:val="en-CA" w:eastAsia="en-GB"/>
        </w:rPr>
        <w:t>and</w:t>
      </w:r>
      <w:r w:rsidRPr="005F0A67">
        <w:rPr>
          <w:rFonts w:asciiTheme="majorBidi" w:eastAsia="Times New Roman" w:hAnsiTheme="majorBidi" w:cstheme="majorBidi"/>
          <w:color w:val="242424"/>
          <w:spacing w:val="-5"/>
          <w:sz w:val="14"/>
          <w:szCs w:val="14"/>
          <w:lang w:val="en-CA" w:eastAsia="en-GB"/>
        </w:rPr>
        <w:t xml:space="preserve"> </w:t>
      </w:r>
      <w:r w:rsidRPr="005F0A67">
        <w:rPr>
          <w:rFonts w:asciiTheme="majorBidi" w:eastAsia="Times New Roman" w:hAnsiTheme="majorBidi" w:cstheme="majorBidi"/>
          <w:color w:val="242424"/>
          <w:spacing w:val="-2"/>
          <w:sz w:val="14"/>
          <w:szCs w:val="14"/>
          <w:lang w:val="en-CA" w:eastAsia="en-GB"/>
        </w:rPr>
        <w:t>the</w:t>
      </w:r>
      <w:r w:rsidRPr="005F0A67">
        <w:rPr>
          <w:rFonts w:asciiTheme="majorBidi" w:eastAsia="Times New Roman" w:hAnsiTheme="majorBidi" w:cstheme="majorBidi"/>
          <w:color w:val="242424"/>
          <w:spacing w:val="-5"/>
          <w:sz w:val="14"/>
          <w:szCs w:val="14"/>
          <w:lang w:val="en-CA" w:eastAsia="en-GB"/>
        </w:rPr>
        <w:t xml:space="preserve"> </w:t>
      </w:r>
      <w:r w:rsidRPr="005F0A67">
        <w:rPr>
          <w:rFonts w:asciiTheme="majorBidi" w:eastAsia="Times New Roman" w:hAnsiTheme="majorBidi" w:cstheme="majorBidi"/>
          <w:b/>
          <w:bCs/>
          <w:color w:val="242424"/>
          <w:spacing w:val="-2"/>
          <w:sz w:val="14"/>
          <w:szCs w:val="14"/>
          <w:lang w:val="en-CA" w:eastAsia="en-GB"/>
        </w:rPr>
        <w:t>indicative</w:t>
      </w:r>
      <w:r w:rsidRPr="005F0A67">
        <w:rPr>
          <w:rFonts w:asciiTheme="majorBidi" w:eastAsia="Times New Roman" w:hAnsiTheme="majorBidi" w:cstheme="majorBidi"/>
          <w:b/>
          <w:bCs/>
          <w:color w:val="242424"/>
          <w:spacing w:val="-5"/>
          <w:sz w:val="14"/>
          <w:szCs w:val="14"/>
          <w:lang w:val="en-CA" w:eastAsia="en-GB"/>
        </w:rPr>
        <w:t xml:space="preserve"> </w:t>
      </w:r>
      <w:r w:rsidRPr="005F0A67">
        <w:rPr>
          <w:rFonts w:asciiTheme="majorBidi" w:eastAsia="Times New Roman" w:hAnsiTheme="majorBidi" w:cstheme="majorBidi"/>
          <w:b/>
          <w:bCs/>
          <w:color w:val="242424"/>
          <w:spacing w:val="-2"/>
          <w:sz w:val="14"/>
          <w:szCs w:val="14"/>
          <w:lang w:val="en-CA" w:eastAsia="en-GB"/>
        </w:rPr>
        <w:t>contribution</w:t>
      </w:r>
      <w:r w:rsidRPr="005F0A67">
        <w:rPr>
          <w:rFonts w:asciiTheme="majorBidi" w:eastAsia="Times New Roman" w:hAnsiTheme="majorBidi" w:cstheme="majorBidi"/>
          <w:b/>
          <w:bCs/>
          <w:color w:val="242424"/>
          <w:spacing w:val="-5"/>
          <w:sz w:val="14"/>
          <w:szCs w:val="14"/>
          <w:lang w:val="en-CA" w:eastAsia="en-GB"/>
        </w:rPr>
        <w:t xml:space="preserve"> </w:t>
      </w:r>
      <w:r w:rsidRPr="005F0A67">
        <w:rPr>
          <w:rFonts w:asciiTheme="majorBidi" w:eastAsia="Times New Roman" w:hAnsiTheme="majorBidi" w:cstheme="majorBidi"/>
          <w:b/>
          <w:bCs/>
          <w:color w:val="242424"/>
          <w:spacing w:val="-2"/>
          <w:sz w:val="14"/>
          <w:szCs w:val="14"/>
          <w:lang w:val="en-CA" w:eastAsia="en-GB"/>
        </w:rPr>
        <w:t>rates</w:t>
      </w:r>
      <w:r w:rsidRPr="005F0A67">
        <w:rPr>
          <w:rFonts w:asciiTheme="majorBidi" w:eastAsia="Times New Roman" w:hAnsiTheme="majorBidi" w:cstheme="majorBidi"/>
          <w:b/>
          <w:bCs/>
          <w:color w:val="242424"/>
          <w:spacing w:val="-5"/>
          <w:sz w:val="14"/>
          <w:szCs w:val="14"/>
          <w:lang w:val="en-CA" w:eastAsia="en-GB"/>
        </w:rPr>
        <w:t xml:space="preserve"> </w:t>
      </w:r>
      <w:r w:rsidRPr="005F0A67">
        <w:rPr>
          <w:rFonts w:asciiTheme="majorBidi" w:eastAsia="Times New Roman" w:hAnsiTheme="majorBidi" w:cstheme="majorBidi"/>
          <w:color w:val="242424"/>
          <w:spacing w:val="-2"/>
          <w:sz w:val="14"/>
          <w:szCs w:val="14"/>
          <w:lang w:val="en-CA" w:eastAsia="en-GB"/>
        </w:rPr>
        <w:t>to</w:t>
      </w:r>
      <w:r w:rsidRPr="005F0A67">
        <w:rPr>
          <w:rFonts w:asciiTheme="majorBidi" w:eastAsia="Times New Roman" w:hAnsiTheme="majorBidi" w:cstheme="majorBidi"/>
          <w:color w:val="242424"/>
          <w:spacing w:val="-5"/>
          <w:sz w:val="14"/>
          <w:szCs w:val="14"/>
          <w:lang w:val="en-CA" w:eastAsia="en-GB"/>
        </w:rPr>
        <w:t xml:space="preserve"> </w:t>
      </w:r>
      <w:r w:rsidRPr="005F0A67">
        <w:rPr>
          <w:rFonts w:asciiTheme="majorBidi" w:eastAsia="Times New Roman" w:hAnsiTheme="majorBidi" w:cstheme="majorBidi"/>
          <w:color w:val="242424"/>
          <w:spacing w:val="-2"/>
          <w:sz w:val="14"/>
          <w:szCs w:val="14"/>
          <w:lang w:val="en-CA" w:eastAsia="en-GB"/>
        </w:rPr>
        <w:t>the</w:t>
      </w:r>
      <w:r w:rsidRPr="005F0A67">
        <w:rPr>
          <w:rFonts w:asciiTheme="majorBidi" w:eastAsia="Times New Roman" w:hAnsiTheme="majorBidi" w:cstheme="majorBidi"/>
          <w:color w:val="242424"/>
          <w:spacing w:val="-5"/>
          <w:sz w:val="14"/>
          <w:szCs w:val="14"/>
          <w:lang w:val="en-CA" w:eastAsia="en-GB"/>
        </w:rPr>
        <w:t xml:space="preserve"> </w:t>
      </w:r>
      <w:r w:rsidRPr="005F0A67">
        <w:rPr>
          <w:rFonts w:asciiTheme="majorBidi" w:eastAsia="Times New Roman" w:hAnsiTheme="majorBidi" w:cstheme="majorBidi"/>
          <w:color w:val="242424"/>
          <w:spacing w:val="-2"/>
          <w:sz w:val="14"/>
          <w:szCs w:val="14"/>
          <w:lang w:val="en-CA" w:eastAsia="en-GB"/>
        </w:rPr>
        <w:t>Cali</w:t>
      </w:r>
      <w:r w:rsidRPr="005F0A67">
        <w:rPr>
          <w:rFonts w:asciiTheme="majorBidi" w:eastAsia="Times New Roman" w:hAnsiTheme="majorBidi" w:cstheme="majorBidi"/>
          <w:color w:val="242424"/>
          <w:spacing w:val="-5"/>
          <w:sz w:val="14"/>
          <w:szCs w:val="14"/>
          <w:lang w:val="en-CA" w:eastAsia="en-GB"/>
        </w:rPr>
        <w:t xml:space="preserve"> </w:t>
      </w:r>
      <w:r w:rsidRPr="005F0A67">
        <w:rPr>
          <w:rFonts w:asciiTheme="majorBidi" w:eastAsia="Times New Roman" w:hAnsiTheme="majorBidi" w:cstheme="majorBidi"/>
          <w:color w:val="242424"/>
          <w:spacing w:val="-2"/>
          <w:sz w:val="14"/>
          <w:szCs w:val="14"/>
          <w:lang w:val="en-CA" w:eastAsia="en-GB"/>
        </w:rPr>
        <w:t>Fund.</w:t>
      </w:r>
    </w:p>
    <w:p w14:paraId="58B06B3B" w14:textId="77777777" w:rsidR="005F0A67" w:rsidRPr="005F0A67" w:rsidRDefault="005F0A67" w:rsidP="005F0A67">
      <w:pPr>
        <w:widowControl w:val="0"/>
        <w:tabs>
          <w:tab w:val="clear" w:pos="567"/>
          <w:tab w:val="clear" w:pos="1134"/>
          <w:tab w:val="clear" w:pos="1701"/>
          <w:tab w:val="clear" w:pos="2268"/>
        </w:tabs>
        <w:spacing w:before="39"/>
        <w:jc w:val="left"/>
        <w:rPr>
          <w:rFonts w:asciiTheme="majorBidi" w:eastAsia="Arial" w:hAnsiTheme="majorBidi" w:cstheme="majorBidi"/>
          <w:sz w:val="14"/>
          <w:szCs w:val="14"/>
          <w:lang w:val="en-US"/>
        </w:rPr>
      </w:pPr>
    </w:p>
    <w:p w14:paraId="030E92D3" w14:textId="77777777" w:rsidR="005F0A67" w:rsidRPr="005F0A67" w:rsidRDefault="005F0A67" w:rsidP="003A387A">
      <w:pPr>
        <w:numPr>
          <w:ilvl w:val="0"/>
          <w:numId w:val="46"/>
        </w:numPr>
        <w:tabs>
          <w:tab w:val="clear" w:pos="567"/>
          <w:tab w:val="clear" w:pos="1134"/>
          <w:tab w:val="clear" w:pos="1701"/>
          <w:tab w:val="clear" w:pos="2268"/>
          <w:tab w:val="left" w:pos="681"/>
        </w:tabs>
        <w:spacing w:before="1" w:after="120"/>
        <w:ind w:left="681" w:hanging="166"/>
        <w:jc w:val="left"/>
        <w:outlineLvl w:val="3"/>
        <w:rPr>
          <w:rFonts w:asciiTheme="majorBidi" w:eastAsia="Georgia" w:hAnsiTheme="majorBidi" w:cstheme="majorBidi"/>
          <w:b/>
          <w:bCs/>
          <w:color w:val="0F4761"/>
          <w:sz w:val="18"/>
          <w:szCs w:val="18"/>
          <w:lang w:eastAsia="en-GB"/>
        </w:rPr>
      </w:pPr>
      <w:r w:rsidRPr="005F0A67">
        <w:rPr>
          <w:rFonts w:asciiTheme="majorBidi" w:eastAsia="Georgia" w:hAnsiTheme="majorBidi" w:cstheme="majorBidi"/>
          <w:b/>
          <w:bCs/>
          <w:color w:val="242424"/>
          <w:spacing w:val="-4"/>
          <w:sz w:val="18"/>
          <w:szCs w:val="18"/>
          <w:lang w:eastAsia="en-GB"/>
        </w:rPr>
        <w:t>DSI</w:t>
      </w:r>
      <w:r w:rsidRPr="005F0A67">
        <w:rPr>
          <w:rFonts w:asciiTheme="majorBidi" w:eastAsia="Georgia" w:hAnsiTheme="majorBidi" w:cstheme="majorBidi"/>
          <w:b/>
          <w:bCs/>
          <w:color w:val="242424"/>
          <w:spacing w:val="1"/>
          <w:sz w:val="18"/>
          <w:szCs w:val="18"/>
          <w:lang w:eastAsia="en-GB"/>
        </w:rPr>
        <w:t xml:space="preserve"> </w:t>
      </w:r>
      <w:r w:rsidRPr="005F0A67">
        <w:rPr>
          <w:rFonts w:asciiTheme="majorBidi" w:eastAsia="Georgia" w:hAnsiTheme="majorBidi" w:cstheme="majorBidi"/>
          <w:b/>
          <w:bCs/>
          <w:color w:val="242424"/>
          <w:spacing w:val="-4"/>
          <w:sz w:val="18"/>
          <w:szCs w:val="18"/>
          <w:lang w:eastAsia="en-GB"/>
        </w:rPr>
        <w:t>DEFINITION</w:t>
      </w:r>
      <w:r w:rsidRPr="005F0A67">
        <w:rPr>
          <w:rFonts w:asciiTheme="majorBidi" w:eastAsia="Georgia" w:hAnsiTheme="majorBidi" w:cstheme="majorBidi"/>
          <w:b/>
          <w:bCs/>
          <w:color w:val="242424"/>
          <w:spacing w:val="1"/>
          <w:sz w:val="18"/>
          <w:szCs w:val="18"/>
          <w:lang w:eastAsia="en-GB"/>
        </w:rPr>
        <w:t xml:space="preserve"> </w:t>
      </w:r>
      <w:r w:rsidRPr="005F0A67">
        <w:rPr>
          <w:rFonts w:asciiTheme="majorBidi" w:eastAsia="Georgia" w:hAnsiTheme="majorBidi" w:cstheme="majorBidi"/>
          <w:b/>
          <w:bCs/>
          <w:color w:val="242424"/>
          <w:spacing w:val="-4"/>
          <w:sz w:val="18"/>
          <w:szCs w:val="18"/>
          <w:lang w:eastAsia="en-GB"/>
        </w:rPr>
        <w:t>AND</w:t>
      </w:r>
      <w:r w:rsidRPr="005F0A67">
        <w:rPr>
          <w:rFonts w:asciiTheme="majorBidi" w:eastAsia="Georgia" w:hAnsiTheme="majorBidi" w:cstheme="majorBidi"/>
          <w:b/>
          <w:bCs/>
          <w:color w:val="242424"/>
          <w:spacing w:val="2"/>
          <w:sz w:val="18"/>
          <w:szCs w:val="18"/>
          <w:lang w:eastAsia="en-GB"/>
        </w:rPr>
        <w:t xml:space="preserve"> </w:t>
      </w:r>
      <w:r w:rsidRPr="005F0A67">
        <w:rPr>
          <w:rFonts w:asciiTheme="majorBidi" w:eastAsia="Georgia" w:hAnsiTheme="majorBidi" w:cstheme="majorBidi"/>
          <w:b/>
          <w:bCs/>
          <w:color w:val="242424"/>
          <w:spacing w:val="-4"/>
          <w:sz w:val="18"/>
          <w:szCs w:val="18"/>
          <w:lang w:eastAsia="en-GB"/>
        </w:rPr>
        <w:t>SCOPE</w:t>
      </w:r>
    </w:p>
    <w:p w14:paraId="61235AB4" w14:textId="77777777" w:rsidR="005F0A67" w:rsidRPr="005F0A67" w:rsidRDefault="005F0A67" w:rsidP="005F0A67">
      <w:pPr>
        <w:widowControl w:val="0"/>
        <w:tabs>
          <w:tab w:val="clear" w:pos="567"/>
          <w:tab w:val="clear" w:pos="1134"/>
          <w:tab w:val="clear" w:pos="1701"/>
          <w:tab w:val="clear" w:pos="2268"/>
        </w:tabs>
        <w:spacing w:before="39" w:line="297" w:lineRule="auto"/>
        <w:ind w:left="515" w:right="484"/>
        <w:jc w:val="left"/>
        <w:rPr>
          <w:rFonts w:asciiTheme="majorBidi" w:eastAsia="Arial" w:hAnsiTheme="majorBidi" w:cstheme="majorBidi"/>
          <w:sz w:val="14"/>
          <w:szCs w:val="14"/>
          <w:lang w:val="en-US"/>
        </w:rPr>
      </w:pPr>
      <w:r w:rsidRPr="005F0A67">
        <w:rPr>
          <w:rFonts w:asciiTheme="majorBidi" w:eastAsia="Arial" w:hAnsiTheme="majorBidi" w:cstheme="majorBidi"/>
          <w:color w:val="242424"/>
          <w:spacing w:val="-2"/>
          <w:sz w:val="14"/>
          <w:szCs w:val="14"/>
          <w:lang w:val="en-US"/>
        </w:rPr>
        <w:t>There</w:t>
      </w:r>
      <w:r w:rsidRPr="005F0A67">
        <w:rPr>
          <w:rFonts w:asciiTheme="majorBidi" w:eastAsia="Arial" w:hAnsiTheme="majorBidi" w:cstheme="majorBidi"/>
          <w:color w:val="242424"/>
          <w:spacing w:val="-4"/>
          <w:sz w:val="14"/>
          <w:szCs w:val="14"/>
          <w:lang w:val="en-US"/>
        </w:rPr>
        <w:t xml:space="preserve"> </w:t>
      </w:r>
      <w:r w:rsidRPr="005F0A67">
        <w:rPr>
          <w:rFonts w:asciiTheme="majorBidi" w:eastAsia="Arial" w:hAnsiTheme="majorBidi" w:cstheme="majorBidi"/>
          <w:color w:val="242424"/>
          <w:spacing w:val="-2"/>
          <w:sz w:val="14"/>
          <w:szCs w:val="14"/>
          <w:lang w:val="en-US"/>
        </w:rPr>
        <w:t>is</w:t>
      </w:r>
      <w:r w:rsidRPr="005F0A67">
        <w:rPr>
          <w:rFonts w:asciiTheme="majorBidi" w:eastAsia="Arial" w:hAnsiTheme="majorBidi" w:cstheme="majorBidi"/>
          <w:color w:val="242424"/>
          <w:spacing w:val="-4"/>
          <w:sz w:val="14"/>
          <w:szCs w:val="14"/>
          <w:lang w:val="en-US"/>
        </w:rPr>
        <w:t xml:space="preserve"> </w:t>
      </w:r>
      <w:r w:rsidRPr="005F0A67">
        <w:rPr>
          <w:rFonts w:asciiTheme="majorBidi" w:eastAsia="Arial" w:hAnsiTheme="majorBidi" w:cstheme="majorBidi"/>
          <w:color w:val="242424"/>
          <w:spacing w:val="-2"/>
          <w:sz w:val="14"/>
          <w:szCs w:val="14"/>
          <w:lang w:val="en-US"/>
        </w:rPr>
        <w:t>no</w:t>
      </w:r>
      <w:r w:rsidRPr="005F0A67">
        <w:rPr>
          <w:rFonts w:asciiTheme="majorBidi" w:eastAsia="Arial" w:hAnsiTheme="majorBidi" w:cstheme="majorBidi"/>
          <w:color w:val="242424"/>
          <w:spacing w:val="-4"/>
          <w:sz w:val="14"/>
          <w:szCs w:val="14"/>
          <w:lang w:val="en-US"/>
        </w:rPr>
        <w:t xml:space="preserve"> </w:t>
      </w:r>
      <w:r w:rsidRPr="005F0A67">
        <w:rPr>
          <w:rFonts w:asciiTheme="majorBidi" w:eastAsia="Arial" w:hAnsiTheme="majorBidi" w:cstheme="majorBidi"/>
          <w:color w:val="242424"/>
          <w:spacing w:val="-2"/>
          <w:sz w:val="14"/>
          <w:szCs w:val="14"/>
          <w:lang w:val="en-US"/>
        </w:rPr>
        <w:t>CBD-agreed</w:t>
      </w:r>
      <w:r w:rsidRPr="005F0A67">
        <w:rPr>
          <w:rFonts w:asciiTheme="majorBidi" w:eastAsia="Arial" w:hAnsiTheme="majorBidi" w:cstheme="majorBidi"/>
          <w:color w:val="242424"/>
          <w:spacing w:val="-4"/>
          <w:sz w:val="14"/>
          <w:szCs w:val="14"/>
          <w:lang w:val="en-US"/>
        </w:rPr>
        <w:t xml:space="preserve"> </w:t>
      </w:r>
      <w:r w:rsidRPr="005F0A67">
        <w:rPr>
          <w:rFonts w:asciiTheme="majorBidi" w:eastAsia="Arial" w:hAnsiTheme="majorBidi" w:cstheme="majorBidi"/>
          <w:color w:val="242424"/>
          <w:spacing w:val="-2"/>
          <w:sz w:val="14"/>
          <w:szCs w:val="14"/>
          <w:lang w:val="en-US"/>
        </w:rPr>
        <w:t>definition</w:t>
      </w:r>
      <w:r w:rsidRPr="005F0A67">
        <w:rPr>
          <w:rFonts w:asciiTheme="majorBidi" w:eastAsia="Arial" w:hAnsiTheme="majorBidi" w:cstheme="majorBidi"/>
          <w:color w:val="242424"/>
          <w:spacing w:val="-4"/>
          <w:sz w:val="14"/>
          <w:szCs w:val="14"/>
          <w:lang w:val="en-US"/>
        </w:rPr>
        <w:t xml:space="preserve"> </w:t>
      </w:r>
      <w:r w:rsidRPr="005F0A67">
        <w:rPr>
          <w:rFonts w:asciiTheme="majorBidi" w:eastAsia="Arial" w:hAnsiTheme="majorBidi" w:cstheme="majorBidi"/>
          <w:color w:val="242424"/>
          <w:spacing w:val="-2"/>
          <w:sz w:val="14"/>
          <w:szCs w:val="14"/>
          <w:lang w:val="en-US"/>
        </w:rPr>
        <w:t>of</w:t>
      </w:r>
      <w:r w:rsidRPr="005F0A67">
        <w:rPr>
          <w:rFonts w:asciiTheme="majorBidi" w:eastAsia="Arial" w:hAnsiTheme="majorBidi" w:cstheme="majorBidi"/>
          <w:color w:val="242424"/>
          <w:spacing w:val="-4"/>
          <w:sz w:val="14"/>
          <w:szCs w:val="14"/>
          <w:lang w:val="en-US"/>
        </w:rPr>
        <w:t xml:space="preserve"> </w:t>
      </w:r>
      <w:r w:rsidRPr="005F0A67">
        <w:rPr>
          <w:rFonts w:asciiTheme="majorBidi" w:eastAsia="Arial" w:hAnsiTheme="majorBidi" w:cstheme="majorBidi"/>
          <w:color w:val="242424"/>
          <w:spacing w:val="-2"/>
          <w:sz w:val="14"/>
          <w:szCs w:val="14"/>
          <w:lang w:val="en-US"/>
        </w:rPr>
        <w:t>digital</w:t>
      </w:r>
      <w:r w:rsidRPr="005F0A67">
        <w:rPr>
          <w:rFonts w:asciiTheme="majorBidi" w:eastAsia="Arial" w:hAnsiTheme="majorBidi" w:cstheme="majorBidi"/>
          <w:color w:val="242424"/>
          <w:spacing w:val="-4"/>
          <w:sz w:val="14"/>
          <w:szCs w:val="14"/>
          <w:lang w:val="en-US"/>
        </w:rPr>
        <w:t xml:space="preserve"> </w:t>
      </w:r>
      <w:r w:rsidRPr="005F0A67">
        <w:rPr>
          <w:rFonts w:asciiTheme="majorBidi" w:eastAsia="Arial" w:hAnsiTheme="majorBidi" w:cstheme="majorBidi"/>
          <w:color w:val="242424"/>
          <w:spacing w:val="-2"/>
          <w:sz w:val="14"/>
          <w:szCs w:val="14"/>
          <w:lang w:val="en-US"/>
        </w:rPr>
        <w:t>sequence</w:t>
      </w:r>
      <w:r w:rsidRPr="005F0A67">
        <w:rPr>
          <w:rFonts w:asciiTheme="majorBidi" w:eastAsia="Arial" w:hAnsiTheme="majorBidi" w:cstheme="majorBidi"/>
          <w:color w:val="242424"/>
          <w:spacing w:val="-4"/>
          <w:sz w:val="14"/>
          <w:szCs w:val="14"/>
          <w:lang w:val="en-US"/>
        </w:rPr>
        <w:t xml:space="preserve"> </w:t>
      </w:r>
      <w:r w:rsidRPr="005F0A67">
        <w:rPr>
          <w:rFonts w:asciiTheme="majorBidi" w:eastAsia="Arial" w:hAnsiTheme="majorBidi" w:cstheme="majorBidi"/>
          <w:color w:val="242424"/>
          <w:spacing w:val="-2"/>
          <w:sz w:val="14"/>
          <w:szCs w:val="14"/>
          <w:lang w:val="en-US"/>
        </w:rPr>
        <w:t>information</w:t>
      </w:r>
      <w:r w:rsidRPr="005F0A67">
        <w:rPr>
          <w:rFonts w:asciiTheme="majorBidi" w:eastAsia="Arial" w:hAnsiTheme="majorBidi" w:cstheme="majorBidi"/>
          <w:color w:val="242424"/>
          <w:spacing w:val="-4"/>
          <w:sz w:val="14"/>
          <w:szCs w:val="14"/>
          <w:lang w:val="en-US"/>
        </w:rPr>
        <w:t xml:space="preserve"> </w:t>
      </w:r>
      <w:r w:rsidRPr="005F0A67">
        <w:rPr>
          <w:rFonts w:asciiTheme="majorBidi" w:eastAsia="Arial" w:hAnsiTheme="majorBidi" w:cstheme="majorBidi"/>
          <w:color w:val="242424"/>
          <w:spacing w:val="-2"/>
          <w:sz w:val="14"/>
          <w:szCs w:val="14"/>
          <w:lang w:val="en-US"/>
        </w:rPr>
        <w:t>on</w:t>
      </w:r>
      <w:r w:rsidRPr="005F0A67">
        <w:rPr>
          <w:rFonts w:asciiTheme="majorBidi" w:eastAsia="Arial" w:hAnsiTheme="majorBidi" w:cstheme="majorBidi"/>
          <w:color w:val="242424"/>
          <w:spacing w:val="-4"/>
          <w:sz w:val="14"/>
          <w:szCs w:val="14"/>
          <w:lang w:val="en-US"/>
        </w:rPr>
        <w:t xml:space="preserve"> </w:t>
      </w:r>
      <w:r w:rsidRPr="005F0A67">
        <w:rPr>
          <w:rFonts w:asciiTheme="majorBidi" w:eastAsia="Arial" w:hAnsiTheme="majorBidi" w:cstheme="majorBidi"/>
          <w:color w:val="242424"/>
          <w:spacing w:val="-2"/>
          <w:sz w:val="14"/>
          <w:szCs w:val="14"/>
          <w:lang w:val="en-US"/>
        </w:rPr>
        <w:t>genetic</w:t>
      </w:r>
      <w:r w:rsidRPr="005F0A67">
        <w:rPr>
          <w:rFonts w:asciiTheme="majorBidi" w:eastAsia="Arial" w:hAnsiTheme="majorBidi" w:cstheme="majorBidi"/>
          <w:color w:val="242424"/>
          <w:spacing w:val="-4"/>
          <w:sz w:val="14"/>
          <w:szCs w:val="14"/>
          <w:lang w:val="en-US"/>
        </w:rPr>
        <w:t xml:space="preserve"> </w:t>
      </w:r>
      <w:r w:rsidRPr="005F0A67">
        <w:rPr>
          <w:rFonts w:asciiTheme="majorBidi" w:eastAsia="Arial" w:hAnsiTheme="majorBidi" w:cstheme="majorBidi"/>
          <w:color w:val="242424"/>
          <w:spacing w:val="-2"/>
          <w:sz w:val="14"/>
          <w:szCs w:val="14"/>
          <w:lang w:val="en-US"/>
        </w:rPr>
        <w:t>resources</w:t>
      </w:r>
      <w:r w:rsidRPr="005F0A67">
        <w:rPr>
          <w:rFonts w:asciiTheme="majorBidi" w:eastAsia="Arial" w:hAnsiTheme="majorBidi" w:cstheme="majorBidi"/>
          <w:color w:val="242424"/>
          <w:spacing w:val="-4"/>
          <w:sz w:val="14"/>
          <w:szCs w:val="14"/>
          <w:lang w:val="en-US"/>
        </w:rPr>
        <w:t xml:space="preserve"> </w:t>
      </w:r>
      <w:r w:rsidRPr="005F0A67">
        <w:rPr>
          <w:rFonts w:asciiTheme="majorBidi" w:eastAsia="Arial" w:hAnsiTheme="majorBidi" w:cstheme="majorBidi"/>
          <w:color w:val="242424"/>
          <w:spacing w:val="-2"/>
          <w:sz w:val="14"/>
          <w:szCs w:val="14"/>
          <w:lang w:val="en-US"/>
        </w:rPr>
        <w:t>at</w:t>
      </w:r>
      <w:r w:rsidRPr="005F0A67">
        <w:rPr>
          <w:rFonts w:asciiTheme="majorBidi" w:eastAsia="Arial" w:hAnsiTheme="majorBidi" w:cstheme="majorBidi"/>
          <w:color w:val="242424"/>
          <w:spacing w:val="-4"/>
          <w:sz w:val="14"/>
          <w:szCs w:val="14"/>
          <w:lang w:val="en-US"/>
        </w:rPr>
        <w:t xml:space="preserve"> </w:t>
      </w:r>
      <w:r w:rsidRPr="005F0A67">
        <w:rPr>
          <w:rFonts w:asciiTheme="majorBidi" w:eastAsia="Arial" w:hAnsiTheme="majorBidi" w:cstheme="majorBidi"/>
          <w:color w:val="242424"/>
          <w:spacing w:val="-2"/>
          <w:sz w:val="14"/>
          <w:szCs w:val="14"/>
          <w:lang w:val="en-US"/>
        </w:rPr>
        <w:t>this</w:t>
      </w:r>
      <w:r w:rsidRPr="005F0A67">
        <w:rPr>
          <w:rFonts w:asciiTheme="majorBidi" w:eastAsia="Arial" w:hAnsiTheme="majorBidi" w:cstheme="majorBidi"/>
          <w:color w:val="242424"/>
          <w:spacing w:val="-4"/>
          <w:sz w:val="14"/>
          <w:szCs w:val="14"/>
          <w:lang w:val="en-US"/>
        </w:rPr>
        <w:t xml:space="preserve"> </w:t>
      </w:r>
      <w:r w:rsidRPr="005F0A67">
        <w:rPr>
          <w:rFonts w:asciiTheme="majorBidi" w:eastAsia="Arial" w:hAnsiTheme="majorBidi" w:cstheme="majorBidi"/>
          <w:color w:val="242424"/>
          <w:spacing w:val="-2"/>
          <w:sz w:val="14"/>
          <w:szCs w:val="14"/>
          <w:lang w:val="en-US"/>
        </w:rPr>
        <w:t>point.</w:t>
      </w:r>
      <w:r w:rsidRPr="005F0A67">
        <w:rPr>
          <w:rFonts w:asciiTheme="majorBidi" w:eastAsia="Arial" w:hAnsiTheme="majorBidi" w:cstheme="majorBidi"/>
          <w:color w:val="242424"/>
          <w:spacing w:val="-4"/>
          <w:sz w:val="14"/>
          <w:szCs w:val="14"/>
          <w:lang w:val="en-US"/>
        </w:rPr>
        <w:t xml:space="preserve"> </w:t>
      </w:r>
      <w:r w:rsidRPr="005F0A67">
        <w:rPr>
          <w:rFonts w:asciiTheme="majorBidi" w:eastAsia="Arial" w:hAnsiTheme="majorBidi" w:cstheme="majorBidi"/>
          <w:color w:val="242424"/>
          <w:spacing w:val="-2"/>
          <w:sz w:val="14"/>
          <w:szCs w:val="14"/>
          <w:lang w:val="en-US"/>
        </w:rPr>
        <w:t>An</w:t>
      </w:r>
      <w:r w:rsidRPr="005F0A67">
        <w:rPr>
          <w:rFonts w:asciiTheme="majorBidi" w:eastAsia="Arial" w:hAnsiTheme="majorBidi" w:cstheme="majorBidi"/>
          <w:color w:val="242424"/>
          <w:spacing w:val="-4"/>
          <w:sz w:val="14"/>
          <w:szCs w:val="14"/>
          <w:lang w:val="en-US"/>
        </w:rPr>
        <w:t xml:space="preserve"> </w:t>
      </w:r>
      <w:r w:rsidRPr="005F0A67">
        <w:rPr>
          <w:rFonts w:asciiTheme="majorBidi" w:eastAsia="Arial" w:hAnsiTheme="majorBidi" w:cstheme="majorBidi"/>
          <w:color w:val="242424"/>
          <w:spacing w:val="-2"/>
          <w:sz w:val="14"/>
          <w:szCs w:val="14"/>
          <w:lang w:val="en-US"/>
        </w:rPr>
        <w:t>Ad</w:t>
      </w:r>
      <w:r w:rsidRPr="005F0A67">
        <w:rPr>
          <w:rFonts w:asciiTheme="majorBidi" w:eastAsia="Arial" w:hAnsiTheme="majorBidi" w:cstheme="majorBidi"/>
          <w:color w:val="242424"/>
          <w:spacing w:val="-4"/>
          <w:sz w:val="14"/>
          <w:szCs w:val="14"/>
          <w:lang w:val="en-US"/>
        </w:rPr>
        <w:t xml:space="preserve"> </w:t>
      </w:r>
      <w:r w:rsidRPr="005F0A67">
        <w:rPr>
          <w:rFonts w:asciiTheme="majorBidi" w:eastAsia="Arial" w:hAnsiTheme="majorBidi" w:cstheme="majorBidi"/>
          <w:color w:val="242424"/>
          <w:spacing w:val="-2"/>
          <w:sz w:val="14"/>
          <w:szCs w:val="14"/>
          <w:lang w:val="en-US"/>
        </w:rPr>
        <w:t>Hoc</w:t>
      </w:r>
      <w:r w:rsidRPr="005F0A67">
        <w:rPr>
          <w:rFonts w:asciiTheme="majorBidi" w:eastAsia="Arial" w:hAnsiTheme="majorBidi" w:cstheme="majorBidi"/>
          <w:color w:val="242424"/>
          <w:spacing w:val="-4"/>
          <w:sz w:val="14"/>
          <w:szCs w:val="14"/>
          <w:lang w:val="en-US"/>
        </w:rPr>
        <w:t xml:space="preserve"> </w:t>
      </w:r>
      <w:r w:rsidRPr="005F0A67">
        <w:rPr>
          <w:rFonts w:asciiTheme="majorBidi" w:eastAsia="Arial" w:hAnsiTheme="majorBidi" w:cstheme="majorBidi"/>
          <w:color w:val="242424"/>
          <w:spacing w:val="-2"/>
          <w:sz w:val="14"/>
          <w:szCs w:val="14"/>
          <w:lang w:val="en-US"/>
        </w:rPr>
        <w:t>Technical</w:t>
      </w:r>
      <w:r w:rsidRPr="005F0A67">
        <w:rPr>
          <w:rFonts w:asciiTheme="majorBidi" w:eastAsia="Arial" w:hAnsiTheme="majorBidi" w:cstheme="majorBidi"/>
          <w:color w:val="242424"/>
          <w:spacing w:val="40"/>
          <w:sz w:val="14"/>
          <w:szCs w:val="14"/>
          <w:lang w:val="en-US"/>
        </w:rPr>
        <w:t xml:space="preserve"> </w:t>
      </w:r>
      <w:r w:rsidRPr="005F0A67">
        <w:rPr>
          <w:rFonts w:asciiTheme="majorBidi" w:eastAsia="Arial" w:hAnsiTheme="majorBidi" w:cstheme="majorBidi"/>
          <w:color w:val="242424"/>
          <w:spacing w:val="-2"/>
          <w:sz w:val="14"/>
          <w:szCs w:val="14"/>
          <w:lang w:val="en-US"/>
        </w:rPr>
        <w:t>Expert</w:t>
      </w:r>
      <w:r w:rsidRPr="005F0A67">
        <w:rPr>
          <w:rFonts w:asciiTheme="majorBidi" w:eastAsia="Arial" w:hAnsiTheme="majorBidi" w:cstheme="majorBidi"/>
          <w:color w:val="242424"/>
          <w:spacing w:val="-8"/>
          <w:sz w:val="14"/>
          <w:szCs w:val="14"/>
          <w:lang w:val="en-US"/>
        </w:rPr>
        <w:t xml:space="preserve"> </w:t>
      </w:r>
      <w:r w:rsidRPr="005F0A67">
        <w:rPr>
          <w:rFonts w:asciiTheme="majorBidi" w:eastAsia="Arial" w:hAnsiTheme="majorBidi" w:cstheme="majorBidi"/>
          <w:color w:val="242424"/>
          <w:spacing w:val="-2"/>
          <w:sz w:val="14"/>
          <w:szCs w:val="14"/>
          <w:lang w:val="en-US"/>
        </w:rPr>
        <w:t>Group</w:t>
      </w:r>
      <w:r w:rsidRPr="005F0A67">
        <w:rPr>
          <w:rFonts w:asciiTheme="majorBidi" w:eastAsia="Arial" w:hAnsiTheme="majorBidi" w:cstheme="majorBidi"/>
          <w:color w:val="242424"/>
          <w:spacing w:val="-8"/>
          <w:sz w:val="14"/>
          <w:szCs w:val="14"/>
          <w:lang w:val="en-US"/>
        </w:rPr>
        <w:t xml:space="preserve"> </w:t>
      </w:r>
      <w:r w:rsidRPr="005F0A67">
        <w:rPr>
          <w:rFonts w:asciiTheme="majorBidi" w:eastAsia="Arial" w:hAnsiTheme="majorBidi" w:cstheme="majorBidi"/>
          <w:color w:val="242424"/>
          <w:spacing w:val="-2"/>
          <w:sz w:val="14"/>
          <w:szCs w:val="14"/>
          <w:lang w:val="en-US"/>
        </w:rPr>
        <w:t>was</w:t>
      </w:r>
      <w:r w:rsidRPr="005F0A67">
        <w:rPr>
          <w:rFonts w:asciiTheme="majorBidi" w:eastAsia="Arial" w:hAnsiTheme="majorBidi" w:cstheme="majorBidi"/>
          <w:color w:val="242424"/>
          <w:spacing w:val="-7"/>
          <w:sz w:val="14"/>
          <w:szCs w:val="14"/>
          <w:lang w:val="en-US"/>
        </w:rPr>
        <w:t xml:space="preserve"> </w:t>
      </w:r>
      <w:r w:rsidRPr="005F0A67">
        <w:rPr>
          <w:rFonts w:asciiTheme="majorBidi" w:eastAsia="Arial" w:hAnsiTheme="majorBidi" w:cstheme="majorBidi"/>
          <w:color w:val="242424"/>
          <w:spacing w:val="-2"/>
          <w:sz w:val="14"/>
          <w:szCs w:val="14"/>
          <w:lang w:val="en-US"/>
        </w:rPr>
        <w:t>mandated</w:t>
      </w:r>
      <w:r w:rsidRPr="005F0A67">
        <w:rPr>
          <w:rFonts w:asciiTheme="majorBidi" w:eastAsia="Arial" w:hAnsiTheme="majorBidi" w:cstheme="majorBidi"/>
          <w:color w:val="242424"/>
          <w:spacing w:val="-8"/>
          <w:sz w:val="14"/>
          <w:szCs w:val="14"/>
          <w:lang w:val="en-US"/>
        </w:rPr>
        <w:t xml:space="preserve"> </w:t>
      </w:r>
      <w:r w:rsidRPr="005F0A67">
        <w:rPr>
          <w:rFonts w:asciiTheme="majorBidi" w:eastAsia="Arial" w:hAnsiTheme="majorBidi" w:cstheme="majorBidi"/>
          <w:color w:val="242424"/>
          <w:spacing w:val="-2"/>
          <w:sz w:val="14"/>
          <w:szCs w:val="14"/>
          <w:lang w:val="en-US"/>
        </w:rPr>
        <w:t>in</w:t>
      </w:r>
      <w:r w:rsidRPr="005F0A67">
        <w:rPr>
          <w:rFonts w:asciiTheme="majorBidi" w:eastAsia="Arial" w:hAnsiTheme="majorBidi" w:cstheme="majorBidi"/>
          <w:color w:val="242424"/>
          <w:spacing w:val="-8"/>
          <w:sz w:val="14"/>
          <w:szCs w:val="14"/>
          <w:lang w:val="en-US"/>
        </w:rPr>
        <w:t xml:space="preserve"> </w:t>
      </w:r>
      <w:r w:rsidRPr="005F0A67">
        <w:rPr>
          <w:rFonts w:asciiTheme="majorBidi" w:eastAsia="Arial" w:hAnsiTheme="majorBidi" w:cstheme="majorBidi"/>
          <w:color w:val="242424"/>
          <w:spacing w:val="-2"/>
          <w:sz w:val="14"/>
          <w:szCs w:val="14"/>
          <w:lang w:val="en-US"/>
        </w:rPr>
        <w:t>2018</w:t>
      </w:r>
      <w:r w:rsidRPr="005F0A67">
        <w:rPr>
          <w:rFonts w:asciiTheme="majorBidi" w:eastAsia="Arial" w:hAnsiTheme="majorBidi" w:cstheme="majorBidi"/>
          <w:color w:val="242424"/>
          <w:spacing w:val="-7"/>
          <w:sz w:val="14"/>
          <w:szCs w:val="14"/>
          <w:lang w:val="en-US"/>
        </w:rPr>
        <w:t xml:space="preserve"> </w:t>
      </w:r>
      <w:r w:rsidRPr="005F0A67">
        <w:rPr>
          <w:rFonts w:asciiTheme="majorBidi" w:eastAsia="Arial" w:hAnsiTheme="majorBidi" w:cstheme="majorBidi"/>
          <w:color w:val="242424"/>
          <w:spacing w:val="-2"/>
          <w:sz w:val="14"/>
          <w:szCs w:val="14"/>
          <w:lang w:val="en-US"/>
        </w:rPr>
        <w:t>to</w:t>
      </w:r>
      <w:r w:rsidRPr="005F0A67">
        <w:rPr>
          <w:rFonts w:asciiTheme="majorBidi" w:eastAsia="Arial" w:hAnsiTheme="majorBidi" w:cstheme="majorBidi"/>
          <w:color w:val="242424"/>
          <w:spacing w:val="-8"/>
          <w:sz w:val="14"/>
          <w:szCs w:val="14"/>
          <w:lang w:val="en-US"/>
        </w:rPr>
        <w:t xml:space="preserve"> </w:t>
      </w:r>
      <w:r w:rsidRPr="005F0A67">
        <w:rPr>
          <w:rFonts w:asciiTheme="majorBidi" w:eastAsia="Arial" w:hAnsiTheme="majorBidi" w:cstheme="majorBidi"/>
          <w:color w:val="242424"/>
          <w:spacing w:val="-2"/>
          <w:sz w:val="14"/>
          <w:szCs w:val="14"/>
          <w:lang w:val="en-US"/>
        </w:rPr>
        <w:t>provide</w:t>
      </w:r>
      <w:r w:rsidRPr="005F0A67">
        <w:rPr>
          <w:rFonts w:asciiTheme="majorBidi" w:eastAsia="Arial" w:hAnsiTheme="majorBidi" w:cstheme="majorBidi"/>
          <w:color w:val="242424"/>
          <w:spacing w:val="-8"/>
          <w:sz w:val="14"/>
          <w:szCs w:val="14"/>
          <w:lang w:val="en-US"/>
        </w:rPr>
        <w:t xml:space="preserve"> </w:t>
      </w:r>
      <w:r w:rsidRPr="005F0A67">
        <w:rPr>
          <w:rFonts w:asciiTheme="majorBidi" w:eastAsia="Arial" w:hAnsiTheme="majorBidi" w:cstheme="majorBidi"/>
          <w:color w:val="242424"/>
          <w:spacing w:val="-2"/>
          <w:sz w:val="14"/>
          <w:szCs w:val="14"/>
          <w:lang w:val="en-US"/>
        </w:rPr>
        <w:t>clarity</w:t>
      </w:r>
      <w:r w:rsidRPr="005F0A67">
        <w:rPr>
          <w:rFonts w:asciiTheme="majorBidi" w:eastAsia="Arial" w:hAnsiTheme="majorBidi" w:cstheme="majorBidi"/>
          <w:color w:val="242424"/>
          <w:spacing w:val="-7"/>
          <w:sz w:val="14"/>
          <w:szCs w:val="14"/>
          <w:lang w:val="en-US"/>
        </w:rPr>
        <w:t xml:space="preserve"> </w:t>
      </w:r>
      <w:r w:rsidRPr="005F0A67">
        <w:rPr>
          <w:rFonts w:asciiTheme="majorBidi" w:eastAsia="Arial" w:hAnsiTheme="majorBidi" w:cstheme="majorBidi"/>
          <w:color w:val="242424"/>
          <w:spacing w:val="-2"/>
          <w:sz w:val="14"/>
          <w:szCs w:val="14"/>
          <w:lang w:val="en-US"/>
        </w:rPr>
        <w:t>on</w:t>
      </w:r>
      <w:r w:rsidRPr="005F0A67">
        <w:rPr>
          <w:rFonts w:asciiTheme="majorBidi" w:eastAsia="Arial" w:hAnsiTheme="majorBidi" w:cstheme="majorBidi"/>
          <w:color w:val="242424"/>
          <w:spacing w:val="-8"/>
          <w:sz w:val="14"/>
          <w:szCs w:val="14"/>
          <w:lang w:val="en-US"/>
        </w:rPr>
        <w:t xml:space="preserve"> </w:t>
      </w:r>
      <w:r w:rsidRPr="005F0A67">
        <w:rPr>
          <w:rFonts w:asciiTheme="majorBidi" w:eastAsia="Arial" w:hAnsiTheme="majorBidi" w:cstheme="majorBidi"/>
          <w:color w:val="242424"/>
          <w:spacing w:val="-2"/>
          <w:sz w:val="14"/>
          <w:szCs w:val="14"/>
          <w:lang w:val="en-US"/>
        </w:rPr>
        <w:t>digital</w:t>
      </w:r>
      <w:r w:rsidRPr="005F0A67">
        <w:rPr>
          <w:rFonts w:asciiTheme="majorBidi" w:eastAsia="Arial" w:hAnsiTheme="majorBidi" w:cstheme="majorBidi"/>
          <w:color w:val="242424"/>
          <w:spacing w:val="-8"/>
          <w:sz w:val="14"/>
          <w:szCs w:val="14"/>
          <w:lang w:val="en-US"/>
        </w:rPr>
        <w:t xml:space="preserve"> </w:t>
      </w:r>
      <w:r w:rsidRPr="005F0A67">
        <w:rPr>
          <w:rFonts w:asciiTheme="majorBidi" w:eastAsia="Arial" w:hAnsiTheme="majorBidi" w:cstheme="majorBidi"/>
          <w:color w:val="242424"/>
          <w:spacing w:val="-2"/>
          <w:sz w:val="14"/>
          <w:szCs w:val="14"/>
          <w:lang w:val="en-US"/>
        </w:rPr>
        <w:t>sequence</w:t>
      </w:r>
      <w:r w:rsidRPr="005F0A67">
        <w:rPr>
          <w:rFonts w:asciiTheme="majorBidi" w:eastAsia="Arial" w:hAnsiTheme="majorBidi" w:cstheme="majorBidi"/>
          <w:color w:val="242424"/>
          <w:spacing w:val="-7"/>
          <w:sz w:val="14"/>
          <w:szCs w:val="14"/>
          <w:lang w:val="en-US"/>
        </w:rPr>
        <w:t xml:space="preserve"> </w:t>
      </w:r>
      <w:r w:rsidRPr="005F0A67">
        <w:rPr>
          <w:rFonts w:asciiTheme="majorBidi" w:eastAsia="Arial" w:hAnsiTheme="majorBidi" w:cstheme="majorBidi"/>
          <w:color w:val="242424"/>
          <w:spacing w:val="-2"/>
          <w:sz w:val="14"/>
          <w:szCs w:val="14"/>
          <w:lang w:val="en-US"/>
        </w:rPr>
        <w:t>information</w:t>
      </w:r>
      <w:r w:rsidRPr="005F0A67">
        <w:rPr>
          <w:rFonts w:asciiTheme="majorBidi" w:eastAsia="Arial" w:hAnsiTheme="majorBidi" w:cstheme="majorBidi"/>
          <w:color w:val="242424"/>
          <w:spacing w:val="-8"/>
          <w:sz w:val="14"/>
          <w:szCs w:val="14"/>
          <w:lang w:val="en-US"/>
        </w:rPr>
        <w:t xml:space="preserve"> </w:t>
      </w:r>
      <w:r w:rsidRPr="005F0A67">
        <w:rPr>
          <w:rFonts w:asciiTheme="majorBidi" w:eastAsia="Arial" w:hAnsiTheme="majorBidi" w:cstheme="majorBidi"/>
          <w:color w:val="242424"/>
          <w:spacing w:val="-2"/>
          <w:sz w:val="14"/>
          <w:szCs w:val="14"/>
          <w:lang w:val="en-US"/>
        </w:rPr>
        <w:t>on</w:t>
      </w:r>
      <w:r w:rsidRPr="005F0A67">
        <w:rPr>
          <w:rFonts w:asciiTheme="majorBidi" w:eastAsia="Arial" w:hAnsiTheme="majorBidi" w:cstheme="majorBidi"/>
          <w:color w:val="242424"/>
          <w:spacing w:val="-8"/>
          <w:sz w:val="14"/>
          <w:szCs w:val="14"/>
          <w:lang w:val="en-US"/>
        </w:rPr>
        <w:t xml:space="preserve"> </w:t>
      </w:r>
      <w:r w:rsidRPr="005F0A67">
        <w:rPr>
          <w:rFonts w:asciiTheme="majorBidi" w:eastAsia="Arial" w:hAnsiTheme="majorBidi" w:cstheme="majorBidi"/>
          <w:color w:val="242424"/>
          <w:spacing w:val="-2"/>
          <w:sz w:val="14"/>
          <w:szCs w:val="14"/>
          <w:lang w:val="en-US"/>
        </w:rPr>
        <w:t>genetic</w:t>
      </w:r>
      <w:r w:rsidRPr="005F0A67">
        <w:rPr>
          <w:rFonts w:asciiTheme="majorBidi" w:eastAsia="Arial" w:hAnsiTheme="majorBidi" w:cstheme="majorBidi"/>
          <w:color w:val="242424"/>
          <w:spacing w:val="-7"/>
          <w:sz w:val="14"/>
          <w:szCs w:val="14"/>
          <w:lang w:val="en-US"/>
        </w:rPr>
        <w:t xml:space="preserve"> </w:t>
      </w:r>
      <w:r w:rsidRPr="005F0A67">
        <w:rPr>
          <w:rFonts w:asciiTheme="majorBidi" w:eastAsia="Arial" w:hAnsiTheme="majorBidi" w:cstheme="majorBidi"/>
          <w:color w:val="242424"/>
          <w:spacing w:val="-2"/>
          <w:sz w:val="14"/>
          <w:szCs w:val="14"/>
          <w:lang w:val="en-US"/>
        </w:rPr>
        <w:t>resources,</w:t>
      </w:r>
      <w:r w:rsidRPr="005F0A67">
        <w:rPr>
          <w:rFonts w:asciiTheme="majorBidi" w:eastAsia="Arial" w:hAnsiTheme="majorBidi" w:cstheme="majorBidi"/>
          <w:color w:val="242424"/>
          <w:spacing w:val="-8"/>
          <w:sz w:val="14"/>
          <w:szCs w:val="14"/>
          <w:lang w:val="en-US"/>
        </w:rPr>
        <w:t xml:space="preserve"> </w:t>
      </w:r>
      <w:r w:rsidRPr="005F0A67">
        <w:rPr>
          <w:rFonts w:asciiTheme="majorBidi" w:eastAsia="Arial" w:hAnsiTheme="majorBidi" w:cstheme="majorBidi"/>
          <w:color w:val="242424"/>
          <w:spacing w:val="-2"/>
          <w:sz w:val="14"/>
          <w:szCs w:val="14"/>
          <w:lang w:val="en-US"/>
        </w:rPr>
        <w:t>considering</w:t>
      </w:r>
      <w:r w:rsidRPr="005F0A67">
        <w:rPr>
          <w:rFonts w:asciiTheme="majorBidi" w:eastAsia="Arial" w:hAnsiTheme="majorBidi" w:cstheme="majorBidi"/>
          <w:color w:val="242424"/>
          <w:spacing w:val="-8"/>
          <w:sz w:val="14"/>
          <w:szCs w:val="14"/>
          <w:lang w:val="en-US"/>
        </w:rPr>
        <w:t xml:space="preserve"> </w:t>
      </w:r>
      <w:r w:rsidRPr="005F0A67">
        <w:rPr>
          <w:rFonts w:asciiTheme="majorBidi" w:eastAsia="Arial" w:hAnsiTheme="majorBidi" w:cstheme="majorBidi"/>
          <w:color w:val="242424"/>
          <w:spacing w:val="-2"/>
          <w:sz w:val="14"/>
          <w:szCs w:val="14"/>
          <w:lang w:val="en-US"/>
        </w:rPr>
        <w:t>con-</w:t>
      </w:r>
      <w:proofErr w:type="spellStart"/>
      <w:r w:rsidRPr="005F0A67">
        <w:rPr>
          <w:rFonts w:asciiTheme="majorBidi" w:eastAsia="Arial" w:hAnsiTheme="majorBidi" w:cstheme="majorBidi"/>
          <w:color w:val="242424"/>
          <w:sz w:val="14"/>
          <w:szCs w:val="14"/>
          <w:lang w:val="en-US"/>
        </w:rPr>
        <w:t>cept</w:t>
      </w:r>
      <w:proofErr w:type="spellEnd"/>
      <w:r w:rsidRPr="005F0A67">
        <w:rPr>
          <w:rFonts w:asciiTheme="majorBidi" w:eastAsia="Arial" w:hAnsiTheme="majorBidi" w:cstheme="majorBidi"/>
          <w:color w:val="242424"/>
          <w:sz w:val="14"/>
          <w:szCs w:val="14"/>
          <w:lang w:val="en-US"/>
        </w:rPr>
        <w:t>,</w:t>
      </w:r>
      <w:r w:rsidRPr="005F0A67">
        <w:rPr>
          <w:rFonts w:asciiTheme="majorBidi" w:eastAsia="Arial" w:hAnsiTheme="majorBidi" w:cstheme="majorBidi"/>
          <w:color w:val="242424"/>
          <w:spacing w:val="-10"/>
          <w:sz w:val="14"/>
          <w:szCs w:val="14"/>
          <w:lang w:val="en-US"/>
        </w:rPr>
        <w:t xml:space="preserve"> </w:t>
      </w:r>
      <w:r w:rsidRPr="005F0A67">
        <w:rPr>
          <w:rFonts w:asciiTheme="majorBidi" w:eastAsia="Arial" w:hAnsiTheme="majorBidi" w:cstheme="majorBidi"/>
          <w:color w:val="242424"/>
          <w:sz w:val="14"/>
          <w:szCs w:val="14"/>
          <w:lang w:val="en-US"/>
        </w:rPr>
        <w:t>scope</w:t>
      </w:r>
      <w:r w:rsidRPr="005F0A67">
        <w:rPr>
          <w:rFonts w:asciiTheme="majorBidi" w:eastAsia="Arial" w:hAnsiTheme="majorBidi" w:cstheme="majorBidi"/>
          <w:color w:val="242424"/>
          <w:spacing w:val="-10"/>
          <w:sz w:val="14"/>
          <w:szCs w:val="14"/>
          <w:lang w:val="en-US"/>
        </w:rPr>
        <w:t xml:space="preserve"> </w:t>
      </w:r>
      <w:r w:rsidRPr="005F0A67">
        <w:rPr>
          <w:rFonts w:asciiTheme="majorBidi" w:eastAsia="Arial" w:hAnsiTheme="majorBidi" w:cstheme="majorBidi"/>
          <w:color w:val="242424"/>
          <w:sz w:val="14"/>
          <w:szCs w:val="14"/>
          <w:lang w:val="en-US"/>
        </w:rPr>
        <w:t>and</w:t>
      </w:r>
      <w:r w:rsidRPr="005F0A67">
        <w:rPr>
          <w:rFonts w:asciiTheme="majorBidi" w:eastAsia="Arial" w:hAnsiTheme="majorBidi" w:cstheme="majorBidi"/>
          <w:color w:val="242424"/>
          <w:spacing w:val="-10"/>
          <w:sz w:val="14"/>
          <w:szCs w:val="14"/>
          <w:lang w:val="en-US"/>
        </w:rPr>
        <w:t xml:space="preserve"> </w:t>
      </w:r>
      <w:r w:rsidRPr="005F0A67">
        <w:rPr>
          <w:rFonts w:asciiTheme="majorBidi" w:eastAsia="Arial" w:hAnsiTheme="majorBidi" w:cstheme="majorBidi"/>
          <w:color w:val="242424"/>
          <w:sz w:val="14"/>
          <w:szCs w:val="14"/>
          <w:lang w:val="en-US"/>
        </w:rPr>
        <w:t>use.</w:t>
      </w:r>
      <w:r w:rsidRPr="005F0A67">
        <w:rPr>
          <w:rFonts w:asciiTheme="majorBidi" w:eastAsia="Arial" w:hAnsiTheme="majorBidi" w:cstheme="majorBidi"/>
          <w:color w:val="242424"/>
          <w:spacing w:val="-9"/>
          <w:sz w:val="14"/>
          <w:szCs w:val="14"/>
          <w:lang w:val="en-US"/>
        </w:rPr>
        <w:t xml:space="preserve"> </w:t>
      </w:r>
      <w:r w:rsidRPr="005F0A67">
        <w:rPr>
          <w:rFonts w:asciiTheme="majorBidi" w:eastAsia="Arial" w:hAnsiTheme="majorBidi" w:cstheme="majorBidi"/>
          <w:color w:val="242424"/>
          <w:sz w:val="14"/>
          <w:szCs w:val="14"/>
          <w:lang w:val="en-US"/>
        </w:rPr>
        <w:t>In</w:t>
      </w:r>
      <w:r w:rsidRPr="005F0A67">
        <w:rPr>
          <w:rFonts w:asciiTheme="majorBidi" w:eastAsia="Arial" w:hAnsiTheme="majorBidi" w:cstheme="majorBidi"/>
          <w:color w:val="242424"/>
          <w:spacing w:val="-10"/>
          <w:sz w:val="14"/>
          <w:szCs w:val="14"/>
          <w:lang w:val="en-US"/>
        </w:rPr>
        <w:t xml:space="preserve"> </w:t>
      </w:r>
      <w:r w:rsidRPr="005F0A67">
        <w:rPr>
          <w:rFonts w:asciiTheme="majorBidi" w:eastAsia="Arial" w:hAnsiTheme="majorBidi" w:cstheme="majorBidi"/>
          <w:color w:val="242424"/>
          <w:sz w:val="14"/>
          <w:szCs w:val="14"/>
          <w:lang w:val="en-US"/>
        </w:rPr>
        <w:t>2022,</w:t>
      </w:r>
      <w:r w:rsidRPr="005F0A67">
        <w:rPr>
          <w:rFonts w:asciiTheme="majorBidi" w:eastAsia="Arial" w:hAnsiTheme="majorBidi" w:cstheme="majorBidi"/>
          <w:color w:val="242424"/>
          <w:spacing w:val="-10"/>
          <w:sz w:val="14"/>
          <w:szCs w:val="14"/>
          <w:lang w:val="en-US"/>
        </w:rPr>
        <w:t xml:space="preserve"> </w:t>
      </w:r>
      <w:r w:rsidRPr="005F0A67">
        <w:rPr>
          <w:rFonts w:asciiTheme="majorBidi" w:eastAsia="Arial" w:hAnsiTheme="majorBidi" w:cstheme="majorBidi"/>
          <w:color w:val="242424"/>
          <w:sz w:val="14"/>
          <w:szCs w:val="14"/>
          <w:lang w:val="en-US"/>
        </w:rPr>
        <w:t>the</w:t>
      </w:r>
      <w:r w:rsidRPr="005F0A67">
        <w:rPr>
          <w:rFonts w:asciiTheme="majorBidi" w:eastAsia="Arial" w:hAnsiTheme="majorBidi" w:cstheme="majorBidi"/>
          <w:color w:val="242424"/>
          <w:spacing w:val="-10"/>
          <w:sz w:val="14"/>
          <w:szCs w:val="14"/>
          <w:lang w:val="en-US"/>
        </w:rPr>
        <w:t xml:space="preserve"> </w:t>
      </w:r>
      <w:r w:rsidRPr="005F0A67">
        <w:rPr>
          <w:rFonts w:asciiTheme="majorBidi" w:eastAsia="Arial" w:hAnsiTheme="majorBidi" w:cstheme="majorBidi"/>
          <w:color w:val="242424"/>
          <w:sz w:val="14"/>
          <w:szCs w:val="14"/>
          <w:lang w:val="en-US"/>
        </w:rPr>
        <w:t>COP</w:t>
      </w:r>
      <w:r w:rsidRPr="005F0A67">
        <w:rPr>
          <w:rFonts w:asciiTheme="majorBidi" w:eastAsia="Arial" w:hAnsiTheme="majorBidi" w:cstheme="majorBidi"/>
          <w:color w:val="242424"/>
          <w:spacing w:val="-9"/>
          <w:sz w:val="14"/>
          <w:szCs w:val="14"/>
          <w:lang w:val="en-US"/>
        </w:rPr>
        <w:t xml:space="preserve"> </w:t>
      </w:r>
      <w:r w:rsidRPr="005F0A67">
        <w:rPr>
          <w:rFonts w:asciiTheme="majorBidi" w:eastAsia="Arial" w:hAnsiTheme="majorBidi" w:cstheme="majorBidi"/>
          <w:color w:val="242424"/>
          <w:sz w:val="14"/>
          <w:szCs w:val="14"/>
          <w:lang w:val="en-US"/>
        </w:rPr>
        <w:t>at</w:t>
      </w:r>
      <w:r w:rsidRPr="005F0A67">
        <w:rPr>
          <w:rFonts w:asciiTheme="majorBidi" w:eastAsia="Arial" w:hAnsiTheme="majorBidi" w:cstheme="majorBidi"/>
          <w:color w:val="242424"/>
          <w:spacing w:val="-10"/>
          <w:sz w:val="14"/>
          <w:szCs w:val="14"/>
          <w:lang w:val="en-US"/>
        </w:rPr>
        <w:t xml:space="preserve"> </w:t>
      </w:r>
      <w:r w:rsidRPr="005F0A67">
        <w:rPr>
          <w:rFonts w:asciiTheme="majorBidi" w:eastAsia="Arial" w:hAnsiTheme="majorBidi" w:cstheme="majorBidi"/>
          <w:color w:val="242424"/>
          <w:sz w:val="14"/>
          <w:szCs w:val="14"/>
          <w:lang w:val="en-US"/>
        </w:rPr>
        <w:t>its</w:t>
      </w:r>
      <w:r w:rsidRPr="005F0A67">
        <w:rPr>
          <w:rFonts w:asciiTheme="majorBidi" w:eastAsia="Arial" w:hAnsiTheme="majorBidi" w:cstheme="majorBidi"/>
          <w:color w:val="242424"/>
          <w:spacing w:val="-10"/>
          <w:sz w:val="14"/>
          <w:szCs w:val="14"/>
          <w:lang w:val="en-US"/>
        </w:rPr>
        <w:t xml:space="preserve"> </w:t>
      </w:r>
      <w:r w:rsidRPr="005F0A67">
        <w:rPr>
          <w:rFonts w:asciiTheme="majorBidi" w:eastAsia="Arial" w:hAnsiTheme="majorBidi" w:cstheme="majorBidi"/>
          <w:color w:val="242424"/>
          <w:sz w:val="14"/>
          <w:szCs w:val="14"/>
          <w:lang w:val="en-US"/>
        </w:rPr>
        <w:t>fifteenth</w:t>
      </w:r>
      <w:r w:rsidRPr="005F0A67">
        <w:rPr>
          <w:rFonts w:asciiTheme="majorBidi" w:eastAsia="Arial" w:hAnsiTheme="majorBidi" w:cstheme="majorBidi"/>
          <w:color w:val="242424"/>
          <w:spacing w:val="-9"/>
          <w:sz w:val="14"/>
          <w:szCs w:val="14"/>
          <w:lang w:val="en-US"/>
        </w:rPr>
        <w:t xml:space="preserve"> </w:t>
      </w:r>
      <w:r w:rsidRPr="005F0A67">
        <w:rPr>
          <w:rFonts w:asciiTheme="majorBidi" w:eastAsia="Arial" w:hAnsiTheme="majorBidi" w:cstheme="majorBidi"/>
          <w:color w:val="242424"/>
          <w:sz w:val="14"/>
          <w:szCs w:val="14"/>
          <w:lang w:val="en-US"/>
        </w:rPr>
        <w:t>meeting:</w:t>
      </w:r>
    </w:p>
    <w:p w14:paraId="245B921F" w14:textId="77777777" w:rsidR="005F0A67" w:rsidRPr="005F0A67" w:rsidRDefault="005F0A67" w:rsidP="003A387A">
      <w:pPr>
        <w:widowControl w:val="0"/>
        <w:numPr>
          <w:ilvl w:val="1"/>
          <w:numId w:val="46"/>
        </w:numPr>
        <w:tabs>
          <w:tab w:val="clear" w:pos="567"/>
          <w:tab w:val="clear" w:pos="1134"/>
          <w:tab w:val="clear" w:pos="1701"/>
          <w:tab w:val="clear" w:pos="2268"/>
          <w:tab w:val="left" w:pos="603"/>
        </w:tabs>
        <w:autoSpaceDE w:val="0"/>
        <w:autoSpaceDN w:val="0"/>
        <w:spacing w:before="1" w:line="297" w:lineRule="auto"/>
        <w:ind w:right="694" w:firstLine="0"/>
        <w:jc w:val="left"/>
        <w:rPr>
          <w:rFonts w:asciiTheme="majorBidi" w:eastAsia="Georgia" w:hAnsiTheme="majorBidi" w:cstheme="majorBidi"/>
          <w:color w:val="1A1A1A"/>
          <w:sz w:val="14"/>
          <w:szCs w:val="14"/>
          <w:lang w:eastAsia="en-GB"/>
        </w:rPr>
      </w:pPr>
      <w:r w:rsidRPr="005F0A67">
        <w:rPr>
          <w:rFonts w:asciiTheme="majorBidi" w:eastAsia="Georgia" w:hAnsiTheme="majorBidi" w:cstheme="majorBidi"/>
          <w:color w:val="242424"/>
          <w:spacing w:val="-2"/>
          <w:sz w:val="14"/>
          <w:szCs w:val="14"/>
          <w:lang w:eastAsia="en-GB"/>
        </w:rPr>
        <w:t>Recognized</w:t>
      </w:r>
      <w:r w:rsidRPr="005F0A67">
        <w:rPr>
          <w:rFonts w:asciiTheme="majorBidi" w:eastAsia="Georgia" w:hAnsiTheme="majorBidi" w:cstheme="majorBidi"/>
          <w:color w:val="242424"/>
          <w:spacing w:val="-8"/>
          <w:sz w:val="14"/>
          <w:szCs w:val="14"/>
          <w:lang w:eastAsia="en-GB"/>
        </w:rPr>
        <w:t xml:space="preserve"> </w:t>
      </w:r>
      <w:r w:rsidRPr="005F0A67">
        <w:rPr>
          <w:rFonts w:asciiTheme="majorBidi" w:eastAsia="Georgia" w:hAnsiTheme="majorBidi" w:cstheme="majorBidi"/>
          <w:color w:val="242424"/>
          <w:spacing w:val="-2"/>
          <w:sz w:val="14"/>
          <w:szCs w:val="14"/>
          <w:lang w:eastAsia="en-GB"/>
        </w:rPr>
        <w:t>“the</w:t>
      </w:r>
      <w:r w:rsidRPr="005F0A67">
        <w:rPr>
          <w:rFonts w:asciiTheme="majorBidi" w:eastAsia="Georgia" w:hAnsiTheme="majorBidi" w:cstheme="majorBidi"/>
          <w:color w:val="242424"/>
          <w:spacing w:val="-7"/>
          <w:sz w:val="14"/>
          <w:szCs w:val="14"/>
          <w:lang w:eastAsia="en-GB"/>
        </w:rPr>
        <w:t xml:space="preserve"> </w:t>
      </w:r>
      <w:r w:rsidRPr="005F0A67">
        <w:rPr>
          <w:rFonts w:asciiTheme="majorBidi" w:eastAsia="Georgia" w:hAnsiTheme="majorBidi" w:cstheme="majorBidi"/>
          <w:color w:val="242424"/>
          <w:spacing w:val="-2"/>
          <w:sz w:val="14"/>
          <w:szCs w:val="14"/>
          <w:lang w:eastAsia="en-GB"/>
        </w:rPr>
        <w:t>different</w:t>
      </w:r>
      <w:r w:rsidRPr="005F0A67">
        <w:rPr>
          <w:rFonts w:asciiTheme="majorBidi" w:eastAsia="Georgia" w:hAnsiTheme="majorBidi" w:cstheme="majorBidi"/>
          <w:color w:val="242424"/>
          <w:spacing w:val="-8"/>
          <w:sz w:val="14"/>
          <w:szCs w:val="14"/>
          <w:lang w:eastAsia="en-GB"/>
        </w:rPr>
        <w:t xml:space="preserve"> </w:t>
      </w:r>
      <w:r w:rsidRPr="005F0A67">
        <w:rPr>
          <w:rFonts w:asciiTheme="majorBidi" w:eastAsia="Georgia" w:hAnsiTheme="majorBidi" w:cstheme="majorBidi"/>
          <w:color w:val="242424"/>
          <w:spacing w:val="-2"/>
          <w:sz w:val="14"/>
          <w:szCs w:val="14"/>
          <w:lang w:eastAsia="en-GB"/>
        </w:rPr>
        <w:t>understandings</w:t>
      </w:r>
      <w:r w:rsidRPr="005F0A67">
        <w:rPr>
          <w:rFonts w:asciiTheme="majorBidi" w:eastAsia="Georgia" w:hAnsiTheme="majorBidi" w:cstheme="majorBidi"/>
          <w:color w:val="242424"/>
          <w:spacing w:val="-7"/>
          <w:sz w:val="14"/>
          <w:szCs w:val="14"/>
          <w:lang w:eastAsia="en-GB"/>
        </w:rPr>
        <w:t xml:space="preserve"> </w:t>
      </w:r>
      <w:r w:rsidRPr="005F0A67">
        <w:rPr>
          <w:rFonts w:asciiTheme="majorBidi" w:eastAsia="Georgia" w:hAnsiTheme="majorBidi" w:cstheme="majorBidi"/>
          <w:color w:val="242424"/>
          <w:spacing w:val="-2"/>
          <w:sz w:val="14"/>
          <w:szCs w:val="14"/>
          <w:lang w:eastAsia="en-GB"/>
        </w:rPr>
        <w:t>of</w:t>
      </w:r>
      <w:r w:rsidRPr="005F0A67">
        <w:rPr>
          <w:rFonts w:asciiTheme="majorBidi" w:eastAsia="Georgia" w:hAnsiTheme="majorBidi" w:cstheme="majorBidi"/>
          <w:color w:val="242424"/>
          <w:spacing w:val="-8"/>
          <w:sz w:val="14"/>
          <w:szCs w:val="14"/>
          <w:lang w:eastAsia="en-GB"/>
        </w:rPr>
        <w:t xml:space="preserve"> </w:t>
      </w:r>
      <w:r w:rsidRPr="005F0A67">
        <w:rPr>
          <w:rFonts w:asciiTheme="majorBidi" w:eastAsia="Georgia" w:hAnsiTheme="majorBidi" w:cstheme="majorBidi"/>
          <w:color w:val="242424"/>
          <w:spacing w:val="-2"/>
          <w:sz w:val="14"/>
          <w:szCs w:val="14"/>
          <w:lang w:eastAsia="en-GB"/>
        </w:rPr>
        <w:t>the</w:t>
      </w:r>
      <w:r w:rsidRPr="005F0A67">
        <w:rPr>
          <w:rFonts w:asciiTheme="majorBidi" w:eastAsia="Georgia" w:hAnsiTheme="majorBidi" w:cstheme="majorBidi"/>
          <w:color w:val="242424"/>
          <w:spacing w:val="-7"/>
          <w:sz w:val="14"/>
          <w:szCs w:val="14"/>
          <w:lang w:eastAsia="en-GB"/>
        </w:rPr>
        <w:t xml:space="preserve"> </w:t>
      </w:r>
      <w:r w:rsidRPr="005F0A67">
        <w:rPr>
          <w:rFonts w:asciiTheme="majorBidi" w:eastAsia="Georgia" w:hAnsiTheme="majorBidi" w:cstheme="majorBidi"/>
          <w:color w:val="242424"/>
          <w:spacing w:val="-2"/>
          <w:sz w:val="14"/>
          <w:szCs w:val="14"/>
          <w:lang w:eastAsia="en-GB"/>
        </w:rPr>
        <w:t>concept</w:t>
      </w:r>
      <w:r w:rsidRPr="005F0A67">
        <w:rPr>
          <w:rFonts w:asciiTheme="majorBidi" w:eastAsia="Georgia" w:hAnsiTheme="majorBidi" w:cstheme="majorBidi"/>
          <w:color w:val="242424"/>
          <w:spacing w:val="-8"/>
          <w:sz w:val="14"/>
          <w:szCs w:val="14"/>
          <w:lang w:eastAsia="en-GB"/>
        </w:rPr>
        <w:t xml:space="preserve"> </w:t>
      </w:r>
      <w:r w:rsidRPr="005F0A67">
        <w:rPr>
          <w:rFonts w:asciiTheme="majorBidi" w:eastAsia="Georgia" w:hAnsiTheme="majorBidi" w:cstheme="majorBidi"/>
          <w:color w:val="242424"/>
          <w:spacing w:val="-2"/>
          <w:sz w:val="14"/>
          <w:szCs w:val="14"/>
          <w:lang w:eastAsia="en-GB"/>
        </w:rPr>
        <w:t>and</w:t>
      </w:r>
      <w:r w:rsidRPr="005F0A67">
        <w:rPr>
          <w:rFonts w:asciiTheme="majorBidi" w:eastAsia="Georgia" w:hAnsiTheme="majorBidi" w:cstheme="majorBidi"/>
          <w:color w:val="242424"/>
          <w:spacing w:val="-7"/>
          <w:sz w:val="14"/>
          <w:szCs w:val="14"/>
          <w:lang w:eastAsia="en-GB"/>
        </w:rPr>
        <w:t xml:space="preserve"> </w:t>
      </w:r>
      <w:r w:rsidRPr="005F0A67">
        <w:rPr>
          <w:rFonts w:asciiTheme="majorBidi" w:eastAsia="Georgia" w:hAnsiTheme="majorBidi" w:cstheme="majorBidi"/>
          <w:color w:val="242424"/>
          <w:spacing w:val="-2"/>
          <w:sz w:val="14"/>
          <w:szCs w:val="14"/>
          <w:lang w:eastAsia="en-GB"/>
        </w:rPr>
        <w:t>scope</w:t>
      </w:r>
      <w:r w:rsidRPr="005F0A67">
        <w:rPr>
          <w:rFonts w:asciiTheme="majorBidi" w:eastAsia="Georgia" w:hAnsiTheme="majorBidi" w:cstheme="majorBidi"/>
          <w:color w:val="242424"/>
          <w:spacing w:val="-8"/>
          <w:sz w:val="14"/>
          <w:szCs w:val="14"/>
          <w:lang w:eastAsia="en-GB"/>
        </w:rPr>
        <w:t xml:space="preserve"> </w:t>
      </w:r>
      <w:r w:rsidRPr="005F0A67">
        <w:rPr>
          <w:rFonts w:asciiTheme="majorBidi" w:eastAsia="Georgia" w:hAnsiTheme="majorBidi" w:cstheme="majorBidi"/>
          <w:color w:val="242424"/>
          <w:spacing w:val="-2"/>
          <w:sz w:val="14"/>
          <w:szCs w:val="14"/>
          <w:lang w:eastAsia="en-GB"/>
        </w:rPr>
        <w:t>of</w:t>
      </w:r>
      <w:r w:rsidRPr="005F0A67">
        <w:rPr>
          <w:rFonts w:asciiTheme="majorBidi" w:eastAsia="Georgia" w:hAnsiTheme="majorBidi" w:cstheme="majorBidi"/>
          <w:color w:val="242424"/>
          <w:spacing w:val="-7"/>
          <w:sz w:val="14"/>
          <w:szCs w:val="14"/>
          <w:lang w:eastAsia="en-GB"/>
        </w:rPr>
        <w:t xml:space="preserve"> </w:t>
      </w:r>
      <w:r w:rsidRPr="005F0A67">
        <w:rPr>
          <w:rFonts w:asciiTheme="majorBidi" w:eastAsia="Georgia" w:hAnsiTheme="majorBidi" w:cstheme="majorBidi"/>
          <w:color w:val="242424"/>
          <w:spacing w:val="-2"/>
          <w:sz w:val="14"/>
          <w:szCs w:val="14"/>
          <w:lang w:eastAsia="en-GB"/>
        </w:rPr>
        <w:t>digital</w:t>
      </w:r>
      <w:r w:rsidRPr="005F0A67">
        <w:rPr>
          <w:rFonts w:asciiTheme="majorBidi" w:eastAsia="Georgia" w:hAnsiTheme="majorBidi" w:cstheme="majorBidi"/>
          <w:color w:val="242424"/>
          <w:spacing w:val="-8"/>
          <w:sz w:val="14"/>
          <w:szCs w:val="14"/>
          <w:lang w:eastAsia="en-GB"/>
        </w:rPr>
        <w:t xml:space="preserve"> </w:t>
      </w:r>
      <w:r w:rsidRPr="005F0A67">
        <w:rPr>
          <w:rFonts w:asciiTheme="majorBidi" w:eastAsia="Georgia" w:hAnsiTheme="majorBidi" w:cstheme="majorBidi"/>
          <w:color w:val="242424"/>
          <w:spacing w:val="-2"/>
          <w:sz w:val="14"/>
          <w:szCs w:val="14"/>
          <w:lang w:eastAsia="en-GB"/>
        </w:rPr>
        <w:t>sequence</w:t>
      </w:r>
      <w:r w:rsidRPr="005F0A67">
        <w:rPr>
          <w:rFonts w:asciiTheme="majorBidi" w:eastAsia="Georgia" w:hAnsiTheme="majorBidi" w:cstheme="majorBidi"/>
          <w:color w:val="242424"/>
          <w:spacing w:val="-7"/>
          <w:sz w:val="14"/>
          <w:szCs w:val="14"/>
          <w:lang w:eastAsia="en-GB"/>
        </w:rPr>
        <w:t xml:space="preserve"> </w:t>
      </w:r>
      <w:r w:rsidRPr="005F0A67">
        <w:rPr>
          <w:rFonts w:asciiTheme="majorBidi" w:eastAsia="Georgia" w:hAnsiTheme="majorBidi" w:cstheme="majorBidi"/>
          <w:color w:val="242424"/>
          <w:spacing w:val="-2"/>
          <w:sz w:val="14"/>
          <w:szCs w:val="14"/>
          <w:lang w:eastAsia="en-GB"/>
        </w:rPr>
        <w:t>information</w:t>
      </w:r>
      <w:r w:rsidRPr="005F0A67">
        <w:rPr>
          <w:rFonts w:asciiTheme="majorBidi" w:eastAsia="Georgia" w:hAnsiTheme="majorBidi" w:cstheme="majorBidi"/>
          <w:color w:val="242424"/>
          <w:spacing w:val="-8"/>
          <w:sz w:val="14"/>
          <w:szCs w:val="14"/>
          <w:lang w:eastAsia="en-GB"/>
        </w:rPr>
        <w:t xml:space="preserve"> </w:t>
      </w:r>
      <w:r w:rsidRPr="005F0A67">
        <w:rPr>
          <w:rFonts w:asciiTheme="majorBidi" w:eastAsia="Georgia" w:hAnsiTheme="majorBidi" w:cstheme="majorBidi"/>
          <w:color w:val="242424"/>
          <w:spacing w:val="-2"/>
          <w:sz w:val="14"/>
          <w:szCs w:val="14"/>
          <w:lang w:eastAsia="en-GB"/>
        </w:rPr>
        <w:t>on</w:t>
      </w:r>
      <w:r w:rsidRPr="005F0A67">
        <w:rPr>
          <w:rFonts w:asciiTheme="majorBidi" w:eastAsia="Georgia" w:hAnsiTheme="majorBidi" w:cstheme="majorBidi"/>
          <w:color w:val="242424"/>
          <w:spacing w:val="-7"/>
          <w:sz w:val="14"/>
          <w:szCs w:val="14"/>
          <w:lang w:eastAsia="en-GB"/>
        </w:rPr>
        <w:t xml:space="preserve"> </w:t>
      </w:r>
      <w:r w:rsidRPr="005F0A67">
        <w:rPr>
          <w:rFonts w:asciiTheme="majorBidi" w:eastAsia="Georgia" w:hAnsiTheme="majorBidi" w:cstheme="majorBidi"/>
          <w:color w:val="242424"/>
          <w:spacing w:val="-2"/>
          <w:sz w:val="14"/>
          <w:szCs w:val="14"/>
          <w:lang w:eastAsia="en-GB"/>
        </w:rPr>
        <w:t>genetic</w:t>
      </w:r>
      <w:r w:rsidRPr="005F0A67">
        <w:rPr>
          <w:rFonts w:asciiTheme="majorBidi" w:eastAsia="Georgia" w:hAnsiTheme="majorBidi" w:cstheme="majorBidi"/>
          <w:color w:val="242424"/>
          <w:spacing w:val="-8"/>
          <w:sz w:val="14"/>
          <w:szCs w:val="14"/>
          <w:lang w:eastAsia="en-GB"/>
        </w:rPr>
        <w:t xml:space="preserve"> </w:t>
      </w:r>
      <w:r w:rsidRPr="005F0A67">
        <w:rPr>
          <w:rFonts w:asciiTheme="majorBidi" w:eastAsia="Georgia" w:hAnsiTheme="majorBidi" w:cstheme="majorBidi"/>
          <w:color w:val="242424"/>
          <w:spacing w:val="-2"/>
          <w:sz w:val="14"/>
          <w:szCs w:val="14"/>
          <w:lang w:eastAsia="en-GB"/>
        </w:rPr>
        <w:t>resources,</w:t>
      </w:r>
      <w:r w:rsidRPr="005F0A67">
        <w:rPr>
          <w:rFonts w:asciiTheme="majorBidi" w:eastAsia="Georgia" w:hAnsiTheme="majorBidi" w:cstheme="majorBidi"/>
          <w:color w:val="242424"/>
          <w:spacing w:val="40"/>
          <w:sz w:val="14"/>
          <w:szCs w:val="14"/>
          <w:lang w:eastAsia="en-GB"/>
        </w:rPr>
        <w:t xml:space="preserve"> </w:t>
      </w:r>
      <w:r w:rsidRPr="005F0A67">
        <w:rPr>
          <w:rFonts w:asciiTheme="majorBidi" w:eastAsia="Georgia" w:hAnsiTheme="majorBidi" w:cstheme="majorBidi"/>
          <w:color w:val="242424"/>
          <w:sz w:val="14"/>
          <w:szCs w:val="14"/>
          <w:lang w:eastAsia="en-GB"/>
        </w:rPr>
        <w:t>and</w:t>
      </w:r>
      <w:r w:rsidRPr="005F0A67">
        <w:rPr>
          <w:rFonts w:asciiTheme="majorBidi" w:eastAsia="Georgia" w:hAnsiTheme="majorBidi" w:cstheme="majorBidi"/>
          <w:color w:val="242424"/>
          <w:spacing w:val="-8"/>
          <w:sz w:val="14"/>
          <w:szCs w:val="14"/>
          <w:lang w:eastAsia="en-GB"/>
        </w:rPr>
        <w:t xml:space="preserve"> </w:t>
      </w:r>
      <w:r w:rsidRPr="005F0A67">
        <w:rPr>
          <w:rFonts w:asciiTheme="majorBidi" w:eastAsia="Georgia" w:hAnsiTheme="majorBidi" w:cstheme="majorBidi"/>
          <w:color w:val="242424"/>
          <w:sz w:val="14"/>
          <w:szCs w:val="14"/>
          <w:lang w:eastAsia="en-GB"/>
        </w:rPr>
        <w:t>the</w:t>
      </w:r>
      <w:r w:rsidRPr="005F0A67">
        <w:rPr>
          <w:rFonts w:asciiTheme="majorBidi" w:eastAsia="Georgia" w:hAnsiTheme="majorBidi" w:cstheme="majorBidi"/>
          <w:color w:val="242424"/>
          <w:spacing w:val="-8"/>
          <w:sz w:val="14"/>
          <w:szCs w:val="14"/>
          <w:lang w:eastAsia="en-GB"/>
        </w:rPr>
        <w:t xml:space="preserve"> </w:t>
      </w:r>
      <w:r w:rsidRPr="005F0A67">
        <w:rPr>
          <w:rFonts w:asciiTheme="majorBidi" w:eastAsia="Georgia" w:hAnsiTheme="majorBidi" w:cstheme="majorBidi"/>
          <w:color w:val="242424"/>
          <w:sz w:val="14"/>
          <w:szCs w:val="14"/>
          <w:lang w:eastAsia="en-GB"/>
        </w:rPr>
        <w:t>range</w:t>
      </w:r>
      <w:r w:rsidRPr="005F0A67">
        <w:rPr>
          <w:rFonts w:asciiTheme="majorBidi" w:eastAsia="Georgia" w:hAnsiTheme="majorBidi" w:cstheme="majorBidi"/>
          <w:color w:val="242424"/>
          <w:spacing w:val="-8"/>
          <w:sz w:val="14"/>
          <w:szCs w:val="14"/>
          <w:lang w:eastAsia="en-GB"/>
        </w:rPr>
        <w:t xml:space="preserve"> </w:t>
      </w:r>
      <w:r w:rsidRPr="005F0A67">
        <w:rPr>
          <w:rFonts w:asciiTheme="majorBidi" w:eastAsia="Georgia" w:hAnsiTheme="majorBidi" w:cstheme="majorBidi"/>
          <w:color w:val="242424"/>
          <w:sz w:val="14"/>
          <w:szCs w:val="14"/>
          <w:lang w:eastAsia="en-GB"/>
        </w:rPr>
        <w:t>of</w:t>
      </w:r>
      <w:r w:rsidRPr="005F0A67">
        <w:rPr>
          <w:rFonts w:asciiTheme="majorBidi" w:eastAsia="Georgia" w:hAnsiTheme="majorBidi" w:cstheme="majorBidi"/>
          <w:color w:val="242424"/>
          <w:spacing w:val="-8"/>
          <w:sz w:val="14"/>
          <w:szCs w:val="14"/>
          <w:lang w:eastAsia="en-GB"/>
        </w:rPr>
        <w:t xml:space="preserve"> </w:t>
      </w:r>
      <w:r w:rsidRPr="005F0A67">
        <w:rPr>
          <w:rFonts w:asciiTheme="majorBidi" w:eastAsia="Georgia" w:hAnsiTheme="majorBidi" w:cstheme="majorBidi"/>
          <w:color w:val="242424"/>
          <w:sz w:val="14"/>
          <w:szCs w:val="14"/>
          <w:lang w:eastAsia="en-GB"/>
        </w:rPr>
        <w:t>views</w:t>
      </w:r>
      <w:r w:rsidRPr="005F0A67">
        <w:rPr>
          <w:rFonts w:asciiTheme="majorBidi" w:eastAsia="Georgia" w:hAnsiTheme="majorBidi" w:cstheme="majorBidi"/>
          <w:color w:val="242424"/>
          <w:spacing w:val="-8"/>
          <w:sz w:val="14"/>
          <w:szCs w:val="14"/>
          <w:lang w:eastAsia="en-GB"/>
        </w:rPr>
        <w:t xml:space="preserve"> </w:t>
      </w:r>
      <w:r w:rsidRPr="005F0A67">
        <w:rPr>
          <w:rFonts w:asciiTheme="majorBidi" w:eastAsia="Georgia" w:hAnsiTheme="majorBidi" w:cstheme="majorBidi"/>
          <w:color w:val="242424"/>
          <w:sz w:val="14"/>
          <w:szCs w:val="14"/>
          <w:lang w:eastAsia="en-GB"/>
        </w:rPr>
        <w:t>regarding</w:t>
      </w:r>
      <w:r w:rsidRPr="005F0A67">
        <w:rPr>
          <w:rFonts w:asciiTheme="majorBidi" w:eastAsia="Georgia" w:hAnsiTheme="majorBidi" w:cstheme="majorBidi"/>
          <w:color w:val="242424"/>
          <w:spacing w:val="-8"/>
          <w:sz w:val="14"/>
          <w:szCs w:val="14"/>
          <w:lang w:eastAsia="en-GB"/>
        </w:rPr>
        <w:t xml:space="preserve"> </w:t>
      </w:r>
      <w:r w:rsidRPr="005F0A67">
        <w:rPr>
          <w:rFonts w:asciiTheme="majorBidi" w:eastAsia="Georgia" w:hAnsiTheme="majorBidi" w:cstheme="majorBidi"/>
          <w:color w:val="242424"/>
          <w:sz w:val="14"/>
          <w:szCs w:val="14"/>
          <w:lang w:eastAsia="en-GB"/>
        </w:rPr>
        <w:t>the</w:t>
      </w:r>
      <w:r w:rsidRPr="005F0A67">
        <w:rPr>
          <w:rFonts w:asciiTheme="majorBidi" w:eastAsia="Georgia" w:hAnsiTheme="majorBidi" w:cstheme="majorBidi"/>
          <w:color w:val="242424"/>
          <w:spacing w:val="-8"/>
          <w:sz w:val="14"/>
          <w:szCs w:val="14"/>
          <w:lang w:eastAsia="en-GB"/>
        </w:rPr>
        <w:t xml:space="preserve"> </w:t>
      </w:r>
      <w:r w:rsidRPr="005F0A67">
        <w:rPr>
          <w:rFonts w:asciiTheme="majorBidi" w:eastAsia="Georgia" w:hAnsiTheme="majorBidi" w:cstheme="majorBidi"/>
          <w:color w:val="242424"/>
          <w:sz w:val="14"/>
          <w:szCs w:val="14"/>
          <w:lang w:eastAsia="en-GB"/>
        </w:rPr>
        <w:t>need</w:t>
      </w:r>
      <w:r w:rsidRPr="005F0A67">
        <w:rPr>
          <w:rFonts w:asciiTheme="majorBidi" w:eastAsia="Georgia" w:hAnsiTheme="majorBidi" w:cstheme="majorBidi"/>
          <w:color w:val="242424"/>
          <w:spacing w:val="-8"/>
          <w:sz w:val="14"/>
          <w:szCs w:val="14"/>
          <w:lang w:eastAsia="en-GB"/>
        </w:rPr>
        <w:t xml:space="preserve"> </w:t>
      </w:r>
      <w:r w:rsidRPr="005F0A67">
        <w:rPr>
          <w:rFonts w:asciiTheme="majorBidi" w:eastAsia="Georgia" w:hAnsiTheme="majorBidi" w:cstheme="majorBidi"/>
          <w:color w:val="242424"/>
          <w:sz w:val="14"/>
          <w:szCs w:val="14"/>
          <w:lang w:eastAsia="en-GB"/>
        </w:rPr>
        <w:t>to</w:t>
      </w:r>
      <w:r w:rsidRPr="005F0A67">
        <w:rPr>
          <w:rFonts w:asciiTheme="majorBidi" w:eastAsia="Georgia" w:hAnsiTheme="majorBidi" w:cstheme="majorBidi"/>
          <w:color w:val="242424"/>
          <w:spacing w:val="-8"/>
          <w:sz w:val="14"/>
          <w:szCs w:val="14"/>
          <w:lang w:eastAsia="en-GB"/>
        </w:rPr>
        <w:t xml:space="preserve"> </w:t>
      </w:r>
      <w:r w:rsidRPr="005F0A67">
        <w:rPr>
          <w:rFonts w:asciiTheme="majorBidi" w:eastAsia="Georgia" w:hAnsiTheme="majorBidi" w:cstheme="majorBidi"/>
          <w:color w:val="242424"/>
          <w:sz w:val="14"/>
          <w:szCs w:val="14"/>
          <w:lang w:eastAsia="en-GB"/>
        </w:rPr>
        <w:t>define</w:t>
      </w:r>
      <w:r w:rsidRPr="005F0A67">
        <w:rPr>
          <w:rFonts w:asciiTheme="majorBidi" w:eastAsia="Georgia" w:hAnsiTheme="majorBidi" w:cstheme="majorBidi"/>
          <w:color w:val="242424"/>
          <w:spacing w:val="-8"/>
          <w:sz w:val="14"/>
          <w:szCs w:val="14"/>
          <w:lang w:eastAsia="en-GB"/>
        </w:rPr>
        <w:t xml:space="preserve"> </w:t>
      </w:r>
      <w:r w:rsidRPr="005F0A67">
        <w:rPr>
          <w:rFonts w:asciiTheme="majorBidi" w:eastAsia="Georgia" w:hAnsiTheme="majorBidi" w:cstheme="majorBidi"/>
          <w:color w:val="242424"/>
          <w:sz w:val="14"/>
          <w:szCs w:val="14"/>
          <w:lang w:eastAsia="en-GB"/>
        </w:rPr>
        <w:t>such</w:t>
      </w:r>
      <w:r w:rsidRPr="005F0A67">
        <w:rPr>
          <w:rFonts w:asciiTheme="majorBidi" w:eastAsia="Georgia" w:hAnsiTheme="majorBidi" w:cstheme="majorBidi"/>
          <w:color w:val="242424"/>
          <w:spacing w:val="-8"/>
          <w:sz w:val="14"/>
          <w:szCs w:val="14"/>
          <w:lang w:eastAsia="en-GB"/>
        </w:rPr>
        <w:t xml:space="preserve"> </w:t>
      </w:r>
      <w:r w:rsidRPr="005F0A67">
        <w:rPr>
          <w:rFonts w:asciiTheme="majorBidi" w:eastAsia="Georgia" w:hAnsiTheme="majorBidi" w:cstheme="majorBidi"/>
          <w:color w:val="242424"/>
          <w:sz w:val="14"/>
          <w:szCs w:val="14"/>
          <w:lang w:eastAsia="en-GB"/>
        </w:rPr>
        <w:t>concept</w:t>
      </w:r>
      <w:r w:rsidRPr="005F0A67">
        <w:rPr>
          <w:rFonts w:asciiTheme="majorBidi" w:eastAsia="Georgia" w:hAnsiTheme="majorBidi" w:cstheme="majorBidi"/>
          <w:color w:val="242424"/>
          <w:spacing w:val="-8"/>
          <w:sz w:val="14"/>
          <w:szCs w:val="14"/>
          <w:lang w:eastAsia="en-GB"/>
        </w:rPr>
        <w:t xml:space="preserve"> </w:t>
      </w:r>
      <w:r w:rsidRPr="005F0A67">
        <w:rPr>
          <w:rFonts w:asciiTheme="majorBidi" w:eastAsia="Georgia" w:hAnsiTheme="majorBidi" w:cstheme="majorBidi"/>
          <w:color w:val="242424"/>
          <w:sz w:val="14"/>
          <w:szCs w:val="14"/>
          <w:lang w:eastAsia="en-GB"/>
        </w:rPr>
        <w:t>and</w:t>
      </w:r>
      <w:r w:rsidRPr="005F0A67">
        <w:rPr>
          <w:rFonts w:asciiTheme="majorBidi" w:eastAsia="Georgia" w:hAnsiTheme="majorBidi" w:cstheme="majorBidi"/>
          <w:color w:val="242424"/>
          <w:spacing w:val="-8"/>
          <w:sz w:val="14"/>
          <w:szCs w:val="14"/>
          <w:lang w:eastAsia="en-GB"/>
        </w:rPr>
        <w:t xml:space="preserve"> </w:t>
      </w:r>
      <w:r w:rsidRPr="005F0A67">
        <w:rPr>
          <w:rFonts w:asciiTheme="majorBidi" w:eastAsia="Georgia" w:hAnsiTheme="majorBidi" w:cstheme="majorBidi"/>
          <w:color w:val="242424"/>
          <w:sz w:val="14"/>
          <w:szCs w:val="14"/>
          <w:lang w:eastAsia="en-GB"/>
        </w:rPr>
        <w:t>scope”</w:t>
      </w:r>
    </w:p>
    <w:p w14:paraId="68017ADD" w14:textId="77777777" w:rsidR="005F0A67" w:rsidRPr="005F0A67" w:rsidRDefault="005F0A67" w:rsidP="003A387A">
      <w:pPr>
        <w:widowControl w:val="0"/>
        <w:numPr>
          <w:ilvl w:val="1"/>
          <w:numId w:val="46"/>
        </w:numPr>
        <w:tabs>
          <w:tab w:val="clear" w:pos="567"/>
          <w:tab w:val="clear" w:pos="1134"/>
          <w:tab w:val="clear" w:pos="1701"/>
          <w:tab w:val="clear" w:pos="2268"/>
          <w:tab w:val="left" w:pos="603"/>
        </w:tabs>
        <w:autoSpaceDE w:val="0"/>
        <w:autoSpaceDN w:val="0"/>
        <w:spacing w:before="1"/>
        <w:ind w:left="603" w:hanging="88"/>
        <w:jc w:val="left"/>
        <w:rPr>
          <w:rFonts w:asciiTheme="majorBidi" w:eastAsia="Georgia" w:hAnsiTheme="majorBidi" w:cstheme="majorBidi"/>
          <w:color w:val="1A1A1A"/>
          <w:sz w:val="14"/>
          <w:szCs w:val="14"/>
          <w:lang w:eastAsia="en-GB"/>
        </w:rPr>
      </w:pPr>
      <w:r w:rsidRPr="005F0A67">
        <w:rPr>
          <w:rFonts w:asciiTheme="majorBidi" w:eastAsia="Georgia" w:hAnsiTheme="majorBidi" w:cstheme="majorBidi"/>
          <w:color w:val="242424"/>
          <w:spacing w:val="-2"/>
          <w:sz w:val="14"/>
          <w:szCs w:val="14"/>
          <w:lang w:eastAsia="en-GB"/>
        </w:rPr>
        <w:t>Agreed</w:t>
      </w:r>
      <w:r w:rsidRPr="005F0A67">
        <w:rPr>
          <w:rFonts w:asciiTheme="majorBidi" w:eastAsia="Georgia" w:hAnsiTheme="majorBidi" w:cstheme="majorBidi"/>
          <w:color w:val="242424"/>
          <w:spacing w:val="-3"/>
          <w:sz w:val="14"/>
          <w:szCs w:val="14"/>
          <w:lang w:eastAsia="en-GB"/>
        </w:rPr>
        <w:t xml:space="preserve"> </w:t>
      </w:r>
      <w:r w:rsidRPr="005F0A67">
        <w:rPr>
          <w:rFonts w:asciiTheme="majorBidi" w:eastAsia="Georgia" w:hAnsiTheme="majorBidi" w:cstheme="majorBidi"/>
          <w:color w:val="242424"/>
          <w:spacing w:val="-2"/>
          <w:sz w:val="14"/>
          <w:szCs w:val="14"/>
          <w:lang w:eastAsia="en-GB"/>
        </w:rPr>
        <w:t>“on the continuing</w:t>
      </w:r>
      <w:r w:rsidRPr="005F0A67">
        <w:rPr>
          <w:rFonts w:asciiTheme="majorBidi" w:eastAsia="Georgia" w:hAnsiTheme="majorBidi" w:cstheme="majorBidi"/>
          <w:color w:val="242424"/>
          <w:spacing w:val="-3"/>
          <w:sz w:val="14"/>
          <w:szCs w:val="14"/>
          <w:lang w:eastAsia="en-GB"/>
        </w:rPr>
        <w:t xml:space="preserve"> </w:t>
      </w:r>
      <w:r w:rsidRPr="005F0A67">
        <w:rPr>
          <w:rFonts w:asciiTheme="majorBidi" w:eastAsia="Georgia" w:hAnsiTheme="majorBidi" w:cstheme="majorBidi"/>
          <w:color w:val="242424"/>
          <w:spacing w:val="-2"/>
          <w:sz w:val="14"/>
          <w:szCs w:val="14"/>
          <w:lang w:eastAsia="en-GB"/>
        </w:rPr>
        <w:t>use of the term</w:t>
      </w:r>
      <w:r w:rsidRPr="005F0A67">
        <w:rPr>
          <w:rFonts w:asciiTheme="majorBidi" w:eastAsia="Georgia" w:hAnsiTheme="majorBidi" w:cstheme="majorBidi"/>
          <w:color w:val="242424"/>
          <w:spacing w:val="-3"/>
          <w:sz w:val="14"/>
          <w:szCs w:val="14"/>
          <w:lang w:eastAsia="en-GB"/>
        </w:rPr>
        <w:t xml:space="preserve"> </w:t>
      </w:r>
      <w:r w:rsidRPr="005F0A67">
        <w:rPr>
          <w:rFonts w:asciiTheme="majorBidi" w:eastAsia="Georgia" w:hAnsiTheme="majorBidi" w:cstheme="majorBidi"/>
          <w:color w:val="242424"/>
          <w:spacing w:val="-2"/>
          <w:sz w:val="14"/>
          <w:szCs w:val="14"/>
          <w:lang w:eastAsia="en-GB"/>
        </w:rPr>
        <w:t>“digital sequence information”</w:t>
      </w:r>
      <w:r w:rsidRPr="005F0A67">
        <w:rPr>
          <w:rFonts w:asciiTheme="majorBidi" w:eastAsia="Georgia" w:hAnsiTheme="majorBidi" w:cstheme="majorBidi"/>
          <w:color w:val="242424"/>
          <w:spacing w:val="-3"/>
          <w:sz w:val="14"/>
          <w:szCs w:val="14"/>
          <w:lang w:eastAsia="en-GB"/>
        </w:rPr>
        <w:t xml:space="preserve"> </w:t>
      </w:r>
      <w:r w:rsidRPr="005F0A67">
        <w:rPr>
          <w:rFonts w:asciiTheme="majorBidi" w:eastAsia="Georgia" w:hAnsiTheme="majorBidi" w:cstheme="majorBidi"/>
          <w:color w:val="242424"/>
          <w:spacing w:val="-2"/>
          <w:sz w:val="14"/>
          <w:szCs w:val="14"/>
          <w:lang w:eastAsia="en-GB"/>
        </w:rPr>
        <w:t>for further discussions”</w:t>
      </w:r>
    </w:p>
    <w:p w14:paraId="1BD354B1" w14:textId="77777777" w:rsidR="005F0A67" w:rsidRPr="005F0A67" w:rsidRDefault="005F0A67" w:rsidP="003A387A">
      <w:pPr>
        <w:widowControl w:val="0"/>
        <w:numPr>
          <w:ilvl w:val="1"/>
          <w:numId w:val="46"/>
        </w:numPr>
        <w:tabs>
          <w:tab w:val="clear" w:pos="567"/>
          <w:tab w:val="clear" w:pos="1134"/>
          <w:tab w:val="clear" w:pos="1701"/>
          <w:tab w:val="clear" w:pos="2268"/>
          <w:tab w:val="left" w:pos="603"/>
        </w:tabs>
        <w:autoSpaceDE w:val="0"/>
        <w:autoSpaceDN w:val="0"/>
        <w:spacing w:before="39" w:line="297" w:lineRule="auto"/>
        <w:ind w:right="537" w:firstLine="0"/>
        <w:jc w:val="left"/>
        <w:rPr>
          <w:rFonts w:asciiTheme="majorBidi" w:eastAsia="Georgia" w:hAnsiTheme="majorBidi" w:cstheme="majorBidi"/>
          <w:color w:val="1A1A1A"/>
          <w:sz w:val="14"/>
          <w:szCs w:val="14"/>
          <w:lang w:eastAsia="en-GB"/>
        </w:rPr>
      </w:pPr>
      <w:r w:rsidRPr="005F0A67">
        <w:rPr>
          <w:rFonts w:asciiTheme="majorBidi" w:eastAsia="Georgia" w:hAnsiTheme="majorBidi" w:cstheme="majorBidi"/>
          <w:color w:val="242424"/>
          <w:spacing w:val="-2"/>
          <w:sz w:val="14"/>
          <w:szCs w:val="14"/>
          <w:lang w:eastAsia="en-GB"/>
        </w:rPr>
        <w:t>Also</w:t>
      </w:r>
      <w:r w:rsidRPr="005F0A67">
        <w:rPr>
          <w:rFonts w:asciiTheme="majorBidi" w:eastAsia="Georgia" w:hAnsiTheme="majorBidi" w:cstheme="majorBidi"/>
          <w:color w:val="242424"/>
          <w:spacing w:val="-6"/>
          <w:sz w:val="14"/>
          <w:szCs w:val="14"/>
          <w:lang w:eastAsia="en-GB"/>
        </w:rPr>
        <w:t xml:space="preserve"> </w:t>
      </w:r>
      <w:r w:rsidRPr="005F0A67">
        <w:rPr>
          <w:rFonts w:asciiTheme="majorBidi" w:eastAsia="Georgia" w:hAnsiTheme="majorBidi" w:cstheme="majorBidi"/>
          <w:color w:val="242424"/>
          <w:spacing w:val="-2"/>
          <w:sz w:val="14"/>
          <w:szCs w:val="14"/>
          <w:lang w:eastAsia="en-GB"/>
        </w:rPr>
        <w:t>agreed</w:t>
      </w:r>
      <w:r w:rsidRPr="005F0A67">
        <w:rPr>
          <w:rFonts w:asciiTheme="majorBidi" w:eastAsia="Georgia" w:hAnsiTheme="majorBidi" w:cstheme="majorBidi"/>
          <w:color w:val="242424"/>
          <w:spacing w:val="-6"/>
          <w:sz w:val="14"/>
          <w:szCs w:val="14"/>
          <w:lang w:eastAsia="en-GB"/>
        </w:rPr>
        <w:t xml:space="preserve"> </w:t>
      </w:r>
      <w:r w:rsidRPr="005F0A67">
        <w:rPr>
          <w:rFonts w:asciiTheme="majorBidi" w:eastAsia="Georgia" w:hAnsiTheme="majorBidi" w:cstheme="majorBidi"/>
          <w:color w:val="242424"/>
          <w:spacing w:val="-2"/>
          <w:sz w:val="14"/>
          <w:szCs w:val="14"/>
          <w:lang w:eastAsia="en-GB"/>
        </w:rPr>
        <w:t>“that</w:t>
      </w:r>
      <w:r w:rsidRPr="005F0A67">
        <w:rPr>
          <w:rFonts w:asciiTheme="majorBidi" w:eastAsia="Georgia" w:hAnsiTheme="majorBidi" w:cstheme="majorBidi"/>
          <w:color w:val="242424"/>
          <w:spacing w:val="-6"/>
          <w:sz w:val="14"/>
          <w:szCs w:val="14"/>
          <w:lang w:eastAsia="en-GB"/>
        </w:rPr>
        <w:t xml:space="preserve"> </w:t>
      </w:r>
      <w:r w:rsidRPr="005F0A67">
        <w:rPr>
          <w:rFonts w:asciiTheme="majorBidi" w:eastAsia="Georgia" w:hAnsiTheme="majorBidi" w:cstheme="majorBidi"/>
          <w:color w:val="242424"/>
          <w:spacing w:val="-2"/>
          <w:sz w:val="14"/>
          <w:szCs w:val="14"/>
          <w:lang w:eastAsia="en-GB"/>
        </w:rPr>
        <w:t>the</w:t>
      </w:r>
      <w:r w:rsidRPr="005F0A67">
        <w:rPr>
          <w:rFonts w:asciiTheme="majorBidi" w:eastAsia="Georgia" w:hAnsiTheme="majorBidi" w:cstheme="majorBidi"/>
          <w:color w:val="242424"/>
          <w:spacing w:val="-6"/>
          <w:sz w:val="14"/>
          <w:szCs w:val="14"/>
          <w:lang w:eastAsia="en-GB"/>
        </w:rPr>
        <w:t xml:space="preserve"> </w:t>
      </w:r>
      <w:r w:rsidRPr="005F0A67">
        <w:rPr>
          <w:rFonts w:asciiTheme="majorBidi" w:eastAsia="Georgia" w:hAnsiTheme="majorBidi" w:cstheme="majorBidi"/>
          <w:color w:val="242424"/>
          <w:spacing w:val="-2"/>
          <w:sz w:val="14"/>
          <w:szCs w:val="14"/>
          <w:lang w:eastAsia="en-GB"/>
        </w:rPr>
        <w:t>benefits</w:t>
      </w:r>
      <w:r w:rsidRPr="005F0A67">
        <w:rPr>
          <w:rFonts w:asciiTheme="majorBidi" w:eastAsia="Georgia" w:hAnsiTheme="majorBidi" w:cstheme="majorBidi"/>
          <w:color w:val="242424"/>
          <w:spacing w:val="-6"/>
          <w:sz w:val="14"/>
          <w:szCs w:val="14"/>
          <w:lang w:eastAsia="en-GB"/>
        </w:rPr>
        <w:t xml:space="preserve"> </w:t>
      </w:r>
      <w:r w:rsidRPr="005F0A67">
        <w:rPr>
          <w:rFonts w:asciiTheme="majorBidi" w:eastAsia="Georgia" w:hAnsiTheme="majorBidi" w:cstheme="majorBidi"/>
          <w:color w:val="242424"/>
          <w:spacing w:val="-2"/>
          <w:sz w:val="14"/>
          <w:szCs w:val="14"/>
          <w:lang w:eastAsia="en-GB"/>
        </w:rPr>
        <w:t>from</w:t>
      </w:r>
      <w:r w:rsidRPr="005F0A67">
        <w:rPr>
          <w:rFonts w:asciiTheme="majorBidi" w:eastAsia="Georgia" w:hAnsiTheme="majorBidi" w:cstheme="majorBidi"/>
          <w:color w:val="242424"/>
          <w:spacing w:val="-6"/>
          <w:sz w:val="14"/>
          <w:szCs w:val="14"/>
          <w:lang w:eastAsia="en-GB"/>
        </w:rPr>
        <w:t xml:space="preserve"> </w:t>
      </w:r>
      <w:r w:rsidRPr="005F0A67">
        <w:rPr>
          <w:rFonts w:asciiTheme="majorBidi" w:eastAsia="Georgia" w:hAnsiTheme="majorBidi" w:cstheme="majorBidi"/>
          <w:color w:val="242424"/>
          <w:spacing w:val="-2"/>
          <w:sz w:val="14"/>
          <w:szCs w:val="14"/>
          <w:lang w:eastAsia="en-GB"/>
        </w:rPr>
        <w:t>the</w:t>
      </w:r>
      <w:r w:rsidRPr="005F0A67">
        <w:rPr>
          <w:rFonts w:asciiTheme="majorBidi" w:eastAsia="Georgia" w:hAnsiTheme="majorBidi" w:cstheme="majorBidi"/>
          <w:color w:val="242424"/>
          <w:spacing w:val="-6"/>
          <w:sz w:val="14"/>
          <w:szCs w:val="14"/>
          <w:lang w:eastAsia="en-GB"/>
        </w:rPr>
        <w:t xml:space="preserve"> </w:t>
      </w:r>
      <w:r w:rsidRPr="005F0A67">
        <w:rPr>
          <w:rFonts w:asciiTheme="majorBidi" w:eastAsia="Georgia" w:hAnsiTheme="majorBidi" w:cstheme="majorBidi"/>
          <w:color w:val="242424"/>
          <w:spacing w:val="-2"/>
          <w:sz w:val="14"/>
          <w:szCs w:val="14"/>
          <w:lang w:eastAsia="en-GB"/>
        </w:rPr>
        <w:t>use</w:t>
      </w:r>
      <w:r w:rsidRPr="005F0A67">
        <w:rPr>
          <w:rFonts w:asciiTheme="majorBidi" w:eastAsia="Georgia" w:hAnsiTheme="majorBidi" w:cstheme="majorBidi"/>
          <w:color w:val="242424"/>
          <w:spacing w:val="-6"/>
          <w:sz w:val="14"/>
          <w:szCs w:val="14"/>
          <w:lang w:eastAsia="en-GB"/>
        </w:rPr>
        <w:t xml:space="preserve"> </w:t>
      </w:r>
      <w:r w:rsidRPr="005F0A67">
        <w:rPr>
          <w:rFonts w:asciiTheme="majorBidi" w:eastAsia="Georgia" w:hAnsiTheme="majorBidi" w:cstheme="majorBidi"/>
          <w:color w:val="242424"/>
          <w:spacing w:val="-2"/>
          <w:sz w:val="14"/>
          <w:szCs w:val="14"/>
          <w:lang w:eastAsia="en-GB"/>
        </w:rPr>
        <w:t>of</w:t>
      </w:r>
      <w:r w:rsidRPr="005F0A67">
        <w:rPr>
          <w:rFonts w:asciiTheme="majorBidi" w:eastAsia="Georgia" w:hAnsiTheme="majorBidi" w:cstheme="majorBidi"/>
          <w:color w:val="242424"/>
          <w:spacing w:val="-6"/>
          <w:sz w:val="14"/>
          <w:szCs w:val="14"/>
          <w:lang w:eastAsia="en-GB"/>
        </w:rPr>
        <w:t xml:space="preserve"> </w:t>
      </w:r>
      <w:r w:rsidRPr="005F0A67">
        <w:rPr>
          <w:rFonts w:asciiTheme="majorBidi" w:eastAsia="Georgia" w:hAnsiTheme="majorBidi" w:cstheme="majorBidi"/>
          <w:color w:val="242424"/>
          <w:spacing w:val="-2"/>
          <w:sz w:val="14"/>
          <w:szCs w:val="14"/>
          <w:lang w:eastAsia="en-GB"/>
        </w:rPr>
        <w:t>digital</w:t>
      </w:r>
      <w:r w:rsidRPr="005F0A67">
        <w:rPr>
          <w:rFonts w:asciiTheme="majorBidi" w:eastAsia="Georgia" w:hAnsiTheme="majorBidi" w:cstheme="majorBidi"/>
          <w:color w:val="242424"/>
          <w:spacing w:val="-6"/>
          <w:sz w:val="14"/>
          <w:szCs w:val="14"/>
          <w:lang w:eastAsia="en-GB"/>
        </w:rPr>
        <w:t xml:space="preserve"> </w:t>
      </w:r>
      <w:r w:rsidRPr="005F0A67">
        <w:rPr>
          <w:rFonts w:asciiTheme="majorBidi" w:eastAsia="Georgia" w:hAnsiTheme="majorBidi" w:cstheme="majorBidi"/>
          <w:color w:val="242424"/>
          <w:spacing w:val="-2"/>
          <w:sz w:val="14"/>
          <w:szCs w:val="14"/>
          <w:lang w:eastAsia="en-GB"/>
        </w:rPr>
        <w:t>sequence</w:t>
      </w:r>
      <w:r w:rsidRPr="005F0A67">
        <w:rPr>
          <w:rFonts w:asciiTheme="majorBidi" w:eastAsia="Georgia" w:hAnsiTheme="majorBidi" w:cstheme="majorBidi"/>
          <w:color w:val="242424"/>
          <w:spacing w:val="-6"/>
          <w:sz w:val="14"/>
          <w:szCs w:val="14"/>
          <w:lang w:eastAsia="en-GB"/>
        </w:rPr>
        <w:t xml:space="preserve"> </w:t>
      </w:r>
      <w:r w:rsidRPr="005F0A67">
        <w:rPr>
          <w:rFonts w:asciiTheme="majorBidi" w:eastAsia="Georgia" w:hAnsiTheme="majorBidi" w:cstheme="majorBidi"/>
          <w:color w:val="242424"/>
          <w:spacing w:val="-2"/>
          <w:sz w:val="14"/>
          <w:szCs w:val="14"/>
          <w:lang w:eastAsia="en-GB"/>
        </w:rPr>
        <w:t>information</w:t>
      </w:r>
      <w:r w:rsidRPr="005F0A67">
        <w:rPr>
          <w:rFonts w:asciiTheme="majorBidi" w:eastAsia="Georgia" w:hAnsiTheme="majorBidi" w:cstheme="majorBidi"/>
          <w:color w:val="242424"/>
          <w:spacing w:val="-6"/>
          <w:sz w:val="14"/>
          <w:szCs w:val="14"/>
          <w:lang w:eastAsia="en-GB"/>
        </w:rPr>
        <w:t xml:space="preserve"> </w:t>
      </w:r>
      <w:r w:rsidRPr="005F0A67">
        <w:rPr>
          <w:rFonts w:asciiTheme="majorBidi" w:eastAsia="Georgia" w:hAnsiTheme="majorBidi" w:cstheme="majorBidi"/>
          <w:color w:val="242424"/>
          <w:spacing w:val="-2"/>
          <w:sz w:val="14"/>
          <w:szCs w:val="14"/>
          <w:lang w:eastAsia="en-GB"/>
        </w:rPr>
        <w:t>on</w:t>
      </w:r>
      <w:r w:rsidRPr="005F0A67">
        <w:rPr>
          <w:rFonts w:asciiTheme="majorBidi" w:eastAsia="Georgia" w:hAnsiTheme="majorBidi" w:cstheme="majorBidi"/>
          <w:color w:val="242424"/>
          <w:spacing w:val="-6"/>
          <w:sz w:val="14"/>
          <w:szCs w:val="14"/>
          <w:lang w:eastAsia="en-GB"/>
        </w:rPr>
        <w:t xml:space="preserve"> </w:t>
      </w:r>
      <w:r w:rsidRPr="005F0A67">
        <w:rPr>
          <w:rFonts w:asciiTheme="majorBidi" w:eastAsia="Georgia" w:hAnsiTheme="majorBidi" w:cstheme="majorBidi"/>
          <w:color w:val="242424"/>
          <w:spacing w:val="-2"/>
          <w:sz w:val="14"/>
          <w:szCs w:val="14"/>
          <w:lang w:eastAsia="en-GB"/>
        </w:rPr>
        <w:t>genetic</w:t>
      </w:r>
      <w:r w:rsidRPr="005F0A67">
        <w:rPr>
          <w:rFonts w:asciiTheme="majorBidi" w:eastAsia="Georgia" w:hAnsiTheme="majorBidi" w:cstheme="majorBidi"/>
          <w:color w:val="242424"/>
          <w:spacing w:val="-6"/>
          <w:sz w:val="14"/>
          <w:szCs w:val="14"/>
          <w:lang w:eastAsia="en-GB"/>
        </w:rPr>
        <w:t xml:space="preserve"> </w:t>
      </w:r>
      <w:r w:rsidRPr="005F0A67">
        <w:rPr>
          <w:rFonts w:asciiTheme="majorBidi" w:eastAsia="Georgia" w:hAnsiTheme="majorBidi" w:cstheme="majorBidi"/>
          <w:color w:val="242424"/>
          <w:spacing w:val="-2"/>
          <w:sz w:val="14"/>
          <w:szCs w:val="14"/>
          <w:lang w:eastAsia="en-GB"/>
        </w:rPr>
        <w:t>resources</w:t>
      </w:r>
      <w:r w:rsidRPr="005F0A67">
        <w:rPr>
          <w:rFonts w:asciiTheme="majorBidi" w:eastAsia="Georgia" w:hAnsiTheme="majorBidi" w:cstheme="majorBidi"/>
          <w:color w:val="242424"/>
          <w:spacing w:val="-6"/>
          <w:sz w:val="14"/>
          <w:szCs w:val="14"/>
          <w:lang w:eastAsia="en-GB"/>
        </w:rPr>
        <w:t xml:space="preserve"> </w:t>
      </w:r>
      <w:r w:rsidRPr="005F0A67">
        <w:rPr>
          <w:rFonts w:asciiTheme="majorBidi" w:eastAsia="Georgia" w:hAnsiTheme="majorBidi" w:cstheme="majorBidi"/>
          <w:color w:val="242424"/>
          <w:spacing w:val="-2"/>
          <w:sz w:val="14"/>
          <w:szCs w:val="14"/>
          <w:lang w:eastAsia="en-GB"/>
        </w:rPr>
        <w:t>should</w:t>
      </w:r>
      <w:r w:rsidRPr="005F0A67">
        <w:rPr>
          <w:rFonts w:asciiTheme="majorBidi" w:eastAsia="Georgia" w:hAnsiTheme="majorBidi" w:cstheme="majorBidi"/>
          <w:color w:val="242424"/>
          <w:spacing w:val="-6"/>
          <w:sz w:val="14"/>
          <w:szCs w:val="14"/>
          <w:lang w:eastAsia="en-GB"/>
        </w:rPr>
        <w:t xml:space="preserve"> </w:t>
      </w:r>
      <w:r w:rsidRPr="005F0A67">
        <w:rPr>
          <w:rFonts w:asciiTheme="majorBidi" w:eastAsia="Georgia" w:hAnsiTheme="majorBidi" w:cstheme="majorBidi"/>
          <w:color w:val="242424"/>
          <w:spacing w:val="-2"/>
          <w:sz w:val="14"/>
          <w:szCs w:val="14"/>
          <w:lang w:eastAsia="en-GB"/>
        </w:rPr>
        <w:t>be</w:t>
      </w:r>
      <w:r w:rsidRPr="005F0A67">
        <w:rPr>
          <w:rFonts w:asciiTheme="majorBidi" w:eastAsia="Georgia" w:hAnsiTheme="majorBidi" w:cstheme="majorBidi"/>
          <w:color w:val="242424"/>
          <w:spacing w:val="-6"/>
          <w:sz w:val="14"/>
          <w:szCs w:val="14"/>
          <w:lang w:eastAsia="en-GB"/>
        </w:rPr>
        <w:t xml:space="preserve"> </w:t>
      </w:r>
      <w:r w:rsidRPr="005F0A67">
        <w:rPr>
          <w:rFonts w:asciiTheme="majorBidi" w:eastAsia="Georgia" w:hAnsiTheme="majorBidi" w:cstheme="majorBidi"/>
          <w:color w:val="242424"/>
          <w:spacing w:val="-2"/>
          <w:sz w:val="14"/>
          <w:szCs w:val="14"/>
          <w:lang w:eastAsia="en-GB"/>
        </w:rPr>
        <w:t>shared</w:t>
      </w:r>
      <w:r w:rsidRPr="005F0A67">
        <w:rPr>
          <w:rFonts w:asciiTheme="majorBidi" w:eastAsia="Georgia" w:hAnsiTheme="majorBidi" w:cstheme="majorBidi"/>
          <w:color w:val="242424"/>
          <w:spacing w:val="-6"/>
          <w:sz w:val="14"/>
          <w:szCs w:val="14"/>
          <w:lang w:eastAsia="en-GB"/>
        </w:rPr>
        <w:t xml:space="preserve"> </w:t>
      </w:r>
      <w:r w:rsidRPr="005F0A67">
        <w:rPr>
          <w:rFonts w:asciiTheme="majorBidi" w:eastAsia="Georgia" w:hAnsiTheme="majorBidi" w:cstheme="majorBidi"/>
          <w:color w:val="242424"/>
          <w:spacing w:val="-2"/>
          <w:sz w:val="14"/>
          <w:szCs w:val="14"/>
          <w:lang w:eastAsia="en-GB"/>
        </w:rPr>
        <w:t>fairly</w:t>
      </w:r>
      <w:r w:rsidRPr="005F0A67">
        <w:rPr>
          <w:rFonts w:asciiTheme="majorBidi" w:eastAsia="Georgia" w:hAnsiTheme="majorBidi" w:cstheme="majorBidi"/>
          <w:color w:val="242424"/>
          <w:spacing w:val="-6"/>
          <w:sz w:val="14"/>
          <w:szCs w:val="14"/>
          <w:lang w:eastAsia="en-GB"/>
        </w:rPr>
        <w:t xml:space="preserve"> </w:t>
      </w:r>
      <w:r w:rsidRPr="005F0A67">
        <w:rPr>
          <w:rFonts w:asciiTheme="majorBidi" w:eastAsia="Georgia" w:hAnsiTheme="majorBidi" w:cstheme="majorBidi"/>
          <w:color w:val="242424"/>
          <w:spacing w:val="-2"/>
          <w:sz w:val="14"/>
          <w:szCs w:val="14"/>
          <w:lang w:eastAsia="en-GB"/>
        </w:rPr>
        <w:t>and</w:t>
      </w:r>
      <w:r w:rsidRPr="005F0A67">
        <w:rPr>
          <w:rFonts w:asciiTheme="majorBidi" w:eastAsia="Georgia" w:hAnsiTheme="majorBidi" w:cstheme="majorBidi"/>
          <w:color w:val="242424"/>
          <w:spacing w:val="40"/>
          <w:w w:val="105"/>
          <w:sz w:val="14"/>
          <w:szCs w:val="14"/>
          <w:lang w:eastAsia="en-GB"/>
        </w:rPr>
        <w:t xml:space="preserve"> </w:t>
      </w:r>
      <w:r w:rsidRPr="005F0A67">
        <w:rPr>
          <w:rFonts w:asciiTheme="majorBidi" w:eastAsia="Georgia" w:hAnsiTheme="majorBidi" w:cstheme="majorBidi"/>
          <w:color w:val="242424"/>
          <w:spacing w:val="-2"/>
          <w:w w:val="105"/>
          <w:sz w:val="14"/>
          <w:szCs w:val="14"/>
          <w:lang w:eastAsia="en-GB"/>
        </w:rPr>
        <w:t>equitably”</w:t>
      </w:r>
    </w:p>
    <w:p w14:paraId="1564CD11" w14:textId="77777777" w:rsidR="005F0A67" w:rsidRPr="005F0A67" w:rsidRDefault="005F0A67" w:rsidP="005F0A67">
      <w:pPr>
        <w:widowControl w:val="0"/>
        <w:tabs>
          <w:tab w:val="clear" w:pos="567"/>
          <w:tab w:val="clear" w:pos="1134"/>
          <w:tab w:val="clear" w:pos="1701"/>
          <w:tab w:val="clear" w:pos="2268"/>
        </w:tabs>
        <w:spacing w:before="39"/>
        <w:jc w:val="left"/>
        <w:rPr>
          <w:rFonts w:asciiTheme="majorBidi" w:eastAsia="Arial" w:hAnsiTheme="majorBidi" w:cstheme="majorBidi"/>
          <w:sz w:val="14"/>
          <w:szCs w:val="14"/>
          <w:lang w:val="en-US"/>
        </w:rPr>
      </w:pPr>
    </w:p>
    <w:p w14:paraId="571BB295" w14:textId="77777777" w:rsidR="005F0A67" w:rsidRPr="005F0A67" w:rsidRDefault="005F0A67" w:rsidP="005F0A67">
      <w:pPr>
        <w:widowControl w:val="0"/>
        <w:tabs>
          <w:tab w:val="clear" w:pos="567"/>
          <w:tab w:val="clear" w:pos="1134"/>
          <w:tab w:val="clear" w:pos="1701"/>
          <w:tab w:val="clear" w:pos="2268"/>
        </w:tabs>
        <w:spacing w:line="297" w:lineRule="auto"/>
        <w:ind w:left="515" w:right="484"/>
        <w:jc w:val="left"/>
        <w:rPr>
          <w:rFonts w:asciiTheme="majorBidi" w:eastAsia="Arial" w:hAnsiTheme="majorBidi" w:cstheme="majorBidi"/>
          <w:sz w:val="14"/>
          <w:szCs w:val="14"/>
          <w:lang w:val="en-US"/>
        </w:rPr>
      </w:pPr>
      <w:r w:rsidRPr="005F0A67">
        <w:rPr>
          <w:rFonts w:asciiTheme="majorBidi" w:eastAsia="Arial" w:hAnsiTheme="majorBidi" w:cstheme="majorBidi"/>
          <w:color w:val="242424"/>
          <w:spacing w:val="-2"/>
          <w:sz w:val="14"/>
          <w:szCs w:val="14"/>
          <w:lang w:val="en-US"/>
        </w:rPr>
        <w:t>At</w:t>
      </w:r>
      <w:r w:rsidRPr="005F0A67">
        <w:rPr>
          <w:rFonts w:asciiTheme="majorBidi" w:eastAsia="Arial" w:hAnsiTheme="majorBidi" w:cstheme="majorBidi"/>
          <w:color w:val="242424"/>
          <w:spacing w:val="-7"/>
          <w:sz w:val="14"/>
          <w:szCs w:val="14"/>
          <w:lang w:val="en-US"/>
        </w:rPr>
        <w:t xml:space="preserve"> </w:t>
      </w:r>
      <w:r w:rsidRPr="005F0A67">
        <w:rPr>
          <w:rFonts w:asciiTheme="majorBidi" w:eastAsia="Arial" w:hAnsiTheme="majorBidi" w:cstheme="majorBidi"/>
          <w:color w:val="242424"/>
          <w:spacing w:val="-2"/>
          <w:sz w:val="14"/>
          <w:szCs w:val="14"/>
          <w:lang w:val="en-US"/>
        </w:rPr>
        <w:t>the</w:t>
      </w:r>
      <w:r w:rsidRPr="005F0A67">
        <w:rPr>
          <w:rFonts w:asciiTheme="majorBidi" w:eastAsia="Arial" w:hAnsiTheme="majorBidi" w:cstheme="majorBidi"/>
          <w:color w:val="242424"/>
          <w:spacing w:val="-7"/>
          <w:sz w:val="14"/>
          <w:szCs w:val="14"/>
          <w:lang w:val="en-US"/>
        </w:rPr>
        <w:t xml:space="preserve"> </w:t>
      </w:r>
      <w:r w:rsidRPr="005F0A67">
        <w:rPr>
          <w:rFonts w:asciiTheme="majorBidi" w:eastAsia="Arial" w:hAnsiTheme="majorBidi" w:cstheme="majorBidi"/>
          <w:color w:val="242424"/>
          <w:spacing w:val="-2"/>
          <w:sz w:val="14"/>
          <w:szCs w:val="14"/>
          <w:lang w:val="en-US"/>
        </w:rPr>
        <w:t>last</w:t>
      </w:r>
      <w:r w:rsidRPr="005F0A67">
        <w:rPr>
          <w:rFonts w:asciiTheme="majorBidi" w:eastAsia="Arial" w:hAnsiTheme="majorBidi" w:cstheme="majorBidi"/>
          <w:color w:val="242424"/>
          <w:spacing w:val="-7"/>
          <w:sz w:val="14"/>
          <w:szCs w:val="14"/>
          <w:lang w:val="en-US"/>
        </w:rPr>
        <w:t xml:space="preserve"> </w:t>
      </w:r>
      <w:r w:rsidRPr="005F0A67">
        <w:rPr>
          <w:rFonts w:asciiTheme="majorBidi" w:eastAsia="Arial" w:hAnsiTheme="majorBidi" w:cstheme="majorBidi"/>
          <w:color w:val="242424"/>
          <w:spacing w:val="-2"/>
          <w:sz w:val="14"/>
          <w:szCs w:val="14"/>
          <w:lang w:val="en-US"/>
        </w:rPr>
        <w:t>COP</w:t>
      </w:r>
      <w:r w:rsidRPr="005F0A67">
        <w:rPr>
          <w:rFonts w:asciiTheme="majorBidi" w:eastAsia="Arial" w:hAnsiTheme="majorBidi" w:cstheme="majorBidi"/>
          <w:color w:val="242424"/>
          <w:spacing w:val="-7"/>
          <w:sz w:val="14"/>
          <w:szCs w:val="14"/>
          <w:lang w:val="en-US"/>
        </w:rPr>
        <w:t xml:space="preserve"> </w:t>
      </w:r>
      <w:r w:rsidRPr="005F0A67">
        <w:rPr>
          <w:rFonts w:asciiTheme="majorBidi" w:eastAsia="Arial" w:hAnsiTheme="majorBidi" w:cstheme="majorBidi"/>
          <w:color w:val="242424"/>
          <w:spacing w:val="-2"/>
          <w:sz w:val="14"/>
          <w:szCs w:val="14"/>
          <w:lang w:val="en-US"/>
        </w:rPr>
        <w:t>meeting</w:t>
      </w:r>
      <w:r w:rsidRPr="005F0A67">
        <w:rPr>
          <w:rFonts w:asciiTheme="majorBidi" w:eastAsia="Arial" w:hAnsiTheme="majorBidi" w:cstheme="majorBidi"/>
          <w:color w:val="242424"/>
          <w:spacing w:val="-7"/>
          <w:sz w:val="14"/>
          <w:szCs w:val="14"/>
          <w:lang w:val="en-US"/>
        </w:rPr>
        <w:t xml:space="preserve"> </w:t>
      </w:r>
      <w:r w:rsidRPr="005F0A67">
        <w:rPr>
          <w:rFonts w:asciiTheme="majorBidi" w:eastAsia="Arial" w:hAnsiTheme="majorBidi" w:cstheme="majorBidi"/>
          <w:color w:val="242424"/>
          <w:spacing w:val="-2"/>
          <w:sz w:val="14"/>
          <w:szCs w:val="14"/>
          <w:lang w:val="en-US"/>
        </w:rPr>
        <w:t>in</w:t>
      </w:r>
      <w:r w:rsidRPr="005F0A67">
        <w:rPr>
          <w:rFonts w:asciiTheme="majorBidi" w:eastAsia="Arial" w:hAnsiTheme="majorBidi" w:cstheme="majorBidi"/>
          <w:color w:val="242424"/>
          <w:spacing w:val="-7"/>
          <w:sz w:val="14"/>
          <w:szCs w:val="14"/>
          <w:lang w:val="en-US"/>
        </w:rPr>
        <w:t xml:space="preserve"> </w:t>
      </w:r>
      <w:r w:rsidRPr="005F0A67">
        <w:rPr>
          <w:rFonts w:asciiTheme="majorBidi" w:eastAsia="Arial" w:hAnsiTheme="majorBidi" w:cstheme="majorBidi"/>
          <w:color w:val="242424"/>
          <w:spacing w:val="-2"/>
          <w:sz w:val="14"/>
          <w:szCs w:val="14"/>
          <w:lang w:val="en-US"/>
        </w:rPr>
        <w:t>2024,</w:t>
      </w:r>
      <w:r w:rsidRPr="005F0A67">
        <w:rPr>
          <w:rFonts w:asciiTheme="majorBidi" w:eastAsia="Arial" w:hAnsiTheme="majorBidi" w:cstheme="majorBidi"/>
          <w:color w:val="242424"/>
          <w:spacing w:val="-7"/>
          <w:sz w:val="14"/>
          <w:szCs w:val="14"/>
          <w:lang w:val="en-US"/>
        </w:rPr>
        <w:t xml:space="preserve"> </w:t>
      </w:r>
      <w:r w:rsidRPr="005F0A67">
        <w:rPr>
          <w:rFonts w:asciiTheme="majorBidi" w:eastAsia="Arial" w:hAnsiTheme="majorBidi" w:cstheme="majorBidi"/>
          <w:color w:val="242424"/>
          <w:spacing w:val="-2"/>
          <w:sz w:val="14"/>
          <w:szCs w:val="14"/>
          <w:lang w:val="en-US"/>
        </w:rPr>
        <w:t>decision</w:t>
      </w:r>
      <w:r w:rsidRPr="005F0A67">
        <w:rPr>
          <w:rFonts w:asciiTheme="majorBidi" w:eastAsia="Arial" w:hAnsiTheme="majorBidi" w:cstheme="majorBidi"/>
          <w:color w:val="242424"/>
          <w:spacing w:val="-7"/>
          <w:sz w:val="14"/>
          <w:szCs w:val="14"/>
          <w:lang w:val="en-US"/>
        </w:rPr>
        <w:t xml:space="preserve"> </w:t>
      </w:r>
      <w:r w:rsidRPr="005F0A67">
        <w:rPr>
          <w:rFonts w:asciiTheme="majorBidi" w:eastAsia="Arial" w:hAnsiTheme="majorBidi" w:cstheme="majorBidi"/>
          <w:color w:val="242424"/>
          <w:spacing w:val="-2"/>
          <w:sz w:val="14"/>
          <w:szCs w:val="14"/>
          <w:lang w:val="en-US"/>
        </w:rPr>
        <w:t>16/2</w:t>
      </w:r>
      <w:r w:rsidRPr="005F0A67">
        <w:rPr>
          <w:rFonts w:asciiTheme="majorBidi" w:eastAsia="Arial" w:hAnsiTheme="majorBidi" w:cstheme="majorBidi"/>
          <w:color w:val="242424"/>
          <w:spacing w:val="-7"/>
          <w:sz w:val="14"/>
          <w:szCs w:val="14"/>
          <w:lang w:val="en-US"/>
        </w:rPr>
        <w:t xml:space="preserve"> </w:t>
      </w:r>
      <w:r w:rsidRPr="005F0A67">
        <w:rPr>
          <w:rFonts w:asciiTheme="majorBidi" w:eastAsia="Arial" w:hAnsiTheme="majorBidi" w:cstheme="majorBidi"/>
          <w:color w:val="242424"/>
          <w:spacing w:val="-2"/>
          <w:sz w:val="14"/>
          <w:szCs w:val="14"/>
          <w:lang w:val="en-US"/>
        </w:rPr>
        <w:t>decided</w:t>
      </w:r>
      <w:r w:rsidRPr="005F0A67">
        <w:rPr>
          <w:rFonts w:asciiTheme="majorBidi" w:eastAsia="Arial" w:hAnsiTheme="majorBidi" w:cstheme="majorBidi"/>
          <w:color w:val="242424"/>
          <w:spacing w:val="-7"/>
          <w:sz w:val="14"/>
          <w:szCs w:val="14"/>
          <w:lang w:val="en-US"/>
        </w:rPr>
        <w:t xml:space="preserve"> </w:t>
      </w:r>
      <w:r w:rsidRPr="005F0A67">
        <w:rPr>
          <w:rFonts w:asciiTheme="majorBidi" w:eastAsia="Arial" w:hAnsiTheme="majorBidi" w:cstheme="majorBidi"/>
          <w:color w:val="242424"/>
          <w:spacing w:val="-2"/>
          <w:sz w:val="14"/>
          <w:szCs w:val="14"/>
          <w:lang w:val="en-US"/>
        </w:rPr>
        <w:t>on</w:t>
      </w:r>
      <w:r w:rsidRPr="005F0A67">
        <w:rPr>
          <w:rFonts w:asciiTheme="majorBidi" w:eastAsia="Arial" w:hAnsiTheme="majorBidi" w:cstheme="majorBidi"/>
          <w:color w:val="242424"/>
          <w:spacing w:val="-7"/>
          <w:sz w:val="14"/>
          <w:szCs w:val="14"/>
          <w:lang w:val="en-US"/>
        </w:rPr>
        <w:t xml:space="preserve"> </w:t>
      </w:r>
      <w:r w:rsidRPr="005F0A67">
        <w:rPr>
          <w:rFonts w:asciiTheme="majorBidi" w:eastAsia="Arial" w:hAnsiTheme="majorBidi" w:cstheme="majorBidi"/>
          <w:color w:val="242424"/>
          <w:spacing w:val="-2"/>
          <w:sz w:val="14"/>
          <w:szCs w:val="14"/>
          <w:lang w:val="en-US"/>
        </w:rPr>
        <w:t>the</w:t>
      </w:r>
      <w:r w:rsidRPr="005F0A67">
        <w:rPr>
          <w:rFonts w:asciiTheme="majorBidi" w:eastAsia="Arial" w:hAnsiTheme="majorBidi" w:cstheme="majorBidi"/>
          <w:color w:val="242424"/>
          <w:spacing w:val="-7"/>
          <w:sz w:val="14"/>
          <w:szCs w:val="14"/>
          <w:lang w:val="en-US"/>
        </w:rPr>
        <w:t xml:space="preserve"> </w:t>
      </w:r>
      <w:r w:rsidRPr="005F0A67">
        <w:rPr>
          <w:rFonts w:asciiTheme="majorBidi" w:eastAsia="Arial" w:hAnsiTheme="majorBidi" w:cstheme="majorBidi"/>
          <w:color w:val="242424"/>
          <w:spacing w:val="-2"/>
          <w:sz w:val="14"/>
          <w:szCs w:val="14"/>
          <w:lang w:val="en-US"/>
        </w:rPr>
        <w:t>scope</w:t>
      </w:r>
      <w:r w:rsidRPr="005F0A67">
        <w:rPr>
          <w:rFonts w:asciiTheme="majorBidi" w:eastAsia="Arial" w:hAnsiTheme="majorBidi" w:cstheme="majorBidi"/>
          <w:color w:val="242424"/>
          <w:spacing w:val="-7"/>
          <w:sz w:val="14"/>
          <w:szCs w:val="14"/>
          <w:lang w:val="en-US"/>
        </w:rPr>
        <w:t xml:space="preserve"> </w:t>
      </w:r>
      <w:r w:rsidRPr="005F0A67">
        <w:rPr>
          <w:rFonts w:asciiTheme="majorBidi" w:eastAsia="Arial" w:hAnsiTheme="majorBidi" w:cstheme="majorBidi"/>
          <w:color w:val="242424"/>
          <w:spacing w:val="-2"/>
          <w:sz w:val="14"/>
          <w:szCs w:val="14"/>
          <w:lang w:val="en-US"/>
        </w:rPr>
        <w:t>of</w:t>
      </w:r>
      <w:r w:rsidRPr="005F0A67">
        <w:rPr>
          <w:rFonts w:asciiTheme="majorBidi" w:eastAsia="Arial" w:hAnsiTheme="majorBidi" w:cstheme="majorBidi"/>
          <w:color w:val="242424"/>
          <w:spacing w:val="-7"/>
          <w:sz w:val="14"/>
          <w:szCs w:val="14"/>
          <w:lang w:val="en-US"/>
        </w:rPr>
        <w:t xml:space="preserve"> </w:t>
      </w:r>
      <w:r w:rsidRPr="005F0A67">
        <w:rPr>
          <w:rFonts w:asciiTheme="majorBidi" w:eastAsia="Arial" w:hAnsiTheme="majorBidi" w:cstheme="majorBidi"/>
          <w:color w:val="242424"/>
          <w:spacing w:val="-2"/>
          <w:sz w:val="14"/>
          <w:szCs w:val="14"/>
          <w:lang w:val="en-US"/>
        </w:rPr>
        <w:t>DSI</w:t>
      </w:r>
      <w:r w:rsidRPr="005F0A67">
        <w:rPr>
          <w:rFonts w:asciiTheme="majorBidi" w:eastAsia="Arial" w:hAnsiTheme="majorBidi" w:cstheme="majorBidi"/>
          <w:color w:val="242424"/>
          <w:spacing w:val="-7"/>
          <w:sz w:val="14"/>
          <w:szCs w:val="14"/>
          <w:lang w:val="en-US"/>
        </w:rPr>
        <w:t xml:space="preserve"> </w:t>
      </w:r>
      <w:r w:rsidRPr="005F0A67">
        <w:rPr>
          <w:rFonts w:asciiTheme="majorBidi" w:eastAsia="Arial" w:hAnsiTheme="majorBidi" w:cstheme="majorBidi"/>
          <w:color w:val="242424"/>
          <w:spacing w:val="-2"/>
          <w:sz w:val="14"/>
          <w:szCs w:val="14"/>
          <w:lang w:val="en-US"/>
        </w:rPr>
        <w:t>under</w:t>
      </w:r>
      <w:r w:rsidRPr="005F0A67">
        <w:rPr>
          <w:rFonts w:asciiTheme="majorBidi" w:eastAsia="Arial" w:hAnsiTheme="majorBidi" w:cstheme="majorBidi"/>
          <w:color w:val="242424"/>
          <w:spacing w:val="-7"/>
          <w:sz w:val="14"/>
          <w:szCs w:val="14"/>
          <w:lang w:val="en-US"/>
        </w:rPr>
        <w:t xml:space="preserve"> </w:t>
      </w:r>
      <w:r w:rsidRPr="005F0A67">
        <w:rPr>
          <w:rFonts w:asciiTheme="majorBidi" w:eastAsia="Arial" w:hAnsiTheme="majorBidi" w:cstheme="majorBidi"/>
          <w:color w:val="242424"/>
          <w:spacing w:val="-2"/>
          <w:sz w:val="14"/>
          <w:szCs w:val="14"/>
          <w:lang w:val="en-US"/>
        </w:rPr>
        <w:t>the</w:t>
      </w:r>
      <w:r w:rsidRPr="005F0A67">
        <w:rPr>
          <w:rFonts w:asciiTheme="majorBidi" w:eastAsia="Arial" w:hAnsiTheme="majorBidi" w:cstheme="majorBidi"/>
          <w:color w:val="242424"/>
          <w:spacing w:val="-7"/>
          <w:sz w:val="14"/>
          <w:szCs w:val="14"/>
          <w:lang w:val="en-US"/>
        </w:rPr>
        <w:t xml:space="preserve"> </w:t>
      </w:r>
      <w:r w:rsidRPr="005F0A67">
        <w:rPr>
          <w:rFonts w:asciiTheme="majorBidi" w:eastAsia="Arial" w:hAnsiTheme="majorBidi" w:cstheme="majorBidi"/>
          <w:color w:val="242424"/>
          <w:spacing w:val="-2"/>
          <w:sz w:val="14"/>
          <w:szCs w:val="14"/>
          <w:lang w:val="en-US"/>
        </w:rPr>
        <w:t>multilateral</w:t>
      </w:r>
      <w:r w:rsidRPr="005F0A67">
        <w:rPr>
          <w:rFonts w:asciiTheme="majorBidi" w:eastAsia="Arial" w:hAnsiTheme="majorBidi" w:cstheme="majorBidi"/>
          <w:color w:val="242424"/>
          <w:spacing w:val="-7"/>
          <w:sz w:val="14"/>
          <w:szCs w:val="14"/>
          <w:lang w:val="en-US"/>
        </w:rPr>
        <w:t xml:space="preserve"> </w:t>
      </w:r>
      <w:r w:rsidRPr="005F0A67">
        <w:rPr>
          <w:rFonts w:asciiTheme="majorBidi" w:eastAsia="Arial" w:hAnsiTheme="majorBidi" w:cstheme="majorBidi"/>
          <w:color w:val="242424"/>
          <w:spacing w:val="-2"/>
          <w:sz w:val="14"/>
          <w:szCs w:val="14"/>
          <w:lang w:val="en-US"/>
        </w:rPr>
        <w:t>mechanism</w:t>
      </w:r>
      <w:r w:rsidRPr="005F0A67">
        <w:rPr>
          <w:rFonts w:asciiTheme="majorBidi" w:eastAsia="Arial" w:hAnsiTheme="majorBidi" w:cstheme="majorBidi"/>
          <w:color w:val="242424"/>
          <w:spacing w:val="-7"/>
          <w:sz w:val="14"/>
          <w:szCs w:val="14"/>
          <w:lang w:val="en-US"/>
        </w:rPr>
        <w:t xml:space="preserve"> </w:t>
      </w:r>
      <w:r w:rsidRPr="005F0A67">
        <w:rPr>
          <w:rFonts w:asciiTheme="majorBidi" w:eastAsia="Arial" w:hAnsiTheme="majorBidi" w:cstheme="majorBidi"/>
          <w:color w:val="242424"/>
          <w:spacing w:val="-2"/>
          <w:sz w:val="14"/>
          <w:szCs w:val="14"/>
          <w:lang w:val="en-US"/>
        </w:rPr>
        <w:t>and</w:t>
      </w:r>
      <w:r w:rsidRPr="005F0A67">
        <w:rPr>
          <w:rFonts w:asciiTheme="majorBidi" w:eastAsia="Arial" w:hAnsiTheme="majorBidi" w:cstheme="majorBidi"/>
          <w:color w:val="242424"/>
          <w:spacing w:val="-7"/>
          <w:sz w:val="14"/>
          <w:szCs w:val="14"/>
          <w:lang w:val="en-US"/>
        </w:rPr>
        <w:t xml:space="preserve"> </w:t>
      </w:r>
      <w:r w:rsidRPr="005F0A67">
        <w:rPr>
          <w:rFonts w:asciiTheme="majorBidi" w:eastAsia="Arial" w:hAnsiTheme="majorBidi" w:cstheme="majorBidi"/>
          <w:color w:val="242424"/>
          <w:spacing w:val="-2"/>
          <w:sz w:val="14"/>
          <w:szCs w:val="14"/>
          <w:lang w:val="en-US"/>
        </w:rPr>
        <w:t>its</w:t>
      </w:r>
      <w:r w:rsidRPr="005F0A67">
        <w:rPr>
          <w:rFonts w:asciiTheme="majorBidi" w:eastAsia="Arial" w:hAnsiTheme="majorBidi" w:cstheme="majorBidi"/>
          <w:color w:val="242424"/>
          <w:spacing w:val="-7"/>
          <w:sz w:val="14"/>
          <w:szCs w:val="14"/>
          <w:lang w:val="en-US"/>
        </w:rPr>
        <w:t xml:space="preserve"> </w:t>
      </w:r>
      <w:r w:rsidRPr="005F0A67">
        <w:rPr>
          <w:rFonts w:asciiTheme="majorBidi" w:eastAsia="Arial" w:hAnsiTheme="majorBidi" w:cstheme="majorBidi"/>
          <w:color w:val="242424"/>
          <w:spacing w:val="-2"/>
          <w:sz w:val="14"/>
          <w:szCs w:val="14"/>
          <w:lang w:val="en-US"/>
        </w:rPr>
        <w:t>Cali</w:t>
      </w:r>
      <w:r w:rsidRPr="005F0A67">
        <w:rPr>
          <w:rFonts w:asciiTheme="majorBidi" w:eastAsia="Arial" w:hAnsiTheme="majorBidi" w:cstheme="majorBidi"/>
          <w:color w:val="242424"/>
          <w:spacing w:val="40"/>
          <w:sz w:val="14"/>
          <w:szCs w:val="14"/>
          <w:lang w:val="en-US"/>
        </w:rPr>
        <w:t xml:space="preserve"> </w:t>
      </w:r>
      <w:r w:rsidRPr="005F0A67">
        <w:rPr>
          <w:rFonts w:asciiTheme="majorBidi" w:eastAsia="Arial" w:hAnsiTheme="majorBidi" w:cstheme="majorBidi"/>
          <w:color w:val="242424"/>
          <w:spacing w:val="-2"/>
          <w:sz w:val="14"/>
          <w:szCs w:val="14"/>
          <w:lang w:val="en-US"/>
        </w:rPr>
        <w:t>Fund:</w:t>
      </w:r>
      <w:r w:rsidRPr="005F0A67">
        <w:rPr>
          <w:rFonts w:asciiTheme="majorBidi" w:eastAsia="Arial" w:hAnsiTheme="majorBidi" w:cstheme="majorBidi"/>
          <w:color w:val="242424"/>
          <w:spacing w:val="-3"/>
          <w:sz w:val="14"/>
          <w:szCs w:val="14"/>
          <w:lang w:val="en-US"/>
        </w:rPr>
        <w:t xml:space="preserve"> </w:t>
      </w:r>
      <w:r w:rsidRPr="005F0A67">
        <w:rPr>
          <w:rFonts w:asciiTheme="majorBidi" w:eastAsia="Arial" w:hAnsiTheme="majorBidi" w:cstheme="majorBidi"/>
          <w:color w:val="242424"/>
          <w:spacing w:val="-2"/>
          <w:sz w:val="14"/>
          <w:szCs w:val="14"/>
          <w:lang w:val="en-US"/>
        </w:rPr>
        <w:t>Annex</w:t>
      </w:r>
      <w:r w:rsidRPr="005F0A67">
        <w:rPr>
          <w:rFonts w:asciiTheme="majorBidi" w:eastAsia="Arial" w:hAnsiTheme="majorBidi" w:cstheme="majorBidi"/>
          <w:color w:val="242424"/>
          <w:spacing w:val="-3"/>
          <w:sz w:val="14"/>
          <w:szCs w:val="14"/>
          <w:lang w:val="en-US"/>
        </w:rPr>
        <w:t xml:space="preserve"> </w:t>
      </w:r>
      <w:r w:rsidRPr="005F0A67">
        <w:rPr>
          <w:rFonts w:asciiTheme="majorBidi" w:eastAsia="Arial" w:hAnsiTheme="majorBidi" w:cstheme="majorBidi"/>
          <w:color w:val="242424"/>
          <w:spacing w:val="-2"/>
          <w:sz w:val="14"/>
          <w:szCs w:val="14"/>
          <w:lang w:val="en-US"/>
        </w:rPr>
        <w:t>para.</w:t>
      </w:r>
      <w:r w:rsidRPr="005F0A67">
        <w:rPr>
          <w:rFonts w:asciiTheme="majorBidi" w:eastAsia="Arial" w:hAnsiTheme="majorBidi" w:cstheme="majorBidi"/>
          <w:color w:val="242424"/>
          <w:spacing w:val="-3"/>
          <w:sz w:val="14"/>
          <w:szCs w:val="14"/>
          <w:lang w:val="en-US"/>
        </w:rPr>
        <w:t xml:space="preserve"> </w:t>
      </w:r>
      <w:r w:rsidRPr="005F0A67">
        <w:rPr>
          <w:rFonts w:asciiTheme="majorBidi" w:eastAsia="Arial" w:hAnsiTheme="majorBidi" w:cstheme="majorBidi"/>
          <w:color w:val="242424"/>
          <w:spacing w:val="-2"/>
          <w:sz w:val="14"/>
          <w:szCs w:val="14"/>
          <w:lang w:val="en-US"/>
        </w:rPr>
        <w:t>1:</w:t>
      </w:r>
      <w:r w:rsidRPr="005F0A67">
        <w:rPr>
          <w:rFonts w:asciiTheme="majorBidi" w:eastAsia="Arial" w:hAnsiTheme="majorBidi" w:cstheme="majorBidi"/>
          <w:color w:val="242424"/>
          <w:spacing w:val="-3"/>
          <w:sz w:val="14"/>
          <w:szCs w:val="14"/>
          <w:lang w:val="en-US"/>
        </w:rPr>
        <w:t xml:space="preserve"> </w:t>
      </w:r>
      <w:r w:rsidRPr="005F0A67">
        <w:rPr>
          <w:rFonts w:asciiTheme="majorBidi" w:eastAsia="Arial" w:hAnsiTheme="majorBidi" w:cstheme="majorBidi"/>
          <w:color w:val="242424"/>
          <w:spacing w:val="-2"/>
          <w:sz w:val="14"/>
          <w:szCs w:val="14"/>
          <w:lang w:val="en-US"/>
        </w:rPr>
        <w:t>The</w:t>
      </w:r>
      <w:r w:rsidRPr="005F0A67">
        <w:rPr>
          <w:rFonts w:asciiTheme="majorBidi" w:eastAsia="Arial" w:hAnsiTheme="majorBidi" w:cstheme="majorBidi"/>
          <w:color w:val="242424"/>
          <w:spacing w:val="-3"/>
          <w:sz w:val="14"/>
          <w:szCs w:val="14"/>
          <w:lang w:val="en-US"/>
        </w:rPr>
        <w:t xml:space="preserve"> </w:t>
      </w:r>
      <w:r w:rsidRPr="005F0A67">
        <w:rPr>
          <w:rFonts w:asciiTheme="majorBidi" w:eastAsia="Arial" w:hAnsiTheme="majorBidi" w:cstheme="majorBidi"/>
          <w:color w:val="242424"/>
          <w:spacing w:val="-2"/>
          <w:sz w:val="14"/>
          <w:szCs w:val="14"/>
          <w:lang w:val="en-US"/>
        </w:rPr>
        <w:t>multilateral</w:t>
      </w:r>
      <w:r w:rsidRPr="005F0A67">
        <w:rPr>
          <w:rFonts w:asciiTheme="majorBidi" w:eastAsia="Arial" w:hAnsiTheme="majorBidi" w:cstheme="majorBidi"/>
          <w:color w:val="242424"/>
          <w:spacing w:val="-3"/>
          <w:sz w:val="14"/>
          <w:szCs w:val="14"/>
          <w:lang w:val="en-US"/>
        </w:rPr>
        <w:t xml:space="preserve"> </w:t>
      </w:r>
      <w:r w:rsidRPr="005F0A67">
        <w:rPr>
          <w:rFonts w:asciiTheme="majorBidi" w:eastAsia="Arial" w:hAnsiTheme="majorBidi" w:cstheme="majorBidi"/>
          <w:color w:val="242424"/>
          <w:spacing w:val="-2"/>
          <w:sz w:val="14"/>
          <w:szCs w:val="14"/>
          <w:lang w:val="en-US"/>
        </w:rPr>
        <w:t>mechanism</w:t>
      </w:r>
      <w:r w:rsidRPr="005F0A67">
        <w:rPr>
          <w:rFonts w:asciiTheme="majorBidi" w:eastAsia="Arial" w:hAnsiTheme="majorBidi" w:cstheme="majorBidi"/>
          <w:color w:val="242424"/>
          <w:spacing w:val="-3"/>
          <w:sz w:val="14"/>
          <w:szCs w:val="14"/>
          <w:lang w:val="en-US"/>
        </w:rPr>
        <w:t xml:space="preserve"> </w:t>
      </w:r>
      <w:r w:rsidRPr="005F0A67">
        <w:rPr>
          <w:rFonts w:asciiTheme="majorBidi" w:eastAsia="Arial" w:hAnsiTheme="majorBidi" w:cstheme="majorBidi"/>
          <w:color w:val="242424"/>
          <w:spacing w:val="-2"/>
          <w:sz w:val="14"/>
          <w:szCs w:val="14"/>
          <w:lang w:val="en-US"/>
        </w:rPr>
        <w:t>for</w:t>
      </w:r>
      <w:r w:rsidRPr="005F0A67">
        <w:rPr>
          <w:rFonts w:asciiTheme="majorBidi" w:eastAsia="Arial" w:hAnsiTheme="majorBidi" w:cstheme="majorBidi"/>
          <w:color w:val="242424"/>
          <w:spacing w:val="-3"/>
          <w:sz w:val="14"/>
          <w:szCs w:val="14"/>
          <w:lang w:val="en-US"/>
        </w:rPr>
        <w:t xml:space="preserve"> </w:t>
      </w:r>
      <w:r w:rsidRPr="005F0A67">
        <w:rPr>
          <w:rFonts w:asciiTheme="majorBidi" w:eastAsia="Arial" w:hAnsiTheme="majorBidi" w:cstheme="majorBidi"/>
          <w:color w:val="242424"/>
          <w:spacing w:val="-2"/>
          <w:sz w:val="14"/>
          <w:szCs w:val="14"/>
          <w:lang w:val="en-US"/>
        </w:rPr>
        <w:t>the</w:t>
      </w:r>
      <w:r w:rsidRPr="005F0A67">
        <w:rPr>
          <w:rFonts w:asciiTheme="majorBidi" w:eastAsia="Arial" w:hAnsiTheme="majorBidi" w:cstheme="majorBidi"/>
          <w:color w:val="242424"/>
          <w:spacing w:val="-3"/>
          <w:sz w:val="14"/>
          <w:szCs w:val="14"/>
          <w:lang w:val="en-US"/>
        </w:rPr>
        <w:t xml:space="preserve"> </w:t>
      </w:r>
      <w:r w:rsidRPr="005F0A67">
        <w:rPr>
          <w:rFonts w:asciiTheme="majorBidi" w:eastAsia="Arial" w:hAnsiTheme="majorBidi" w:cstheme="majorBidi"/>
          <w:color w:val="242424"/>
          <w:spacing w:val="-2"/>
          <w:sz w:val="14"/>
          <w:szCs w:val="14"/>
          <w:lang w:val="en-US"/>
        </w:rPr>
        <w:t>fair</w:t>
      </w:r>
      <w:r w:rsidRPr="005F0A67">
        <w:rPr>
          <w:rFonts w:asciiTheme="majorBidi" w:eastAsia="Arial" w:hAnsiTheme="majorBidi" w:cstheme="majorBidi"/>
          <w:color w:val="242424"/>
          <w:spacing w:val="-3"/>
          <w:sz w:val="14"/>
          <w:szCs w:val="14"/>
          <w:lang w:val="en-US"/>
        </w:rPr>
        <w:t xml:space="preserve"> </w:t>
      </w:r>
      <w:r w:rsidRPr="005F0A67">
        <w:rPr>
          <w:rFonts w:asciiTheme="majorBidi" w:eastAsia="Arial" w:hAnsiTheme="majorBidi" w:cstheme="majorBidi"/>
          <w:color w:val="242424"/>
          <w:spacing w:val="-2"/>
          <w:sz w:val="14"/>
          <w:szCs w:val="14"/>
          <w:lang w:val="en-US"/>
        </w:rPr>
        <w:t>and</w:t>
      </w:r>
      <w:r w:rsidRPr="005F0A67">
        <w:rPr>
          <w:rFonts w:asciiTheme="majorBidi" w:eastAsia="Arial" w:hAnsiTheme="majorBidi" w:cstheme="majorBidi"/>
          <w:color w:val="242424"/>
          <w:spacing w:val="-3"/>
          <w:sz w:val="14"/>
          <w:szCs w:val="14"/>
          <w:lang w:val="en-US"/>
        </w:rPr>
        <w:t xml:space="preserve"> </w:t>
      </w:r>
      <w:r w:rsidRPr="005F0A67">
        <w:rPr>
          <w:rFonts w:asciiTheme="majorBidi" w:eastAsia="Arial" w:hAnsiTheme="majorBidi" w:cstheme="majorBidi"/>
          <w:color w:val="242424"/>
          <w:spacing w:val="-2"/>
          <w:sz w:val="14"/>
          <w:szCs w:val="14"/>
          <w:lang w:val="en-US"/>
        </w:rPr>
        <w:t>equitable</w:t>
      </w:r>
      <w:r w:rsidRPr="005F0A67">
        <w:rPr>
          <w:rFonts w:asciiTheme="majorBidi" w:eastAsia="Arial" w:hAnsiTheme="majorBidi" w:cstheme="majorBidi"/>
          <w:color w:val="242424"/>
          <w:spacing w:val="-3"/>
          <w:sz w:val="14"/>
          <w:szCs w:val="14"/>
          <w:lang w:val="en-US"/>
        </w:rPr>
        <w:t xml:space="preserve"> </w:t>
      </w:r>
      <w:r w:rsidRPr="005F0A67">
        <w:rPr>
          <w:rFonts w:asciiTheme="majorBidi" w:eastAsia="Arial" w:hAnsiTheme="majorBidi" w:cstheme="majorBidi"/>
          <w:color w:val="242424"/>
          <w:spacing w:val="-2"/>
          <w:sz w:val="14"/>
          <w:szCs w:val="14"/>
          <w:lang w:val="en-US"/>
        </w:rPr>
        <w:t>sharing</w:t>
      </w:r>
      <w:r w:rsidRPr="005F0A67">
        <w:rPr>
          <w:rFonts w:asciiTheme="majorBidi" w:eastAsia="Arial" w:hAnsiTheme="majorBidi" w:cstheme="majorBidi"/>
          <w:color w:val="242424"/>
          <w:spacing w:val="-3"/>
          <w:sz w:val="14"/>
          <w:szCs w:val="14"/>
          <w:lang w:val="en-US"/>
        </w:rPr>
        <w:t xml:space="preserve"> </w:t>
      </w:r>
      <w:r w:rsidRPr="005F0A67">
        <w:rPr>
          <w:rFonts w:asciiTheme="majorBidi" w:eastAsia="Arial" w:hAnsiTheme="majorBidi" w:cstheme="majorBidi"/>
          <w:color w:val="242424"/>
          <w:spacing w:val="-2"/>
          <w:sz w:val="14"/>
          <w:szCs w:val="14"/>
          <w:lang w:val="en-US"/>
        </w:rPr>
        <w:t>of</w:t>
      </w:r>
      <w:r w:rsidRPr="005F0A67">
        <w:rPr>
          <w:rFonts w:asciiTheme="majorBidi" w:eastAsia="Arial" w:hAnsiTheme="majorBidi" w:cstheme="majorBidi"/>
          <w:color w:val="242424"/>
          <w:spacing w:val="-3"/>
          <w:sz w:val="14"/>
          <w:szCs w:val="14"/>
          <w:lang w:val="en-US"/>
        </w:rPr>
        <w:t xml:space="preserve"> </w:t>
      </w:r>
      <w:r w:rsidRPr="005F0A67">
        <w:rPr>
          <w:rFonts w:asciiTheme="majorBidi" w:eastAsia="Arial" w:hAnsiTheme="majorBidi" w:cstheme="majorBidi"/>
          <w:color w:val="242424"/>
          <w:spacing w:val="-2"/>
          <w:sz w:val="14"/>
          <w:szCs w:val="14"/>
          <w:lang w:val="en-US"/>
        </w:rPr>
        <w:t>benefits</w:t>
      </w:r>
      <w:r w:rsidRPr="005F0A67">
        <w:rPr>
          <w:rFonts w:asciiTheme="majorBidi" w:eastAsia="Arial" w:hAnsiTheme="majorBidi" w:cstheme="majorBidi"/>
          <w:color w:val="242424"/>
          <w:spacing w:val="-3"/>
          <w:sz w:val="14"/>
          <w:szCs w:val="14"/>
          <w:lang w:val="en-US"/>
        </w:rPr>
        <w:t xml:space="preserve"> </w:t>
      </w:r>
      <w:r w:rsidRPr="005F0A67">
        <w:rPr>
          <w:rFonts w:asciiTheme="majorBidi" w:eastAsia="Arial" w:hAnsiTheme="majorBidi" w:cstheme="majorBidi"/>
          <w:color w:val="242424"/>
          <w:spacing w:val="-2"/>
          <w:sz w:val="14"/>
          <w:szCs w:val="14"/>
          <w:lang w:val="en-US"/>
        </w:rPr>
        <w:t>from</w:t>
      </w:r>
      <w:r w:rsidRPr="005F0A67">
        <w:rPr>
          <w:rFonts w:asciiTheme="majorBidi" w:eastAsia="Arial" w:hAnsiTheme="majorBidi" w:cstheme="majorBidi"/>
          <w:color w:val="242424"/>
          <w:spacing w:val="-3"/>
          <w:sz w:val="14"/>
          <w:szCs w:val="14"/>
          <w:lang w:val="en-US"/>
        </w:rPr>
        <w:t xml:space="preserve"> </w:t>
      </w:r>
      <w:r w:rsidRPr="005F0A67">
        <w:rPr>
          <w:rFonts w:asciiTheme="majorBidi" w:eastAsia="Arial" w:hAnsiTheme="majorBidi" w:cstheme="majorBidi"/>
          <w:color w:val="242424"/>
          <w:spacing w:val="-2"/>
          <w:sz w:val="14"/>
          <w:szCs w:val="14"/>
          <w:lang w:val="en-US"/>
        </w:rPr>
        <w:t>the</w:t>
      </w:r>
      <w:r w:rsidRPr="005F0A67">
        <w:rPr>
          <w:rFonts w:asciiTheme="majorBidi" w:eastAsia="Arial" w:hAnsiTheme="majorBidi" w:cstheme="majorBidi"/>
          <w:color w:val="242424"/>
          <w:spacing w:val="-3"/>
          <w:sz w:val="14"/>
          <w:szCs w:val="14"/>
          <w:lang w:val="en-US"/>
        </w:rPr>
        <w:t xml:space="preserve"> </w:t>
      </w:r>
      <w:r w:rsidRPr="005F0A67">
        <w:rPr>
          <w:rFonts w:asciiTheme="majorBidi" w:eastAsia="Arial" w:hAnsiTheme="majorBidi" w:cstheme="majorBidi"/>
          <w:color w:val="242424"/>
          <w:spacing w:val="-2"/>
          <w:sz w:val="14"/>
          <w:szCs w:val="14"/>
          <w:lang w:val="en-US"/>
        </w:rPr>
        <w:t>use</w:t>
      </w:r>
      <w:r w:rsidRPr="005F0A67">
        <w:rPr>
          <w:rFonts w:asciiTheme="majorBidi" w:eastAsia="Arial" w:hAnsiTheme="majorBidi" w:cstheme="majorBidi"/>
          <w:color w:val="242424"/>
          <w:spacing w:val="-3"/>
          <w:sz w:val="14"/>
          <w:szCs w:val="14"/>
          <w:lang w:val="en-US"/>
        </w:rPr>
        <w:t xml:space="preserve"> </w:t>
      </w:r>
      <w:r w:rsidRPr="005F0A67">
        <w:rPr>
          <w:rFonts w:asciiTheme="majorBidi" w:eastAsia="Arial" w:hAnsiTheme="majorBidi" w:cstheme="majorBidi"/>
          <w:color w:val="242424"/>
          <w:spacing w:val="-2"/>
          <w:sz w:val="14"/>
          <w:szCs w:val="14"/>
          <w:lang w:val="en-US"/>
        </w:rPr>
        <w:t>of</w:t>
      </w:r>
      <w:r w:rsidRPr="005F0A67">
        <w:rPr>
          <w:rFonts w:asciiTheme="majorBidi" w:eastAsia="Arial" w:hAnsiTheme="majorBidi" w:cstheme="majorBidi"/>
          <w:color w:val="242424"/>
          <w:spacing w:val="-3"/>
          <w:sz w:val="14"/>
          <w:szCs w:val="14"/>
          <w:lang w:val="en-US"/>
        </w:rPr>
        <w:t xml:space="preserve"> </w:t>
      </w:r>
      <w:r w:rsidRPr="005F0A67">
        <w:rPr>
          <w:rFonts w:asciiTheme="majorBidi" w:eastAsia="Arial" w:hAnsiTheme="majorBidi" w:cstheme="majorBidi"/>
          <w:color w:val="242424"/>
          <w:spacing w:val="-2"/>
          <w:sz w:val="14"/>
          <w:szCs w:val="14"/>
          <w:lang w:val="en-US"/>
        </w:rPr>
        <w:t>digital</w:t>
      </w:r>
      <w:r w:rsidRPr="005F0A67">
        <w:rPr>
          <w:rFonts w:asciiTheme="majorBidi" w:eastAsia="Arial" w:hAnsiTheme="majorBidi" w:cstheme="majorBidi"/>
          <w:color w:val="242424"/>
          <w:spacing w:val="-3"/>
          <w:sz w:val="14"/>
          <w:szCs w:val="14"/>
          <w:lang w:val="en-US"/>
        </w:rPr>
        <w:t xml:space="preserve"> </w:t>
      </w:r>
      <w:r w:rsidRPr="005F0A67">
        <w:rPr>
          <w:rFonts w:asciiTheme="majorBidi" w:eastAsia="Arial" w:hAnsiTheme="majorBidi" w:cstheme="majorBidi"/>
          <w:color w:val="242424"/>
          <w:spacing w:val="-2"/>
          <w:sz w:val="14"/>
          <w:szCs w:val="14"/>
          <w:lang w:val="en-US"/>
        </w:rPr>
        <w:t>se-</w:t>
      </w:r>
      <w:proofErr w:type="spellStart"/>
      <w:r w:rsidRPr="005F0A67">
        <w:rPr>
          <w:rFonts w:asciiTheme="majorBidi" w:eastAsia="Arial" w:hAnsiTheme="majorBidi" w:cstheme="majorBidi"/>
          <w:color w:val="242424"/>
          <w:spacing w:val="-2"/>
          <w:sz w:val="14"/>
          <w:szCs w:val="14"/>
          <w:lang w:val="en-US"/>
        </w:rPr>
        <w:t>quence</w:t>
      </w:r>
      <w:proofErr w:type="spellEnd"/>
      <w:r w:rsidRPr="005F0A67">
        <w:rPr>
          <w:rFonts w:asciiTheme="majorBidi" w:eastAsia="Arial" w:hAnsiTheme="majorBidi" w:cstheme="majorBidi"/>
          <w:color w:val="242424"/>
          <w:spacing w:val="-5"/>
          <w:sz w:val="14"/>
          <w:szCs w:val="14"/>
          <w:lang w:val="en-US"/>
        </w:rPr>
        <w:t xml:space="preserve"> </w:t>
      </w:r>
      <w:r w:rsidRPr="005F0A67">
        <w:rPr>
          <w:rFonts w:asciiTheme="majorBidi" w:eastAsia="Arial" w:hAnsiTheme="majorBidi" w:cstheme="majorBidi"/>
          <w:color w:val="242424"/>
          <w:spacing w:val="-2"/>
          <w:sz w:val="14"/>
          <w:szCs w:val="14"/>
          <w:lang w:val="en-US"/>
        </w:rPr>
        <w:t>information</w:t>
      </w:r>
      <w:r w:rsidRPr="005F0A67">
        <w:rPr>
          <w:rFonts w:asciiTheme="majorBidi" w:eastAsia="Arial" w:hAnsiTheme="majorBidi" w:cstheme="majorBidi"/>
          <w:color w:val="242424"/>
          <w:spacing w:val="-5"/>
          <w:sz w:val="14"/>
          <w:szCs w:val="14"/>
          <w:lang w:val="en-US"/>
        </w:rPr>
        <w:t xml:space="preserve"> </w:t>
      </w:r>
      <w:r w:rsidRPr="005F0A67">
        <w:rPr>
          <w:rFonts w:asciiTheme="majorBidi" w:eastAsia="Arial" w:hAnsiTheme="majorBidi" w:cstheme="majorBidi"/>
          <w:color w:val="242424"/>
          <w:spacing w:val="-2"/>
          <w:sz w:val="14"/>
          <w:szCs w:val="14"/>
          <w:lang w:val="en-US"/>
        </w:rPr>
        <w:t>on</w:t>
      </w:r>
      <w:r w:rsidRPr="005F0A67">
        <w:rPr>
          <w:rFonts w:asciiTheme="majorBidi" w:eastAsia="Arial" w:hAnsiTheme="majorBidi" w:cstheme="majorBidi"/>
          <w:color w:val="242424"/>
          <w:spacing w:val="-5"/>
          <w:sz w:val="14"/>
          <w:szCs w:val="14"/>
          <w:lang w:val="en-US"/>
        </w:rPr>
        <w:t xml:space="preserve"> </w:t>
      </w:r>
      <w:r w:rsidRPr="005F0A67">
        <w:rPr>
          <w:rFonts w:asciiTheme="majorBidi" w:eastAsia="Arial" w:hAnsiTheme="majorBidi" w:cstheme="majorBidi"/>
          <w:color w:val="242424"/>
          <w:spacing w:val="-2"/>
          <w:sz w:val="14"/>
          <w:szCs w:val="14"/>
          <w:lang w:val="en-US"/>
        </w:rPr>
        <w:t>genetic</w:t>
      </w:r>
      <w:r w:rsidRPr="005F0A67">
        <w:rPr>
          <w:rFonts w:asciiTheme="majorBidi" w:eastAsia="Arial" w:hAnsiTheme="majorBidi" w:cstheme="majorBidi"/>
          <w:color w:val="242424"/>
          <w:spacing w:val="-5"/>
          <w:sz w:val="14"/>
          <w:szCs w:val="14"/>
          <w:lang w:val="en-US"/>
        </w:rPr>
        <w:t xml:space="preserve"> </w:t>
      </w:r>
      <w:r w:rsidRPr="005F0A67">
        <w:rPr>
          <w:rFonts w:asciiTheme="majorBidi" w:eastAsia="Arial" w:hAnsiTheme="majorBidi" w:cstheme="majorBidi"/>
          <w:color w:val="242424"/>
          <w:spacing w:val="-2"/>
          <w:sz w:val="14"/>
          <w:szCs w:val="14"/>
          <w:lang w:val="en-US"/>
        </w:rPr>
        <w:t>resources</w:t>
      </w:r>
      <w:r w:rsidRPr="005F0A67">
        <w:rPr>
          <w:rFonts w:asciiTheme="majorBidi" w:eastAsia="Arial" w:hAnsiTheme="majorBidi" w:cstheme="majorBidi"/>
          <w:color w:val="242424"/>
          <w:spacing w:val="-5"/>
          <w:sz w:val="14"/>
          <w:szCs w:val="14"/>
          <w:lang w:val="en-US"/>
        </w:rPr>
        <w:t xml:space="preserve"> </w:t>
      </w:r>
      <w:r w:rsidRPr="005F0A67">
        <w:rPr>
          <w:rFonts w:asciiTheme="majorBidi" w:eastAsia="Arial" w:hAnsiTheme="majorBidi" w:cstheme="majorBidi"/>
          <w:color w:val="242424"/>
          <w:spacing w:val="-2"/>
          <w:sz w:val="14"/>
          <w:szCs w:val="14"/>
          <w:lang w:val="en-US"/>
        </w:rPr>
        <w:t>covers,</w:t>
      </w:r>
      <w:r w:rsidRPr="005F0A67">
        <w:rPr>
          <w:rFonts w:asciiTheme="majorBidi" w:eastAsia="Arial" w:hAnsiTheme="majorBidi" w:cstheme="majorBidi"/>
          <w:color w:val="242424"/>
          <w:spacing w:val="-5"/>
          <w:sz w:val="14"/>
          <w:szCs w:val="14"/>
          <w:lang w:val="en-US"/>
        </w:rPr>
        <w:t xml:space="preserve"> </w:t>
      </w:r>
      <w:r w:rsidRPr="005F0A67">
        <w:rPr>
          <w:rFonts w:asciiTheme="majorBidi" w:eastAsia="Arial" w:hAnsiTheme="majorBidi" w:cstheme="majorBidi"/>
          <w:color w:val="242424"/>
          <w:spacing w:val="-2"/>
          <w:sz w:val="14"/>
          <w:szCs w:val="14"/>
          <w:lang w:val="en-US"/>
        </w:rPr>
        <w:t>without</w:t>
      </w:r>
      <w:r w:rsidRPr="005F0A67">
        <w:rPr>
          <w:rFonts w:asciiTheme="majorBidi" w:eastAsia="Arial" w:hAnsiTheme="majorBidi" w:cstheme="majorBidi"/>
          <w:color w:val="242424"/>
          <w:spacing w:val="-5"/>
          <w:sz w:val="14"/>
          <w:szCs w:val="14"/>
          <w:lang w:val="en-US"/>
        </w:rPr>
        <w:t xml:space="preserve"> </w:t>
      </w:r>
      <w:r w:rsidRPr="005F0A67">
        <w:rPr>
          <w:rFonts w:asciiTheme="majorBidi" w:eastAsia="Arial" w:hAnsiTheme="majorBidi" w:cstheme="majorBidi"/>
          <w:color w:val="242424"/>
          <w:spacing w:val="-2"/>
          <w:sz w:val="14"/>
          <w:szCs w:val="14"/>
          <w:lang w:val="en-US"/>
        </w:rPr>
        <w:t>prejudice</w:t>
      </w:r>
      <w:r w:rsidRPr="005F0A67">
        <w:rPr>
          <w:rFonts w:asciiTheme="majorBidi" w:eastAsia="Arial" w:hAnsiTheme="majorBidi" w:cstheme="majorBidi"/>
          <w:color w:val="242424"/>
          <w:spacing w:val="-5"/>
          <w:sz w:val="14"/>
          <w:szCs w:val="14"/>
          <w:lang w:val="en-US"/>
        </w:rPr>
        <w:t xml:space="preserve"> </w:t>
      </w:r>
      <w:r w:rsidRPr="005F0A67">
        <w:rPr>
          <w:rFonts w:asciiTheme="majorBidi" w:eastAsia="Arial" w:hAnsiTheme="majorBidi" w:cstheme="majorBidi"/>
          <w:color w:val="242424"/>
          <w:spacing w:val="-2"/>
          <w:sz w:val="14"/>
          <w:szCs w:val="14"/>
          <w:lang w:val="en-US"/>
        </w:rPr>
        <w:t>to</w:t>
      </w:r>
      <w:r w:rsidRPr="005F0A67">
        <w:rPr>
          <w:rFonts w:asciiTheme="majorBidi" w:eastAsia="Arial" w:hAnsiTheme="majorBidi" w:cstheme="majorBidi"/>
          <w:color w:val="242424"/>
          <w:spacing w:val="-5"/>
          <w:sz w:val="14"/>
          <w:szCs w:val="14"/>
          <w:lang w:val="en-US"/>
        </w:rPr>
        <w:t xml:space="preserve"> </w:t>
      </w:r>
      <w:r w:rsidRPr="005F0A67">
        <w:rPr>
          <w:rFonts w:asciiTheme="majorBidi" w:eastAsia="Arial" w:hAnsiTheme="majorBidi" w:cstheme="majorBidi"/>
          <w:color w:val="242424"/>
          <w:spacing w:val="-2"/>
          <w:sz w:val="14"/>
          <w:szCs w:val="14"/>
          <w:lang w:val="en-US"/>
        </w:rPr>
        <w:t>national</w:t>
      </w:r>
      <w:r w:rsidRPr="005F0A67">
        <w:rPr>
          <w:rFonts w:asciiTheme="majorBidi" w:eastAsia="Arial" w:hAnsiTheme="majorBidi" w:cstheme="majorBidi"/>
          <w:color w:val="242424"/>
          <w:spacing w:val="-5"/>
          <w:sz w:val="14"/>
          <w:szCs w:val="14"/>
          <w:lang w:val="en-US"/>
        </w:rPr>
        <w:t xml:space="preserve"> </w:t>
      </w:r>
      <w:r w:rsidRPr="005F0A67">
        <w:rPr>
          <w:rFonts w:asciiTheme="majorBidi" w:eastAsia="Arial" w:hAnsiTheme="majorBidi" w:cstheme="majorBidi"/>
          <w:color w:val="242424"/>
          <w:spacing w:val="-2"/>
          <w:sz w:val="14"/>
          <w:szCs w:val="14"/>
          <w:lang w:val="en-US"/>
        </w:rPr>
        <w:t>legislation,</w:t>
      </w:r>
      <w:r w:rsidRPr="005F0A67">
        <w:rPr>
          <w:rFonts w:asciiTheme="majorBidi" w:eastAsia="Arial" w:hAnsiTheme="majorBidi" w:cstheme="majorBidi"/>
          <w:color w:val="242424"/>
          <w:spacing w:val="-5"/>
          <w:sz w:val="14"/>
          <w:szCs w:val="14"/>
          <w:lang w:val="en-US"/>
        </w:rPr>
        <w:t xml:space="preserve"> </w:t>
      </w:r>
      <w:r w:rsidRPr="005F0A67">
        <w:rPr>
          <w:rFonts w:asciiTheme="majorBidi" w:eastAsia="Arial" w:hAnsiTheme="majorBidi" w:cstheme="majorBidi"/>
          <w:color w:val="242424"/>
          <w:spacing w:val="-2"/>
          <w:sz w:val="14"/>
          <w:szCs w:val="14"/>
          <w:lang w:val="en-US"/>
        </w:rPr>
        <w:t>digital</w:t>
      </w:r>
      <w:r w:rsidRPr="005F0A67">
        <w:rPr>
          <w:rFonts w:asciiTheme="majorBidi" w:eastAsia="Arial" w:hAnsiTheme="majorBidi" w:cstheme="majorBidi"/>
          <w:color w:val="242424"/>
          <w:spacing w:val="-5"/>
          <w:sz w:val="14"/>
          <w:szCs w:val="14"/>
          <w:lang w:val="en-US"/>
        </w:rPr>
        <w:t xml:space="preserve"> </w:t>
      </w:r>
      <w:r w:rsidRPr="005F0A67">
        <w:rPr>
          <w:rFonts w:asciiTheme="majorBidi" w:eastAsia="Arial" w:hAnsiTheme="majorBidi" w:cstheme="majorBidi"/>
          <w:color w:val="242424"/>
          <w:spacing w:val="-2"/>
          <w:sz w:val="14"/>
          <w:szCs w:val="14"/>
          <w:lang w:val="en-US"/>
        </w:rPr>
        <w:t>sequence</w:t>
      </w:r>
      <w:r w:rsidRPr="005F0A67">
        <w:rPr>
          <w:rFonts w:asciiTheme="majorBidi" w:eastAsia="Arial" w:hAnsiTheme="majorBidi" w:cstheme="majorBidi"/>
          <w:color w:val="242424"/>
          <w:spacing w:val="-5"/>
          <w:sz w:val="14"/>
          <w:szCs w:val="14"/>
          <w:lang w:val="en-US"/>
        </w:rPr>
        <w:t xml:space="preserve"> </w:t>
      </w:r>
      <w:r w:rsidRPr="005F0A67">
        <w:rPr>
          <w:rFonts w:asciiTheme="majorBidi" w:eastAsia="Arial" w:hAnsiTheme="majorBidi" w:cstheme="majorBidi"/>
          <w:color w:val="242424"/>
          <w:spacing w:val="-2"/>
          <w:sz w:val="14"/>
          <w:szCs w:val="14"/>
          <w:lang w:val="en-US"/>
        </w:rPr>
        <w:t>information</w:t>
      </w:r>
      <w:r w:rsidRPr="005F0A67">
        <w:rPr>
          <w:rFonts w:asciiTheme="majorBidi" w:eastAsia="Arial" w:hAnsiTheme="majorBidi" w:cstheme="majorBidi"/>
          <w:color w:val="242424"/>
          <w:spacing w:val="-5"/>
          <w:sz w:val="14"/>
          <w:szCs w:val="14"/>
          <w:lang w:val="en-US"/>
        </w:rPr>
        <w:t xml:space="preserve"> </w:t>
      </w:r>
      <w:r w:rsidRPr="005F0A67">
        <w:rPr>
          <w:rFonts w:asciiTheme="majorBidi" w:eastAsia="Arial" w:hAnsiTheme="majorBidi" w:cstheme="majorBidi"/>
          <w:color w:val="242424"/>
          <w:spacing w:val="-2"/>
          <w:sz w:val="14"/>
          <w:szCs w:val="14"/>
          <w:lang w:val="en-US"/>
        </w:rPr>
        <w:t>on</w:t>
      </w:r>
      <w:r w:rsidRPr="005F0A67">
        <w:rPr>
          <w:rFonts w:asciiTheme="majorBidi" w:eastAsia="Arial" w:hAnsiTheme="majorBidi" w:cstheme="majorBidi"/>
          <w:color w:val="242424"/>
          <w:spacing w:val="40"/>
          <w:sz w:val="14"/>
          <w:szCs w:val="14"/>
          <w:lang w:val="en-US"/>
        </w:rPr>
        <w:t xml:space="preserve"> </w:t>
      </w:r>
      <w:r w:rsidRPr="005F0A67">
        <w:rPr>
          <w:rFonts w:asciiTheme="majorBidi" w:eastAsia="Arial" w:hAnsiTheme="majorBidi" w:cstheme="majorBidi"/>
          <w:color w:val="242424"/>
          <w:sz w:val="14"/>
          <w:szCs w:val="14"/>
          <w:lang w:val="en-US"/>
        </w:rPr>
        <w:t>genetic</w:t>
      </w:r>
      <w:r w:rsidRPr="005F0A67">
        <w:rPr>
          <w:rFonts w:asciiTheme="majorBidi" w:eastAsia="Arial" w:hAnsiTheme="majorBidi" w:cstheme="majorBidi"/>
          <w:color w:val="242424"/>
          <w:spacing w:val="-10"/>
          <w:sz w:val="14"/>
          <w:szCs w:val="14"/>
          <w:lang w:val="en-US"/>
        </w:rPr>
        <w:t xml:space="preserve"> </w:t>
      </w:r>
      <w:r w:rsidRPr="005F0A67">
        <w:rPr>
          <w:rFonts w:asciiTheme="majorBidi" w:eastAsia="Arial" w:hAnsiTheme="majorBidi" w:cstheme="majorBidi"/>
          <w:color w:val="242424"/>
          <w:sz w:val="14"/>
          <w:szCs w:val="14"/>
          <w:lang w:val="en-US"/>
        </w:rPr>
        <w:t>resources:</w:t>
      </w:r>
    </w:p>
    <w:p w14:paraId="5C9EDAD0" w14:textId="77777777" w:rsidR="005F0A67" w:rsidRPr="005F0A67" w:rsidRDefault="005F0A67" w:rsidP="003A387A">
      <w:pPr>
        <w:widowControl w:val="0"/>
        <w:numPr>
          <w:ilvl w:val="0"/>
          <w:numId w:val="45"/>
        </w:numPr>
        <w:tabs>
          <w:tab w:val="clear" w:pos="567"/>
          <w:tab w:val="clear" w:pos="1134"/>
          <w:tab w:val="clear" w:pos="1701"/>
          <w:tab w:val="clear" w:pos="2268"/>
          <w:tab w:val="left" w:pos="697"/>
        </w:tabs>
        <w:autoSpaceDE w:val="0"/>
        <w:autoSpaceDN w:val="0"/>
        <w:spacing w:before="2"/>
        <w:ind w:left="697" w:hanging="182"/>
        <w:jc w:val="left"/>
        <w:rPr>
          <w:rFonts w:asciiTheme="majorBidi" w:eastAsia="Georgia" w:hAnsiTheme="majorBidi" w:cstheme="majorBidi"/>
          <w:color w:val="1A1A1A"/>
          <w:sz w:val="14"/>
          <w:szCs w:val="14"/>
          <w:lang w:eastAsia="en-GB"/>
        </w:rPr>
      </w:pPr>
      <w:r w:rsidRPr="005F0A67">
        <w:rPr>
          <w:rFonts w:asciiTheme="majorBidi" w:eastAsia="Georgia" w:hAnsiTheme="majorBidi" w:cstheme="majorBidi"/>
          <w:color w:val="242424"/>
          <w:spacing w:val="-4"/>
          <w:sz w:val="14"/>
          <w:szCs w:val="14"/>
          <w:lang w:eastAsia="en-GB"/>
        </w:rPr>
        <w:t>That</w:t>
      </w:r>
      <w:r w:rsidRPr="005F0A67">
        <w:rPr>
          <w:rFonts w:asciiTheme="majorBidi" w:eastAsia="Georgia" w:hAnsiTheme="majorBidi" w:cstheme="majorBidi"/>
          <w:color w:val="242424"/>
          <w:spacing w:val="-1"/>
          <w:sz w:val="14"/>
          <w:szCs w:val="14"/>
          <w:lang w:eastAsia="en-GB"/>
        </w:rPr>
        <w:t xml:space="preserve"> </w:t>
      </w:r>
      <w:r w:rsidRPr="005F0A67">
        <w:rPr>
          <w:rFonts w:asciiTheme="majorBidi" w:eastAsia="Georgia" w:hAnsiTheme="majorBidi" w:cstheme="majorBidi"/>
          <w:color w:val="242424"/>
          <w:spacing w:val="-4"/>
          <w:sz w:val="14"/>
          <w:szCs w:val="14"/>
          <w:lang w:eastAsia="en-GB"/>
        </w:rPr>
        <w:t>is</w:t>
      </w:r>
      <w:r w:rsidRPr="005F0A67">
        <w:rPr>
          <w:rFonts w:asciiTheme="majorBidi" w:eastAsia="Georgia" w:hAnsiTheme="majorBidi" w:cstheme="majorBidi"/>
          <w:color w:val="242424"/>
          <w:sz w:val="14"/>
          <w:szCs w:val="14"/>
          <w:lang w:eastAsia="en-GB"/>
        </w:rPr>
        <w:t xml:space="preserve"> </w:t>
      </w:r>
      <w:r w:rsidRPr="005F0A67">
        <w:rPr>
          <w:rFonts w:asciiTheme="majorBidi" w:eastAsia="Georgia" w:hAnsiTheme="majorBidi" w:cstheme="majorBidi"/>
          <w:color w:val="242424"/>
          <w:spacing w:val="-4"/>
          <w:sz w:val="14"/>
          <w:szCs w:val="14"/>
          <w:lang w:eastAsia="en-GB"/>
        </w:rPr>
        <w:t>made</w:t>
      </w:r>
      <w:r w:rsidRPr="005F0A67">
        <w:rPr>
          <w:rFonts w:asciiTheme="majorBidi" w:eastAsia="Georgia" w:hAnsiTheme="majorBidi" w:cstheme="majorBidi"/>
          <w:color w:val="242424"/>
          <w:sz w:val="14"/>
          <w:szCs w:val="14"/>
          <w:lang w:eastAsia="en-GB"/>
        </w:rPr>
        <w:t xml:space="preserve"> </w:t>
      </w:r>
      <w:r w:rsidRPr="005F0A67">
        <w:rPr>
          <w:rFonts w:asciiTheme="majorBidi" w:eastAsia="Georgia" w:hAnsiTheme="majorBidi" w:cstheme="majorBidi"/>
          <w:color w:val="242424"/>
          <w:spacing w:val="-4"/>
          <w:sz w:val="14"/>
          <w:szCs w:val="14"/>
          <w:lang w:eastAsia="en-GB"/>
        </w:rPr>
        <w:t>publicly</w:t>
      </w:r>
      <w:r w:rsidRPr="005F0A67">
        <w:rPr>
          <w:rFonts w:asciiTheme="majorBidi" w:eastAsia="Georgia" w:hAnsiTheme="majorBidi" w:cstheme="majorBidi"/>
          <w:color w:val="242424"/>
          <w:spacing w:val="-1"/>
          <w:sz w:val="14"/>
          <w:szCs w:val="14"/>
          <w:lang w:eastAsia="en-GB"/>
        </w:rPr>
        <w:t xml:space="preserve"> </w:t>
      </w:r>
      <w:r w:rsidRPr="005F0A67">
        <w:rPr>
          <w:rFonts w:asciiTheme="majorBidi" w:eastAsia="Georgia" w:hAnsiTheme="majorBidi" w:cstheme="majorBidi"/>
          <w:color w:val="242424"/>
          <w:spacing w:val="-4"/>
          <w:sz w:val="14"/>
          <w:szCs w:val="14"/>
          <w:lang w:eastAsia="en-GB"/>
        </w:rPr>
        <w:t>available,</w:t>
      </w:r>
      <w:r w:rsidRPr="005F0A67">
        <w:rPr>
          <w:rFonts w:asciiTheme="majorBidi" w:eastAsia="Georgia" w:hAnsiTheme="majorBidi" w:cstheme="majorBidi"/>
          <w:color w:val="242424"/>
          <w:sz w:val="14"/>
          <w:szCs w:val="14"/>
          <w:lang w:eastAsia="en-GB"/>
        </w:rPr>
        <w:t xml:space="preserve"> </w:t>
      </w:r>
      <w:r w:rsidRPr="005F0A67">
        <w:rPr>
          <w:rFonts w:asciiTheme="majorBidi" w:eastAsia="Georgia" w:hAnsiTheme="majorBidi" w:cstheme="majorBidi"/>
          <w:color w:val="242424"/>
          <w:spacing w:val="-4"/>
          <w:sz w:val="14"/>
          <w:szCs w:val="14"/>
          <w:lang w:eastAsia="en-GB"/>
        </w:rPr>
        <w:t>in</w:t>
      </w:r>
      <w:r w:rsidRPr="005F0A67">
        <w:rPr>
          <w:rFonts w:asciiTheme="majorBidi" w:eastAsia="Georgia" w:hAnsiTheme="majorBidi" w:cstheme="majorBidi"/>
          <w:color w:val="242424"/>
          <w:sz w:val="14"/>
          <w:szCs w:val="14"/>
          <w:lang w:eastAsia="en-GB"/>
        </w:rPr>
        <w:t xml:space="preserve"> </w:t>
      </w:r>
      <w:r w:rsidRPr="005F0A67">
        <w:rPr>
          <w:rFonts w:asciiTheme="majorBidi" w:eastAsia="Georgia" w:hAnsiTheme="majorBidi" w:cstheme="majorBidi"/>
          <w:color w:val="242424"/>
          <w:spacing w:val="-4"/>
          <w:sz w:val="14"/>
          <w:szCs w:val="14"/>
          <w:lang w:eastAsia="en-GB"/>
        </w:rPr>
        <w:t>compliance</w:t>
      </w:r>
      <w:r w:rsidRPr="005F0A67">
        <w:rPr>
          <w:rFonts w:asciiTheme="majorBidi" w:eastAsia="Georgia" w:hAnsiTheme="majorBidi" w:cstheme="majorBidi"/>
          <w:color w:val="242424"/>
          <w:spacing w:val="-1"/>
          <w:sz w:val="14"/>
          <w:szCs w:val="14"/>
          <w:lang w:eastAsia="en-GB"/>
        </w:rPr>
        <w:t xml:space="preserve"> </w:t>
      </w:r>
      <w:r w:rsidRPr="005F0A67">
        <w:rPr>
          <w:rFonts w:asciiTheme="majorBidi" w:eastAsia="Georgia" w:hAnsiTheme="majorBidi" w:cstheme="majorBidi"/>
          <w:color w:val="242424"/>
          <w:spacing w:val="-4"/>
          <w:sz w:val="14"/>
          <w:szCs w:val="14"/>
          <w:lang w:eastAsia="en-GB"/>
        </w:rPr>
        <w:t>with</w:t>
      </w:r>
      <w:r w:rsidRPr="005F0A67">
        <w:rPr>
          <w:rFonts w:asciiTheme="majorBidi" w:eastAsia="Georgia" w:hAnsiTheme="majorBidi" w:cstheme="majorBidi"/>
          <w:color w:val="242424"/>
          <w:sz w:val="14"/>
          <w:szCs w:val="14"/>
          <w:lang w:eastAsia="en-GB"/>
        </w:rPr>
        <w:t xml:space="preserve"> </w:t>
      </w:r>
      <w:r w:rsidRPr="005F0A67">
        <w:rPr>
          <w:rFonts w:asciiTheme="majorBidi" w:eastAsia="Georgia" w:hAnsiTheme="majorBidi" w:cstheme="majorBidi"/>
          <w:color w:val="242424"/>
          <w:spacing w:val="-4"/>
          <w:sz w:val="14"/>
          <w:szCs w:val="14"/>
          <w:lang w:eastAsia="en-GB"/>
        </w:rPr>
        <w:t>national</w:t>
      </w:r>
      <w:r w:rsidRPr="005F0A67">
        <w:rPr>
          <w:rFonts w:asciiTheme="majorBidi" w:eastAsia="Georgia" w:hAnsiTheme="majorBidi" w:cstheme="majorBidi"/>
          <w:color w:val="242424"/>
          <w:sz w:val="14"/>
          <w:szCs w:val="14"/>
          <w:lang w:eastAsia="en-GB"/>
        </w:rPr>
        <w:t xml:space="preserve"> </w:t>
      </w:r>
      <w:r w:rsidRPr="005F0A67">
        <w:rPr>
          <w:rFonts w:asciiTheme="majorBidi" w:eastAsia="Georgia" w:hAnsiTheme="majorBidi" w:cstheme="majorBidi"/>
          <w:color w:val="242424"/>
          <w:spacing w:val="-4"/>
          <w:sz w:val="14"/>
          <w:szCs w:val="14"/>
          <w:lang w:eastAsia="en-GB"/>
        </w:rPr>
        <w:t>legislation,</w:t>
      </w:r>
      <w:r w:rsidRPr="005F0A67">
        <w:rPr>
          <w:rFonts w:asciiTheme="majorBidi" w:eastAsia="Georgia" w:hAnsiTheme="majorBidi" w:cstheme="majorBidi"/>
          <w:color w:val="242424"/>
          <w:spacing w:val="-1"/>
          <w:sz w:val="14"/>
          <w:szCs w:val="14"/>
          <w:lang w:eastAsia="en-GB"/>
        </w:rPr>
        <w:t xml:space="preserve"> </w:t>
      </w:r>
      <w:r w:rsidRPr="005F0A67">
        <w:rPr>
          <w:rFonts w:asciiTheme="majorBidi" w:eastAsia="Georgia" w:hAnsiTheme="majorBidi" w:cstheme="majorBidi"/>
          <w:color w:val="242424"/>
          <w:spacing w:val="-4"/>
          <w:sz w:val="14"/>
          <w:szCs w:val="14"/>
          <w:lang w:eastAsia="en-GB"/>
        </w:rPr>
        <w:t>where</w:t>
      </w:r>
      <w:r w:rsidRPr="005F0A67">
        <w:rPr>
          <w:rFonts w:asciiTheme="majorBidi" w:eastAsia="Georgia" w:hAnsiTheme="majorBidi" w:cstheme="majorBidi"/>
          <w:color w:val="242424"/>
          <w:sz w:val="14"/>
          <w:szCs w:val="14"/>
          <w:lang w:eastAsia="en-GB"/>
        </w:rPr>
        <w:t xml:space="preserve"> </w:t>
      </w:r>
      <w:r w:rsidRPr="005F0A67">
        <w:rPr>
          <w:rFonts w:asciiTheme="majorBidi" w:eastAsia="Georgia" w:hAnsiTheme="majorBidi" w:cstheme="majorBidi"/>
          <w:color w:val="242424"/>
          <w:spacing w:val="-4"/>
          <w:sz w:val="14"/>
          <w:szCs w:val="14"/>
          <w:lang w:eastAsia="en-GB"/>
        </w:rPr>
        <w:t>applicable;</w:t>
      </w:r>
    </w:p>
    <w:p w14:paraId="553D51DA" w14:textId="77777777" w:rsidR="005F0A67" w:rsidRPr="005F0A67" w:rsidRDefault="005F0A67" w:rsidP="003A387A">
      <w:pPr>
        <w:widowControl w:val="0"/>
        <w:numPr>
          <w:ilvl w:val="0"/>
          <w:numId w:val="45"/>
        </w:numPr>
        <w:tabs>
          <w:tab w:val="clear" w:pos="567"/>
          <w:tab w:val="clear" w:pos="1134"/>
          <w:tab w:val="clear" w:pos="1701"/>
          <w:tab w:val="clear" w:pos="2268"/>
          <w:tab w:val="left" w:pos="708"/>
        </w:tabs>
        <w:autoSpaceDE w:val="0"/>
        <w:autoSpaceDN w:val="0"/>
        <w:spacing w:before="39" w:line="297" w:lineRule="auto"/>
        <w:ind w:left="515" w:right="694" w:firstLine="0"/>
        <w:jc w:val="left"/>
        <w:rPr>
          <w:rFonts w:asciiTheme="majorBidi" w:eastAsia="Georgia" w:hAnsiTheme="majorBidi" w:cstheme="majorBidi"/>
          <w:color w:val="1A1A1A"/>
          <w:sz w:val="14"/>
          <w:szCs w:val="14"/>
          <w:lang w:val="en-CA" w:eastAsia="en-GB"/>
        </w:rPr>
      </w:pPr>
      <w:r w:rsidRPr="005F0A67">
        <w:rPr>
          <w:rFonts w:asciiTheme="majorBidi" w:eastAsia="Georgia" w:hAnsiTheme="majorBidi" w:cstheme="majorBidi"/>
          <w:color w:val="242424"/>
          <w:spacing w:val="-2"/>
          <w:sz w:val="14"/>
          <w:szCs w:val="14"/>
          <w:lang w:val="en-CA" w:eastAsia="en-GB"/>
        </w:rPr>
        <w:t>That</w:t>
      </w:r>
      <w:r w:rsidRPr="005F0A67">
        <w:rPr>
          <w:rFonts w:asciiTheme="majorBidi" w:eastAsia="Georgia" w:hAnsiTheme="majorBidi" w:cstheme="majorBidi"/>
          <w:color w:val="242424"/>
          <w:spacing w:val="-3"/>
          <w:sz w:val="14"/>
          <w:szCs w:val="14"/>
          <w:lang w:val="en-CA" w:eastAsia="en-GB"/>
        </w:rPr>
        <w:t xml:space="preserve"> </w:t>
      </w:r>
      <w:r w:rsidRPr="005F0A67">
        <w:rPr>
          <w:rFonts w:asciiTheme="majorBidi" w:eastAsia="Georgia" w:hAnsiTheme="majorBidi" w:cstheme="majorBidi"/>
          <w:color w:val="242424"/>
          <w:spacing w:val="-2"/>
          <w:sz w:val="14"/>
          <w:szCs w:val="14"/>
          <w:lang w:val="en-CA" w:eastAsia="en-GB"/>
        </w:rPr>
        <w:t>is</w:t>
      </w:r>
      <w:r w:rsidRPr="005F0A67">
        <w:rPr>
          <w:rFonts w:asciiTheme="majorBidi" w:eastAsia="Georgia" w:hAnsiTheme="majorBidi" w:cstheme="majorBidi"/>
          <w:color w:val="242424"/>
          <w:spacing w:val="-3"/>
          <w:sz w:val="14"/>
          <w:szCs w:val="14"/>
          <w:lang w:val="en-CA" w:eastAsia="en-GB"/>
        </w:rPr>
        <w:t xml:space="preserve"> </w:t>
      </w:r>
      <w:r w:rsidRPr="005F0A67">
        <w:rPr>
          <w:rFonts w:asciiTheme="majorBidi" w:eastAsia="Georgia" w:hAnsiTheme="majorBidi" w:cstheme="majorBidi"/>
          <w:color w:val="242424"/>
          <w:spacing w:val="-2"/>
          <w:sz w:val="14"/>
          <w:szCs w:val="14"/>
          <w:lang w:val="en-CA" w:eastAsia="en-GB"/>
        </w:rPr>
        <w:t>not</w:t>
      </w:r>
      <w:r w:rsidRPr="005F0A67">
        <w:rPr>
          <w:rFonts w:asciiTheme="majorBidi" w:eastAsia="Georgia" w:hAnsiTheme="majorBidi" w:cstheme="majorBidi"/>
          <w:color w:val="242424"/>
          <w:spacing w:val="-3"/>
          <w:sz w:val="14"/>
          <w:szCs w:val="14"/>
          <w:lang w:val="en-CA" w:eastAsia="en-GB"/>
        </w:rPr>
        <w:t xml:space="preserve"> </w:t>
      </w:r>
      <w:r w:rsidRPr="005F0A67">
        <w:rPr>
          <w:rFonts w:asciiTheme="majorBidi" w:eastAsia="Georgia" w:hAnsiTheme="majorBidi" w:cstheme="majorBidi"/>
          <w:color w:val="242424"/>
          <w:spacing w:val="-2"/>
          <w:sz w:val="14"/>
          <w:szCs w:val="14"/>
          <w:lang w:val="en-CA" w:eastAsia="en-GB"/>
        </w:rPr>
        <w:t>subject</w:t>
      </w:r>
      <w:r w:rsidRPr="005F0A67">
        <w:rPr>
          <w:rFonts w:asciiTheme="majorBidi" w:eastAsia="Georgia" w:hAnsiTheme="majorBidi" w:cstheme="majorBidi"/>
          <w:color w:val="242424"/>
          <w:spacing w:val="-3"/>
          <w:sz w:val="14"/>
          <w:szCs w:val="14"/>
          <w:lang w:val="en-CA" w:eastAsia="en-GB"/>
        </w:rPr>
        <w:t xml:space="preserve"> </w:t>
      </w:r>
      <w:r w:rsidRPr="005F0A67">
        <w:rPr>
          <w:rFonts w:asciiTheme="majorBidi" w:eastAsia="Georgia" w:hAnsiTheme="majorBidi" w:cstheme="majorBidi"/>
          <w:color w:val="242424"/>
          <w:spacing w:val="-2"/>
          <w:sz w:val="14"/>
          <w:szCs w:val="14"/>
          <w:lang w:val="en-CA" w:eastAsia="en-GB"/>
        </w:rPr>
        <w:t>to</w:t>
      </w:r>
      <w:r w:rsidRPr="005F0A67">
        <w:rPr>
          <w:rFonts w:asciiTheme="majorBidi" w:eastAsia="Georgia" w:hAnsiTheme="majorBidi" w:cstheme="majorBidi"/>
          <w:color w:val="242424"/>
          <w:spacing w:val="-3"/>
          <w:sz w:val="14"/>
          <w:szCs w:val="14"/>
          <w:lang w:val="en-CA" w:eastAsia="en-GB"/>
        </w:rPr>
        <w:t xml:space="preserve"> </w:t>
      </w:r>
      <w:r w:rsidRPr="005F0A67">
        <w:rPr>
          <w:rFonts w:asciiTheme="majorBidi" w:eastAsia="Georgia" w:hAnsiTheme="majorBidi" w:cstheme="majorBidi"/>
          <w:color w:val="242424"/>
          <w:spacing w:val="-2"/>
          <w:sz w:val="14"/>
          <w:szCs w:val="14"/>
          <w:lang w:val="en-CA" w:eastAsia="en-GB"/>
        </w:rPr>
        <w:t>mutually</w:t>
      </w:r>
      <w:r w:rsidRPr="005F0A67">
        <w:rPr>
          <w:rFonts w:asciiTheme="majorBidi" w:eastAsia="Georgia" w:hAnsiTheme="majorBidi" w:cstheme="majorBidi"/>
          <w:color w:val="242424"/>
          <w:spacing w:val="-3"/>
          <w:sz w:val="14"/>
          <w:szCs w:val="14"/>
          <w:lang w:val="en-CA" w:eastAsia="en-GB"/>
        </w:rPr>
        <w:t xml:space="preserve"> </w:t>
      </w:r>
      <w:r w:rsidRPr="005F0A67">
        <w:rPr>
          <w:rFonts w:asciiTheme="majorBidi" w:eastAsia="Georgia" w:hAnsiTheme="majorBidi" w:cstheme="majorBidi"/>
          <w:color w:val="242424"/>
          <w:spacing w:val="-2"/>
          <w:sz w:val="14"/>
          <w:szCs w:val="14"/>
          <w:lang w:val="en-CA" w:eastAsia="en-GB"/>
        </w:rPr>
        <w:t>agreed</w:t>
      </w:r>
      <w:r w:rsidRPr="005F0A67">
        <w:rPr>
          <w:rFonts w:asciiTheme="majorBidi" w:eastAsia="Georgia" w:hAnsiTheme="majorBidi" w:cstheme="majorBidi"/>
          <w:color w:val="242424"/>
          <w:spacing w:val="-3"/>
          <w:sz w:val="14"/>
          <w:szCs w:val="14"/>
          <w:lang w:val="en-CA" w:eastAsia="en-GB"/>
        </w:rPr>
        <w:t xml:space="preserve"> </w:t>
      </w:r>
      <w:r w:rsidRPr="005F0A67">
        <w:rPr>
          <w:rFonts w:asciiTheme="majorBidi" w:eastAsia="Georgia" w:hAnsiTheme="majorBidi" w:cstheme="majorBidi"/>
          <w:color w:val="242424"/>
          <w:spacing w:val="-2"/>
          <w:sz w:val="14"/>
          <w:szCs w:val="14"/>
          <w:lang w:val="en-CA" w:eastAsia="en-GB"/>
        </w:rPr>
        <w:t>terms</w:t>
      </w:r>
      <w:r w:rsidRPr="005F0A67">
        <w:rPr>
          <w:rFonts w:asciiTheme="majorBidi" w:eastAsia="Georgia" w:hAnsiTheme="majorBidi" w:cstheme="majorBidi"/>
          <w:color w:val="242424"/>
          <w:spacing w:val="-3"/>
          <w:sz w:val="14"/>
          <w:szCs w:val="14"/>
          <w:lang w:val="en-CA" w:eastAsia="en-GB"/>
        </w:rPr>
        <w:t xml:space="preserve"> </w:t>
      </w:r>
      <w:r w:rsidRPr="005F0A67">
        <w:rPr>
          <w:rFonts w:asciiTheme="majorBidi" w:eastAsia="Georgia" w:hAnsiTheme="majorBidi" w:cstheme="majorBidi"/>
          <w:color w:val="242424"/>
          <w:spacing w:val="-2"/>
          <w:sz w:val="14"/>
          <w:szCs w:val="14"/>
          <w:lang w:val="en-CA" w:eastAsia="en-GB"/>
        </w:rPr>
        <w:t>established</w:t>
      </w:r>
      <w:r w:rsidRPr="005F0A67">
        <w:rPr>
          <w:rFonts w:asciiTheme="majorBidi" w:eastAsia="Georgia" w:hAnsiTheme="majorBidi" w:cstheme="majorBidi"/>
          <w:color w:val="242424"/>
          <w:spacing w:val="-3"/>
          <w:sz w:val="14"/>
          <w:szCs w:val="14"/>
          <w:lang w:val="en-CA" w:eastAsia="en-GB"/>
        </w:rPr>
        <w:t xml:space="preserve"> </w:t>
      </w:r>
      <w:r w:rsidRPr="005F0A67">
        <w:rPr>
          <w:rFonts w:asciiTheme="majorBidi" w:eastAsia="Georgia" w:hAnsiTheme="majorBidi" w:cstheme="majorBidi"/>
          <w:color w:val="242424"/>
          <w:spacing w:val="-2"/>
          <w:sz w:val="14"/>
          <w:szCs w:val="14"/>
          <w:lang w:val="en-CA" w:eastAsia="en-GB"/>
        </w:rPr>
        <w:t>at</w:t>
      </w:r>
      <w:r w:rsidRPr="005F0A67">
        <w:rPr>
          <w:rFonts w:asciiTheme="majorBidi" w:eastAsia="Georgia" w:hAnsiTheme="majorBidi" w:cstheme="majorBidi"/>
          <w:color w:val="242424"/>
          <w:spacing w:val="-3"/>
          <w:sz w:val="14"/>
          <w:szCs w:val="14"/>
          <w:lang w:val="en-CA" w:eastAsia="en-GB"/>
        </w:rPr>
        <w:t xml:space="preserve"> </w:t>
      </w:r>
      <w:r w:rsidRPr="005F0A67">
        <w:rPr>
          <w:rFonts w:asciiTheme="majorBidi" w:eastAsia="Georgia" w:hAnsiTheme="majorBidi" w:cstheme="majorBidi"/>
          <w:color w:val="242424"/>
          <w:spacing w:val="-2"/>
          <w:sz w:val="14"/>
          <w:szCs w:val="14"/>
          <w:lang w:val="en-CA" w:eastAsia="en-GB"/>
        </w:rPr>
        <w:t>the</w:t>
      </w:r>
      <w:r w:rsidRPr="005F0A67">
        <w:rPr>
          <w:rFonts w:asciiTheme="majorBidi" w:eastAsia="Georgia" w:hAnsiTheme="majorBidi" w:cstheme="majorBidi"/>
          <w:color w:val="242424"/>
          <w:spacing w:val="-3"/>
          <w:sz w:val="14"/>
          <w:szCs w:val="14"/>
          <w:lang w:val="en-CA" w:eastAsia="en-GB"/>
        </w:rPr>
        <w:t xml:space="preserve"> </w:t>
      </w:r>
      <w:r w:rsidRPr="005F0A67">
        <w:rPr>
          <w:rFonts w:asciiTheme="majorBidi" w:eastAsia="Georgia" w:hAnsiTheme="majorBidi" w:cstheme="majorBidi"/>
          <w:color w:val="242424"/>
          <w:spacing w:val="-2"/>
          <w:sz w:val="14"/>
          <w:szCs w:val="14"/>
          <w:lang w:val="en-CA" w:eastAsia="en-GB"/>
        </w:rPr>
        <w:t>time</w:t>
      </w:r>
      <w:r w:rsidRPr="005F0A67">
        <w:rPr>
          <w:rFonts w:asciiTheme="majorBidi" w:eastAsia="Georgia" w:hAnsiTheme="majorBidi" w:cstheme="majorBidi"/>
          <w:color w:val="242424"/>
          <w:spacing w:val="-3"/>
          <w:sz w:val="14"/>
          <w:szCs w:val="14"/>
          <w:lang w:val="en-CA" w:eastAsia="en-GB"/>
        </w:rPr>
        <w:t xml:space="preserve"> </w:t>
      </w:r>
      <w:r w:rsidRPr="005F0A67">
        <w:rPr>
          <w:rFonts w:asciiTheme="majorBidi" w:eastAsia="Georgia" w:hAnsiTheme="majorBidi" w:cstheme="majorBidi"/>
          <w:color w:val="242424"/>
          <w:spacing w:val="-2"/>
          <w:sz w:val="14"/>
          <w:szCs w:val="14"/>
          <w:lang w:val="en-CA" w:eastAsia="en-GB"/>
        </w:rPr>
        <w:t>of</w:t>
      </w:r>
      <w:r w:rsidRPr="005F0A67">
        <w:rPr>
          <w:rFonts w:asciiTheme="majorBidi" w:eastAsia="Georgia" w:hAnsiTheme="majorBidi" w:cstheme="majorBidi"/>
          <w:color w:val="242424"/>
          <w:spacing w:val="-3"/>
          <w:sz w:val="14"/>
          <w:szCs w:val="14"/>
          <w:lang w:val="en-CA" w:eastAsia="en-GB"/>
        </w:rPr>
        <w:t xml:space="preserve"> </w:t>
      </w:r>
      <w:r w:rsidRPr="005F0A67">
        <w:rPr>
          <w:rFonts w:asciiTheme="majorBidi" w:eastAsia="Georgia" w:hAnsiTheme="majorBidi" w:cstheme="majorBidi"/>
          <w:color w:val="242424"/>
          <w:spacing w:val="-2"/>
          <w:sz w:val="14"/>
          <w:szCs w:val="14"/>
          <w:lang w:val="en-CA" w:eastAsia="en-GB"/>
        </w:rPr>
        <w:t>access</w:t>
      </w:r>
      <w:r w:rsidRPr="005F0A67">
        <w:rPr>
          <w:rFonts w:asciiTheme="majorBidi" w:eastAsia="Georgia" w:hAnsiTheme="majorBidi" w:cstheme="majorBidi"/>
          <w:color w:val="242424"/>
          <w:spacing w:val="-3"/>
          <w:sz w:val="14"/>
          <w:szCs w:val="14"/>
          <w:lang w:val="en-CA" w:eastAsia="en-GB"/>
        </w:rPr>
        <w:t xml:space="preserve"> </w:t>
      </w:r>
      <w:r w:rsidRPr="005F0A67">
        <w:rPr>
          <w:rFonts w:asciiTheme="majorBidi" w:eastAsia="Georgia" w:hAnsiTheme="majorBidi" w:cstheme="majorBidi"/>
          <w:color w:val="242424"/>
          <w:spacing w:val="-2"/>
          <w:sz w:val="14"/>
          <w:szCs w:val="14"/>
          <w:lang w:val="en-CA" w:eastAsia="en-GB"/>
        </w:rPr>
        <w:t>to</w:t>
      </w:r>
      <w:r w:rsidRPr="005F0A67">
        <w:rPr>
          <w:rFonts w:asciiTheme="majorBidi" w:eastAsia="Georgia" w:hAnsiTheme="majorBidi" w:cstheme="majorBidi"/>
          <w:color w:val="242424"/>
          <w:spacing w:val="-3"/>
          <w:sz w:val="14"/>
          <w:szCs w:val="14"/>
          <w:lang w:val="en-CA" w:eastAsia="en-GB"/>
        </w:rPr>
        <w:t xml:space="preserve"> </w:t>
      </w:r>
      <w:r w:rsidRPr="005F0A67">
        <w:rPr>
          <w:rFonts w:asciiTheme="majorBidi" w:eastAsia="Georgia" w:hAnsiTheme="majorBidi" w:cstheme="majorBidi"/>
          <w:color w:val="242424"/>
          <w:spacing w:val="-2"/>
          <w:sz w:val="14"/>
          <w:szCs w:val="14"/>
          <w:lang w:val="en-CA" w:eastAsia="en-GB"/>
        </w:rPr>
        <w:t>the</w:t>
      </w:r>
      <w:r w:rsidRPr="005F0A67">
        <w:rPr>
          <w:rFonts w:asciiTheme="majorBidi" w:eastAsia="Georgia" w:hAnsiTheme="majorBidi" w:cstheme="majorBidi"/>
          <w:color w:val="242424"/>
          <w:spacing w:val="-3"/>
          <w:sz w:val="14"/>
          <w:szCs w:val="14"/>
          <w:lang w:val="en-CA" w:eastAsia="en-GB"/>
        </w:rPr>
        <w:t xml:space="preserve"> </w:t>
      </w:r>
      <w:r w:rsidRPr="005F0A67">
        <w:rPr>
          <w:rFonts w:asciiTheme="majorBidi" w:eastAsia="Georgia" w:hAnsiTheme="majorBidi" w:cstheme="majorBidi"/>
          <w:color w:val="242424"/>
          <w:spacing w:val="-2"/>
          <w:sz w:val="14"/>
          <w:szCs w:val="14"/>
          <w:lang w:val="en-CA" w:eastAsia="en-GB"/>
        </w:rPr>
        <w:t>genetic</w:t>
      </w:r>
      <w:r w:rsidRPr="005F0A67">
        <w:rPr>
          <w:rFonts w:asciiTheme="majorBidi" w:eastAsia="Georgia" w:hAnsiTheme="majorBidi" w:cstheme="majorBidi"/>
          <w:color w:val="242424"/>
          <w:spacing w:val="-3"/>
          <w:sz w:val="14"/>
          <w:szCs w:val="14"/>
          <w:lang w:val="en-CA" w:eastAsia="en-GB"/>
        </w:rPr>
        <w:t xml:space="preserve"> </w:t>
      </w:r>
      <w:r w:rsidRPr="005F0A67">
        <w:rPr>
          <w:rFonts w:asciiTheme="majorBidi" w:eastAsia="Georgia" w:hAnsiTheme="majorBidi" w:cstheme="majorBidi"/>
          <w:color w:val="242424"/>
          <w:spacing w:val="-2"/>
          <w:sz w:val="14"/>
          <w:szCs w:val="14"/>
          <w:lang w:val="en-CA" w:eastAsia="en-GB"/>
        </w:rPr>
        <w:t>resources</w:t>
      </w:r>
      <w:r w:rsidRPr="005F0A67">
        <w:rPr>
          <w:rFonts w:asciiTheme="majorBidi" w:eastAsia="Georgia" w:hAnsiTheme="majorBidi" w:cstheme="majorBidi"/>
          <w:color w:val="242424"/>
          <w:spacing w:val="-3"/>
          <w:sz w:val="14"/>
          <w:szCs w:val="14"/>
          <w:lang w:val="en-CA" w:eastAsia="en-GB"/>
        </w:rPr>
        <w:t xml:space="preserve"> </w:t>
      </w:r>
      <w:r w:rsidRPr="005F0A67">
        <w:rPr>
          <w:rFonts w:asciiTheme="majorBidi" w:eastAsia="Georgia" w:hAnsiTheme="majorBidi" w:cstheme="majorBidi"/>
          <w:color w:val="242424"/>
          <w:spacing w:val="-2"/>
          <w:sz w:val="14"/>
          <w:szCs w:val="14"/>
          <w:lang w:val="en-CA" w:eastAsia="en-GB"/>
        </w:rPr>
        <w:t>from</w:t>
      </w:r>
      <w:r w:rsidRPr="005F0A67">
        <w:rPr>
          <w:rFonts w:asciiTheme="majorBidi" w:eastAsia="Georgia" w:hAnsiTheme="majorBidi" w:cstheme="majorBidi"/>
          <w:color w:val="242424"/>
          <w:spacing w:val="-3"/>
          <w:sz w:val="14"/>
          <w:szCs w:val="14"/>
          <w:lang w:val="en-CA" w:eastAsia="en-GB"/>
        </w:rPr>
        <w:t xml:space="preserve"> </w:t>
      </w:r>
      <w:r w:rsidRPr="005F0A67">
        <w:rPr>
          <w:rFonts w:asciiTheme="majorBidi" w:eastAsia="Georgia" w:hAnsiTheme="majorBidi" w:cstheme="majorBidi"/>
          <w:color w:val="242424"/>
          <w:spacing w:val="-2"/>
          <w:sz w:val="14"/>
          <w:szCs w:val="14"/>
          <w:lang w:val="en-CA" w:eastAsia="en-GB"/>
        </w:rPr>
        <w:t>which</w:t>
      </w:r>
      <w:r w:rsidRPr="005F0A67">
        <w:rPr>
          <w:rFonts w:asciiTheme="majorBidi" w:eastAsia="Georgia" w:hAnsiTheme="majorBidi" w:cstheme="majorBidi"/>
          <w:color w:val="242424"/>
          <w:spacing w:val="-3"/>
          <w:sz w:val="14"/>
          <w:szCs w:val="14"/>
          <w:lang w:val="en-CA" w:eastAsia="en-GB"/>
        </w:rPr>
        <w:t xml:space="preserve"> </w:t>
      </w:r>
      <w:r w:rsidRPr="005F0A67">
        <w:rPr>
          <w:rFonts w:asciiTheme="majorBidi" w:eastAsia="Georgia" w:hAnsiTheme="majorBidi" w:cstheme="majorBidi"/>
          <w:color w:val="242424"/>
          <w:spacing w:val="-2"/>
          <w:sz w:val="14"/>
          <w:szCs w:val="14"/>
          <w:lang w:val="en-CA" w:eastAsia="en-GB"/>
        </w:rPr>
        <w:t>the</w:t>
      </w:r>
      <w:r w:rsidRPr="005F0A67">
        <w:rPr>
          <w:rFonts w:asciiTheme="majorBidi" w:eastAsia="Georgia" w:hAnsiTheme="majorBidi" w:cstheme="majorBidi"/>
          <w:color w:val="242424"/>
          <w:spacing w:val="40"/>
          <w:sz w:val="14"/>
          <w:szCs w:val="14"/>
          <w:lang w:val="en-CA" w:eastAsia="en-GB"/>
        </w:rPr>
        <w:t xml:space="preserve"> </w:t>
      </w:r>
      <w:r w:rsidRPr="005F0A67">
        <w:rPr>
          <w:rFonts w:asciiTheme="majorBidi" w:eastAsia="Georgia" w:hAnsiTheme="majorBidi" w:cstheme="majorBidi"/>
          <w:color w:val="242424"/>
          <w:spacing w:val="-2"/>
          <w:sz w:val="14"/>
          <w:szCs w:val="14"/>
          <w:lang w:val="en-CA" w:eastAsia="en-GB"/>
        </w:rPr>
        <w:t>digital</w:t>
      </w:r>
      <w:r w:rsidRPr="005F0A67">
        <w:rPr>
          <w:rFonts w:asciiTheme="majorBidi" w:eastAsia="Georgia" w:hAnsiTheme="majorBidi" w:cstheme="majorBidi"/>
          <w:color w:val="242424"/>
          <w:spacing w:val="-4"/>
          <w:sz w:val="14"/>
          <w:szCs w:val="14"/>
          <w:lang w:val="en-CA" w:eastAsia="en-GB"/>
        </w:rPr>
        <w:t xml:space="preserve"> </w:t>
      </w:r>
      <w:r w:rsidRPr="005F0A67">
        <w:rPr>
          <w:rFonts w:asciiTheme="majorBidi" w:eastAsia="Georgia" w:hAnsiTheme="majorBidi" w:cstheme="majorBidi"/>
          <w:color w:val="242424"/>
          <w:spacing w:val="-2"/>
          <w:sz w:val="14"/>
          <w:szCs w:val="14"/>
          <w:lang w:val="en-CA" w:eastAsia="en-GB"/>
        </w:rPr>
        <w:t>sequence</w:t>
      </w:r>
      <w:r w:rsidRPr="005F0A67">
        <w:rPr>
          <w:rFonts w:asciiTheme="majorBidi" w:eastAsia="Georgia" w:hAnsiTheme="majorBidi" w:cstheme="majorBidi"/>
          <w:color w:val="242424"/>
          <w:spacing w:val="-4"/>
          <w:sz w:val="14"/>
          <w:szCs w:val="14"/>
          <w:lang w:val="en-CA" w:eastAsia="en-GB"/>
        </w:rPr>
        <w:t xml:space="preserve"> </w:t>
      </w:r>
      <w:r w:rsidRPr="005F0A67">
        <w:rPr>
          <w:rFonts w:asciiTheme="majorBidi" w:eastAsia="Georgia" w:hAnsiTheme="majorBidi" w:cstheme="majorBidi"/>
          <w:color w:val="242424"/>
          <w:spacing w:val="-2"/>
          <w:sz w:val="14"/>
          <w:szCs w:val="14"/>
          <w:lang w:val="en-CA" w:eastAsia="en-GB"/>
        </w:rPr>
        <w:t>information</w:t>
      </w:r>
      <w:r w:rsidRPr="005F0A67">
        <w:rPr>
          <w:rFonts w:asciiTheme="majorBidi" w:eastAsia="Georgia" w:hAnsiTheme="majorBidi" w:cstheme="majorBidi"/>
          <w:color w:val="242424"/>
          <w:spacing w:val="-4"/>
          <w:sz w:val="14"/>
          <w:szCs w:val="14"/>
          <w:lang w:val="en-CA" w:eastAsia="en-GB"/>
        </w:rPr>
        <w:t xml:space="preserve"> </w:t>
      </w:r>
      <w:r w:rsidRPr="005F0A67">
        <w:rPr>
          <w:rFonts w:asciiTheme="majorBidi" w:eastAsia="Georgia" w:hAnsiTheme="majorBidi" w:cstheme="majorBidi"/>
          <w:color w:val="242424"/>
          <w:spacing w:val="-2"/>
          <w:sz w:val="14"/>
          <w:szCs w:val="14"/>
          <w:lang w:val="en-CA" w:eastAsia="en-GB"/>
        </w:rPr>
        <w:t>is</w:t>
      </w:r>
      <w:r w:rsidRPr="005F0A67">
        <w:rPr>
          <w:rFonts w:asciiTheme="majorBidi" w:eastAsia="Georgia" w:hAnsiTheme="majorBidi" w:cstheme="majorBidi"/>
          <w:color w:val="242424"/>
          <w:spacing w:val="-4"/>
          <w:sz w:val="14"/>
          <w:szCs w:val="14"/>
          <w:lang w:val="en-CA" w:eastAsia="en-GB"/>
        </w:rPr>
        <w:t xml:space="preserve"> </w:t>
      </w:r>
      <w:r w:rsidRPr="005F0A67">
        <w:rPr>
          <w:rFonts w:asciiTheme="majorBidi" w:eastAsia="Georgia" w:hAnsiTheme="majorBidi" w:cstheme="majorBidi"/>
          <w:color w:val="242424"/>
          <w:spacing w:val="-2"/>
          <w:sz w:val="14"/>
          <w:szCs w:val="14"/>
          <w:lang w:val="en-CA" w:eastAsia="en-GB"/>
        </w:rPr>
        <w:t>derived,</w:t>
      </w:r>
      <w:r w:rsidRPr="005F0A67">
        <w:rPr>
          <w:rFonts w:asciiTheme="majorBidi" w:eastAsia="Georgia" w:hAnsiTheme="majorBidi" w:cstheme="majorBidi"/>
          <w:color w:val="242424"/>
          <w:spacing w:val="-4"/>
          <w:sz w:val="14"/>
          <w:szCs w:val="14"/>
          <w:lang w:val="en-CA" w:eastAsia="en-GB"/>
        </w:rPr>
        <w:t xml:space="preserve"> </w:t>
      </w:r>
      <w:r w:rsidRPr="005F0A67">
        <w:rPr>
          <w:rFonts w:asciiTheme="majorBidi" w:eastAsia="Georgia" w:hAnsiTheme="majorBidi" w:cstheme="majorBidi"/>
          <w:color w:val="242424"/>
          <w:spacing w:val="-2"/>
          <w:sz w:val="14"/>
          <w:szCs w:val="14"/>
          <w:lang w:val="en-CA" w:eastAsia="en-GB"/>
        </w:rPr>
        <w:t>unless</w:t>
      </w:r>
      <w:r w:rsidRPr="005F0A67">
        <w:rPr>
          <w:rFonts w:asciiTheme="majorBidi" w:eastAsia="Georgia" w:hAnsiTheme="majorBidi" w:cstheme="majorBidi"/>
          <w:color w:val="242424"/>
          <w:spacing w:val="-4"/>
          <w:sz w:val="14"/>
          <w:szCs w:val="14"/>
          <w:lang w:val="en-CA" w:eastAsia="en-GB"/>
        </w:rPr>
        <w:t xml:space="preserve"> </w:t>
      </w:r>
      <w:r w:rsidRPr="005F0A67">
        <w:rPr>
          <w:rFonts w:asciiTheme="majorBidi" w:eastAsia="Georgia" w:hAnsiTheme="majorBidi" w:cstheme="majorBidi"/>
          <w:color w:val="242424"/>
          <w:spacing w:val="-2"/>
          <w:sz w:val="14"/>
          <w:szCs w:val="14"/>
          <w:lang w:val="en-CA" w:eastAsia="en-GB"/>
        </w:rPr>
        <w:t>those</w:t>
      </w:r>
      <w:r w:rsidRPr="005F0A67">
        <w:rPr>
          <w:rFonts w:asciiTheme="majorBidi" w:eastAsia="Georgia" w:hAnsiTheme="majorBidi" w:cstheme="majorBidi"/>
          <w:color w:val="242424"/>
          <w:spacing w:val="-4"/>
          <w:sz w:val="14"/>
          <w:szCs w:val="14"/>
          <w:lang w:val="en-CA" w:eastAsia="en-GB"/>
        </w:rPr>
        <w:t xml:space="preserve"> </w:t>
      </w:r>
      <w:r w:rsidRPr="005F0A67">
        <w:rPr>
          <w:rFonts w:asciiTheme="majorBidi" w:eastAsia="Georgia" w:hAnsiTheme="majorBidi" w:cstheme="majorBidi"/>
          <w:color w:val="242424"/>
          <w:spacing w:val="-2"/>
          <w:sz w:val="14"/>
          <w:szCs w:val="14"/>
          <w:lang w:val="en-CA" w:eastAsia="en-GB"/>
        </w:rPr>
        <w:t>terms</w:t>
      </w:r>
      <w:r w:rsidRPr="005F0A67">
        <w:rPr>
          <w:rFonts w:asciiTheme="majorBidi" w:eastAsia="Georgia" w:hAnsiTheme="majorBidi" w:cstheme="majorBidi"/>
          <w:color w:val="242424"/>
          <w:spacing w:val="-4"/>
          <w:sz w:val="14"/>
          <w:szCs w:val="14"/>
          <w:lang w:val="en-CA" w:eastAsia="en-GB"/>
        </w:rPr>
        <w:t xml:space="preserve"> </w:t>
      </w:r>
      <w:r w:rsidRPr="005F0A67">
        <w:rPr>
          <w:rFonts w:asciiTheme="majorBidi" w:eastAsia="Georgia" w:hAnsiTheme="majorBidi" w:cstheme="majorBidi"/>
          <w:color w:val="242424"/>
          <w:spacing w:val="-2"/>
          <w:sz w:val="14"/>
          <w:szCs w:val="14"/>
          <w:lang w:val="en-CA" w:eastAsia="en-GB"/>
        </w:rPr>
        <w:t>allow</w:t>
      </w:r>
      <w:r w:rsidRPr="005F0A67">
        <w:rPr>
          <w:rFonts w:asciiTheme="majorBidi" w:eastAsia="Georgia" w:hAnsiTheme="majorBidi" w:cstheme="majorBidi"/>
          <w:color w:val="242424"/>
          <w:spacing w:val="-4"/>
          <w:sz w:val="14"/>
          <w:szCs w:val="14"/>
          <w:lang w:val="en-CA" w:eastAsia="en-GB"/>
        </w:rPr>
        <w:t xml:space="preserve"> </w:t>
      </w:r>
      <w:r w:rsidRPr="005F0A67">
        <w:rPr>
          <w:rFonts w:asciiTheme="majorBidi" w:eastAsia="Georgia" w:hAnsiTheme="majorBidi" w:cstheme="majorBidi"/>
          <w:color w:val="242424"/>
          <w:spacing w:val="-2"/>
          <w:sz w:val="14"/>
          <w:szCs w:val="14"/>
          <w:lang w:val="en-CA" w:eastAsia="en-GB"/>
        </w:rPr>
        <w:t>for</w:t>
      </w:r>
      <w:r w:rsidRPr="005F0A67">
        <w:rPr>
          <w:rFonts w:asciiTheme="majorBidi" w:eastAsia="Georgia" w:hAnsiTheme="majorBidi" w:cstheme="majorBidi"/>
          <w:color w:val="242424"/>
          <w:spacing w:val="-4"/>
          <w:sz w:val="14"/>
          <w:szCs w:val="14"/>
          <w:lang w:val="en-CA" w:eastAsia="en-GB"/>
        </w:rPr>
        <w:t xml:space="preserve"> </w:t>
      </w:r>
      <w:r w:rsidRPr="005F0A67">
        <w:rPr>
          <w:rFonts w:asciiTheme="majorBidi" w:eastAsia="Georgia" w:hAnsiTheme="majorBidi" w:cstheme="majorBidi"/>
          <w:color w:val="242424"/>
          <w:spacing w:val="-2"/>
          <w:sz w:val="14"/>
          <w:szCs w:val="14"/>
          <w:lang w:val="en-CA" w:eastAsia="en-GB"/>
        </w:rPr>
        <w:t>the</w:t>
      </w:r>
      <w:r w:rsidRPr="005F0A67">
        <w:rPr>
          <w:rFonts w:asciiTheme="majorBidi" w:eastAsia="Georgia" w:hAnsiTheme="majorBidi" w:cstheme="majorBidi"/>
          <w:color w:val="242424"/>
          <w:spacing w:val="-4"/>
          <w:sz w:val="14"/>
          <w:szCs w:val="14"/>
          <w:lang w:val="en-CA" w:eastAsia="en-GB"/>
        </w:rPr>
        <w:t xml:space="preserve"> </w:t>
      </w:r>
      <w:r w:rsidRPr="005F0A67">
        <w:rPr>
          <w:rFonts w:asciiTheme="majorBidi" w:eastAsia="Georgia" w:hAnsiTheme="majorBidi" w:cstheme="majorBidi"/>
          <w:color w:val="242424"/>
          <w:spacing w:val="-2"/>
          <w:sz w:val="14"/>
          <w:szCs w:val="14"/>
          <w:lang w:val="en-CA" w:eastAsia="en-GB"/>
        </w:rPr>
        <w:t>making</w:t>
      </w:r>
      <w:r w:rsidRPr="005F0A67">
        <w:rPr>
          <w:rFonts w:asciiTheme="majorBidi" w:eastAsia="Georgia" w:hAnsiTheme="majorBidi" w:cstheme="majorBidi"/>
          <w:color w:val="242424"/>
          <w:spacing w:val="-4"/>
          <w:sz w:val="14"/>
          <w:szCs w:val="14"/>
          <w:lang w:val="en-CA" w:eastAsia="en-GB"/>
        </w:rPr>
        <w:t xml:space="preserve"> </w:t>
      </w:r>
      <w:r w:rsidRPr="005F0A67">
        <w:rPr>
          <w:rFonts w:asciiTheme="majorBidi" w:eastAsia="Georgia" w:hAnsiTheme="majorBidi" w:cstheme="majorBidi"/>
          <w:color w:val="242424"/>
          <w:spacing w:val="-2"/>
          <w:sz w:val="14"/>
          <w:szCs w:val="14"/>
          <w:lang w:val="en-CA" w:eastAsia="en-GB"/>
        </w:rPr>
        <w:t>of</w:t>
      </w:r>
      <w:r w:rsidRPr="005F0A67">
        <w:rPr>
          <w:rFonts w:asciiTheme="majorBidi" w:eastAsia="Georgia" w:hAnsiTheme="majorBidi" w:cstheme="majorBidi"/>
          <w:color w:val="242424"/>
          <w:spacing w:val="-4"/>
          <w:sz w:val="14"/>
          <w:szCs w:val="14"/>
          <w:lang w:val="en-CA" w:eastAsia="en-GB"/>
        </w:rPr>
        <w:t xml:space="preserve"> </w:t>
      </w:r>
      <w:r w:rsidRPr="005F0A67">
        <w:rPr>
          <w:rFonts w:asciiTheme="majorBidi" w:eastAsia="Georgia" w:hAnsiTheme="majorBidi" w:cstheme="majorBidi"/>
          <w:color w:val="242424"/>
          <w:spacing w:val="-2"/>
          <w:sz w:val="14"/>
          <w:szCs w:val="14"/>
          <w:lang w:val="en-CA" w:eastAsia="en-GB"/>
        </w:rPr>
        <w:t>the</w:t>
      </w:r>
      <w:r w:rsidRPr="005F0A67">
        <w:rPr>
          <w:rFonts w:asciiTheme="majorBidi" w:eastAsia="Georgia" w:hAnsiTheme="majorBidi" w:cstheme="majorBidi"/>
          <w:color w:val="242424"/>
          <w:spacing w:val="-4"/>
          <w:sz w:val="14"/>
          <w:szCs w:val="14"/>
          <w:lang w:val="en-CA" w:eastAsia="en-GB"/>
        </w:rPr>
        <w:t xml:space="preserve"> </w:t>
      </w:r>
      <w:r w:rsidRPr="005F0A67">
        <w:rPr>
          <w:rFonts w:asciiTheme="majorBidi" w:eastAsia="Georgia" w:hAnsiTheme="majorBidi" w:cstheme="majorBidi"/>
          <w:color w:val="242424"/>
          <w:spacing w:val="-2"/>
          <w:sz w:val="14"/>
          <w:szCs w:val="14"/>
          <w:lang w:val="en-CA" w:eastAsia="en-GB"/>
        </w:rPr>
        <w:t>digital</w:t>
      </w:r>
      <w:r w:rsidRPr="005F0A67">
        <w:rPr>
          <w:rFonts w:asciiTheme="majorBidi" w:eastAsia="Georgia" w:hAnsiTheme="majorBidi" w:cstheme="majorBidi"/>
          <w:color w:val="242424"/>
          <w:spacing w:val="-4"/>
          <w:sz w:val="14"/>
          <w:szCs w:val="14"/>
          <w:lang w:val="en-CA" w:eastAsia="en-GB"/>
        </w:rPr>
        <w:t xml:space="preserve"> </w:t>
      </w:r>
      <w:r w:rsidRPr="005F0A67">
        <w:rPr>
          <w:rFonts w:asciiTheme="majorBidi" w:eastAsia="Georgia" w:hAnsiTheme="majorBidi" w:cstheme="majorBidi"/>
          <w:color w:val="242424"/>
          <w:spacing w:val="-2"/>
          <w:sz w:val="14"/>
          <w:szCs w:val="14"/>
          <w:lang w:val="en-CA" w:eastAsia="en-GB"/>
        </w:rPr>
        <w:t>sequence</w:t>
      </w:r>
      <w:r w:rsidRPr="005F0A67">
        <w:rPr>
          <w:rFonts w:asciiTheme="majorBidi" w:eastAsia="Georgia" w:hAnsiTheme="majorBidi" w:cstheme="majorBidi"/>
          <w:color w:val="242424"/>
          <w:spacing w:val="-4"/>
          <w:sz w:val="14"/>
          <w:szCs w:val="14"/>
          <w:lang w:val="en-CA" w:eastAsia="en-GB"/>
        </w:rPr>
        <w:t xml:space="preserve"> </w:t>
      </w:r>
      <w:r w:rsidRPr="005F0A67">
        <w:rPr>
          <w:rFonts w:asciiTheme="majorBidi" w:eastAsia="Georgia" w:hAnsiTheme="majorBidi" w:cstheme="majorBidi"/>
          <w:color w:val="242424"/>
          <w:spacing w:val="-2"/>
          <w:sz w:val="14"/>
          <w:szCs w:val="14"/>
          <w:lang w:val="en-CA" w:eastAsia="en-GB"/>
        </w:rPr>
        <w:t>information</w:t>
      </w:r>
      <w:r w:rsidRPr="005F0A67">
        <w:rPr>
          <w:rFonts w:asciiTheme="majorBidi" w:eastAsia="Georgia" w:hAnsiTheme="majorBidi" w:cstheme="majorBidi"/>
          <w:color w:val="242424"/>
          <w:spacing w:val="-4"/>
          <w:sz w:val="14"/>
          <w:szCs w:val="14"/>
          <w:lang w:val="en-CA" w:eastAsia="en-GB"/>
        </w:rPr>
        <w:t xml:space="preserve"> </w:t>
      </w:r>
      <w:r w:rsidRPr="005F0A67">
        <w:rPr>
          <w:rFonts w:asciiTheme="majorBidi" w:eastAsia="Georgia" w:hAnsiTheme="majorBidi" w:cstheme="majorBidi"/>
          <w:color w:val="242424"/>
          <w:spacing w:val="-2"/>
          <w:sz w:val="14"/>
          <w:szCs w:val="14"/>
          <w:lang w:val="en-CA" w:eastAsia="en-GB"/>
        </w:rPr>
        <w:t>on</w:t>
      </w:r>
      <w:r w:rsidRPr="005F0A67">
        <w:rPr>
          <w:rFonts w:asciiTheme="majorBidi" w:eastAsia="Georgia" w:hAnsiTheme="majorBidi" w:cstheme="majorBidi"/>
          <w:color w:val="242424"/>
          <w:spacing w:val="-4"/>
          <w:sz w:val="14"/>
          <w:szCs w:val="14"/>
          <w:lang w:val="en-CA" w:eastAsia="en-GB"/>
        </w:rPr>
        <w:t xml:space="preserve"> </w:t>
      </w:r>
      <w:r w:rsidRPr="005F0A67">
        <w:rPr>
          <w:rFonts w:asciiTheme="majorBidi" w:eastAsia="Georgia" w:hAnsiTheme="majorBidi" w:cstheme="majorBidi"/>
          <w:color w:val="242424"/>
          <w:spacing w:val="-2"/>
          <w:sz w:val="14"/>
          <w:szCs w:val="14"/>
          <w:lang w:val="en-CA" w:eastAsia="en-GB"/>
        </w:rPr>
        <w:t>gen</w:t>
      </w:r>
      <w:r w:rsidRPr="005F0A67">
        <w:rPr>
          <w:rFonts w:asciiTheme="majorBidi" w:eastAsia="Georgia" w:hAnsiTheme="majorBidi" w:cstheme="majorBidi"/>
          <w:color w:val="242424"/>
          <w:spacing w:val="-4"/>
          <w:w w:val="105"/>
          <w:sz w:val="14"/>
          <w:szCs w:val="14"/>
          <w:lang w:val="en-CA" w:eastAsia="en-GB"/>
        </w:rPr>
        <w:t>etic resources freely available;</w:t>
      </w:r>
    </w:p>
    <w:p w14:paraId="2C79EE70" w14:textId="77777777" w:rsidR="005F0A67" w:rsidRPr="005F0A67" w:rsidRDefault="005F0A67" w:rsidP="003A387A">
      <w:pPr>
        <w:widowControl w:val="0"/>
        <w:numPr>
          <w:ilvl w:val="0"/>
          <w:numId w:val="45"/>
        </w:numPr>
        <w:tabs>
          <w:tab w:val="clear" w:pos="567"/>
          <w:tab w:val="clear" w:pos="1134"/>
          <w:tab w:val="clear" w:pos="1701"/>
          <w:tab w:val="clear" w:pos="2268"/>
          <w:tab w:val="left" w:pos="691"/>
        </w:tabs>
        <w:autoSpaceDE w:val="0"/>
        <w:autoSpaceDN w:val="0"/>
        <w:spacing w:before="1" w:line="297" w:lineRule="auto"/>
        <w:ind w:left="515" w:right="715" w:firstLine="0"/>
        <w:jc w:val="left"/>
        <w:rPr>
          <w:rFonts w:asciiTheme="majorBidi" w:eastAsia="Georgia" w:hAnsiTheme="majorBidi" w:cstheme="majorBidi"/>
          <w:color w:val="1A1A1A"/>
          <w:sz w:val="14"/>
          <w:szCs w:val="14"/>
          <w:lang w:val="en-CA" w:eastAsia="en-GB"/>
        </w:rPr>
      </w:pPr>
      <w:r w:rsidRPr="005F0A67">
        <w:rPr>
          <w:rFonts w:asciiTheme="majorBidi" w:eastAsia="Georgia" w:hAnsiTheme="majorBidi" w:cstheme="majorBidi"/>
          <w:color w:val="242424"/>
          <w:spacing w:val="-2"/>
          <w:sz w:val="14"/>
          <w:szCs w:val="14"/>
          <w:lang w:val="en-CA" w:eastAsia="en-GB"/>
        </w:rPr>
        <w:t>For</w:t>
      </w:r>
      <w:r w:rsidRPr="005F0A67">
        <w:rPr>
          <w:rFonts w:asciiTheme="majorBidi" w:eastAsia="Georgia" w:hAnsiTheme="majorBidi" w:cstheme="majorBidi"/>
          <w:color w:val="242424"/>
          <w:spacing w:val="-6"/>
          <w:sz w:val="14"/>
          <w:szCs w:val="14"/>
          <w:lang w:val="en-CA" w:eastAsia="en-GB"/>
        </w:rPr>
        <w:t xml:space="preserve"> </w:t>
      </w:r>
      <w:r w:rsidRPr="005F0A67">
        <w:rPr>
          <w:rFonts w:asciiTheme="majorBidi" w:eastAsia="Georgia" w:hAnsiTheme="majorBidi" w:cstheme="majorBidi"/>
          <w:color w:val="242424"/>
          <w:spacing w:val="-2"/>
          <w:sz w:val="14"/>
          <w:szCs w:val="14"/>
          <w:lang w:val="en-CA" w:eastAsia="en-GB"/>
        </w:rPr>
        <w:t>which</w:t>
      </w:r>
      <w:r w:rsidRPr="005F0A67">
        <w:rPr>
          <w:rFonts w:asciiTheme="majorBidi" w:eastAsia="Georgia" w:hAnsiTheme="majorBidi" w:cstheme="majorBidi"/>
          <w:color w:val="242424"/>
          <w:spacing w:val="-6"/>
          <w:sz w:val="14"/>
          <w:szCs w:val="14"/>
          <w:lang w:val="en-CA" w:eastAsia="en-GB"/>
        </w:rPr>
        <w:t xml:space="preserve"> </w:t>
      </w:r>
      <w:r w:rsidRPr="005F0A67">
        <w:rPr>
          <w:rFonts w:asciiTheme="majorBidi" w:eastAsia="Georgia" w:hAnsiTheme="majorBidi" w:cstheme="majorBidi"/>
          <w:color w:val="242424"/>
          <w:spacing w:val="-2"/>
          <w:sz w:val="14"/>
          <w:szCs w:val="14"/>
          <w:lang w:val="en-CA" w:eastAsia="en-GB"/>
        </w:rPr>
        <w:t>the</w:t>
      </w:r>
      <w:r w:rsidRPr="005F0A67">
        <w:rPr>
          <w:rFonts w:asciiTheme="majorBidi" w:eastAsia="Georgia" w:hAnsiTheme="majorBidi" w:cstheme="majorBidi"/>
          <w:color w:val="242424"/>
          <w:spacing w:val="-6"/>
          <w:sz w:val="14"/>
          <w:szCs w:val="14"/>
          <w:lang w:val="en-CA" w:eastAsia="en-GB"/>
        </w:rPr>
        <w:t xml:space="preserve"> </w:t>
      </w:r>
      <w:r w:rsidRPr="005F0A67">
        <w:rPr>
          <w:rFonts w:asciiTheme="majorBidi" w:eastAsia="Georgia" w:hAnsiTheme="majorBidi" w:cstheme="majorBidi"/>
          <w:color w:val="242424"/>
          <w:spacing w:val="-2"/>
          <w:sz w:val="14"/>
          <w:szCs w:val="14"/>
          <w:lang w:val="en-CA" w:eastAsia="en-GB"/>
        </w:rPr>
        <w:t>fair</w:t>
      </w:r>
      <w:r w:rsidRPr="005F0A67">
        <w:rPr>
          <w:rFonts w:asciiTheme="majorBidi" w:eastAsia="Georgia" w:hAnsiTheme="majorBidi" w:cstheme="majorBidi"/>
          <w:color w:val="242424"/>
          <w:spacing w:val="-6"/>
          <w:sz w:val="14"/>
          <w:szCs w:val="14"/>
          <w:lang w:val="en-CA" w:eastAsia="en-GB"/>
        </w:rPr>
        <w:t xml:space="preserve"> </w:t>
      </w:r>
      <w:r w:rsidRPr="005F0A67">
        <w:rPr>
          <w:rFonts w:asciiTheme="majorBidi" w:eastAsia="Georgia" w:hAnsiTheme="majorBidi" w:cstheme="majorBidi"/>
          <w:color w:val="242424"/>
          <w:spacing w:val="-2"/>
          <w:sz w:val="14"/>
          <w:szCs w:val="14"/>
          <w:lang w:val="en-CA" w:eastAsia="en-GB"/>
        </w:rPr>
        <w:t>and</w:t>
      </w:r>
      <w:r w:rsidRPr="005F0A67">
        <w:rPr>
          <w:rFonts w:asciiTheme="majorBidi" w:eastAsia="Georgia" w:hAnsiTheme="majorBidi" w:cstheme="majorBidi"/>
          <w:color w:val="242424"/>
          <w:spacing w:val="-6"/>
          <w:sz w:val="14"/>
          <w:szCs w:val="14"/>
          <w:lang w:val="en-CA" w:eastAsia="en-GB"/>
        </w:rPr>
        <w:t xml:space="preserve"> </w:t>
      </w:r>
      <w:r w:rsidRPr="005F0A67">
        <w:rPr>
          <w:rFonts w:asciiTheme="majorBidi" w:eastAsia="Georgia" w:hAnsiTheme="majorBidi" w:cstheme="majorBidi"/>
          <w:color w:val="242424"/>
          <w:spacing w:val="-2"/>
          <w:sz w:val="14"/>
          <w:szCs w:val="14"/>
          <w:lang w:val="en-CA" w:eastAsia="en-GB"/>
        </w:rPr>
        <w:t>equitable</w:t>
      </w:r>
      <w:r w:rsidRPr="005F0A67">
        <w:rPr>
          <w:rFonts w:asciiTheme="majorBidi" w:eastAsia="Georgia" w:hAnsiTheme="majorBidi" w:cstheme="majorBidi"/>
          <w:color w:val="242424"/>
          <w:spacing w:val="-6"/>
          <w:sz w:val="14"/>
          <w:szCs w:val="14"/>
          <w:lang w:val="en-CA" w:eastAsia="en-GB"/>
        </w:rPr>
        <w:t xml:space="preserve"> </w:t>
      </w:r>
      <w:r w:rsidRPr="005F0A67">
        <w:rPr>
          <w:rFonts w:asciiTheme="majorBidi" w:eastAsia="Georgia" w:hAnsiTheme="majorBidi" w:cstheme="majorBidi"/>
          <w:color w:val="242424"/>
          <w:spacing w:val="-2"/>
          <w:sz w:val="14"/>
          <w:szCs w:val="14"/>
          <w:lang w:val="en-CA" w:eastAsia="en-GB"/>
        </w:rPr>
        <w:t>sharing</w:t>
      </w:r>
      <w:r w:rsidRPr="005F0A67">
        <w:rPr>
          <w:rFonts w:asciiTheme="majorBidi" w:eastAsia="Georgia" w:hAnsiTheme="majorBidi" w:cstheme="majorBidi"/>
          <w:color w:val="242424"/>
          <w:spacing w:val="-6"/>
          <w:sz w:val="14"/>
          <w:szCs w:val="14"/>
          <w:lang w:val="en-CA" w:eastAsia="en-GB"/>
        </w:rPr>
        <w:t xml:space="preserve"> </w:t>
      </w:r>
      <w:r w:rsidRPr="005F0A67">
        <w:rPr>
          <w:rFonts w:asciiTheme="majorBidi" w:eastAsia="Georgia" w:hAnsiTheme="majorBidi" w:cstheme="majorBidi"/>
          <w:color w:val="242424"/>
          <w:spacing w:val="-2"/>
          <w:sz w:val="14"/>
          <w:szCs w:val="14"/>
          <w:lang w:val="en-CA" w:eastAsia="en-GB"/>
        </w:rPr>
        <w:t>of</w:t>
      </w:r>
      <w:r w:rsidRPr="005F0A67">
        <w:rPr>
          <w:rFonts w:asciiTheme="majorBidi" w:eastAsia="Georgia" w:hAnsiTheme="majorBidi" w:cstheme="majorBidi"/>
          <w:color w:val="242424"/>
          <w:spacing w:val="-6"/>
          <w:sz w:val="14"/>
          <w:szCs w:val="14"/>
          <w:lang w:val="en-CA" w:eastAsia="en-GB"/>
        </w:rPr>
        <w:t xml:space="preserve"> </w:t>
      </w:r>
      <w:r w:rsidRPr="005F0A67">
        <w:rPr>
          <w:rFonts w:asciiTheme="majorBidi" w:eastAsia="Georgia" w:hAnsiTheme="majorBidi" w:cstheme="majorBidi"/>
          <w:color w:val="242424"/>
          <w:spacing w:val="-2"/>
          <w:sz w:val="14"/>
          <w:szCs w:val="14"/>
          <w:lang w:val="en-CA" w:eastAsia="en-GB"/>
        </w:rPr>
        <w:t>benefits</w:t>
      </w:r>
      <w:r w:rsidRPr="005F0A67">
        <w:rPr>
          <w:rFonts w:asciiTheme="majorBidi" w:eastAsia="Georgia" w:hAnsiTheme="majorBidi" w:cstheme="majorBidi"/>
          <w:color w:val="242424"/>
          <w:spacing w:val="-6"/>
          <w:sz w:val="14"/>
          <w:szCs w:val="14"/>
          <w:lang w:val="en-CA" w:eastAsia="en-GB"/>
        </w:rPr>
        <w:t xml:space="preserve"> </w:t>
      </w:r>
      <w:r w:rsidRPr="005F0A67">
        <w:rPr>
          <w:rFonts w:asciiTheme="majorBidi" w:eastAsia="Georgia" w:hAnsiTheme="majorBidi" w:cstheme="majorBidi"/>
          <w:color w:val="242424"/>
          <w:spacing w:val="-2"/>
          <w:sz w:val="14"/>
          <w:szCs w:val="14"/>
          <w:lang w:val="en-CA" w:eastAsia="en-GB"/>
        </w:rPr>
        <w:t>from</w:t>
      </w:r>
      <w:r w:rsidRPr="005F0A67">
        <w:rPr>
          <w:rFonts w:asciiTheme="majorBidi" w:eastAsia="Georgia" w:hAnsiTheme="majorBidi" w:cstheme="majorBidi"/>
          <w:color w:val="242424"/>
          <w:spacing w:val="-6"/>
          <w:sz w:val="14"/>
          <w:szCs w:val="14"/>
          <w:lang w:val="en-CA" w:eastAsia="en-GB"/>
        </w:rPr>
        <w:t xml:space="preserve"> </w:t>
      </w:r>
      <w:r w:rsidRPr="005F0A67">
        <w:rPr>
          <w:rFonts w:asciiTheme="majorBidi" w:eastAsia="Georgia" w:hAnsiTheme="majorBidi" w:cstheme="majorBidi"/>
          <w:color w:val="242424"/>
          <w:spacing w:val="-2"/>
          <w:sz w:val="14"/>
          <w:szCs w:val="14"/>
          <w:lang w:val="en-CA" w:eastAsia="en-GB"/>
        </w:rPr>
        <w:t>the</w:t>
      </w:r>
      <w:r w:rsidRPr="005F0A67">
        <w:rPr>
          <w:rFonts w:asciiTheme="majorBidi" w:eastAsia="Georgia" w:hAnsiTheme="majorBidi" w:cstheme="majorBidi"/>
          <w:color w:val="242424"/>
          <w:spacing w:val="-6"/>
          <w:sz w:val="14"/>
          <w:szCs w:val="14"/>
          <w:lang w:val="en-CA" w:eastAsia="en-GB"/>
        </w:rPr>
        <w:t xml:space="preserve"> </w:t>
      </w:r>
      <w:r w:rsidRPr="005F0A67">
        <w:rPr>
          <w:rFonts w:asciiTheme="majorBidi" w:eastAsia="Georgia" w:hAnsiTheme="majorBidi" w:cstheme="majorBidi"/>
          <w:color w:val="242424"/>
          <w:spacing w:val="-2"/>
          <w:sz w:val="14"/>
          <w:szCs w:val="14"/>
          <w:lang w:val="en-CA" w:eastAsia="en-GB"/>
        </w:rPr>
        <w:t>use</w:t>
      </w:r>
      <w:r w:rsidRPr="005F0A67">
        <w:rPr>
          <w:rFonts w:asciiTheme="majorBidi" w:eastAsia="Georgia" w:hAnsiTheme="majorBidi" w:cstheme="majorBidi"/>
          <w:color w:val="242424"/>
          <w:spacing w:val="-6"/>
          <w:sz w:val="14"/>
          <w:szCs w:val="14"/>
          <w:lang w:val="en-CA" w:eastAsia="en-GB"/>
        </w:rPr>
        <w:t xml:space="preserve"> </w:t>
      </w:r>
      <w:r w:rsidRPr="005F0A67">
        <w:rPr>
          <w:rFonts w:asciiTheme="majorBidi" w:eastAsia="Georgia" w:hAnsiTheme="majorBidi" w:cstheme="majorBidi"/>
          <w:color w:val="242424"/>
          <w:spacing w:val="-2"/>
          <w:sz w:val="14"/>
          <w:szCs w:val="14"/>
          <w:lang w:val="en-CA" w:eastAsia="en-GB"/>
        </w:rPr>
        <w:t>of</w:t>
      </w:r>
      <w:r w:rsidRPr="005F0A67">
        <w:rPr>
          <w:rFonts w:asciiTheme="majorBidi" w:eastAsia="Georgia" w:hAnsiTheme="majorBidi" w:cstheme="majorBidi"/>
          <w:color w:val="242424"/>
          <w:spacing w:val="-6"/>
          <w:sz w:val="14"/>
          <w:szCs w:val="14"/>
          <w:lang w:val="en-CA" w:eastAsia="en-GB"/>
        </w:rPr>
        <w:t xml:space="preserve"> </w:t>
      </w:r>
      <w:r w:rsidRPr="005F0A67">
        <w:rPr>
          <w:rFonts w:asciiTheme="majorBidi" w:eastAsia="Georgia" w:hAnsiTheme="majorBidi" w:cstheme="majorBidi"/>
          <w:color w:val="242424"/>
          <w:spacing w:val="-2"/>
          <w:sz w:val="14"/>
          <w:szCs w:val="14"/>
          <w:lang w:val="en-CA" w:eastAsia="en-GB"/>
        </w:rPr>
        <w:t>digital</w:t>
      </w:r>
      <w:r w:rsidRPr="005F0A67">
        <w:rPr>
          <w:rFonts w:asciiTheme="majorBidi" w:eastAsia="Georgia" w:hAnsiTheme="majorBidi" w:cstheme="majorBidi"/>
          <w:color w:val="242424"/>
          <w:spacing w:val="-6"/>
          <w:sz w:val="14"/>
          <w:szCs w:val="14"/>
          <w:lang w:val="en-CA" w:eastAsia="en-GB"/>
        </w:rPr>
        <w:t xml:space="preserve"> </w:t>
      </w:r>
      <w:r w:rsidRPr="005F0A67">
        <w:rPr>
          <w:rFonts w:asciiTheme="majorBidi" w:eastAsia="Georgia" w:hAnsiTheme="majorBidi" w:cstheme="majorBidi"/>
          <w:color w:val="242424"/>
          <w:spacing w:val="-2"/>
          <w:sz w:val="14"/>
          <w:szCs w:val="14"/>
          <w:lang w:val="en-CA" w:eastAsia="en-GB"/>
        </w:rPr>
        <w:t>sequence</w:t>
      </w:r>
      <w:r w:rsidRPr="005F0A67">
        <w:rPr>
          <w:rFonts w:asciiTheme="majorBidi" w:eastAsia="Georgia" w:hAnsiTheme="majorBidi" w:cstheme="majorBidi"/>
          <w:color w:val="242424"/>
          <w:spacing w:val="-6"/>
          <w:sz w:val="14"/>
          <w:szCs w:val="14"/>
          <w:lang w:val="en-CA" w:eastAsia="en-GB"/>
        </w:rPr>
        <w:t xml:space="preserve"> </w:t>
      </w:r>
      <w:r w:rsidRPr="005F0A67">
        <w:rPr>
          <w:rFonts w:asciiTheme="majorBidi" w:eastAsia="Georgia" w:hAnsiTheme="majorBidi" w:cstheme="majorBidi"/>
          <w:color w:val="242424"/>
          <w:spacing w:val="-2"/>
          <w:sz w:val="14"/>
          <w:szCs w:val="14"/>
          <w:lang w:val="en-CA" w:eastAsia="en-GB"/>
        </w:rPr>
        <w:t>information</w:t>
      </w:r>
      <w:r w:rsidRPr="005F0A67">
        <w:rPr>
          <w:rFonts w:asciiTheme="majorBidi" w:eastAsia="Georgia" w:hAnsiTheme="majorBidi" w:cstheme="majorBidi"/>
          <w:color w:val="242424"/>
          <w:spacing w:val="-6"/>
          <w:sz w:val="14"/>
          <w:szCs w:val="14"/>
          <w:lang w:val="en-CA" w:eastAsia="en-GB"/>
        </w:rPr>
        <w:t xml:space="preserve"> </w:t>
      </w:r>
      <w:r w:rsidRPr="005F0A67">
        <w:rPr>
          <w:rFonts w:asciiTheme="majorBidi" w:eastAsia="Georgia" w:hAnsiTheme="majorBidi" w:cstheme="majorBidi"/>
          <w:color w:val="242424"/>
          <w:spacing w:val="-2"/>
          <w:sz w:val="14"/>
          <w:szCs w:val="14"/>
          <w:lang w:val="en-CA" w:eastAsia="en-GB"/>
        </w:rPr>
        <w:t>on</w:t>
      </w:r>
      <w:r w:rsidRPr="005F0A67">
        <w:rPr>
          <w:rFonts w:asciiTheme="majorBidi" w:eastAsia="Georgia" w:hAnsiTheme="majorBidi" w:cstheme="majorBidi"/>
          <w:color w:val="242424"/>
          <w:spacing w:val="-6"/>
          <w:sz w:val="14"/>
          <w:szCs w:val="14"/>
          <w:lang w:val="en-CA" w:eastAsia="en-GB"/>
        </w:rPr>
        <w:t xml:space="preserve"> </w:t>
      </w:r>
      <w:r w:rsidRPr="005F0A67">
        <w:rPr>
          <w:rFonts w:asciiTheme="majorBidi" w:eastAsia="Georgia" w:hAnsiTheme="majorBidi" w:cstheme="majorBidi"/>
          <w:color w:val="242424"/>
          <w:spacing w:val="-2"/>
          <w:sz w:val="14"/>
          <w:szCs w:val="14"/>
          <w:lang w:val="en-CA" w:eastAsia="en-GB"/>
        </w:rPr>
        <w:t>genetic</w:t>
      </w:r>
      <w:r w:rsidRPr="005F0A67">
        <w:rPr>
          <w:rFonts w:asciiTheme="majorBidi" w:eastAsia="Georgia" w:hAnsiTheme="majorBidi" w:cstheme="majorBidi"/>
          <w:color w:val="242424"/>
          <w:spacing w:val="-6"/>
          <w:sz w:val="14"/>
          <w:szCs w:val="14"/>
          <w:lang w:val="en-CA" w:eastAsia="en-GB"/>
        </w:rPr>
        <w:t xml:space="preserve"> </w:t>
      </w:r>
      <w:r w:rsidRPr="005F0A67">
        <w:rPr>
          <w:rFonts w:asciiTheme="majorBidi" w:eastAsia="Georgia" w:hAnsiTheme="majorBidi" w:cstheme="majorBidi"/>
          <w:color w:val="242424"/>
          <w:spacing w:val="-2"/>
          <w:sz w:val="14"/>
          <w:szCs w:val="14"/>
          <w:lang w:val="en-CA" w:eastAsia="en-GB"/>
        </w:rPr>
        <w:t>resources</w:t>
      </w:r>
      <w:r w:rsidRPr="005F0A67">
        <w:rPr>
          <w:rFonts w:asciiTheme="majorBidi" w:eastAsia="Georgia" w:hAnsiTheme="majorBidi" w:cstheme="majorBidi"/>
          <w:color w:val="242424"/>
          <w:spacing w:val="-6"/>
          <w:sz w:val="14"/>
          <w:szCs w:val="14"/>
          <w:lang w:val="en-CA" w:eastAsia="en-GB"/>
        </w:rPr>
        <w:t xml:space="preserve"> </w:t>
      </w:r>
      <w:r w:rsidRPr="005F0A67">
        <w:rPr>
          <w:rFonts w:asciiTheme="majorBidi" w:eastAsia="Georgia" w:hAnsiTheme="majorBidi" w:cstheme="majorBidi"/>
          <w:color w:val="242424"/>
          <w:spacing w:val="-2"/>
          <w:sz w:val="14"/>
          <w:szCs w:val="14"/>
          <w:lang w:val="en-CA" w:eastAsia="en-GB"/>
        </w:rPr>
        <w:t>is</w:t>
      </w:r>
      <w:r w:rsidRPr="005F0A67">
        <w:rPr>
          <w:rFonts w:asciiTheme="majorBidi" w:eastAsia="Georgia" w:hAnsiTheme="majorBidi" w:cstheme="majorBidi"/>
          <w:color w:val="242424"/>
          <w:spacing w:val="40"/>
          <w:sz w:val="14"/>
          <w:szCs w:val="14"/>
          <w:lang w:val="en-CA" w:eastAsia="en-GB"/>
        </w:rPr>
        <w:t xml:space="preserve"> </w:t>
      </w:r>
      <w:r w:rsidRPr="005F0A67">
        <w:rPr>
          <w:rFonts w:asciiTheme="majorBidi" w:eastAsia="Georgia" w:hAnsiTheme="majorBidi" w:cstheme="majorBidi"/>
          <w:color w:val="242424"/>
          <w:spacing w:val="-2"/>
          <w:sz w:val="14"/>
          <w:szCs w:val="14"/>
          <w:lang w:val="en-CA" w:eastAsia="en-GB"/>
        </w:rPr>
        <w:t>not</w:t>
      </w:r>
      <w:r w:rsidRPr="005F0A67">
        <w:rPr>
          <w:rFonts w:asciiTheme="majorBidi" w:eastAsia="Georgia" w:hAnsiTheme="majorBidi" w:cstheme="majorBidi"/>
          <w:color w:val="242424"/>
          <w:spacing w:val="-6"/>
          <w:sz w:val="14"/>
          <w:szCs w:val="14"/>
          <w:lang w:val="en-CA" w:eastAsia="en-GB"/>
        </w:rPr>
        <w:t xml:space="preserve"> </w:t>
      </w:r>
      <w:r w:rsidRPr="005F0A67">
        <w:rPr>
          <w:rFonts w:asciiTheme="majorBidi" w:eastAsia="Georgia" w:hAnsiTheme="majorBidi" w:cstheme="majorBidi"/>
          <w:color w:val="242424"/>
          <w:spacing w:val="-2"/>
          <w:sz w:val="14"/>
          <w:szCs w:val="14"/>
          <w:lang w:val="en-CA" w:eastAsia="en-GB"/>
        </w:rPr>
        <w:t>provided</w:t>
      </w:r>
      <w:r w:rsidRPr="005F0A67">
        <w:rPr>
          <w:rFonts w:asciiTheme="majorBidi" w:eastAsia="Georgia" w:hAnsiTheme="majorBidi" w:cstheme="majorBidi"/>
          <w:color w:val="242424"/>
          <w:spacing w:val="-6"/>
          <w:sz w:val="14"/>
          <w:szCs w:val="14"/>
          <w:lang w:val="en-CA" w:eastAsia="en-GB"/>
        </w:rPr>
        <w:t xml:space="preserve"> </w:t>
      </w:r>
      <w:r w:rsidRPr="005F0A67">
        <w:rPr>
          <w:rFonts w:asciiTheme="majorBidi" w:eastAsia="Georgia" w:hAnsiTheme="majorBidi" w:cstheme="majorBidi"/>
          <w:color w:val="242424"/>
          <w:spacing w:val="-2"/>
          <w:sz w:val="14"/>
          <w:szCs w:val="14"/>
          <w:lang w:val="en-CA" w:eastAsia="en-GB"/>
        </w:rPr>
        <w:t>for</w:t>
      </w:r>
      <w:r w:rsidRPr="005F0A67">
        <w:rPr>
          <w:rFonts w:asciiTheme="majorBidi" w:eastAsia="Georgia" w:hAnsiTheme="majorBidi" w:cstheme="majorBidi"/>
          <w:color w:val="242424"/>
          <w:spacing w:val="-6"/>
          <w:sz w:val="14"/>
          <w:szCs w:val="14"/>
          <w:lang w:val="en-CA" w:eastAsia="en-GB"/>
        </w:rPr>
        <w:t xml:space="preserve"> </w:t>
      </w:r>
      <w:r w:rsidRPr="005F0A67">
        <w:rPr>
          <w:rFonts w:asciiTheme="majorBidi" w:eastAsia="Georgia" w:hAnsiTheme="majorBidi" w:cstheme="majorBidi"/>
          <w:color w:val="242424"/>
          <w:spacing w:val="-2"/>
          <w:sz w:val="14"/>
          <w:szCs w:val="14"/>
          <w:lang w:val="en-CA" w:eastAsia="en-GB"/>
        </w:rPr>
        <w:t>under</w:t>
      </w:r>
      <w:r w:rsidRPr="005F0A67">
        <w:rPr>
          <w:rFonts w:asciiTheme="majorBidi" w:eastAsia="Georgia" w:hAnsiTheme="majorBidi" w:cstheme="majorBidi"/>
          <w:color w:val="242424"/>
          <w:spacing w:val="-6"/>
          <w:sz w:val="14"/>
          <w:szCs w:val="14"/>
          <w:lang w:val="en-CA" w:eastAsia="en-GB"/>
        </w:rPr>
        <w:t xml:space="preserve"> </w:t>
      </w:r>
      <w:r w:rsidRPr="005F0A67">
        <w:rPr>
          <w:rFonts w:asciiTheme="majorBidi" w:eastAsia="Georgia" w:hAnsiTheme="majorBidi" w:cstheme="majorBidi"/>
          <w:color w:val="242424"/>
          <w:spacing w:val="-2"/>
          <w:sz w:val="14"/>
          <w:szCs w:val="14"/>
          <w:lang w:val="en-CA" w:eastAsia="en-GB"/>
        </w:rPr>
        <w:t>other</w:t>
      </w:r>
      <w:r w:rsidRPr="005F0A67">
        <w:rPr>
          <w:rFonts w:asciiTheme="majorBidi" w:eastAsia="Georgia" w:hAnsiTheme="majorBidi" w:cstheme="majorBidi"/>
          <w:color w:val="242424"/>
          <w:spacing w:val="-6"/>
          <w:sz w:val="14"/>
          <w:szCs w:val="14"/>
          <w:lang w:val="en-CA" w:eastAsia="en-GB"/>
        </w:rPr>
        <w:t xml:space="preserve"> </w:t>
      </w:r>
      <w:r w:rsidRPr="005F0A67">
        <w:rPr>
          <w:rFonts w:asciiTheme="majorBidi" w:eastAsia="Georgia" w:hAnsiTheme="majorBidi" w:cstheme="majorBidi"/>
          <w:color w:val="242424"/>
          <w:spacing w:val="-2"/>
          <w:sz w:val="14"/>
          <w:szCs w:val="14"/>
          <w:lang w:val="en-CA" w:eastAsia="en-GB"/>
        </w:rPr>
        <w:t>international</w:t>
      </w:r>
      <w:r w:rsidRPr="005F0A67">
        <w:rPr>
          <w:rFonts w:asciiTheme="majorBidi" w:eastAsia="Georgia" w:hAnsiTheme="majorBidi" w:cstheme="majorBidi"/>
          <w:color w:val="242424"/>
          <w:spacing w:val="-6"/>
          <w:sz w:val="14"/>
          <w:szCs w:val="14"/>
          <w:lang w:val="en-CA" w:eastAsia="en-GB"/>
        </w:rPr>
        <w:t xml:space="preserve"> </w:t>
      </w:r>
      <w:r w:rsidRPr="005F0A67">
        <w:rPr>
          <w:rFonts w:asciiTheme="majorBidi" w:eastAsia="Georgia" w:hAnsiTheme="majorBidi" w:cstheme="majorBidi"/>
          <w:color w:val="242424"/>
          <w:spacing w:val="-2"/>
          <w:sz w:val="14"/>
          <w:szCs w:val="14"/>
          <w:lang w:val="en-CA" w:eastAsia="en-GB"/>
        </w:rPr>
        <w:t>instruments</w:t>
      </w:r>
      <w:r w:rsidRPr="005F0A67">
        <w:rPr>
          <w:rFonts w:asciiTheme="majorBidi" w:eastAsia="Georgia" w:hAnsiTheme="majorBidi" w:cstheme="majorBidi"/>
          <w:color w:val="242424"/>
          <w:spacing w:val="-6"/>
          <w:sz w:val="14"/>
          <w:szCs w:val="14"/>
          <w:lang w:val="en-CA" w:eastAsia="en-GB"/>
        </w:rPr>
        <w:t xml:space="preserve"> </w:t>
      </w:r>
      <w:r w:rsidRPr="005F0A67">
        <w:rPr>
          <w:rFonts w:asciiTheme="majorBidi" w:eastAsia="Georgia" w:hAnsiTheme="majorBidi" w:cstheme="majorBidi"/>
          <w:color w:val="242424"/>
          <w:spacing w:val="-2"/>
          <w:sz w:val="14"/>
          <w:szCs w:val="14"/>
          <w:lang w:val="en-CA" w:eastAsia="en-GB"/>
        </w:rPr>
        <w:t>on</w:t>
      </w:r>
      <w:r w:rsidRPr="005F0A67">
        <w:rPr>
          <w:rFonts w:asciiTheme="majorBidi" w:eastAsia="Georgia" w:hAnsiTheme="majorBidi" w:cstheme="majorBidi"/>
          <w:color w:val="242424"/>
          <w:spacing w:val="-6"/>
          <w:sz w:val="14"/>
          <w:szCs w:val="14"/>
          <w:lang w:val="en-CA" w:eastAsia="en-GB"/>
        </w:rPr>
        <w:t xml:space="preserve"> </w:t>
      </w:r>
      <w:r w:rsidRPr="005F0A67">
        <w:rPr>
          <w:rFonts w:asciiTheme="majorBidi" w:eastAsia="Georgia" w:hAnsiTheme="majorBidi" w:cstheme="majorBidi"/>
          <w:color w:val="242424"/>
          <w:spacing w:val="-2"/>
          <w:sz w:val="14"/>
          <w:szCs w:val="14"/>
          <w:lang w:val="en-CA" w:eastAsia="en-GB"/>
        </w:rPr>
        <w:t>access</w:t>
      </w:r>
      <w:r w:rsidRPr="005F0A67">
        <w:rPr>
          <w:rFonts w:asciiTheme="majorBidi" w:eastAsia="Georgia" w:hAnsiTheme="majorBidi" w:cstheme="majorBidi"/>
          <w:color w:val="242424"/>
          <w:spacing w:val="-6"/>
          <w:sz w:val="14"/>
          <w:szCs w:val="14"/>
          <w:lang w:val="en-CA" w:eastAsia="en-GB"/>
        </w:rPr>
        <w:t xml:space="preserve"> </w:t>
      </w:r>
      <w:r w:rsidRPr="005F0A67">
        <w:rPr>
          <w:rFonts w:asciiTheme="majorBidi" w:eastAsia="Georgia" w:hAnsiTheme="majorBidi" w:cstheme="majorBidi"/>
          <w:color w:val="242424"/>
          <w:spacing w:val="-2"/>
          <w:sz w:val="14"/>
          <w:szCs w:val="14"/>
          <w:lang w:val="en-CA" w:eastAsia="en-GB"/>
        </w:rPr>
        <w:t>and</w:t>
      </w:r>
      <w:r w:rsidRPr="005F0A67">
        <w:rPr>
          <w:rFonts w:asciiTheme="majorBidi" w:eastAsia="Georgia" w:hAnsiTheme="majorBidi" w:cstheme="majorBidi"/>
          <w:color w:val="242424"/>
          <w:spacing w:val="-6"/>
          <w:sz w:val="14"/>
          <w:szCs w:val="14"/>
          <w:lang w:val="en-CA" w:eastAsia="en-GB"/>
        </w:rPr>
        <w:t xml:space="preserve"> </w:t>
      </w:r>
      <w:r w:rsidRPr="005F0A67">
        <w:rPr>
          <w:rFonts w:asciiTheme="majorBidi" w:eastAsia="Georgia" w:hAnsiTheme="majorBidi" w:cstheme="majorBidi"/>
          <w:color w:val="242424"/>
          <w:spacing w:val="-2"/>
          <w:sz w:val="14"/>
          <w:szCs w:val="14"/>
          <w:lang w:val="en-CA" w:eastAsia="en-GB"/>
        </w:rPr>
        <w:t>benefit-sharing,</w:t>
      </w:r>
      <w:r w:rsidRPr="005F0A67">
        <w:rPr>
          <w:rFonts w:asciiTheme="majorBidi" w:eastAsia="Georgia" w:hAnsiTheme="majorBidi" w:cstheme="majorBidi"/>
          <w:color w:val="242424"/>
          <w:spacing w:val="-6"/>
          <w:sz w:val="14"/>
          <w:szCs w:val="14"/>
          <w:lang w:val="en-CA" w:eastAsia="en-GB"/>
        </w:rPr>
        <w:t xml:space="preserve"> </w:t>
      </w:r>
      <w:r w:rsidRPr="005F0A67">
        <w:rPr>
          <w:rFonts w:asciiTheme="majorBidi" w:eastAsia="Georgia" w:hAnsiTheme="majorBidi" w:cstheme="majorBidi"/>
          <w:color w:val="242424"/>
          <w:spacing w:val="-2"/>
          <w:sz w:val="14"/>
          <w:szCs w:val="14"/>
          <w:lang w:val="en-CA" w:eastAsia="en-GB"/>
        </w:rPr>
        <w:t>unless</w:t>
      </w:r>
      <w:r w:rsidRPr="005F0A67">
        <w:rPr>
          <w:rFonts w:asciiTheme="majorBidi" w:eastAsia="Georgia" w:hAnsiTheme="majorBidi" w:cstheme="majorBidi"/>
          <w:color w:val="242424"/>
          <w:spacing w:val="-6"/>
          <w:sz w:val="14"/>
          <w:szCs w:val="14"/>
          <w:lang w:val="en-CA" w:eastAsia="en-GB"/>
        </w:rPr>
        <w:t xml:space="preserve"> </w:t>
      </w:r>
      <w:r w:rsidRPr="005F0A67">
        <w:rPr>
          <w:rFonts w:asciiTheme="majorBidi" w:eastAsia="Georgia" w:hAnsiTheme="majorBidi" w:cstheme="majorBidi"/>
          <w:color w:val="242424"/>
          <w:spacing w:val="-2"/>
          <w:sz w:val="14"/>
          <w:szCs w:val="14"/>
          <w:lang w:val="en-CA" w:eastAsia="en-GB"/>
        </w:rPr>
        <w:t>the</w:t>
      </w:r>
      <w:r w:rsidRPr="005F0A67">
        <w:rPr>
          <w:rFonts w:asciiTheme="majorBidi" w:eastAsia="Georgia" w:hAnsiTheme="majorBidi" w:cstheme="majorBidi"/>
          <w:color w:val="242424"/>
          <w:spacing w:val="-6"/>
          <w:sz w:val="14"/>
          <w:szCs w:val="14"/>
          <w:lang w:val="en-CA" w:eastAsia="en-GB"/>
        </w:rPr>
        <w:t xml:space="preserve"> </w:t>
      </w:r>
      <w:r w:rsidRPr="005F0A67">
        <w:rPr>
          <w:rFonts w:asciiTheme="majorBidi" w:eastAsia="Georgia" w:hAnsiTheme="majorBidi" w:cstheme="majorBidi"/>
          <w:color w:val="242424"/>
          <w:spacing w:val="-2"/>
          <w:sz w:val="14"/>
          <w:szCs w:val="14"/>
          <w:lang w:val="en-CA" w:eastAsia="en-GB"/>
        </w:rPr>
        <w:t>multilateral</w:t>
      </w:r>
      <w:r w:rsidRPr="005F0A67">
        <w:rPr>
          <w:rFonts w:asciiTheme="majorBidi" w:eastAsia="Georgia" w:hAnsiTheme="majorBidi" w:cstheme="majorBidi"/>
          <w:color w:val="242424"/>
          <w:spacing w:val="-6"/>
          <w:sz w:val="14"/>
          <w:szCs w:val="14"/>
          <w:lang w:val="en-CA" w:eastAsia="en-GB"/>
        </w:rPr>
        <w:t xml:space="preserve"> </w:t>
      </w:r>
      <w:r w:rsidRPr="005F0A67">
        <w:rPr>
          <w:rFonts w:asciiTheme="majorBidi" w:eastAsia="Georgia" w:hAnsiTheme="majorBidi" w:cstheme="majorBidi"/>
          <w:color w:val="242424"/>
          <w:spacing w:val="-2"/>
          <w:sz w:val="14"/>
          <w:szCs w:val="14"/>
          <w:lang w:val="en-CA" w:eastAsia="en-GB"/>
        </w:rPr>
        <w:t>mechanism</w:t>
      </w:r>
      <w:r w:rsidRPr="005F0A67">
        <w:rPr>
          <w:rFonts w:asciiTheme="majorBidi" w:eastAsia="Georgia" w:hAnsiTheme="majorBidi" w:cstheme="majorBidi"/>
          <w:color w:val="242424"/>
          <w:spacing w:val="-6"/>
          <w:sz w:val="14"/>
          <w:szCs w:val="14"/>
          <w:lang w:val="en-CA" w:eastAsia="en-GB"/>
        </w:rPr>
        <w:t xml:space="preserve"> </w:t>
      </w:r>
      <w:r w:rsidRPr="005F0A67">
        <w:rPr>
          <w:rFonts w:asciiTheme="majorBidi" w:eastAsia="Georgia" w:hAnsiTheme="majorBidi" w:cstheme="majorBidi"/>
          <w:color w:val="242424"/>
          <w:spacing w:val="-2"/>
          <w:sz w:val="14"/>
          <w:szCs w:val="14"/>
          <w:lang w:val="en-CA" w:eastAsia="en-GB"/>
        </w:rPr>
        <w:t>is</w:t>
      </w:r>
      <w:r w:rsidRPr="005F0A67">
        <w:rPr>
          <w:rFonts w:asciiTheme="majorBidi" w:eastAsia="Georgia" w:hAnsiTheme="majorBidi" w:cstheme="majorBidi"/>
          <w:color w:val="242424"/>
          <w:spacing w:val="40"/>
          <w:w w:val="105"/>
          <w:sz w:val="14"/>
          <w:szCs w:val="14"/>
          <w:lang w:val="en-CA" w:eastAsia="en-GB"/>
        </w:rPr>
        <w:t xml:space="preserve"> </w:t>
      </w:r>
      <w:r w:rsidRPr="005F0A67">
        <w:rPr>
          <w:rFonts w:asciiTheme="majorBidi" w:eastAsia="Georgia" w:hAnsiTheme="majorBidi" w:cstheme="majorBidi"/>
          <w:color w:val="242424"/>
          <w:spacing w:val="-2"/>
          <w:w w:val="105"/>
          <w:sz w:val="14"/>
          <w:szCs w:val="14"/>
          <w:lang w:val="en-CA" w:eastAsia="en-GB"/>
        </w:rPr>
        <w:t>chosen</w:t>
      </w:r>
      <w:r w:rsidRPr="005F0A67">
        <w:rPr>
          <w:rFonts w:asciiTheme="majorBidi" w:eastAsia="Georgia" w:hAnsiTheme="majorBidi" w:cstheme="majorBidi"/>
          <w:color w:val="242424"/>
          <w:spacing w:val="-9"/>
          <w:w w:val="105"/>
          <w:sz w:val="14"/>
          <w:szCs w:val="14"/>
          <w:lang w:val="en-CA" w:eastAsia="en-GB"/>
        </w:rPr>
        <w:t xml:space="preserve"> </w:t>
      </w:r>
      <w:r w:rsidRPr="005F0A67">
        <w:rPr>
          <w:rFonts w:asciiTheme="majorBidi" w:eastAsia="Georgia" w:hAnsiTheme="majorBidi" w:cstheme="majorBidi"/>
          <w:color w:val="242424"/>
          <w:spacing w:val="-2"/>
          <w:w w:val="105"/>
          <w:sz w:val="14"/>
          <w:szCs w:val="14"/>
          <w:lang w:val="en-CA" w:eastAsia="en-GB"/>
        </w:rPr>
        <w:t>for</w:t>
      </w:r>
      <w:r w:rsidRPr="005F0A67">
        <w:rPr>
          <w:rFonts w:asciiTheme="majorBidi" w:eastAsia="Georgia" w:hAnsiTheme="majorBidi" w:cstheme="majorBidi"/>
          <w:color w:val="242424"/>
          <w:spacing w:val="-8"/>
          <w:w w:val="105"/>
          <w:sz w:val="14"/>
          <w:szCs w:val="14"/>
          <w:lang w:val="en-CA" w:eastAsia="en-GB"/>
        </w:rPr>
        <w:t xml:space="preserve"> </w:t>
      </w:r>
      <w:r w:rsidRPr="005F0A67">
        <w:rPr>
          <w:rFonts w:asciiTheme="majorBidi" w:eastAsia="Georgia" w:hAnsiTheme="majorBidi" w:cstheme="majorBidi"/>
          <w:color w:val="242424"/>
          <w:spacing w:val="-2"/>
          <w:w w:val="105"/>
          <w:sz w:val="14"/>
          <w:szCs w:val="14"/>
          <w:lang w:val="en-CA" w:eastAsia="en-GB"/>
        </w:rPr>
        <w:t>that</w:t>
      </w:r>
      <w:r w:rsidRPr="005F0A67">
        <w:rPr>
          <w:rFonts w:asciiTheme="majorBidi" w:eastAsia="Georgia" w:hAnsiTheme="majorBidi" w:cstheme="majorBidi"/>
          <w:color w:val="242424"/>
          <w:spacing w:val="-8"/>
          <w:w w:val="105"/>
          <w:sz w:val="14"/>
          <w:szCs w:val="14"/>
          <w:lang w:val="en-CA" w:eastAsia="en-GB"/>
        </w:rPr>
        <w:t xml:space="preserve"> </w:t>
      </w:r>
      <w:r w:rsidRPr="005F0A67">
        <w:rPr>
          <w:rFonts w:asciiTheme="majorBidi" w:eastAsia="Georgia" w:hAnsiTheme="majorBidi" w:cstheme="majorBidi"/>
          <w:color w:val="242424"/>
          <w:spacing w:val="-2"/>
          <w:w w:val="105"/>
          <w:sz w:val="14"/>
          <w:szCs w:val="14"/>
          <w:lang w:val="en-CA" w:eastAsia="en-GB"/>
        </w:rPr>
        <w:t>purpose</w:t>
      </w:r>
      <w:r w:rsidRPr="005F0A67">
        <w:rPr>
          <w:rFonts w:asciiTheme="majorBidi" w:eastAsia="Georgia" w:hAnsiTheme="majorBidi" w:cstheme="majorBidi"/>
          <w:color w:val="242424"/>
          <w:spacing w:val="-8"/>
          <w:w w:val="105"/>
          <w:sz w:val="14"/>
          <w:szCs w:val="14"/>
          <w:lang w:val="en-CA" w:eastAsia="en-GB"/>
        </w:rPr>
        <w:t xml:space="preserve"> </w:t>
      </w:r>
      <w:r w:rsidRPr="005F0A67">
        <w:rPr>
          <w:rFonts w:asciiTheme="majorBidi" w:eastAsia="Georgia" w:hAnsiTheme="majorBidi" w:cstheme="majorBidi"/>
          <w:color w:val="242424"/>
          <w:spacing w:val="-2"/>
          <w:w w:val="105"/>
          <w:sz w:val="14"/>
          <w:szCs w:val="14"/>
          <w:lang w:val="en-CA" w:eastAsia="en-GB"/>
        </w:rPr>
        <w:t>under</w:t>
      </w:r>
      <w:r w:rsidRPr="005F0A67">
        <w:rPr>
          <w:rFonts w:asciiTheme="majorBidi" w:eastAsia="Georgia" w:hAnsiTheme="majorBidi" w:cstheme="majorBidi"/>
          <w:color w:val="242424"/>
          <w:spacing w:val="-9"/>
          <w:w w:val="105"/>
          <w:sz w:val="14"/>
          <w:szCs w:val="14"/>
          <w:lang w:val="en-CA" w:eastAsia="en-GB"/>
        </w:rPr>
        <w:t xml:space="preserve"> </w:t>
      </w:r>
      <w:r w:rsidRPr="005F0A67">
        <w:rPr>
          <w:rFonts w:asciiTheme="majorBidi" w:eastAsia="Georgia" w:hAnsiTheme="majorBidi" w:cstheme="majorBidi"/>
          <w:color w:val="242424"/>
          <w:spacing w:val="-2"/>
          <w:w w:val="105"/>
          <w:sz w:val="14"/>
          <w:szCs w:val="14"/>
          <w:lang w:val="en-CA" w:eastAsia="en-GB"/>
        </w:rPr>
        <w:t>those</w:t>
      </w:r>
      <w:r w:rsidRPr="005F0A67">
        <w:rPr>
          <w:rFonts w:asciiTheme="majorBidi" w:eastAsia="Georgia" w:hAnsiTheme="majorBidi" w:cstheme="majorBidi"/>
          <w:color w:val="242424"/>
          <w:spacing w:val="-8"/>
          <w:w w:val="105"/>
          <w:sz w:val="14"/>
          <w:szCs w:val="14"/>
          <w:lang w:val="en-CA" w:eastAsia="en-GB"/>
        </w:rPr>
        <w:t xml:space="preserve"> </w:t>
      </w:r>
      <w:r w:rsidRPr="005F0A67">
        <w:rPr>
          <w:rFonts w:asciiTheme="majorBidi" w:eastAsia="Georgia" w:hAnsiTheme="majorBidi" w:cstheme="majorBidi"/>
          <w:color w:val="242424"/>
          <w:spacing w:val="-2"/>
          <w:w w:val="105"/>
          <w:sz w:val="14"/>
          <w:szCs w:val="14"/>
          <w:lang w:val="en-CA" w:eastAsia="en-GB"/>
        </w:rPr>
        <w:t>instruments.</w:t>
      </w:r>
    </w:p>
    <w:p w14:paraId="5CBD1B26" w14:textId="77777777" w:rsidR="005F0A67" w:rsidRPr="005F0A67" w:rsidRDefault="005F0A67" w:rsidP="005F0A67">
      <w:pPr>
        <w:widowControl w:val="0"/>
        <w:tabs>
          <w:tab w:val="clear" w:pos="567"/>
          <w:tab w:val="clear" w:pos="1134"/>
          <w:tab w:val="clear" w:pos="1701"/>
          <w:tab w:val="clear" w:pos="2268"/>
        </w:tabs>
        <w:spacing w:before="40"/>
        <w:jc w:val="left"/>
        <w:rPr>
          <w:rFonts w:asciiTheme="majorBidi" w:eastAsia="Arial" w:hAnsiTheme="majorBidi" w:cstheme="majorBidi"/>
          <w:sz w:val="14"/>
          <w:szCs w:val="14"/>
          <w:lang w:val="en-US"/>
        </w:rPr>
      </w:pPr>
    </w:p>
    <w:p w14:paraId="5DC76030" w14:textId="77777777" w:rsidR="005F0A67" w:rsidRPr="005F0A67" w:rsidRDefault="005F0A67" w:rsidP="005F0A67">
      <w:pPr>
        <w:widowControl w:val="0"/>
        <w:tabs>
          <w:tab w:val="clear" w:pos="567"/>
          <w:tab w:val="clear" w:pos="1134"/>
          <w:tab w:val="clear" w:pos="1701"/>
          <w:tab w:val="clear" w:pos="2268"/>
        </w:tabs>
        <w:spacing w:line="297" w:lineRule="auto"/>
        <w:ind w:left="515" w:right="484"/>
        <w:jc w:val="left"/>
        <w:rPr>
          <w:rFonts w:asciiTheme="majorBidi" w:eastAsia="Arial" w:hAnsiTheme="majorBidi" w:cstheme="majorBidi"/>
          <w:sz w:val="14"/>
          <w:szCs w:val="14"/>
          <w:lang w:val="en-US"/>
        </w:rPr>
      </w:pPr>
      <w:r w:rsidRPr="005F0A67">
        <w:rPr>
          <w:rFonts w:asciiTheme="majorBidi" w:eastAsia="Arial" w:hAnsiTheme="majorBidi" w:cstheme="majorBidi"/>
          <w:color w:val="242424"/>
          <w:spacing w:val="-4"/>
          <w:sz w:val="14"/>
          <w:szCs w:val="14"/>
          <w:lang w:val="en-US"/>
        </w:rPr>
        <w:t>For this survey, DSI refers to DSI under the scope of the Multilateral Mechanism for the Fair and Equitable Sharing of Benefits</w:t>
      </w:r>
      <w:r w:rsidRPr="005F0A67">
        <w:rPr>
          <w:rFonts w:asciiTheme="majorBidi" w:eastAsia="Arial" w:hAnsiTheme="majorBidi" w:cstheme="majorBidi"/>
          <w:color w:val="242424"/>
          <w:spacing w:val="40"/>
          <w:sz w:val="14"/>
          <w:szCs w:val="14"/>
          <w:lang w:val="en-US"/>
        </w:rPr>
        <w:t xml:space="preserve"> </w:t>
      </w:r>
      <w:r w:rsidRPr="005F0A67">
        <w:rPr>
          <w:rFonts w:asciiTheme="majorBidi" w:eastAsia="Arial" w:hAnsiTheme="majorBidi" w:cstheme="majorBidi"/>
          <w:color w:val="242424"/>
          <w:spacing w:val="-2"/>
          <w:sz w:val="14"/>
          <w:szCs w:val="14"/>
          <w:lang w:val="en-US"/>
        </w:rPr>
        <w:t>from</w:t>
      </w:r>
      <w:r w:rsidRPr="005F0A67">
        <w:rPr>
          <w:rFonts w:asciiTheme="majorBidi" w:eastAsia="Arial" w:hAnsiTheme="majorBidi" w:cstheme="majorBidi"/>
          <w:color w:val="242424"/>
          <w:spacing w:val="-5"/>
          <w:sz w:val="14"/>
          <w:szCs w:val="14"/>
          <w:lang w:val="en-US"/>
        </w:rPr>
        <w:t xml:space="preserve"> </w:t>
      </w:r>
      <w:r w:rsidRPr="005F0A67">
        <w:rPr>
          <w:rFonts w:asciiTheme="majorBidi" w:eastAsia="Arial" w:hAnsiTheme="majorBidi" w:cstheme="majorBidi"/>
          <w:color w:val="242424"/>
          <w:spacing w:val="-2"/>
          <w:sz w:val="14"/>
          <w:szCs w:val="14"/>
          <w:lang w:val="en-US"/>
        </w:rPr>
        <w:t>the</w:t>
      </w:r>
      <w:r w:rsidRPr="005F0A67">
        <w:rPr>
          <w:rFonts w:asciiTheme="majorBidi" w:eastAsia="Arial" w:hAnsiTheme="majorBidi" w:cstheme="majorBidi"/>
          <w:color w:val="242424"/>
          <w:spacing w:val="-5"/>
          <w:sz w:val="14"/>
          <w:szCs w:val="14"/>
          <w:lang w:val="en-US"/>
        </w:rPr>
        <w:t xml:space="preserve"> </w:t>
      </w:r>
      <w:r w:rsidRPr="005F0A67">
        <w:rPr>
          <w:rFonts w:asciiTheme="majorBidi" w:eastAsia="Arial" w:hAnsiTheme="majorBidi" w:cstheme="majorBidi"/>
          <w:color w:val="242424"/>
          <w:spacing w:val="-2"/>
          <w:sz w:val="14"/>
          <w:szCs w:val="14"/>
          <w:lang w:val="en-US"/>
        </w:rPr>
        <w:t>Use</w:t>
      </w:r>
      <w:r w:rsidRPr="005F0A67">
        <w:rPr>
          <w:rFonts w:asciiTheme="majorBidi" w:eastAsia="Arial" w:hAnsiTheme="majorBidi" w:cstheme="majorBidi"/>
          <w:color w:val="242424"/>
          <w:spacing w:val="-5"/>
          <w:sz w:val="14"/>
          <w:szCs w:val="14"/>
          <w:lang w:val="en-US"/>
        </w:rPr>
        <w:t xml:space="preserve"> </w:t>
      </w:r>
      <w:r w:rsidRPr="005F0A67">
        <w:rPr>
          <w:rFonts w:asciiTheme="majorBidi" w:eastAsia="Arial" w:hAnsiTheme="majorBidi" w:cstheme="majorBidi"/>
          <w:color w:val="242424"/>
          <w:spacing w:val="-2"/>
          <w:sz w:val="14"/>
          <w:szCs w:val="14"/>
          <w:lang w:val="en-US"/>
        </w:rPr>
        <w:t>of</w:t>
      </w:r>
      <w:r w:rsidRPr="005F0A67">
        <w:rPr>
          <w:rFonts w:asciiTheme="majorBidi" w:eastAsia="Arial" w:hAnsiTheme="majorBidi" w:cstheme="majorBidi"/>
          <w:color w:val="242424"/>
          <w:spacing w:val="-5"/>
          <w:sz w:val="14"/>
          <w:szCs w:val="14"/>
          <w:lang w:val="en-US"/>
        </w:rPr>
        <w:t xml:space="preserve"> </w:t>
      </w:r>
      <w:r w:rsidRPr="005F0A67">
        <w:rPr>
          <w:rFonts w:asciiTheme="majorBidi" w:eastAsia="Arial" w:hAnsiTheme="majorBidi" w:cstheme="majorBidi"/>
          <w:color w:val="242424"/>
          <w:spacing w:val="-2"/>
          <w:sz w:val="14"/>
          <w:szCs w:val="14"/>
          <w:lang w:val="en-US"/>
        </w:rPr>
        <w:t>Digital</w:t>
      </w:r>
      <w:r w:rsidRPr="005F0A67">
        <w:rPr>
          <w:rFonts w:asciiTheme="majorBidi" w:eastAsia="Arial" w:hAnsiTheme="majorBidi" w:cstheme="majorBidi"/>
          <w:color w:val="242424"/>
          <w:spacing w:val="-5"/>
          <w:sz w:val="14"/>
          <w:szCs w:val="14"/>
          <w:lang w:val="en-US"/>
        </w:rPr>
        <w:t xml:space="preserve"> </w:t>
      </w:r>
      <w:r w:rsidRPr="005F0A67">
        <w:rPr>
          <w:rFonts w:asciiTheme="majorBidi" w:eastAsia="Arial" w:hAnsiTheme="majorBidi" w:cstheme="majorBidi"/>
          <w:color w:val="242424"/>
          <w:spacing w:val="-2"/>
          <w:sz w:val="14"/>
          <w:szCs w:val="14"/>
          <w:lang w:val="en-US"/>
        </w:rPr>
        <w:t>Sequence</w:t>
      </w:r>
      <w:r w:rsidRPr="005F0A67">
        <w:rPr>
          <w:rFonts w:asciiTheme="majorBidi" w:eastAsia="Arial" w:hAnsiTheme="majorBidi" w:cstheme="majorBidi"/>
          <w:color w:val="242424"/>
          <w:spacing w:val="-5"/>
          <w:sz w:val="14"/>
          <w:szCs w:val="14"/>
          <w:lang w:val="en-US"/>
        </w:rPr>
        <w:t xml:space="preserve"> </w:t>
      </w:r>
      <w:r w:rsidRPr="005F0A67">
        <w:rPr>
          <w:rFonts w:asciiTheme="majorBidi" w:eastAsia="Arial" w:hAnsiTheme="majorBidi" w:cstheme="majorBidi"/>
          <w:color w:val="242424"/>
          <w:spacing w:val="-2"/>
          <w:sz w:val="14"/>
          <w:szCs w:val="14"/>
          <w:lang w:val="en-US"/>
        </w:rPr>
        <w:t>Information</w:t>
      </w:r>
      <w:r w:rsidRPr="005F0A67">
        <w:rPr>
          <w:rFonts w:asciiTheme="majorBidi" w:eastAsia="Arial" w:hAnsiTheme="majorBidi" w:cstheme="majorBidi"/>
          <w:color w:val="242424"/>
          <w:spacing w:val="-5"/>
          <w:sz w:val="14"/>
          <w:szCs w:val="14"/>
          <w:lang w:val="en-US"/>
        </w:rPr>
        <w:t xml:space="preserve"> </w:t>
      </w:r>
      <w:r w:rsidRPr="005F0A67">
        <w:rPr>
          <w:rFonts w:asciiTheme="majorBidi" w:eastAsia="Arial" w:hAnsiTheme="majorBidi" w:cstheme="majorBidi"/>
          <w:color w:val="242424"/>
          <w:spacing w:val="-2"/>
          <w:sz w:val="14"/>
          <w:szCs w:val="14"/>
          <w:lang w:val="en-US"/>
        </w:rPr>
        <w:t>on</w:t>
      </w:r>
      <w:r w:rsidRPr="005F0A67">
        <w:rPr>
          <w:rFonts w:asciiTheme="majorBidi" w:eastAsia="Arial" w:hAnsiTheme="majorBidi" w:cstheme="majorBidi"/>
          <w:color w:val="242424"/>
          <w:spacing w:val="-5"/>
          <w:sz w:val="14"/>
          <w:szCs w:val="14"/>
          <w:lang w:val="en-US"/>
        </w:rPr>
        <w:t xml:space="preserve"> </w:t>
      </w:r>
      <w:r w:rsidRPr="005F0A67">
        <w:rPr>
          <w:rFonts w:asciiTheme="majorBidi" w:eastAsia="Arial" w:hAnsiTheme="majorBidi" w:cstheme="majorBidi"/>
          <w:color w:val="242424"/>
          <w:spacing w:val="-2"/>
          <w:sz w:val="14"/>
          <w:szCs w:val="14"/>
          <w:lang w:val="en-US"/>
        </w:rPr>
        <w:t>Genetic</w:t>
      </w:r>
      <w:r w:rsidRPr="005F0A67">
        <w:rPr>
          <w:rFonts w:asciiTheme="majorBidi" w:eastAsia="Arial" w:hAnsiTheme="majorBidi" w:cstheme="majorBidi"/>
          <w:color w:val="242424"/>
          <w:spacing w:val="-5"/>
          <w:sz w:val="14"/>
          <w:szCs w:val="14"/>
          <w:lang w:val="en-US"/>
        </w:rPr>
        <w:t xml:space="preserve"> </w:t>
      </w:r>
      <w:r w:rsidRPr="005F0A67">
        <w:rPr>
          <w:rFonts w:asciiTheme="majorBidi" w:eastAsia="Arial" w:hAnsiTheme="majorBidi" w:cstheme="majorBidi"/>
          <w:color w:val="242424"/>
          <w:spacing w:val="-2"/>
          <w:sz w:val="14"/>
          <w:szCs w:val="14"/>
          <w:lang w:val="en-US"/>
        </w:rPr>
        <w:t>Resources,</w:t>
      </w:r>
      <w:r w:rsidRPr="005F0A67">
        <w:rPr>
          <w:rFonts w:asciiTheme="majorBidi" w:eastAsia="Arial" w:hAnsiTheme="majorBidi" w:cstheme="majorBidi"/>
          <w:color w:val="242424"/>
          <w:spacing w:val="-5"/>
          <w:sz w:val="14"/>
          <w:szCs w:val="14"/>
          <w:lang w:val="en-US"/>
        </w:rPr>
        <w:t xml:space="preserve"> </w:t>
      </w:r>
      <w:r w:rsidRPr="005F0A67">
        <w:rPr>
          <w:rFonts w:asciiTheme="majorBidi" w:eastAsia="Arial" w:hAnsiTheme="majorBidi" w:cstheme="majorBidi"/>
          <w:color w:val="242424"/>
          <w:spacing w:val="-2"/>
          <w:sz w:val="14"/>
          <w:szCs w:val="14"/>
          <w:lang w:val="en-US"/>
        </w:rPr>
        <w:t>including</w:t>
      </w:r>
      <w:r w:rsidRPr="005F0A67">
        <w:rPr>
          <w:rFonts w:asciiTheme="majorBidi" w:eastAsia="Arial" w:hAnsiTheme="majorBidi" w:cstheme="majorBidi"/>
          <w:color w:val="242424"/>
          <w:spacing w:val="-5"/>
          <w:sz w:val="14"/>
          <w:szCs w:val="14"/>
          <w:lang w:val="en-US"/>
        </w:rPr>
        <w:t xml:space="preserve"> </w:t>
      </w:r>
      <w:r w:rsidRPr="005F0A67">
        <w:rPr>
          <w:rFonts w:asciiTheme="majorBidi" w:eastAsia="Arial" w:hAnsiTheme="majorBidi" w:cstheme="majorBidi"/>
          <w:color w:val="242424"/>
          <w:spacing w:val="-2"/>
          <w:sz w:val="14"/>
          <w:szCs w:val="14"/>
          <w:lang w:val="en-US"/>
        </w:rPr>
        <w:t>the</w:t>
      </w:r>
      <w:r w:rsidRPr="005F0A67">
        <w:rPr>
          <w:rFonts w:asciiTheme="majorBidi" w:eastAsia="Arial" w:hAnsiTheme="majorBidi" w:cstheme="majorBidi"/>
          <w:color w:val="242424"/>
          <w:spacing w:val="-5"/>
          <w:sz w:val="14"/>
          <w:szCs w:val="14"/>
          <w:lang w:val="en-US"/>
        </w:rPr>
        <w:t xml:space="preserve"> </w:t>
      </w:r>
      <w:r w:rsidRPr="005F0A67">
        <w:rPr>
          <w:rFonts w:asciiTheme="majorBidi" w:eastAsia="Arial" w:hAnsiTheme="majorBidi" w:cstheme="majorBidi"/>
          <w:color w:val="242424"/>
          <w:spacing w:val="-2"/>
          <w:sz w:val="14"/>
          <w:szCs w:val="14"/>
          <w:lang w:val="en-US"/>
        </w:rPr>
        <w:t>Cali</w:t>
      </w:r>
      <w:r w:rsidRPr="005F0A67">
        <w:rPr>
          <w:rFonts w:asciiTheme="majorBidi" w:eastAsia="Arial" w:hAnsiTheme="majorBidi" w:cstheme="majorBidi"/>
          <w:color w:val="242424"/>
          <w:spacing w:val="-5"/>
          <w:sz w:val="14"/>
          <w:szCs w:val="14"/>
          <w:lang w:val="en-US"/>
        </w:rPr>
        <w:t xml:space="preserve"> </w:t>
      </w:r>
      <w:r w:rsidRPr="005F0A67">
        <w:rPr>
          <w:rFonts w:asciiTheme="majorBidi" w:eastAsia="Arial" w:hAnsiTheme="majorBidi" w:cstheme="majorBidi"/>
          <w:color w:val="242424"/>
          <w:spacing w:val="-2"/>
          <w:sz w:val="14"/>
          <w:szCs w:val="14"/>
          <w:lang w:val="en-US"/>
        </w:rPr>
        <w:t>Fund.</w:t>
      </w:r>
    </w:p>
    <w:p w14:paraId="44C1F40B" w14:textId="77777777" w:rsidR="005F0A67" w:rsidRPr="005F0A67" w:rsidRDefault="005F0A67" w:rsidP="005F0A67">
      <w:pPr>
        <w:widowControl w:val="0"/>
        <w:tabs>
          <w:tab w:val="clear" w:pos="567"/>
          <w:tab w:val="clear" w:pos="1134"/>
          <w:tab w:val="clear" w:pos="1701"/>
          <w:tab w:val="clear" w:pos="2268"/>
        </w:tabs>
        <w:spacing w:line="297" w:lineRule="auto"/>
        <w:jc w:val="left"/>
        <w:rPr>
          <w:rFonts w:asciiTheme="majorBidi" w:eastAsia="Arial" w:hAnsiTheme="majorBidi" w:cstheme="majorBidi"/>
          <w:sz w:val="14"/>
          <w:szCs w:val="14"/>
          <w:lang w:val="en-US"/>
        </w:rPr>
        <w:sectPr w:rsidR="005F0A67" w:rsidRPr="005F0A67" w:rsidSect="005F0A67">
          <w:pgSz w:w="11900" w:h="16840"/>
          <w:pgMar w:top="1360" w:right="1700" w:bottom="280" w:left="1700" w:header="720" w:footer="720" w:gutter="0"/>
          <w:cols w:space="720"/>
        </w:sectPr>
      </w:pPr>
    </w:p>
    <w:p w14:paraId="5FBC2555" w14:textId="77777777" w:rsidR="005F0A67" w:rsidRPr="005F0A67" w:rsidRDefault="005F0A67" w:rsidP="005F0A67">
      <w:pPr>
        <w:pBdr>
          <w:bottom w:val="single" w:sz="2" w:space="6" w:color="D9D9D9"/>
        </w:pBdr>
        <w:tabs>
          <w:tab w:val="clear" w:pos="567"/>
          <w:tab w:val="clear" w:pos="1134"/>
          <w:tab w:val="clear" w:pos="1701"/>
          <w:tab w:val="clear" w:pos="2268"/>
        </w:tabs>
        <w:spacing w:before="400" w:after="60"/>
        <w:ind w:left="432" w:hanging="432"/>
        <w:jc w:val="left"/>
        <w:outlineLvl w:val="0"/>
        <w:rPr>
          <w:rFonts w:asciiTheme="majorBidi" w:eastAsia="Arial" w:hAnsiTheme="majorBidi" w:cstheme="majorBidi"/>
          <w:b/>
          <w:bCs/>
          <w:color w:val="1A1A1A"/>
          <w:sz w:val="28"/>
          <w:szCs w:val="28"/>
          <w:lang w:val="en-CA" w:eastAsia="en-GB"/>
        </w:rPr>
      </w:pPr>
      <w:bookmarkStart w:id="276" w:name="_Toc234579630"/>
      <w:r w:rsidRPr="005F0A67">
        <w:rPr>
          <w:rFonts w:asciiTheme="majorBidi" w:eastAsia="Arial" w:hAnsiTheme="majorBidi" w:cstheme="majorBidi"/>
          <w:b/>
          <w:bCs/>
          <w:color w:val="242424"/>
          <w:sz w:val="28"/>
          <w:szCs w:val="28"/>
          <w:lang w:val="en-CA" w:eastAsia="en-GB"/>
        </w:rPr>
        <w:lastRenderedPageBreak/>
        <w:t>Scope</w:t>
      </w:r>
      <w:r w:rsidRPr="005F0A67">
        <w:rPr>
          <w:rFonts w:asciiTheme="majorBidi" w:eastAsia="Arial" w:hAnsiTheme="majorBidi" w:cstheme="majorBidi"/>
          <w:b/>
          <w:bCs/>
          <w:color w:val="242424"/>
          <w:spacing w:val="8"/>
          <w:sz w:val="28"/>
          <w:szCs w:val="28"/>
          <w:lang w:val="en-CA" w:eastAsia="en-GB"/>
        </w:rPr>
        <w:t xml:space="preserve"> </w:t>
      </w:r>
      <w:r w:rsidRPr="005F0A67">
        <w:rPr>
          <w:rFonts w:asciiTheme="majorBidi" w:eastAsia="Arial" w:hAnsiTheme="majorBidi" w:cstheme="majorBidi"/>
          <w:b/>
          <w:bCs/>
          <w:color w:val="242424"/>
          <w:sz w:val="28"/>
          <w:szCs w:val="28"/>
          <w:lang w:val="en-CA" w:eastAsia="en-GB"/>
        </w:rPr>
        <w:t>of</w:t>
      </w:r>
      <w:r w:rsidRPr="005F0A67">
        <w:rPr>
          <w:rFonts w:asciiTheme="majorBidi" w:eastAsia="Arial" w:hAnsiTheme="majorBidi" w:cstheme="majorBidi"/>
          <w:b/>
          <w:bCs/>
          <w:color w:val="242424"/>
          <w:spacing w:val="8"/>
          <w:sz w:val="28"/>
          <w:szCs w:val="28"/>
          <w:lang w:val="en-CA" w:eastAsia="en-GB"/>
        </w:rPr>
        <w:t xml:space="preserve"> </w:t>
      </w:r>
      <w:r w:rsidRPr="005F0A67">
        <w:rPr>
          <w:rFonts w:asciiTheme="majorBidi" w:eastAsia="Arial" w:hAnsiTheme="majorBidi" w:cstheme="majorBidi"/>
          <w:b/>
          <w:bCs/>
          <w:color w:val="242424"/>
          <w:sz w:val="28"/>
          <w:szCs w:val="28"/>
          <w:lang w:val="en-CA" w:eastAsia="en-GB"/>
        </w:rPr>
        <w:t>DSI,</w:t>
      </w:r>
      <w:r w:rsidRPr="005F0A67">
        <w:rPr>
          <w:rFonts w:asciiTheme="majorBidi" w:eastAsia="Arial" w:hAnsiTheme="majorBidi" w:cstheme="majorBidi"/>
          <w:b/>
          <w:bCs/>
          <w:color w:val="242424"/>
          <w:spacing w:val="8"/>
          <w:sz w:val="28"/>
          <w:szCs w:val="28"/>
          <w:lang w:val="en-CA" w:eastAsia="en-GB"/>
        </w:rPr>
        <w:t xml:space="preserve"> </w:t>
      </w:r>
      <w:r w:rsidRPr="005F0A67">
        <w:rPr>
          <w:rFonts w:asciiTheme="majorBidi" w:eastAsia="Arial" w:hAnsiTheme="majorBidi" w:cstheme="majorBidi"/>
          <w:b/>
          <w:bCs/>
          <w:color w:val="242424"/>
          <w:sz w:val="28"/>
          <w:szCs w:val="28"/>
          <w:lang w:val="en-CA" w:eastAsia="en-GB"/>
        </w:rPr>
        <w:t>Cali</w:t>
      </w:r>
      <w:r w:rsidRPr="005F0A67">
        <w:rPr>
          <w:rFonts w:asciiTheme="majorBidi" w:eastAsia="Arial" w:hAnsiTheme="majorBidi" w:cstheme="majorBidi"/>
          <w:b/>
          <w:bCs/>
          <w:color w:val="242424"/>
          <w:spacing w:val="9"/>
          <w:sz w:val="28"/>
          <w:szCs w:val="28"/>
          <w:lang w:val="en-CA" w:eastAsia="en-GB"/>
        </w:rPr>
        <w:t xml:space="preserve"> </w:t>
      </w:r>
      <w:r w:rsidRPr="005F0A67">
        <w:rPr>
          <w:rFonts w:asciiTheme="majorBidi" w:eastAsia="Arial" w:hAnsiTheme="majorBidi" w:cstheme="majorBidi"/>
          <w:b/>
          <w:bCs/>
          <w:color w:val="242424"/>
          <w:sz w:val="28"/>
          <w:szCs w:val="28"/>
          <w:lang w:val="en-CA" w:eastAsia="en-GB"/>
        </w:rPr>
        <w:t>Fund</w:t>
      </w:r>
      <w:r w:rsidRPr="005F0A67">
        <w:rPr>
          <w:rFonts w:asciiTheme="majorBidi" w:eastAsia="Arial" w:hAnsiTheme="majorBidi" w:cstheme="majorBidi"/>
          <w:b/>
          <w:bCs/>
          <w:color w:val="242424"/>
          <w:spacing w:val="8"/>
          <w:sz w:val="28"/>
          <w:szCs w:val="28"/>
          <w:lang w:val="en-CA" w:eastAsia="en-GB"/>
        </w:rPr>
        <w:t xml:space="preserve"> </w:t>
      </w:r>
      <w:r w:rsidRPr="005F0A67">
        <w:rPr>
          <w:rFonts w:asciiTheme="majorBidi" w:eastAsia="Arial" w:hAnsiTheme="majorBidi" w:cstheme="majorBidi"/>
          <w:b/>
          <w:bCs/>
          <w:color w:val="242424"/>
          <w:sz w:val="28"/>
          <w:szCs w:val="28"/>
          <w:lang w:val="en-CA" w:eastAsia="en-GB"/>
        </w:rPr>
        <w:t>contributors</w:t>
      </w:r>
      <w:r w:rsidRPr="005F0A67">
        <w:rPr>
          <w:rFonts w:asciiTheme="majorBidi" w:eastAsia="Arial" w:hAnsiTheme="majorBidi" w:cstheme="majorBidi"/>
          <w:b/>
          <w:bCs/>
          <w:color w:val="242424"/>
          <w:spacing w:val="8"/>
          <w:sz w:val="28"/>
          <w:szCs w:val="28"/>
          <w:lang w:val="en-CA" w:eastAsia="en-GB"/>
        </w:rPr>
        <w:t xml:space="preserve"> </w:t>
      </w:r>
      <w:r w:rsidRPr="005F0A67">
        <w:rPr>
          <w:rFonts w:asciiTheme="majorBidi" w:eastAsia="Arial" w:hAnsiTheme="majorBidi" w:cstheme="majorBidi"/>
          <w:b/>
          <w:bCs/>
          <w:color w:val="242424"/>
          <w:sz w:val="28"/>
          <w:szCs w:val="28"/>
          <w:lang w:val="en-CA" w:eastAsia="en-GB"/>
        </w:rPr>
        <w:t>and</w:t>
      </w:r>
      <w:r w:rsidRPr="005F0A67">
        <w:rPr>
          <w:rFonts w:asciiTheme="majorBidi" w:eastAsia="Arial" w:hAnsiTheme="majorBidi" w:cstheme="majorBidi"/>
          <w:b/>
          <w:bCs/>
          <w:color w:val="242424"/>
          <w:spacing w:val="8"/>
          <w:sz w:val="28"/>
          <w:szCs w:val="28"/>
          <w:lang w:val="en-CA" w:eastAsia="en-GB"/>
        </w:rPr>
        <w:t xml:space="preserve"> </w:t>
      </w:r>
      <w:r w:rsidRPr="005F0A67">
        <w:rPr>
          <w:rFonts w:asciiTheme="majorBidi" w:eastAsia="Arial" w:hAnsiTheme="majorBidi" w:cstheme="majorBidi"/>
          <w:b/>
          <w:bCs/>
          <w:color w:val="242424"/>
          <w:sz w:val="28"/>
          <w:szCs w:val="28"/>
          <w:lang w:val="en-CA" w:eastAsia="en-GB"/>
        </w:rPr>
        <w:t>contribution</w:t>
      </w:r>
      <w:r w:rsidRPr="005F0A67">
        <w:rPr>
          <w:rFonts w:asciiTheme="majorBidi" w:eastAsia="Arial" w:hAnsiTheme="majorBidi" w:cstheme="majorBidi"/>
          <w:b/>
          <w:bCs/>
          <w:color w:val="242424"/>
          <w:spacing w:val="9"/>
          <w:sz w:val="28"/>
          <w:szCs w:val="28"/>
          <w:lang w:val="en-CA" w:eastAsia="en-GB"/>
        </w:rPr>
        <w:t xml:space="preserve"> </w:t>
      </w:r>
      <w:r w:rsidRPr="005F0A67">
        <w:rPr>
          <w:rFonts w:asciiTheme="majorBidi" w:eastAsia="Arial" w:hAnsiTheme="majorBidi" w:cstheme="majorBidi"/>
          <w:b/>
          <w:bCs/>
          <w:color w:val="242424"/>
          <w:spacing w:val="-2"/>
          <w:sz w:val="28"/>
          <w:szCs w:val="28"/>
          <w:lang w:val="en-CA" w:eastAsia="en-GB"/>
        </w:rPr>
        <w:t>rates</w:t>
      </w:r>
      <w:bookmarkEnd w:id="276"/>
    </w:p>
    <w:p w14:paraId="4FF117D4" w14:textId="77777777" w:rsidR="005F0A67" w:rsidRPr="005F0A67" w:rsidRDefault="005F0A67" w:rsidP="005F0A67">
      <w:pPr>
        <w:tabs>
          <w:tab w:val="clear" w:pos="567"/>
          <w:tab w:val="clear" w:pos="1134"/>
          <w:tab w:val="clear" w:pos="1701"/>
          <w:tab w:val="clear" w:pos="2268"/>
        </w:tabs>
        <w:spacing w:before="135" w:line="297" w:lineRule="auto"/>
        <w:ind w:left="515" w:right="484"/>
        <w:jc w:val="left"/>
        <w:rPr>
          <w:rFonts w:asciiTheme="majorBidi" w:eastAsia="Times New Roman" w:hAnsiTheme="majorBidi" w:cstheme="majorBidi"/>
          <w:sz w:val="14"/>
          <w:szCs w:val="14"/>
          <w:lang w:val="en-CA" w:eastAsia="en-GB"/>
        </w:rPr>
      </w:pPr>
      <w:r w:rsidRPr="005F0A67">
        <w:rPr>
          <w:rFonts w:asciiTheme="majorBidi" w:eastAsia="Times New Roman" w:hAnsiTheme="majorBidi" w:cstheme="majorBidi"/>
          <w:color w:val="242424"/>
          <w:spacing w:val="-2"/>
          <w:sz w:val="14"/>
          <w:szCs w:val="14"/>
          <w:lang w:val="en-CA" w:eastAsia="en-GB"/>
        </w:rPr>
        <w:t>The</w:t>
      </w:r>
      <w:r w:rsidRPr="005F0A67">
        <w:rPr>
          <w:rFonts w:asciiTheme="majorBidi" w:eastAsia="Times New Roman" w:hAnsiTheme="majorBidi" w:cstheme="majorBidi"/>
          <w:color w:val="242424"/>
          <w:spacing w:val="-4"/>
          <w:sz w:val="14"/>
          <w:szCs w:val="14"/>
          <w:lang w:val="en-CA" w:eastAsia="en-GB"/>
        </w:rPr>
        <w:t xml:space="preserve"> </w:t>
      </w:r>
      <w:r w:rsidRPr="005F0A67">
        <w:rPr>
          <w:rFonts w:asciiTheme="majorBidi" w:eastAsia="Times New Roman" w:hAnsiTheme="majorBidi" w:cstheme="majorBidi"/>
          <w:color w:val="242424"/>
          <w:spacing w:val="-2"/>
          <w:sz w:val="14"/>
          <w:szCs w:val="14"/>
          <w:lang w:val="en-CA" w:eastAsia="en-GB"/>
        </w:rPr>
        <w:t>following</w:t>
      </w:r>
      <w:r w:rsidRPr="005F0A67">
        <w:rPr>
          <w:rFonts w:asciiTheme="majorBidi" w:eastAsia="Times New Roman" w:hAnsiTheme="majorBidi" w:cstheme="majorBidi"/>
          <w:color w:val="242424"/>
          <w:spacing w:val="-4"/>
          <w:sz w:val="14"/>
          <w:szCs w:val="14"/>
          <w:lang w:val="en-CA" w:eastAsia="en-GB"/>
        </w:rPr>
        <w:t xml:space="preserve"> </w:t>
      </w:r>
      <w:r w:rsidRPr="005F0A67">
        <w:rPr>
          <w:rFonts w:asciiTheme="majorBidi" w:eastAsia="Times New Roman" w:hAnsiTheme="majorBidi" w:cstheme="majorBidi"/>
          <w:color w:val="242424"/>
          <w:spacing w:val="-2"/>
          <w:sz w:val="14"/>
          <w:szCs w:val="14"/>
          <w:lang w:val="en-CA" w:eastAsia="en-GB"/>
        </w:rPr>
        <w:t>information</w:t>
      </w:r>
      <w:r w:rsidRPr="005F0A67">
        <w:rPr>
          <w:rFonts w:asciiTheme="majorBidi" w:eastAsia="Times New Roman" w:hAnsiTheme="majorBidi" w:cstheme="majorBidi"/>
          <w:color w:val="242424"/>
          <w:spacing w:val="-4"/>
          <w:sz w:val="14"/>
          <w:szCs w:val="14"/>
          <w:lang w:val="en-CA" w:eastAsia="en-GB"/>
        </w:rPr>
        <w:t xml:space="preserve"> </w:t>
      </w:r>
      <w:r w:rsidRPr="005F0A67">
        <w:rPr>
          <w:rFonts w:asciiTheme="majorBidi" w:eastAsia="Times New Roman" w:hAnsiTheme="majorBidi" w:cstheme="majorBidi"/>
          <w:color w:val="242424"/>
          <w:spacing w:val="-2"/>
          <w:sz w:val="14"/>
          <w:szCs w:val="14"/>
          <w:lang w:val="en-CA" w:eastAsia="en-GB"/>
        </w:rPr>
        <w:t>is</w:t>
      </w:r>
      <w:r w:rsidRPr="005F0A67">
        <w:rPr>
          <w:rFonts w:asciiTheme="majorBidi" w:eastAsia="Times New Roman" w:hAnsiTheme="majorBidi" w:cstheme="majorBidi"/>
          <w:color w:val="242424"/>
          <w:spacing w:val="-4"/>
          <w:sz w:val="14"/>
          <w:szCs w:val="14"/>
          <w:lang w:val="en-CA" w:eastAsia="en-GB"/>
        </w:rPr>
        <w:t xml:space="preserve"> </w:t>
      </w:r>
      <w:r w:rsidRPr="005F0A67">
        <w:rPr>
          <w:rFonts w:asciiTheme="majorBidi" w:eastAsia="Times New Roman" w:hAnsiTheme="majorBidi" w:cstheme="majorBidi"/>
          <w:color w:val="242424"/>
          <w:spacing w:val="-2"/>
          <w:sz w:val="14"/>
          <w:szCs w:val="14"/>
          <w:lang w:val="en-CA" w:eastAsia="en-GB"/>
        </w:rPr>
        <w:t>provided</w:t>
      </w:r>
      <w:r w:rsidRPr="005F0A67">
        <w:rPr>
          <w:rFonts w:asciiTheme="majorBidi" w:eastAsia="Times New Roman" w:hAnsiTheme="majorBidi" w:cstheme="majorBidi"/>
          <w:color w:val="242424"/>
          <w:spacing w:val="-4"/>
          <w:sz w:val="14"/>
          <w:szCs w:val="14"/>
          <w:lang w:val="en-CA" w:eastAsia="en-GB"/>
        </w:rPr>
        <w:t xml:space="preserve"> </w:t>
      </w:r>
      <w:r w:rsidRPr="005F0A67">
        <w:rPr>
          <w:rFonts w:asciiTheme="majorBidi" w:eastAsia="Times New Roman" w:hAnsiTheme="majorBidi" w:cstheme="majorBidi"/>
          <w:color w:val="242424"/>
          <w:spacing w:val="-2"/>
          <w:sz w:val="14"/>
          <w:szCs w:val="14"/>
          <w:lang w:val="en-CA" w:eastAsia="en-GB"/>
        </w:rPr>
        <w:t>as</w:t>
      </w:r>
      <w:r w:rsidRPr="005F0A67">
        <w:rPr>
          <w:rFonts w:asciiTheme="majorBidi" w:eastAsia="Times New Roman" w:hAnsiTheme="majorBidi" w:cstheme="majorBidi"/>
          <w:color w:val="242424"/>
          <w:spacing w:val="-4"/>
          <w:sz w:val="14"/>
          <w:szCs w:val="14"/>
          <w:lang w:val="en-CA" w:eastAsia="en-GB"/>
        </w:rPr>
        <w:t xml:space="preserve"> </w:t>
      </w:r>
      <w:r w:rsidRPr="005F0A67">
        <w:rPr>
          <w:rFonts w:asciiTheme="majorBidi" w:eastAsia="Times New Roman" w:hAnsiTheme="majorBidi" w:cstheme="majorBidi"/>
          <w:color w:val="242424"/>
          <w:spacing w:val="-2"/>
          <w:sz w:val="14"/>
          <w:szCs w:val="14"/>
          <w:lang w:val="en-CA" w:eastAsia="en-GB"/>
        </w:rPr>
        <w:t>support</w:t>
      </w:r>
      <w:r w:rsidRPr="005F0A67">
        <w:rPr>
          <w:rFonts w:asciiTheme="majorBidi" w:eastAsia="Times New Roman" w:hAnsiTheme="majorBidi" w:cstheme="majorBidi"/>
          <w:color w:val="242424"/>
          <w:spacing w:val="-4"/>
          <w:sz w:val="14"/>
          <w:szCs w:val="14"/>
          <w:lang w:val="en-CA" w:eastAsia="en-GB"/>
        </w:rPr>
        <w:t xml:space="preserve"> </w:t>
      </w:r>
      <w:r w:rsidRPr="005F0A67">
        <w:rPr>
          <w:rFonts w:asciiTheme="majorBidi" w:eastAsia="Times New Roman" w:hAnsiTheme="majorBidi" w:cstheme="majorBidi"/>
          <w:color w:val="242424"/>
          <w:spacing w:val="-2"/>
          <w:sz w:val="14"/>
          <w:szCs w:val="14"/>
          <w:lang w:val="en-CA" w:eastAsia="en-GB"/>
        </w:rPr>
        <w:t>on</w:t>
      </w:r>
      <w:r w:rsidRPr="005F0A67">
        <w:rPr>
          <w:rFonts w:asciiTheme="majorBidi" w:eastAsia="Times New Roman" w:hAnsiTheme="majorBidi" w:cstheme="majorBidi"/>
          <w:color w:val="242424"/>
          <w:spacing w:val="-4"/>
          <w:sz w:val="14"/>
          <w:szCs w:val="14"/>
          <w:lang w:val="en-CA" w:eastAsia="en-GB"/>
        </w:rPr>
        <w:t xml:space="preserve"> </w:t>
      </w:r>
      <w:r w:rsidRPr="005F0A67">
        <w:rPr>
          <w:rFonts w:asciiTheme="majorBidi" w:eastAsia="Times New Roman" w:hAnsiTheme="majorBidi" w:cstheme="majorBidi"/>
          <w:color w:val="242424"/>
          <w:spacing w:val="-2"/>
          <w:sz w:val="14"/>
          <w:szCs w:val="14"/>
          <w:lang w:val="en-CA" w:eastAsia="en-GB"/>
        </w:rPr>
        <w:t>the</w:t>
      </w:r>
      <w:r w:rsidRPr="005F0A67">
        <w:rPr>
          <w:rFonts w:asciiTheme="majorBidi" w:eastAsia="Times New Roman" w:hAnsiTheme="majorBidi" w:cstheme="majorBidi"/>
          <w:color w:val="242424"/>
          <w:spacing w:val="-4"/>
          <w:sz w:val="14"/>
          <w:szCs w:val="14"/>
          <w:lang w:val="en-CA" w:eastAsia="en-GB"/>
        </w:rPr>
        <w:t xml:space="preserve"> </w:t>
      </w:r>
      <w:r w:rsidRPr="005F0A67">
        <w:rPr>
          <w:rFonts w:asciiTheme="majorBidi" w:eastAsia="Times New Roman" w:hAnsiTheme="majorBidi" w:cstheme="majorBidi"/>
          <w:color w:val="242424"/>
          <w:spacing w:val="-2"/>
          <w:sz w:val="14"/>
          <w:szCs w:val="14"/>
          <w:lang w:val="en-CA" w:eastAsia="en-GB"/>
        </w:rPr>
        <w:t>notions</w:t>
      </w:r>
      <w:r w:rsidRPr="005F0A67">
        <w:rPr>
          <w:rFonts w:asciiTheme="majorBidi" w:eastAsia="Times New Roman" w:hAnsiTheme="majorBidi" w:cstheme="majorBidi"/>
          <w:color w:val="242424"/>
          <w:spacing w:val="-4"/>
          <w:sz w:val="14"/>
          <w:szCs w:val="14"/>
          <w:lang w:val="en-CA" w:eastAsia="en-GB"/>
        </w:rPr>
        <w:t xml:space="preserve"> </w:t>
      </w:r>
      <w:r w:rsidRPr="005F0A67">
        <w:rPr>
          <w:rFonts w:asciiTheme="majorBidi" w:eastAsia="Times New Roman" w:hAnsiTheme="majorBidi" w:cstheme="majorBidi"/>
          <w:color w:val="242424"/>
          <w:spacing w:val="-2"/>
          <w:sz w:val="14"/>
          <w:szCs w:val="14"/>
          <w:lang w:val="en-CA" w:eastAsia="en-GB"/>
        </w:rPr>
        <w:t>of</w:t>
      </w:r>
      <w:r w:rsidRPr="005F0A67">
        <w:rPr>
          <w:rFonts w:asciiTheme="majorBidi" w:eastAsia="Times New Roman" w:hAnsiTheme="majorBidi" w:cstheme="majorBidi"/>
          <w:color w:val="242424"/>
          <w:spacing w:val="-4"/>
          <w:sz w:val="14"/>
          <w:szCs w:val="14"/>
          <w:lang w:val="en-CA" w:eastAsia="en-GB"/>
        </w:rPr>
        <w:t xml:space="preserve"> </w:t>
      </w:r>
      <w:r w:rsidRPr="005F0A67">
        <w:rPr>
          <w:rFonts w:asciiTheme="majorBidi" w:eastAsia="Times New Roman" w:hAnsiTheme="majorBidi" w:cstheme="majorBidi"/>
          <w:b/>
          <w:bCs/>
          <w:color w:val="242424"/>
          <w:spacing w:val="-2"/>
          <w:sz w:val="14"/>
          <w:szCs w:val="14"/>
          <w:lang w:val="en-CA" w:eastAsia="en-GB"/>
        </w:rPr>
        <w:t>Digital</w:t>
      </w:r>
      <w:r w:rsidRPr="005F0A67">
        <w:rPr>
          <w:rFonts w:asciiTheme="majorBidi" w:eastAsia="Times New Roman" w:hAnsiTheme="majorBidi" w:cstheme="majorBidi"/>
          <w:b/>
          <w:bCs/>
          <w:color w:val="242424"/>
          <w:spacing w:val="-4"/>
          <w:sz w:val="14"/>
          <w:szCs w:val="14"/>
          <w:lang w:val="en-CA" w:eastAsia="en-GB"/>
        </w:rPr>
        <w:t xml:space="preserve"> </w:t>
      </w:r>
      <w:r w:rsidRPr="005F0A67">
        <w:rPr>
          <w:rFonts w:asciiTheme="majorBidi" w:eastAsia="Times New Roman" w:hAnsiTheme="majorBidi" w:cstheme="majorBidi"/>
          <w:b/>
          <w:bCs/>
          <w:color w:val="242424"/>
          <w:spacing w:val="-2"/>
          <w:sz w:val="14"/>
          <w:szCs w:val="14"/>
          <w:lang w:val="en-CA" w:eastAsia="en-GB"/>
        </w:rPr>
        <w:t>Sequence</w:t>
      </w:r>
      <w:r w:rsidRPr="005F0A67">
        <w:rPr>
          <w:rFonts w:asciiTheme="majorBidi" w:eastAsia="Times New Roman" w:hAnsiTheme="majorBidi" w:cstheme="majorBidi"/>
          <w:b/>
          <w:bCs/>
          <w:color w:val="242424"/>
          <w:spacing w:val="-4"/>
          <w:sz w:val="14"/>
          <w:szCs w:val="14"/>
          <w:lang w:val="en-CA" w:eastAsia="en-GB"/>
        </w:rPr>
        <w:t xml:space="preserve"> </w:t>
      </w:r>
      <w:r w:rsidRPr="005F0A67">
        <w:rPr>
          <w:rFonts w:asciiTheme="majorBidi" w:eastAsia="Times New Roman" w:hAnsiTheme="majorBidi" w:cstheme="majorBidi"/>
          <w:b/>
          <w:bCs/>
          <w:color w:val="242424"/>
          <w:spacing w:val="-2"/>
          <w:sz w:val="14"/>
          <w:szCs w:val="14"/>
          <w:lang w:val="en-CA" w:eastAsia="en-GB"/>
        </w:rPr>
        <w:t>Information</w:t>
      </w:r>
      <w:r w:rsidRPr="005F0A67">
        <w:rPr>
          <w:rFonts w:asciiTheme="majorBidi" w:eastAsia="Times New Roman" w:hAnsiTheme="majorBidi" w:cstheme="majorBidi"/>
          <w:b/>
          <w:bCs/>
          <w:color w:val="242424"/>
          <w:spacing w:val="-4"/>
          <w:sz w:val="14"/>
          <w:szCs w:val="14"/>
          <w:lang w:val="en-CA" w:eastAsia="en-GB"/>
        </w:rPr>
        <w:t xml:space="preserve"> </w:t>
      </w:r>
      <w:r w:rsidRPr="005F0A67">
        <w:rPr>
          <w:rFonts w:asciiTheme="majorBidi" w:eastAsia="Times New Roman" w:hAnsiTheme="majorBidi" w:cstheme="majorBidi"/>
          <w:b/>
          <w:bCs/>
          <w:color w:val="242424"/>
          <w:spacing w:val="-2"/>
          <w:sz w:val="14"/>
          <w:szCs w:val="14"/>
          <w:lang w:val="en-CA" w:eastAsia="en-GB"/>
        </w:rPr>
        <w:t>(DSI)</w:t>
      </w:r>
      <w:r w:rsidRPr="005F0A67">
        <w:rPr>
          <w:rFonts w:asciiTheme="majorBidi" w:eastAsia="Times New Roman" w:hAnsiTheme="majorBidi" w:cstheme="majorBidi"/>
          <w:color w:val="242424"/>
          <w:spacing w:val="-2"/>
          <w:sz w:val="14"/>
          <w:szCs w:val="14"/>
          <w:lang w:val="en-CA" w:eastAsia="en-GB"/>
        </w:rPr>
        <w:t>,</w:t>
      </w:r>
      <w:r w:rsidRPr="005F0A67">
        <w:rPr>
          <w:rFonts w:asciiTheme="majorBidi" w:eastAsia="Times New Roman" w:hAnsiTheme="majorBidi" w:cstheme="majorBidi"/>
          <w:color w:val="242424"/>
          <w:spacing w:val="-4"/>
          <w:sz w:val="14"/>
          <w:szCs w:val="14"/>
          <w:lang w:val="en-CA" w:eastAsia="en-GB"/>
        </w:rPr>
        <w:t xml:space="preserve"> </w:t>
      </w:r>
      <w:r w:rsidRPr="005F0A67">
        <w:rPr>
          <w:rFonts w:asciiTheme="majorBidi" w:eastAsia="Times New Roman" w:hAnsiTheme="majorBidi" w:cstheme="majorBidi"/>
          <w:color w:val="242424"/>
          <w:spacing w:val="-2"/>
          <w:sz w:val="14"/>
          <w:szCs w:val="14"/>
          <w:lang w:val="en-CA" w:eastAsia="en-GB"/>
        </w:rPr>
        <w:t>the</w:t>
      </w:r>
      <w:r w:rsidRPr="005F0A67">
        <w:rPr>
          <w:rFonts w:asciiTheme="majorBidi" w:eastAsia="Times New Roman" w:hAnsiTheme="majorBidi" w:cstheme="majorBidi"/>
          <w:color w:val="242424"/>
          <w:spacing w:val="-4"/>
          <w:sz w:val="14"/>
          <w:szCs w:val="14"/>
          <w:lang w:val="en-CA" w:eastAsia="en-GB"/>
        </w:rPr>
        <w:t xml:space="preserve"> </w:t>
      </w:r>
      <w:r w:rsidRPr="005F0A67">
        <w:rPr>
          <w:rFonts w:asciiTheme="majorBidi" w:eastAsia="Times New Roman" w:hAnsiTheme="majorBidi" w:cstheme="majorBidi"/>
          <w:b/>
          <w:bCs/>
          <w:color w:val="242424"/>
          <w:spacing w:val="-2"/>
          <w:sz w:val="14"/>
          <w:szCs w:val="14"/>
          <w:lang w:val="en-CA" w:eastAsia="en-GB"/>
        </w:rPr>
        <w:t>entities</w:t>
      </w:r>
      <w:r w:rsidRPr="005F0A67">
        <w:rPr>
          <w:rFonts w:asciiTheme="majorBidi" w:eastAsia="Times New Roman" w:hAnsiTheme="majorBidi" w:cstheme="majorBidi"/>
          <w:b/>
          <w:bCs/>
          <w:color w:val="242424"/>
          <w:spacing w:val="-4"/>
          <w:sz w:val="14"/>
          <w:szCs w:val="14"/>
          <w:lang w:val="en-CA" w:eastAsia="en-GB"/>
        </w:rPr>
        <w:t xml:space="preserve"> </w:t>
      </w:r>
      <w:r w:rsidRPr="005F0A67">
        <w:rPr>
          <w:rFonts w:asciiTheme="majorBidi" w:eastAsia="Times New Roman" w:hAnsiTheme="majorBidi" w:cstheme="majorBidi"/>
          <w:b/>
          <w:bCs/>
          <w:color w:val="242424"/>
          <w:spacing w:val="-2"/>
          <w:sz w:val="14"/>
          <w:szCs w:val="14"/>
          <w:lang w:val="en-CA" w:eastAsia="en-GB"/>
        </w:rPr>
        <w:t>and</w:t>
      </w:r>
      <w:r w:rsidRPr="005F0A67">
        <w:rPr>
          <w:rFonts w:asciiTheme="majorBidi" w:eastAsia="Times New Roman" w:hAnsiTheme="majorBidi" w:cstheme="majorBidi"/>
          <w:b/>
          <w:bCs/>
          <w:color w:val="242424"/>
          <w:spacing w:val="40"/>
          <w:sz w:val="14"/>
          <w:szCs w:val="14"/>
          <w:lang w:val="en-CA" w:eastAsia="en-GB"/>
        </w:rPr>
        <w:t xml:space="preserve"> </w:t>
      </w:r>
      <w:r w:rsidRPr="005F0A67">
        <w:rPr>
          <w:rFonts w:asciiTheme="majorBidi" w:eastAsia="Times New Roman" w:hAnsiTheme="majorBidi" w:cstheme="majorBidi"/>
          <w:b/>
          <w:bCs/>
          <w:color w:val="242424"/>
          <w:spacing w:val="-2"/>
          <w:sz w:val="14"/>
          <w:szCs w:val="14"/>
          <w:lang w:val="en-CA" w:eastAsia="en-GB"/>
        </w:rPr>
        <w:t>sectors</w:t>
      </w:r>
      <w:r w:rsidRPr="005F0A67">
        <w:rPr>
          <w:rFonts w:asciiTheme="majorBidi" w:eastAsia="Times New Roman" w:hAnsiTheme="majorBidi" w:cstheme="majorBidi"/>
          <w:b/>
          <w:bCs/>
          <w:color w:val="242424"/>
          <w:spacing w:val="-5"/>
          <w:sz w:val="14"/>
          <w:szCs w:val="14"/>
          <w:lang w:val="en-CA" w:eastAsia="en-GB"/>
        </w:rPr>
        <w:t xml:space="preserve"> </w:t>
      </w:r>
      <w:r w:rsidRPr="005F0A67">
        <w:rPr>
          <w:rFonts w:asciiTheme="majorBidi" w:eastAsia="Times New Roman" w:hAnsiTheme="majorBidi" w:cstheme="majorBidi"/>
          <w:b/>
          <w:bCs/>
          <w:color w:val="242424"/>
          <w:spacing w:val="-2"/>
          <w:sz w:val="14"/>
          <w:szCs w:val="14"/>
          <w:lang w:val="en-CA" w:eastAsia="en-GB"/>
        </w:rPr>
        <w:t>identified</w:t>
      </w:r>
      <w:r w:rsidRPr="005F0A67">
        <w:rPr>
          <w:rFonts w:asciiTheme="majorBidi" w:eastAsia="Times New Roman" w:hAnsiTheme="majorBidi" w:cstheme="majorBidi"/>
          <w:b/>
          <w:bCs/>
          <w:color w:val="242424"/>
          <w:spacing w:val="-5"/>
          <w:sz w:val="14"/>
          <w:szCs w:val="14"/>
          <w:lang w:val="en-CA" w:eastAsia="en-GB"/>
        </w:rPr>
        <w:t xml:space="preserve"> </w:t>
      </w:r>
      <w:r w:rsidRPr="005F0A67">
        <w:rPr>
          <w:rFonts w:asciiTheme="majorBidi" w:eastAsia="Times New Roman" w:hAnsiTheme="majorBidi" w:cstheme="majorBidi"/>
          <w:b/>
          <w:bCs/>
          <w:color w:val="242424"/>
          <w:spacing w:val="-2"/>
          <w:sz w:val="14"/>
          <w:szCs w:val="14"/>
          <w:lang w:val="en-CA" w:eastAsia="en-GB"/>
        </w:rPr>
        <w:t>as</w:t>
      </w:r>
      <w:r w:rsidRPr="005F0A67">
        <w:rPr>
          <w:rFonts w:asciiTheme="majorBidi" w:eastAsia="Times New Roman" w:hAnsiTheme="majorBidi" w:cstheme="majorBidi"/>
          <w:b/>
          <w:bCs/>
          <w:color w:val="242424"/>
          <w:spacing w:val="-5"/>
          <w:sz w:val="14"/>
          <w:szCs w:val="14"/>
          <w:lang w:val="en-CA" w:eastAsia="en-GB"/>
        </w:rPr>
        <w:t xml:space="preserve"> </w:t>
      </w:r>
      <w:r w:rsidRPr="005F0A67">
        <w:rPr>
          <w:rFonts w:asciiTheme="majorBidi" w:eastAsia="Times New Roman" w:hAnsiTheme="majorBidi" w:cstheme="majorBidi"/>
          <w:b/>
          <w:bCs/>
          <w:color w:val="242424"/>
          <w:spacing w:val="-2"/>
          <w:sz w:val="14"/>
          <w:szCs w:val="14"/>
          <w:lang w:val="en-CA" w:eastAsia="en-GB"/>
        </w:rPr>
        <w:t>potential</w:t>
      </w:r>
      <w:r w:rsidRPr="005F0A67">
        <w:rPr>
          <w:rFonts w:asciiTheme="majorBidi" w:eastAsia="Times New Roman" w:hAnsiTheme="majorBidi" w:cstheme="majorBidi"/>
          <w:b/>
          <w:bCs/>
          <w:color w:val="242424"/>
          <w:spacing w:val="-5"/>
          <w:sz w:val="14"/>
          <w:szCs w:val="14"/>
          <w:lang w:val="en-CA" w:eastAsia="en-GB"/>
        </w:rPr>
        <w:t xml:space="preserve"> </w:t>
      </w:r>
      <w:r w:rsidRPr="005F0A67">
        <w:rPr>
          <w:rFonts w:asciiTheme="majorBidi" w:eastAsia="Times New Roman" w:hAnsiTheme="majorBidi" w:cstheme="majorBidi"/>
          <w:b/>
          <w:bCs/>
          <w:color w:val="242424"/>
          <w:spacing w:val="-2"/>
          <w:sz w:val="14"/>
          <w:szCs w:val="14"/>
          <w:lang w:val="en-CA" w:eastAsia="en-GB"/>
        </w:rPr>
        <w:t>contributors</w:t>
      </w:r>
      <w:r w:rsidRPr="005F0A67">
        <w:rPr>
          <w:rFonts w:asciiTheme="majorBidi" w:eastAsia="Times New Roman" w:hAnsiTheme="majorBidi" w:cstheme="majorBidi"/>
          <w:color w:val="242424"/>
          <w:spacing w:val="-2"/>
          <w:sz w:val="14"/>
          <w:szCs w:val="14"/>
          <w:lang w:val="en-CA" w:eastAsia="en-GB"/>
        </w:rPr>
        <w:t>,</w:t>
      </w:r>
      <w:r w:rsidRPr="005F0A67">
        <w:rPr>
          <w:rFonts w:asciiTheme="majorBidi" w:eastAsia="Times New Roman" w:hAnsiTheme="majorBidi" w:cstheme="majorBidi"/>
          <w:color w:val="242424"/>
          <w:spacing w:val="-5"/>
          <w:sz w:val="14"/>
          <w:szCs w:val="14"/>
          <w:lang w:val="en-CA" w:eastAsia="en-GB"/>
        </w:rPr>
        <w:t xml:space="preserve"> </w:t>
      </w:r>
      <w:r w:rsidRPr="005F0A67">
        <w:rPr>
          <w:rFonts w:asciiTheme="majorBidi" w:eastAsia="Times New Roman" w:hAnsiTheme="majorBidi" w:cstheme="majorBidi"/>
          <w:color w:val="242424"/>
          <w:spacing w:val="-2"/>
          <w:sz w:val="14"/>
          <w:szCs w:val="14"/>
          <w:lang w:val="en-CA" w:eastAsia="en-GB"/>
        </w:rPr>
        <w:t>and</w:t>
      </w:r>
      <w:r w:rsidRPr="005F0A67">
        <w:rPr>
          <w:rFonts w:asciiTheme="majorBidi" w:eastAsia="Times New Roman" w:hAnsiTheme="majorBidi" w:cstheme="majorBidi"/>
          <w:color w:val="242424"/>
          <w:spacing w:val="-5"/>
          <w:sz w:val="14"/>
          <w:szCs w:val="14"/>
          <w:lang w:val="en-CA" w:eastAsia="en-GB"/>
        </w:rPr>
        <w:t xml:space="preserve"> </w:t>
      </w:r>
      <w:r w:rsidRPr="005F0A67">
        <w:rPr>
          <w:rFonts w:asciiTheme="majorBidi" w:eastAsia="Times New Roman" w:hAnsiTheme="majorBidi" w:cstheme="majorBidi"/>
          <w:color w:val="242424"/>
          <w:spacing w:val="-2"/>
          <w:sz w:val="14"/>
          <w:szCs w:val="14"/>
          <w:lang w:val="en-CA" w:eastAsia="en-GB"/>
        </w:rPr>
        <w:t>the</w:t>
      </w:r>
      <w:r w:rsidRPr="005F0A67">
        <w:rPr>
          <w:rFonts w:asciiTheme="majorBidi" w:eastAsia="Times New Roman" w:hAnsiTheme="majorBidi" w:cstheme="majorBidi"/>
          <w:color w:val="242424"/>
          <w:spacing w:val="-5"/>
          <w:sz w:val="14"/>
          <w:szCs w:val="14"/>
          <w:lang w:val="en-CA" w:eastAsia="en-GB"/>
        </w:rPr>
        <w:t xml:space="preserve"> </w:t>
      </w:r>
      <w:r w:rsidRPr="005F0A67">
        <w:rPr>
          <w:rFonts w:asciiTheme="majorBidi" w:eastAsia="Times New Roman" w:hAnsiTheme="majorBidi" w:cstheme="majorBidi"/>
          <w:b/>
          <w:bCs/>
          <w:color w:val="242424"/>
          <w:spacing w:val="-2"/>
          <w:sz w:val="14"/>
          <w:szCs w:val="14"/>
          <w:lang w:val="en-CA" w:eastAsia="en-GB"/>
        </w:rPr>
        <w:t>indicative</w:t>
      </w:r>
      <w:r w:rsidRPr="005F0A67">
        <w:rPr>
          <w:rFonts w:asciiTheme="majorBidi" w:eastAsia="Times New Roman" w:hAnsiTheme="majorBidi" w:cstheme="majorBidi"/>
          <w:b/>
          <w:bCs/>
          <w:color w:val="242424"/>
          <w:spacing w:val="-5"/>
          <w:sz w:val="14"/>
          <w:szCs w:val="14"/>
          <w:lang w:val="en-CA" w:eastAsia="en-GB"/>
        </w:rPr>
        <w:t xml:space="preserve"> </w:t>
      </w:r>
      <w:r w:rsidRPr="005F0A67">
        <w:rPr>
          <w:rFonts w:asciiTheme="majorBidi" w:eastAsia="Times New Roman" w:hAnsiTheme="majorBidi" w:cstheme="majorBidi"/>
          <w:b/>
          <w:bCs/>
          <w:color w:val="242424"/>
          <w:spacing w:val="-2"/>
          <w:sz w:val="14"/>
          <w:szCs w:val="14"/>
          <w:lang w:val="en-CA" w:eastAsia="en-GB"/>
        </w:rPr>
        <w:t>contribution</w:t>
      </w:r>
      <w:r w:rsidRPr="005F0A67">
        <w:rPr>
          <w:rFonts w:asciiTheme="majorBidi" w:eastAsia="Times New Roman" w:hAnsiTheme="majorBidi" w:cstheme="majorBidi"/>
          <w:b/>
          <w:bCs/>
          <w:color w:val="242424"/>
          <w:spacing w:val="-5"/>
          <w:sz w:val="14"/>
          <w:szCs w:val="14"/>
          <w:lang w:val="en-CA" w:eastAsia="en-GB"/>
        </w:rPr>
        <w:t xml:space="preserve"> </w:t>
      </w:r>
      <w:r w:rsidRPr="005F0A67">
        <w:rPr>
          <w:rFonts w:asciiTheme="majorBidi" w:eastAsia="Times New Roman" w:hAnsiTheme="majorBidi" w:cstheme="majorBidi"/>
          <w:b/>
          <w:bCs/>
          <w:color w:val="242424"/>
          <w:spacing w:val="-2"/>
          <w:sz w:val="14"/>
          <w:szCs w:val="14"/>
          <w:lang w:val="en-CA" w:eastAsia="en-GB"/>
        </w:rPr>
        <w:t>rates</w:t>
      </w:r>
      <w:r w:rsidRPr="005F0A67">
        <w:rPr>
          <w:rFonts w:asciiTheme="majorBidi" w:eastAsia="Times New Roman" w:hAnsiTheme="majorBidi" w:cstheme="majorBidi"/>
          <w:b/>
          <w:bCs/>
          <w:color w:val="242424"/>
          <w:spacing w:val="-5"/>
          <w:sz w:val="14"/>
          <w:szCs w:val="14"/>
          <w:lang w:val="en-CA" w:eastAsia="en-GB"/>
        </w:rPr>
        <w:t xml:space="preserve"> </w:t>
      </w:r>
      <w:r w:rsidRPr="005F0A67">
        <w:rPr>
          <w:rFonts w:asciiTheme="majorBidi" w:eastAsia="Times New Roman" w:hAnsiTheme="majorBidi" w:cstheme="majorBidi"/>
          <w:color w:val="242424"/>
          <w:spacing w:val="-2"/>
          <w:sz w:val="14"/>
          <w:szCs w:val="14"/>
          <w:lang w:val="en-CA" w:eastAsia="en-GB"/>
        </w:rPr>
        <w:t>to</w:t>
      </w:r>
      <w:r w:rsidRPr="005F0A67">
        <w:rPr>
          <w:rFonts w:asciiTheme="majorBidi" w:eastAsia="Times New Roman" w:hAnsiTheme="majorBidi" w:cstheme="majorBidi"/>
          <w:color w:val="242424"/>
          <w:spacing w:val="-5"/>
          <w:sz w:val="14"/>
          <w:szCs w:val="14"/>
          <w:lang w:val="en-CA" w:eastAsia="en-GB"/>
        </w:rPr>
        <w:t xml:space="preserve"> </w:t>
      </w:r>
      <w:r w:rsidRPr="005F0A67">
        <w:rPr>
          <w:rFonts w:asciiTheme="majorBidi" w:eastAsia="Times New Roman" w:hAnsiTheme="majorBidi" w:cstheme="majorBidi"/>
          <w:color w:val="242424"/>
          <w:spacing w:val="-2"/>
          <w:sz w:val="14"/>
          <w:szCs w:val="14"/>
          <w:lang w:val="en-CA" w:eastAsia="en-GB"/>
        </w:rPr>
        <w:t>the</w:t>
      </w:r>
      <w:r w:rsidRPr="005F0A67">
        <w:rPr>
          <w:rFonts w:asciiTheme="majorBidi" w:eastAsia="Times New Roman" w:hAnsiTheme="majorBidi" w:cstheme="majorBidi"/>
          <w:color w:val="242424"/>
          <w:spacing w:val="-5"/>
          <w:sz w:val="14"/>
          <w:szCs w:val="14"/>
          <w:lang w:val="en-CA" w:eastAsia="en-GB"/>
        </w:rPr>
        <w:t xml:space="preserve"> </w:t>
      </w:r>
      <w:r w:rsidRPr="005F0A67">
        <w:rPr>
          <w:rFonts w:asciiTheme="majorBidi" w:eastAsia="Times New Roman" w:hAnsiTheme="majorBidi" w:cstheme="majorBidi"/>
          <w:color w:val="242424"/>
          <w:spacing w:val="-2"/>
          <w:sz w:val="14"/>
          <w:szCs w:val="14"/>
          <w:lang w:val="en-CA" w:eastAsia="en-GB"/>
        </w:rPr>
        <w:t>Cali</w:t>
      </w:r>
      <w:r w:rsidRPr="005F0A67">
        <w:rPr>
          <w:rFonts w:asciiTheme="majorBidi" w:eastAsia="Times New Roman" w:hAnsiTheme="majorBidi" w:cstheme="majorBidi"/>
          <w:color w:val="242424"/>
          <w:spacing w:val="-5"/>
          <w:sz w:val="14"/>
          <w:szCs w:val="14"/>
          <w:lang w:val="en-CA" w:eastAsia="en-GB"/>
        </w:rPr>
        <w:t xml:space="preserve"> </w:t>
      </w:r>
      <w:r w:rsidRPr="005F0A67">
        <w:rPr>
          <w:rFonts w:asciiTheme="majorBidi" w:eastAsia="Times New Roman" w:hAnsiTheme="majorBidi" w:cstheme="majorBidi"/>
          <w:color w:val="242424"/>
          <w:spacing w:val="-2"/>
          <w:sz w:val="14"/>
          <w:szCs w:val="14"/>
          <w:lang w:val="en-CA" w:eastAsia="en-GB"/>
        </w:rPr>
        <w:t>Fund.</w:t>
      </w:r>
    </w:p>
    <w:p w14:paraId="6F2BF3B5" w14:textId="77777777" w:rsidR="005F0A67" w:rsidRPr="005F0A67" w:rsidRDefault="005F0A67" w:rsidP="005F0A67">
      <w:pPr>
        <w:widowControl w:val="0"/>
        <w:tabs>
          <w:tab w:val="clear" w:pos="567"/>
          <w:tab w:val="clear" w:pos="1134"/>
          <w:tab w:val="clear" w:pos="1701"/>
          <w:tab w:val="clear" w:pos="2268"/>
        </w:tabs>
        <w:spacing w:before="39"/>
        <w:jc w:val="left"/>
        <w:rPr>
          <w:rFonts w:asciiTheme="majorBidi" w:eastAsia="Arial" w:hAnsiTheme="majorBidi" w:cstheme="majorBidi"/>
          <w:sz w:val="14"/>
          <w:szCs w:val="14"/>
          <w:lang w:val="en-US"/>
        </w:rPr>
      </w:pPr>
    </w:p>
    <w:p w14:paraId="043162D7" w14:textId="77777777" w:rsidR="005F0A67" w:rsidRPr="005F0A67" w:rsidRDefault="005F0A67" w:rsidP="003A387A">
      <w:pPr>
        <w:numPr>
          <w:ilvl w:val="0"/>
          <w:numId w:val="46"/>
        </w:numPr>
        <w:tabs>
          <w:tab w:val="clear" w:pos="567"/>
          <w:tab w:val="clear" w:pos="1134"/>
          <w:tab w:val="clear" w:pos="1701"/>
          <w:tab w:val="clear" w:pos="2268"/>
          <w:tab w:val="left" w:pos="672"/>
        </w:tabs>
        <w:spacing w:after="120"/>
        <w:ind w:left="672" w:hanging="157"/>
        <w:jc w:val="left"/>
        <w:outlineLvl w:val="3"/>
        <w:rPr>
          <w:rFonts w:asciiTheme="majorBidi" w:eastAsia="Georgia" w:hAnsiTheme="majorBidi" w:cstheme="majorBidi"/>
          <w:b/>
          <w:bCs/>
          <w:color w:val="0F4761"/>
          <w:sz w:val="18"/>
          <w:szCs w:val="18"/>
          <w:lang w:eastAsia="en-GB"/>
        </w:rPr>
      </w:pPr>
      <w:r w:rsidRPr="005F0A67">
        <w:rPr>
          <w:rFonts w:asciiTheme="majorBidi" w:eastAsia="Georgia" w:hAnsiTheme="majorBidi" w:cstheme="majorBidi"/>
          <w:b/>
          <w:bCs/>
          <w:color w:val="242424"/>
          <w:spacing w:val="-6"/>
          <w:sz w:val="18"/>
          <w:szCs w:val="18"/>
          <w:lang w:eastAsia="en-GB"/>
        </w:rPr>
        <w:t>CALI</w:t>
      </w:r>
      <w:r w:rsidRPr="005F0A67">
        <w:rPr>
          <w:rFonts w:asciiTheme="majorBidi" w:eastAsia="Georgia" w:hAnsiTheme="majorBidi" w:cstheme="majorBidi"/>
          <w:b/>
          <w:bCs/>
          <w:color w:val="242424"/>
          <w:spacing w:val="-5"/>
          <w:sz w:val="18"/>
          <w:szCs w:val="18"/>
          <w:lang w:eastAsia="en-GB"/>
        </w:rPr>
        <w:t xml:space="preserve"> </w:t>
      </w:r>
      <w:r w:rsidRPr="005F0A67">
        <w:rPr>
          <w:rFonts w:asciiTheme="majorBidi" w:eastAsia="Georgia" w:hAnsiTheme="majorBidi" w:cstheme="majorBidi"/>
          <w:b/>
          <w:bCs/>
          <w:color w:val="242424"/>
          <w:spacing w:val="-6"/>
          <w:sz w:val="18"/>
          <w:szCs w:val="18"/>
          <w:lang w:eastAsia="en-GB"/>
        </w:rPr>
        <w:t>FUND</w:t>
      </w:r>
      <w:r w:rsidRPr="005F0A67">
        <w:rPr>
          <w:rFonts w:asciiTheme="majorBidi" w:eastAsia="Georgia" w:hAnsiTheme="majorBidi" w:cstheme="majorBidi"/>
          <w:b/>
          <w:bCs/>
          <w:color w:val="242424"/>
          <w:spacing w:val="-5"/>
          <w:sz w:val="18"/>
          <w:szCs w:val="18"/>
          <w:lang w:eastAsia="en-GB"/>
        </w:rPr>
        <w:t xml:space="preserve"> </w:t>
      </w:r>
      <w:r w:rsidRPr="005F0A67">
        <w:rPr>
          <w:rFonts w:asciiTheme="majorBidi" w:eastAsia="Georgia" w:hAnsiTheme="majorBidi" w:cstheme="majorBidi"/>
          <w:b/>
          <w:bCs/>
          <w:color w:val="242424"/>
          <w:spacing w:val="-6"/>
          <w:sz w:val="18"/>
          <w:szCs w:val="18"/>
          <w:lang w:eastAsia="en-GB"/>
        </w:rPr>
        <w:t>CONTRIBUTORS</w:t>
      </w:r>
    </w:p>
    <w:p w14:paraId="75A97DC9" w14:textId="77777777" w:rsidR="005F0A67" w:rsidRPr="005F0A67" w:rsidRDefault="005F0A67" w:rsidP="005F0A67">
      <w:pPr>
        <w:tabs>
          <w:tab w:val="clear" w:pos="567"/>
          <w:tab w:val="clear" w:pos="1134"/>
          <w:tab w:val="clear" w:pos="1701"/>
          <w:tab w:val="clear" w:pos="2268"/>
        </w:tabs>
        <w:spacing w:before="39" w:line="297" w:lineRule="auto"/>
        <w:ind w:left="515" w:right="484"/>
        <w:jc w:val="left"/>
        <w:rPr>
          <w:rFonts w:asciiTheme="majorBidi" w:eastAsia="Times New Roman" w:hAnsiTheme="majorBidi" w:cstheme="majorBidi"/>
          <w:i/>
          <w:iCs/>
          <w:sz w:val="14"/>
          <w:szCs w:val="14"/>
          <w:lang w:val="en-CA" w:eastAsia="en-GB"/>
        </w:rPr>
      </w:pPr>
      <w:r w:rsidRPr="005F0A67">
        <w:rPr>
          <w:rFonts w:asciiTheme="majorBidi" w:eastAsia="Times New Roman" w:hAnsiTheme="majorBidi" w:cstheme="majorBidi"/>
          <w:b/>
          <w:bCs/>
          <w:color w:val="242424"/>
          <w:spacing w:val="-4"/>
          <w:sz w:val="14"/>
          <w:szCs w:val="14"/>
          <w:lang w:val="en-CA" w:eastAsia="en-GB"/>
        </w:rPr>
        <w:t>Company size</w:t>
      </w:r>
      <w:r w:rsidRPr="005F0A67">
        <w:rPr>
          <w:rFonts w:asciiTheme="majorBidi" w:eastAsia="Times New Roman" w:hAnsiTheme="majorBidi" w:cstheme="majorBidi"/>
          <w:color w:val="242424"/>
          <w:spacing w:val="-4"/>
          <w:sz w:val="14"/>
          <w:szCs w:val="14"/>
          <w:lang w:val="en-CA" w:eastAsia="en-GB"/>
        </w:rPr>
        <w:t xml:space="preserve">: [Decision 16/2 Annex para. 3] </w:t>
      </w:r>
      <w:r w:rsidRPr="005F0A67">
        <w:rPr>
          <w:rFonts w:asciiTheme="majorBidi" w:eastAsia="Times New Roman" w:hAnsiTheme="majorBidi" w:cstheme="majorBidi"/>
          <w:i/>
          <w:iCs/>
          <w:color w:val="242424"/>
          <w:spacing w:val="-4"/>
          <w:sz w:val="14"/>
          <w:szCs w:val="14"/>
          <w:lang w:val="en-CA" w:eastAsia="en-GB"/>
        </w:rPr>
        <w:t xml:space="preserve">Entities that, on their balance sheet dates, exceed at least </w:t>
      </w:r>
      <w:r w:rsidRPr="005F0A67">
        <w:rPr>
          <w:rFonts w:asciiTheme="majorBidi" w:eastAsia="Times New Roman" w:hAnsiTheme="majorBidi" w:cstheme="majorBidi"/>
          <w:b/>
          <w:bCs/>
          <w:i/>
          <w:iCs/>
          <w:color w:val="242424"/>
          <w:spacing w:val="-4"/>
          <w:sz w:val="14"/>
          <w:szCs w:val="14"/>
          <w:lang w:val="en-CA" w:eastAsia="en-GB"/>
        </w:rPr>
        <w:t>two out of three of</w:t>
      </w:r>
      <w:r w:rsidRPr="005F0A67">
        <w:rPr>
          <w:rFonts w:asciiTheme="majorBidi" w:eastAsia="Times New Roman" w:hAnsiTheme="majorBidi" w:cstheme="majorBidi"/>
          <w:b/>
          <w:bCs/>
          <w:i/>
          <w:iCs/>
          <w:color w:val="242424"/>
          <w:spacing w:val="40"/>
          <w:sz w:val="14"/>
          <w:szCs w:val="14"/>
          <w:lang w:val="en-CA" w:eastAsia="en-GB"/>
        </w:rPr>
        <w:t xml:space="preserve"> </w:t>
      </w:r>
      <w:r w:rsidRPr="005F0A67">
        <w:rPr>
          <w:rFonts w:asciiTheme="majorBidi" w:eastAsia="Times New Roman" w:hAnsiTheme="majorBidi" w:cstheme="majorBidi"/>
          <w:b/>
          <w:bCs/>
          <w:i/>
          <w:iCs/>
          <w:color w:val="242424"/>
          <w:spacing w:val="-2"/>
          <w:sz w:val="14"/>
          <w:szCs w:val="14"/>
          <w:lang w:val="en-CA" w:eastAsia="en-GB"/>
        </w:rPr>
        <w:t>thresholds</w:t>
      </w:r>
      <w:r w:rsidRPr="005F0A67">
        <w:rPr>
          <w:rFonts w:asciiTheme="majorBidi" w:eastAsia="Times New Roman" w:hAnsiTheme="majorBidi" w:cstheme="majorBidi"/>
          <w:b/>
          <w:bCs/>
          <w:i/>
          <w:iCs/>
          <w:color w:val="242424"/>
          <w:spacing w:val="-8"/>
          <w:sz w:val="14"/>
          <w:szCs w:val="14"/>
          <w:lang w:val="en-CA" w:eastAsia="en-GB"/>
        </w:rPr>
        <w:t xml:space="preserve"> </w:t>
      </w:r>
      <w:r w:rsidRPr="005F0A67">
        <w:rPr>
          <w:rFonts w:asciiTheme="majorBidi" w:eastAsia="Times New Roman" w:hAnsiTheme="majorBidi" w:cstheme="majorBidi"/>
          <w:i/>
          <w:iCs/>
          <w:color w:val="242424"/>
          <w:spacing w:val="-2"/>
          <w:sz w:val="14"/>
          <w:szCs w:val="14"/>
          <w:lang w:val="en-CA" w:eastAsia="en-GB"/>
        </w:rPr>
        <w:t>(namely,</w:t>
      </w:r>
      <w:r w:rsidRPr="005F0A67">
        <w:rPr>
          <w:rFonts w:asciiTheme="majorBidi" w:eastAsia="Times New Roman" w:hAnsiTheme="majorBidi" w:cstheme="majorBidi"/>
          <w:i/>
          <w:iCs/>
          <w:color w:val="242424"/>
          <w:spacing w:val="-8"/>
          <w:sz w:val="14"/>
          <w:szCs w:val="14"/>
          <w:lang w:val="en-CA" w:eastAsia="en-GB"/>
        </w:rPr>
        <w:t xml:space="preserve"> </w:t>
      </w:r>
      <w:r w:rsidRPr="005F0A67">
        <w:rPr>
          <w:rFonts w:asciiTheme="majorBidi" w:eastAsia="Times New Roman" w:hAnsiTheme="majorBidi" w:cstheme="majorBidi"/>
          <w:i/>
          <w:iCs/>
          <w:color w:val="242424"/>
          <w:spacing w:val="-2"/>
          <w:sz w:val="14"/>
          <w:szCs w:val="14"/>
          <w:lang w:val="en-CA" w:eastAsia="en-GB"/>
        </w:rPr>
        <w:t>total</w:t>
      </w:r>
      <w:r w:rsidRPr="005F0A67">
        <w:rPr>
          <w:rFonts w:asciiTheme="majorBidi" w:eastAsia="Times New Roman" w:hAnsiTheme="majorBidi" w:cstheme="majorBidi"/>
          <w:i/>
          <w:iCs/>
          <w:color w:val="242424"/>
          <w:spacing w:val="-8"/>
          <w:sz w:val="14"/>
          <w:szCs w:val="14"/>
          <w:lang w:val="en-CA" w:eastAsia="en-GB"/>
        </w:rPr>
        <w:t xml:space="preserve"> </w:t>
      </w:r>
      <w:r w:rsidRPr="005F0A67">
        <w:rPr>
          <w:rFonts w:asciiTheme="majorBidi" w:eastAsia="Times New Roman" w:hAnsiTheme="majorBidi" w:cstheme="majorBidi"/>
          <w:i/>
          <w:iCs/>
          <w:color w:val="242424"/>
          <w:spacing w:val="-2"/>
          <w:sz w:val="14"/>
          <w:szCs w:val="14"/>
          <w:lang w:val="en-CA" w:eastAsia="en-GB"/>
        </w:rPr>
        <w:t>assets:</w:t>
      </w:r>
      <w:r w:rsidRPr="005F0A67">
        <w:rPr>
          <w:rFonts w:asciiTheme="majorBidi" w:eastAsia="Times New Roman" w:hAnsiTheme="majorBidi" w:cstheme="majorBidi"/>
          <w:i/>
          <w:iCs/>
          <w:color w:val="242424"/>
          <w:spacing w:val="-7"/>
          <w:sz w:val="14"/>
          <w:szCs w:val="14"/>
          <w:lang w:val="en-CA" w:eastAsia="en-GB"/>
        </w:rPr>
        <w:t xml:space="preserve"> </w:t>
      </w:r>
      <w:r w:rsidRPr="005F0A67">
        <w:rPr>
          <w:rFonts w:asciiTheme="majorBidi" w:eastAsia="Times New Roman" w:hAnsiTheme="majorBidi" w:cstheme="majorBidi"/>
          <w:i/>
          <w:iCs/>
          <w:color w:val="242424"/>
          <w:spacing w:val="-2"/>
          <w:sz w:val="14"/>
          <w:szCs w:val="14"/>
          <w:lang w:val="en-CA" w:eastAsia="en-GB"/>
        </w:rPr>
        <w:t>20</w:t>
      </w:r>
      <w:r w:rsidRPr="005F0A67">
        <w:rPr>
          <w:rFonts w:asciiTheme="majorBidi" w:eastAsia="Times New Roman" w:hAnsiTheme="majorBidi" w:cstheme="majorBidi"/>
          <w:i/>
          <w:iCs/>
          <w:color w:val="242424"/>
          <w:spacing w:val="-8"/>
          <w:sz w:val="14"/>
          <w:szCs w:val="14"/>
          <w:lang w:val="en-CA" w:eastAsia="en-GB"/>
        </w:rPr>
        <w:t xml:space="preserve"> </w:t>
      </w:r>
      <w:r w:rsidRPr="005F0A67">
        <w:rPr>
          <w:rFonts w:asciiTheme="majorBidi" w:eastAsia="Times New Roman" w:hAnsiTheme="majorBidi" w:cstheme="majorBidi"/>
          <w:i/>
          <w:iCs/>
          <w:color w:val="242424"/>
          <w:spacing w:val="-2"/>
          <w:sz w:val="14"/>
          <w:szCs w:val="14"/>
          <w:lang w:val="en-CA" w:eastAsia="en-GB"/>
        </w:rPr>
        <w:t>million</w:t>
      </w:r>
      <w:r w:rsidRPr="005F0A67">
        <w:rPr>
          <w:rFonts w:asciiTheme="majorBidi" w:eastAsia="Times New Roman" w:hAnsiTheme="majorBidi" w:cstheme="majorBidi"/>
          <w:i/>
          <w:iCs/>
          <w:color w:val="242424"/>
          <w:spacing w:val="-8"/>
          <w:sz w:val="14"/>
          <w:szCs w:val="14"/>
          <w:lang w:val="en-CA" w:eastAsia="en-GB"/>
        </w:rPr>
        <w:t xml:space="preserve"> </w:t>
      </w:r>
      <w:r w:rsidRPr="005F0A67">
        <w:rPr>
          <w:rFonts w:asciiTheme="majorBidi" w:eastAsia="Times New Roman" w:hAnsiTheme="majorBidi" w:cstheme="majorBidi"/>
          <w:i/>
          <w:iCs/>
          <w:color w:val="242424"/>
          <w:spacing w:val="-2"/>
          <w:sz w:val="14"/>
          <w:szCs w:val="14"/>
          <w:lang w:val="en-CA" w:eastAsia="en-GB"/>
        </w:rPr>
        <w:t>United</w:t>
      </w:r>
      <w:r w:rsidRPr="005F0A67">
        <w:rPr>
          <w:rFonts w:asciiTheme="majorBidi" w:eastAsia="Times New Roman" w:hAnsiTheme="majorBidi" w:cstheme="majorBidi"/>
          <w:i/>
          <w:iCs/>
          <w:color w:val="242424"/>
          <w:spacing w:val="-8"/>
          <w:sz w:val="14"/>
          <w:szCs w:val="14"/>
          <w:lang w:val="en-CA" w:eastAsia="en-GB"/>
        </w:rPr>
        <w:t xml:space="preserve"> </w:t>
      </w:r>
      <w:r w:rsidRPr="005F0A67">
        <w:rPr>
          <w:rFonts w:asciiTheme="majorBidi" w:eastAsia="Times New Roman" w:hAnsiTheme="majorBidi" w:cstheme="majorBidi"/>
          <w:i/>
          <w:iCs/>
          <w:color w:val="242424"/>
          <w:spacing w:val="-2"/>
          <w:sz w:val="14"/>
          <w:szCs w:val="14"/>
          <w:lang w:val="en-CA" w:eastAsia="en-GB"/>
        </w:rPr>
        <w:t>States</w:t>
      </w:r>
      <w:r w:rsidRPr="005F0A67">
        <w:rPr>
          <w:rFonts w:asciiTheme="majorBidi" w:eastAsia="Times New Roman" w:hAnsiTheme="majorBidi" w:cstheme="majorBidi"/>
          <w:i/>
          <w:iCs/>
          <w:color w:val="242424"/>
          <w:spacing w:val="-7"/>
          <w:sz w:val="14"/>
          <w:szCs w:val="14"/>
          <w:lang w:val="en-CA" w:eastAsia="en-GB"/>
        </w:rPr>
        <w:t xml:space="preserve"> </w:t>
      </w:r>
      <w:r w:rsidRPr="005F0A67">
        <w:rPr>
          <w:rFonts w:asciiTheme="majorBidi" w:eastAsia="Times New Roman" w:hAnsiTheme="majorBidi" w:cstheme="majorBidi"/>
          <w:i/>
          <w:iCs/>
          <w:color w:val="242424"/>
          <w:spacing w:val="-2"/>
          <w:sz w:val="14"/>
          <w:szCs w:val="14"/>
          <w:lang w:val="en-CA" w:eastAsia="en-GB"/>
        </w:rPr>
        <w:t>dollars,</w:t>
      </w:r>
      <w:r w:rsidRPr="005F0A67">
        <w:rPr>
          <w:rFonts w:asciiTheme="majorBidi" w:eastAsia="Times New Roman" w:hAnsiTheme="majorBidi" w:cstheme="majorBidi"/>
          <w:i/>
          <w:iCs/>
          <w:color w:val="242424"/>
          <w:spacing w:val="-8"/>
          <w:sz w:val="14"/>
          <w:szCs w:val="14"/>
          <w:lang w:val="en-CA" w:eastAsia="en-GB"/>
        </w:rPr>
        <w:t xml:space="preserve"> </w:t>
      </w:r>
      <w:r w:rsidRPr="005F0A67">
        <w:rPr>
          <w:rFonts w:asciiTheme="majorBidi" w:eastAsia="Times New Roman" w:hAnsiTheme="majorBidi" w:cstheme="majorBidi"/>
          <w:i/>
          <w:iCs/>
          <w:color w:val="242424"/>
          <w:spacing w:val="-2"/>
          <w:sz w:val="14"/>
          <w:szCs w:val="14"/>
          <w:lang w:val="en-CA" w:eastAsia="en-GB"/>
        </w:rPr>
        <w:t>sales:</w:t>
      </w:r>
      <w:r w:rsidRPr="005F0A67">
        <w:rPr>
          <w:rFonts w:asciiTheme="majorBidi" w:eastAsia="Times New Roman" w:hAnsiTheme="majorBidi" w:cstheme="majorBidi"/>
          <w:i/>
          <w:iCs/>
          <w:color w:val="242424"/>
          <w:spacing w:val="-8"/>
          <w:sz w:val="14"/>
          <w:szCs w:val="14"/>
          <w:lang w:val="en-CA" w:eastAsia="en-GB"/>
        </w:rPr>
        <w:t xml:space="preserve"> </w:t>
      </w:r>
      <w:r w:rsidRPr="005F0A67">
        <w:rPr>
          <w:rFonts w:asciiTheme="majorBidi" w:eastAsia="Times New Roman" w:hAnsiTheme="majorBidi" w:cstheme="majorBidi"/>
          <w:i/>
          <w:iCs/>
          <w:color w:val="242424"/>
          <w:spacing w:val="-2"/>
          <w:sz w:val="14"/>
          <w:szCs w:val="14"/>
          <w:lang w:val="en-CA" w:eastAsia="en-GB"/>
        </w:rPr>
        <w:t>50</w:t>
      </w:r>
      <w:r w:rsidRPr="005F0A67">
        <w:rPr>
          <w:rFonts w:asciiTheme="majorBidi" w:eastAsia="Times New Roman" w:hAnsiTheme="majorBidi" w:cstheme="majorBidi"/>
          <w:i/>
          <w:iCs/>
          <w:color w:val="242424"/>
          <w:spacing w:val="-7"/>
          <w:sz w:val="14"/>
          <w:szCs w:val="14"/>
          <w:lang w:val="en-CA" w:eastAsia="en-GB"/>
        </w:rPr>
        <w:t xml:space="preserve"> </w:t>
      </w:r>
      <w:r w:rsidRPr="005F0A67">
        <w:rPr>
          <w:rFonts w:asciiTheme="majorBidi" w:eastAsia="Times New Roman" w:hAnsiTheme="majorBidi" w:cstheme="majorBidi"/>
          <w:i/>
          <w:iCs/>
          <w:color w:val="242424"/>
          <w:spacing w:val="-2"/>
          <w:sz w:val="14"/>
          <w:szCs w:val="14"/>
          <w:lang w:val="en-CA" w:eastAsia="en-GB"/>
        </w:rPr>
        <w:t>million</w:t>
      </w:r>
      <w:r w:rsidRPr="005F0A67">
        <w:rPr>
          <w:rFonts w:asciiTheme="majorBidi" w:eastAsia="Times New Roman" w:hAnsiTheme="majorBidi" w:cstheme="majorBidi"/>
          <w:i/>
          <w:iCs/>
          <w:color w:val="242424"/>
          <w:spacing w:val="-8"/>
          <w:sz w:val="14"/>
          <w:szCs w:val="14"/>
          <w:lang w:val="en-CA" w:eastAsia="en-GB"/>
        </w:rPr>
        <w:t xml:space="preserve"> United States </w:t>
      </w:r>
      <w:r w:rsidRPr="005F0A67">
        <w:rPr>
          <w:rFonts w:asciiTheme="majorBidi" w:eastAsia="Times New Roman" w:hAnsiTheme="majorBidi" w:cstheme="majorBidi"/>
          <w:i/>
          <w:iCs/>
          <w:color w:val="242424"/>
          <w:spacing w:val="-2"/>
          <w:sz w:val="14"/>
          <w:szCs w:val="14"/>
          <w:lang w:val="en-CA" w:eastAsia="en-GB"/>
        </w:rPr>
        <w:t>dollars,</w:t>
      </w:r>
      <w:r w:rsidRPr="005F0A67">
        <w:rPr>
          <w:rFonts w:asciiTheme="majorBidi" w:eastAsia="Times New Roman" w:hAnsiTheme="majorBidi" w:cstheme="majorBidi"/>
          <w:i/>
          <w:iCs/>
          <w:color w:val="242424"/>
          <w:spacing w:val="-8"/>
          <w:sz w:val="14"/>
          <w:szCs w:val="14"/>
          <w:lang w:val="en-CA" w:eastAsia="en-GB"/>
        </w:rPr>
        <w:t xml:space="preserve"> </w:t>
      </w:r>
      <w:r w:rsidRPr="005F0A67">
        <w:rPr>
          <w:rFonts w:asciiTheme="majorBidi" w:eastAsia="Times New Roman" w:hAnsiTheme="majorBidi" w:cstheme="majorBidi"/>
          <w:i/>
          <w:iCs/>
          <w:color w:val="242424"/>
          <w:spacing w:val="-2"/>
          <w:sz w:val="14"/>
          <w:szCs w:val="14"/>
          <w:lang w:val="en-CA" w:eastAsia="en-GB"/>
        </w:rPr>
        <w:t>and</w:t>
      </w:r>
      <w:r w:rsidRPr="005F0A67">
        <w:rPr>
          <w:rFonts w:asciiTheme="majorBidi" w:eastAsia="Times New Roman" w:hAnsiTheme="majorBidi" w:cstheme="majorBidi"/>
          <w:i/>
          <w:iCs/>
          <w:color w:val="242424"/>
          <w:spacing w:val="-8"/>
          <w:sz w:val="14"/>
          <w:szCs w:val="14"/>
          <w:lang w:val="en-CA" w:eastAsia="en-GB"/>
        </w:rPr>
        <w:t xml:space="preserve"> </w:t>
      </w:r>
      <w:r w:rsidRPr="005F0A67">
        <w:rPr>
          <w:rFonts w:asciiTheme="majorBidi" w:eastAsia="Times New Roman" w:hAnsiTheme="majorBidi" w:cstheme="majorBidi"/>
          <w:i/>
          <w:iCs/>
          <w:color w:val="242424"/>
          <w:spacing w:val="-2"/>
          <w:sz w:val="14"/>
          <w:szCs w:val="14"/>
          <w:lang w:val="en-CA" w:eastAsia="en-GB"/>
        </w:rPr>
        <w:t>profit:</w:t>
      </w:r>
      <w:r w:rsidRPr="005F0A67">
        <w:rPr>
          <w:rFonts w:asciiTheme="majorBidi" w:eastAsia="Times New Roman" w:hAnsiTheme="majorBidi" w:cstheme="majorBidi"/>
          <w:i/>
          <w:iCs/>
          <w:color w:val="242424"/>
          <w:spacing w:val="-7"/>
          <w:sz w:val="14"/>
          <w:szCs w:val="14"/>
          <w:lang w:val="en-CA" w:eastAsia="en-GB"/>
        </w:rPr>
        <w:t xml:space="preserve"> </w:t>
      </w:r>
      <w:r w:rsidRPr="005F0A67">
        <w:rPr>
          <w:rFonts w:asciiTheme="majorBidi" w:eastAsia="Times New Roman" w:hAnsiTheme="majorBidi" w:cstheme="majorBidi"/>
          <w:i/>
          <w:iCs/>
          <w:color w:val="242424"/>
          <w:spacing w:val="-2"/>
          <w:sz w:val="14"/>
          <w:szCs w:val="14"/>
          <w:lang w:val="en-CA" w:eastAsia="en-GB"/>
        </w:rPr>
        <w:t>5</w:t>
      </w:r>
      <w:r w:rsidRPr="005F0A67">
        <w:rPr>
          <w:rFonts w:asciiTheme="majorBidi" w:eastAsia="Times New Roman" w:hAnsiTheme="majorBidi" w:cstheme="majorBidi"/>
          <w:i/>
          <w:iCs/>
          <w:color w:val="242424"/>
          <w:spacing w:val="-8"/>
          <w:sz w:val="14"/>
          <w:szCs w:val="14"/>
          <w:lang w:val="en-CA" w:eastAsia="en-GB"/>
        </w:rPr>
        <w:t xml:space="preserve"> </w:t>
      </w:r>
      <w:r w:rsidRPr="005F0A67">
        <w:rPr>
          <w:rFonts w:asciiTheme="majorBidi" w:eastAsia="Times New Roman" w:hAnsiTheme="majorBidi" w:cstheme="majorBidi"/>
          <w:i/>
          <w:iCs/>
          <w:color w:val="242424"/>
          <w:spacing w:val="-2"/>
          <w:sz w:val="14"/>
          <w:szCs w:val="14"/>
          <w:lang w:val="en-CA" w:eastAsia="en-GB"/>
        </w:rPr>
        <w:t>million</w:t>
      </w:r>
      <w:r w:rsidRPr="005F0A67">
        <w:rPr>
          <w:rFonts w:asciiTheme="majorBidi" w:eastAsia="Times New Roman" w:hAnsiTheme="majorBidi" w:cstheme="majorBidi"/>
          <w:i/>
          <w:iCs/>
          <w:color w:val="242424"/>
          <w:spacing w:val="-8"/>
          <w:sz w:val="14"/>
          <w:szCs w:val="14"/>
          <w:lang w:val="en-CA" w:eastAsia="en-GB"/>
        </w:rPr>
        <w:t xml:space="preserve"> United States </w:t>
      </w:r>
      <w:r w:rsidRPr="005F0A67">
        <w:rPr>
          <w:rFonts w:asciiTheme="majorBidi" w:eastAsia="Times New Roman" w:hAnsiTheme="majorBidi" w:cstheme="majorBidi"/>
          <w:i/>
          <w:iCs/>
          <w:color w:val="242424"/>
          <w:spacing w:val="-2"/>
          <w:sz w:val="14"/>
          <w:szCs w:val="14"/>
          <w:lang w:val="en-CA" w:eastAsia="en-GB"/>
        </w:rPr>
        <w:t>dollars)</w:t>
      </w:r>
      <w:r w:rsidRPr="005F0A67">
        <w:rPr>
          <w:rFonts w:asciiTheme="majorBidi" w:eastAsia="Times New Roman" w:hAnsiTheme="majorBidi" w:cstheme="majorBidi"/>
          <w:i/>
          <w:iCs/>
          <w:color w:val="242424"/>
          <w:spacing w:val="-8"/>
          <w:sz w:val="14"/>
          <w:szCs w:val="14"/>
          <w:lang w:val="en-CA" w:eastAsia="en-GB"/>
        </w:rPr>
        <w:t xml:space="preserve"> </w:t>
      </w:r>
      <w:r w:rsidRPr="005F0A67">
        <w:rPr>
          <w:rFonts w:asciiTheme="majorBidi" w:eastAsia="Times New Roman" w:hAnsiTheme="majorBidi" w:cstheme="majorBidi"/>
          <w:i/>
          <w:iCs/>
          <w:color w:val="242424"/>
          <w:spacing w:val="-2"/>
          <w:sz w:val="14"/>
          <w:szCs w:val="14"/>
          <w:lang w:val="en-CA" w:eastAsia="en-GB"/>
        </w:rPr>
        <w:t>aver-</w:t>
      </w:r>
      <w:r w:rsidRPr="005F0A67">
        <w:rPr>
          <w:rFonts w:asciiTheme="majorBidi" w:eastAsia="Times New Roman" w:hAnsiTheme="majorBidi" w:cstheme="majorBidi"/>
          <w:i/>
          <w:iCs/>
          <w:color w:val="242424"/>
          <w:sz w:val="14"/>
          <w:szCs w:val="14"/>
          <w:lang w:val="en-CA" w:eastAsia="en-GB"/>
        </w:rPr>
        <w:t>aged</w:t>
      </w:r>
      <w:r w:rsidRPr="005F0A67">
        <w:rPr>
          <w:rFonts w:asciiTheme="majorBidi" w:eastAsia="Times New Roman" w:hAnsiTheme="majorBidi" w:cstheme="majorBidi"/>
          <w:i/>
          <w:iCs/>
          <w:color w:val="242424"/>
          <w:spacing w:val="-2"/>
          <w:sz w:val="14"/>
          <w:szCs w:val="14"/>
          <w:lang w:val="en-CA" w:eastAsia="en-GB"/>
        </w:rPr>
        <w:t xml:space="preserve"> </w:t>
      </w:r>
      <w:r w:rsidRPr="005F0A67">
        <w:rPr>
          <w:rFonts w:asciiTheme="majorBidi" w:eastAsia="Times New Roman" w:hAnsiTheme="majorBidi" w:cstheme="majorBidi"/>
          <w:i/>
          <w:iCs/>
          <w:color w:val="242424"/>
          <w:sz w:val="14"/>
          <w:szCs w:val="14"/>
          <w:lang w:val="en-CA" w:eastAsia="en-GB"/>
        </w:rPr>
        <w:t>over</w:t>
      </w:r>
      <w:r w:rsidRPr="005F0A67">
        <w:rPr>
          <w:rFonts w:asciiTheme="majorBidi" w:eastAsia="Times New Roman" w:hAnsiTheme="majorBidi" w:cstheme="majorBidi"/>
          <w:i/>
          <w:iCs/>
          <w:color w:val="242424"/>
          <w:spacing w:val="-2"/>
          <w:sz w:val="14"/>
          <w:szCs w:val="14"/>
          <w:lang w:val="en-CA" w:eastAsia="en-GB"/>
        </w:rPr>
        <w:t xml:space="preserve"> </w:t>
      </w:r>
      <w:r w:rsidRPr="005F0A67">
        <w:rPr>
          <w:rFonts w:asciiTheme="majorBidi" w:eastAsia="Times New Roman" w:hAnsiTheme="majorBidi" w:cstheme="majorBidi"/>
          <w:i/>
          <w:iCs/>
          <w:color w:val="242424"/>
          <w:sz w:val="14"/>
          <w:szCs w:val="14"/>
          <w:lang w:val="en-CA" w:eastAsia="en-GB"/>
        </w:rPr>
        <w:t>the</w:t>
      </w:r>
      <w:r w:rsidRPr="005F0A67">
        <w:rPr>
          <w:rFonts w:asciiTheme="majorBidi" w:eastAsia="Times New Roman" w:hAnsiTheme="majorBidi" w:cstheme="majorBidi"/>
          <w:i/>
          <w:iCs/>
          <w:color w:val="242424"/>
          <w:spacing w:val="-2"/>
          <w:sz w:val="14"/>
          <w:szCs w:val="14"/>
          <w:lang w:val="en-CA" w:eastAsia="en-GB"/>
        </w:rPr>
        <w:t xml:space="preserve"> </w:t>
      </w:r>
      <w:r w:rsidRPr="005F0A67">
        <w:rPr>
          <w:rFonts w:asciiTheme="majorBidi" w:eastAsia="Times New Roman" w:hAnsiTheme="majorBidi" w:cstheme="majorBidi"/>
          <w:i/>
          <w:iCs/>
          <w:color w:val="242424"/>
          <w:sz w:val="14"/>
          <w:szCs w:val="14"/>
          <w:lang w:val="en-CA" w:eastAsia="en-GB"/>
        </w:rPr>
        <w:t>preceding</w:t>
      </w:r>
      <w:r w:rsidRPr="005F0A67">
        <w:rPr>
          <w:rFonts w:asciiTheme="majorBidi" w:eastAsia="Times New Roman" w:hAnsiTheme="majorBidi" w:cstheme="majorBidi"/>
          <w:i/>
          <w:iCs/>
          <w:color w:val="242424"/>
          <w:spacing w:val="-2"/>
          <w:sz w:val="14"/>
          <w:szCs w:val="14"/>
          <w:lang w:val="en-CA" w:eastAsia="en-GB"/>
        </w:rPr>
        <w:t xml:space="preserve"> </w:t>
      </w:r>
      <w:r w:rsidRPr="005F0A67">
        <w:rPr>
          <w:rFonts w:asciiTheme="majorBidi" w:eastAsia="Times New Roman" w:hAnsiTheme="majorBidi" w:cstheme="majorBidi"/>
          <w:i/>
          <w:iCs/>
          <w:color w:val="242424"/>
          <w:sz w:val="14"/>
          <w:szCs w:val="14"/>
          <w:lang w:val="en-CA" w:eastAsia="en-GB"/>
        </w:rPr>
        <w:t>three</w:t>
      </w:r>
      <w:r w:rsidRPr="005F0A67">
        <w:rPr>
          <w:rFonts w:asciiTheme="majorBidi" w:eastAsia="Times New Roman" w:hAnsiTheme="majorBidi" w:cstheme="majorBidi"/>
          <w:i/>
          <w:iCs/>
          <w:color w:val="242424"/>
          <w:spacing w:val="-2"/>
          <w:sz w:val="14"/>
          <w:szCs w:val="14"/>
          <w:lang w:val="en-CA" w:eastAsia="en-GB"/>
        </w:rPr>
        <w:t xml:space="preserve"> </w:t>
      </w:r>
      <w:r w:rsidRPr="005F0A67">
        <w:rPr>
          <w:rFonts w:asciiTheme="majorBidi" w:eastAsia="Times New Roman" w:hAnsiTheme="majorBidi" w:cstheme="majorBidi"/>
          <w:i/>
          <w:iCs/>
          <w:color w:val="242424"/>
          <w:sz w:val="14"/>
          <w:szCs w:val="14"/>
          <w:lang w:val="en-CA" w:eastAsia="en-GB"/>
        </w:rPr>
        <w:t>years.</w:t>
      </w:r>
    </w:p>
    <w:p w14:paraId="024B8441" w14:textId="77777777" w:rsidR="005F0A67" w:rsidRPr="005F0A67" w:rsidRDefault="005F0A67" w:rsidP="005F0A67">
      <w:pPr>
        <w:tabs>
          <w:tab w:val="clear" w:pos="567"/>
          <w:tab w:val="clear" w:pos="1134"/>
          <w:tab w:val="clear" w:pos="1701"/>
          <w:tab w:val="clear" w:pos="2268"/>
        </w:tabs>
        <w:spacing w:before="1" w:line="297" w:lineRule="auto"/>
        <w:ind w:left="515" w:right="525"/>
        <w:jc w:val="left"/>
        <w:rPr>
          <w:rFonts w:asciiTheme="majorBidi" w:eastAsia="Times New Roman" w:hAnsiTheme="majorBidi" w:cstheme="majorBidi"/>
          <w:i/>
          <w:iCs/>
          <w:sz w:val="14"/>
          <w:szCs w:val="14"/>
          <w:lang w:val="en-CA" w:eastAsia="en-GB"/>
        </w:rPr>
      </w:pPr>
      <w:r w:rsidRPr="005F0A67">
        <w:rPr>
          <w:rFonts w:asciiTheme="majorBidi" w:eastAsia="Times New Roman" w:hAnsiTheme="majorBidi" w:cstheme="majorBidi"/>
          <w:b/>
          <w:bCs/>
          <w:color w:val="242424"/>
          <w:spacing w:val="-2"/>
          <w:sz w:val="14"/>
          <w:szCs w:val="14"/>
          <w:lang w:val="en-CA" w:eastAsia="en-GB"/>
        </w:rPr>
        <w:t>DSI-dependent</w:t>
      </w:r>
      <w:r w:rsidRPr="005F0A67">
        <w:rPr>
          <w:rFonts w:asciiTheme="majorBidi" w:eastAsia="Times New Roman" w:hAnsiTheme="majorBidi" w:cstheme="majorBidi"/>
          <w:b/>
          <w:bCs/>
          <w:color w:val="242424"/>
          <w:spacing w:val="-8"/>
          <w:sz w:val="14"/>
          <w:szCs w:val="14"/>
          <w:lang w:val="en-CA" w:eastAsia="en-GB"/>
        </w:rPr>
        <w:t xml:space="preserve"> </w:t>
      </w:r>
      <w:r w:rsidRPr="005F0A67">
        <w:rPr>
          <w:rFonts w:asciiTheme="majorBidi" w:eastAsia="Times New Roman" w:hAnsiTheme="majorBidi" w:cstheme="majorBidi"/>
          <w:b/>
          <w:bCs/>
          <w:color w:val="242424"/>
          <w:spacing w:val="-2"/>
          <w:sz w:val="14"/>
          <w:szCs w:val="14"/>
          <w:lang w:val="en-CA" w:eastAsia="en-GB"/>
        </w:rPr>
        <w:t>sectors</w:t>
      </w:r>
      <w:r w:rsidRPr="005F0A67">
        <w:rPr>
          <w:rFonts w:asciiTheme="majorBidi" w:eastAsia="Times New Roman" w:hAnsiTheme="majorBidi" w:cstheme="majorBidi"/>
          <w:color w:val="242424"/>
          <w:spacing w:val="-2"/>
          <w:sz w:val="14"/>
          <w:szCs w:val="14"/>
          <w:lang w:val="en-CA" w:eastAsia="en-GB"/>
        </w:rPr>
        <w:t>:</w:t>
      </w:r>
      <w:r w:rsidRPr="005F0A67">
        <w:rPr>
          <w:rFonts w:asciiTheme="majorBidi" w:eastAsia="Times New Roman" w:hAnsiTheme="majorBidi" w:cstheme="majorBidi"/>
          <w:color w:val="242424"/>
          <w:spacing w:val="-8"/>
          <w:sz w:val="14"/>
          <w:szCs w:val="14"/>
          <w:lang w:val="en-CA" w:eastAsia="en-GB"/>
        </w:rPr>
        <w:t xml:space="preserve"> </w:t>
      </w:r>
      <w:r w:rsidRPr="005F0A67">
        <w:rPr>
          <w:rFonts w:asciiTheme="majorBidi" w:eastAsia="Times New Roman" w:hAnsiTheme="majorBidi" w:cstheme="majorBidi"/>
          <w:color w:val="242424"/>
          <w:spacing w:val="-2"/>
          <w:sz w:val="14"/>
          <w:szCs w:val="14"/>
          <w:lang w:val="en-CA" w:eastAsia="en-GB"/>
        </w:rPr>
        <w:t>[Decision</w:t>
      </w:r>
      <w:r w:rsidRPr="005F0A67">
        <w:rPr>
          <w:rFonts w:asciiTheme="majorBidi" w:eastAsia="Times New Roman" w:hAnsiTheme="majorBidi" w:cstheme="majorBidi"/>
          <w:color w:val="242424"/>
          <w:spacing w:val="-8"/>
          <w:sz w:val="14"/>
          <w:szCs w:val="14"/>
          <w:lang w:val="en-CA" w:eastAsia="en-GB"/>
        </w:rPr>
        <w:t xml:space="preserve"> </w:t>
      </w:r>
      <w:r w:rsidRPr="005F0A67">
        <w:rPr>
          <w:rFonts w:asciiTheme="majorBidi" w:eastAsia="Times New Roman" w:hAnsiTheme="majorBidi" w:cstheme="majorBidi"/>
          <w:color w:val="242424"/>
          <w:spacing w:val="-2"/>
          <w:sz w:val="14"/>
          <w:szCs w:val="14"/>
          <w:lang w:val="en-CA" w:eastAsia="en-GB"/>
        </w:rPr>
        <w:t>16/2</w:t>
      </w:r>
      <w:r w:rsidRPr="005F0A67">
        <w:rPr>
          <w:rFonts w:asciiTheme="majorBidi" w:eastAsia="Times New Roman" w:hAnsiTheme="majorBidi" w:cstheme="majorBidi"/>
          <w:color w:val="242424"/>
          <w:spacing w:val="-7"/>
          <w:sz w:val="14"/>
          <w:szCs w:val="14"/>
          <w:lang w:val="en-CA" w:eastAsia="en-GB"/>
        </w:rPr>
        <w:t xml:space="preserve"> </w:t>
      </w:r>
      <w:r w:rsidRPr="005F0A67">
        <w:rPr>
          <w:rFonts w:asciiTheme="majorBidi" w:eastAsia="Times New Roman" w:hAnsiTheme="majorBidi" w:cstheme="majorBidi"/>
          <w:color w:val="242424"/>
          <w:spacing w:val="-2"/>
          <w:sz w:val="14"/>
          <w:szCs w:val="14"/>
          <w:lang w:val="en-CA" w:eastAsia="en-GB"/>
        </w:rPr>
        <w:t>Enclosure</w:t>
      </w:r>
      <w:r w:rsidRPr="005F0A67">
        <w:rPr>
          <w:rFonts w:asciiTheme="majorBidi" w:eastAsia="Times New Roman" w:hAnsiTheme="majorBidi" w:cstheme="majorBidi"/>
          <w:color w:val="242424"/>
          <w:spacing w:val="-8"/>
          <w:sz w:val="14"/>
          <w:szCs w:val="14"/>
          <w:lang w:val="en-CA" w:eastAsia="en-GB"/>
        </w:rPr>
        <w:t xml:space="preserve"> </w:t>
      </w:r>
      <w:r w:rsidRPr="005F0A67">
        <w:rPr>
          <w:rFonts w:asciiTheme="majorBidi" w:eastAsia="Times New Roman" w:hAnsiTheme="majorBidi" w:cstheme="majorBidi"/>
          <w:color w:val="242424"/>
          <w:spacing w:val="-2"/>
          <w:sz w:val="14"/>
          <w:szCs w:val="14"/>
          <w:lang w:val="en-CA" w:eastAsia="en-GB"/>
        </w:rPr>
        <w:t>I</w:t>
      </w:r>
      <w:r w:rsidRPr="005F0A67">
        <w:rPr>
          <w:rFonts w:asciiTheme="majorBidi" w:eastAsia="Times New Roman" w:hAnsiTheme="majorBidi" w:cstheme="majorBidi"/>
          <w:color w:val="242424"/>
          <w:spacing w:val="-8"/>
          <w:sz w:val="14"/>
          <w:szCs w:val="14"/>
          <w:lang w:val="en-CA" w:eastAsia="en-GB"/>
        </w:rPr>
        <w:t xml:space="preserve"> </w:t>
      </w:r>
      <w:r w:rsidRPr="005F0A67">
        <w:rPr>
          <w:rFonts w:asciiTheme="majorBidi" w:eastAsia="Times New Roman" w:hAnsiTheme="majorBidi" w:cstheme="majorBidi"/>
          <w:color w:val="242424"/>
          <w:spacing w:val="-2"/>
          <w:sz w:val="14"/>
          <w:szCs w:val="14"/>
          <w:lang w:val="en-CA" w:eastAsia="en-GB"/>
        </w:rPr>
        <w:t>para.</w:t>
      </w:r>
      <w:r w:rsidRPr="005F0A67">
        <w:rPr>
          <w:rFonts w:asciiTheme="majorBidi" w:eastAsia="Times New Roman" w:hAnsiTheme="majorBidi" w:cstheme="majorBidi"/>
          <w:color w:val="242424"/>
          <w:spacing w:val="-8"/>
          <w:sz w:val="14"/>
          <w:szCs w:val="14"/>
          <w:lang w:val="en-CA" w:eastAsia="en-GB"/>
        </w:rPr>
        <w:t xml:space="preserve"> </w:t>
      </w:r>
      <w:r w:rsidRPr="005F0A67">
        <w:rPr>
          <w:rFonts w:asciiTheme="majorBidi" w:eastAsia="Times New Roman" w:hAnsiTheme="majorBidi" w:cstheme="majorBidi"/>
          <w:color w:val="242424"/>
          <w:spacing w:val="-2"/>
          <w:sz w:val="14"/>
          <w:szCs w:val="14"/>
          <w:lang w:val="en-CA" w:eastAsia="en-GB"/>
        </w:rPr>
        <w:t>1]</w:t>
      </w:r>
      <w:r w:rsidRPr="005F0A67">
        <w:rPr>
          <w:rFonts w:asciiTheme="majorBidi" w:eastAsia="Times New Roman" w:hAnsiTheme="majorBidi" w:cstheme="majorBidi"/>
          <w:color w:val="242424"/>
          <w:spacing w:val="-7"/>
          <w:sz w:val="14"/>
          <w:szCs w:val="14"/>
          <w:lang w:val="en-CA" w:eastAsia="en-GB"/>
        </w:rPr>
        <w:t xml:space="preserve"> </w:t>
      </w:r>
      <w:r w:rsidRPr="005F0A67">
        <w:rPr>
          <w:rFonts w:asciiTheme="majorBidi" w:eastAsia="Times New Roman" w:hAnsiTheme="majorBidi" w:cstheme="majorBidi"/>
          <w:i/>
          <w:iCs/>
          <w:color w:val="242424"/>
          <w:spacing w:val="-2"/>
          <w:sz w:val="14"/>
          <w:szCs w:val="14"/>
          <w:lang w:val="en-CA" w:eastAsia="en-GB"/>
        </w:rPr>
        <w:t>Sectors</w:t>
      </w:r>
      <w:r w:rsidRPr="005F0A67">
        <w:rPr>
          <w:rFonts w:asciiTheme="majorBidi" w:eastAsia="Times New Roman" w:hAnsiTheme="majorBidi" w:cstheme="majorBidi"/>
          <w:i/>
          <w:iCs/>
          <w:color w:val="242424"/>
          <w:spacing w:val="-8"/>
          <w:sz w:val="14"/>
          <w:szCs w:val="14"/>
          <w:lang w:val="en-CA" w:eastAsia="en-GB"/>
        </w:rPr>
        <w:t xml:space="preserve"> </w:t>
      </w:r>
      <w:r w:rsidRPr="005F0A67">
        <w:rPr>
          <w:rFonts w:asciiTheme="majorBidi" w:eastAsia="Times New Roman" w:hAnsiTheme="majorBidi" w:cstheme="majorBidi"/>
          <w:i/>
          <w:iCs/>
          <w:color w:val="242424"/>
          <w:spacing w:val="-2"/>
          <w:sz w:val="14"/>
          <w:szCs w:val="14"/>
          <w:lang w:val="en-CA" w:eastAsia="en-GB"/>
        </w:rPr>
        <w:t>that</w:t>
      </w:r>
      <w:r w:rsidRPr="005F0A67">
        <w:rPr>
          <w:rFonts w:asciiTheme="majorBidi" w:eastAsia="Times New Roman" w:hAnsiTheme="majorBidi" w:cstheme="majorBidi"/>
          <w:i/>
          <w:iCs/>
          <w:color w:val="242424"/>
          <w:spacing w:val="-8"/>
          <w:sz w:val="14"/>
          <w:szCs w:val="14"/>
          <w:lang w:val="en-CA" w:eastAsia="en-GB"/>
        </w:rPr>
        <w:t xml:space="preserve"> </w:t>
      </w:r>
      <w:r w:rsidRPr="005F0A67">
        <w:rPr>
          <w:rFonts w:asciiTheme="majorBidi" w:eastAsia="Times New Roman" w:hAnsiTheme="majorBidi" w:cstheme="majorBidi"/>
          <w:i/>
          <w:iCs/>
          <w:color w:val="242424"/>
          <w:spacing w:val="-2"/>
          <w:sz w:val="14"/>
          <w:szCs w:val="14"/>
          <w:lang w:val="en-CA" w:eastAsia="en-GB"/>
        </w:rPr>
        <w:t>may</w:t>
      </w:r>
      <w:r w:rsidRPr="005F0A67">
        <w:rPr>
          <w:rFonts w:asciiTheme="majorBidi" w:eastAsia="Times New Roman" w:hAnsiTheme="majorBidi" w:cstheme="majorBidi"/>
          <w:i/>
          <w:iCs/>
          <w:color w:val="242424"/>
          <w:spacing w:val="-7"/>
          <w:sz w:val="14"/>
          <w:szCs w:val="14"/>
          <w:lang w:val="en-CA" w:eastAsia="en-GB"/>
        </w:rPr>
        <w:t xml:space="preserve"> </w:t>
      </w:r>
      <w:r w:rsidRPr="005F0A67">
        <w:rPr>
          <w:rFonts w:asciiTheme="majorBidi" w:eastAsia="Times New Roman" w:hAnsiTheme="majorBidi" w:cstheme="majorBidi"/>
          <w:i/>
          <w:iCs/>
          <w:color w:val="242424"/>
          <w:spacing w:val="-2"/>
          <w:sz w:val="14"/>
          <w:szCs w:val="14"/>
          <w:lang w:val="en-CA" w:eastAsia="en-GB"/>
        </w:rPr>
        <w:t>benefit</w:t>
      </w:r>
      <w:r w:rsidRPr="005F0A67">
        <w:rPr>
          <w:rFonts w:asciiTheme="majorBidi" w:eastAsia="Times New Roman" w:hAnsiTheme="majorBidi" w:cstheme="majorBidi"/>
          <w:i/>
          <w:iCs/>
          <w:color w:val="242424"/>
          <w:spacing w:val="-8"/>
          <w:sz w:val="14"/>
          <w:szCs w:val="14"/>
          <w:lang w:val="en-CA" w:eastAsia="en-GB"/>
        </w:rPr>
        <w:t xml:space="preserve"> </w:t>
      </w:r>
      <w:r w:rsidRPr="005F0A67">
        <w:rPr>
          <w:rFonts w:asciiTheme="majorBidi" w:eastAsia="Times New Roman" w:hAnsiTheme="majorBidi" w:cstheme="majorBidi"/>
          <w:i/>
          <w:iCs/>
          <w:color w:val="242424"/>
          <w:spacing w:val="-2"/>
          <w:sz w:val="14"/>
          <w:szCs w:val="14"/>
          <w:lang w:val="en-CA" w:eastAsia="en-GB"/>
        </w:rPr>
        <w:t>directly</w:t>
      </w:r>
      <w:r w:rsidRPr="005F0A67">
        <w:rPr>
          <w:rFonts w:asciiTheme="majorBidi" w:eastAsia="Times New Roman" w:hAnsiTheme="majorBidi" w:cstheme="majorBidi"/>
          <w:i/>
          <w:iCs/>
          <w:color w:val="242424"/>
          <w:spacing w:val="-8"/>
          <w:sz w:val="14"/>
          <w:szCs w:val="14"/>
          <w:lang w:val="en-CA" w:eastAsia="en-GB"/>
        </w:rPr>
        <w:t xml:space="preserve"> </w:t>
      </w:r>
      <w:r w:rsidRPr="005F0A67">
        <w:rPr>
          <w:rFonts w:asciiTheme="majorBidi" w:eastAsia="Times New Roman" w:hAnsiTheme="majorBidi" w:cstheme="majorBidi"/>
          <w:i/>
          <w:iCs/>
          <w:color w:val="242424"/>
          <w:spacing w:val="-2"/>
          <w:sz w:val="14"/>
          <w:szCs w:val="14"/>
          <w:lang w:val="en-CA" w:eastAsia="en-GB"/>
        </w:rPr>
        <w:t>or</w:t>
      </w:r>
      <w:r w:rsidRPr="005F0A67">
        <w:rPr>
          <w:rFonts w:asciiTheme="majorBidi" w:eastAsia="Times New Roman" w:hAnsiTheme="majorBidi" w:cstheme="majorBidi"/>
          <w:i/>
          <w:iCs/>
          <w:color w:val="242424"/>
          <w:spacing w:val="-8"/>
          <w:sz w:val="14"/>
          <w:szCs w:val="14"/>
          <w:lang w:val="en-CA" w:eastAsia="en-GB"/>
        </w:rPr>
        <w:t xml:space="preserve"> </w:t>
      </w:r>
      <w:r w:rsidRPr="005F0A67">
        <w:rPr>
          <w:rFonts w:asciiTheme="majorBidi" w:eastAsia="Times New Roman" w:hAnsiTheme="majorBidi" w:cstheme="majorBidi"/>
          <w:i/>
          <w:iCs/>
          <w:color w:val="242424"/>
          <w:spacing w:val="-2"/>
          <w:sz w:val="14"/>
          <w:szCs w:val="14"/>
          <w:lang w:val="en-CA" w:eastAsia="en-GB"/>
        </w:rPr>
        <w:t>indirectly</w:t>
      </w:r>
      <w:r w:rsidRPr="005F0A67">
        <w:rPr>
          <w:rFonts w:asciiTheme="majorBidi" w:eastAsia="Times New Roman" w:hAnsiTheme="majorBidi" w:cstheme="majorBidi"/>
          <w:i/>
          <w:iCs/>
          <w:color w:val="242424"/>
          <w:spacing w:val="-7"/>
          <w:sz w:val="14"/>
          <w:szCs w:val="14"/>
          <w:lang w:val="en-CA" w:eastAsia="en-GB"/>
        </w:rPr>
        <w:t xml:space="preserve"> </w:t>
      </w:r>
      <w:r w:rsidRPr="005F0A67">
        <w:rPr>
          <w:rFonts w:asciiTheme="majorBidi" w:eastAsia="Times New Roman" w:hAnsiTheme="majorBidi" w:cstheme="majorBidi"/>
          <w:i/>
          <w:iCs/>
          <w:color w:val="242424"/>
          <w:spacing w:val="-2"/>
          <w:sz w:val="14"/>
          <w:szCs w:val="14"/>
          <w:lang w:val="en-CA" w:eastAsia="en-GB"/>
        </w:rPr>
        <w:t>from</w:t>
      </w:r>
      <w:r w:rsidRPr="005F0A67">
        <w:rPr>
          <w:rFonts w:asciiTheme="majorBidi" w:eastAsia="Times New Roman" w:hAnsiTheme="majorBidi" w:cstheme="majorBidi"/>
          <w:i/>
          <w:iCs/>
          <w:color w:val="242424"/>
          <w:spacing w:val="-8"/>
          <w:sz w:val="14"/>
          <w:szCs w:val="14"/>
          <w:lang w:val="en-CA" w:eastAsia="en-GB"/>
        </w:rPr>
        <w:t xml:space="preserve"> </w:t>
      </w:r>
      <w:r w:rsidRPr="005F0A67">
        <w:rPr>
          <w:rFonts w:asciiTheme="majorBidi" w:eastAsia="Times New Roman" w:hAnsiTheme="majorBidi" w:cstheme="majorBidi"/>
          <w:i/>
          <w:iCs/>
          <w:color w:val="242424"/>
          <w:spacing w:val="-2"/>
          <w:sz w:val="14"/>
          <w:szCs w:val="14"/>
          <w:lang w:val="en-CA" w:eastAsia="en-GB"/>
        </w:rPr>
        <w:t>the</w:t>
      </w:r>
      <w:r w:rsidRPr="005F0A67">
        <w:rPr>
          <w:rFonts w:asciiTheme="majorBidi" w:eastAsia="Times New Roman" w:hAnsiTheme="majorBidi" w:cstheme="majorBidi"/>
          <w:i/>
          <w:iCs/>
          <w:color w:val="242424"/>
          <w:spacing w:val="-8"/>
          <w:sz w:val="14"/>
          <w:szCs w:val="14"/>
          <w:lang w:val="en-CA" w:eastAsia="en-GB"/>
        </w:rPr>
        <w:t xml:space="preserve"> </w:t>
      </w:r>
      <w:r w:rsidRPr="005F0A67">
        <w:rPr>
          <w:rFonts w:asciiTheme="majorBidi" w:eastAsia="Times New Roman" w:hAnsiTheme="majorBidi" w:cstheme="majorBidi"/>
          <w:i/>
          <w:iCs/>
          <w:color w:val="242424"/>
          <w:spacing w:val="-2"/>
          <w:sz w:val="14"/>
          <w:szCs w:val="14"/>
          <w:lang w:val="en-CA" w:eastAsia="en-GB"/>
        </w:rPr>
        <w:t>use</w:t>
      </w:r>
      <w:r w:rsidRPr="005F0A67">
        <w:rPr>
          <w:rFonts w:asciiTheme="majorBidi" w:eastAsia="Times New Roman" w:hAnsiTheme="majorBidi" w:cstheme="majorBidi"/>
          <w:i/>
          <w:iCs/>
          <w:color w:val="242424"/>
          <w:spacing w:val="-8"/>
          <w:sz w:val="14"/>
          <w:szCs w:val="14"/>
          <w:lang w:val="en-CA" w:eastAsia="en-GB"/>
        </w:rPr>
        <w:t xml:space="preserve"> </w:t>
      </w:r>
      <w:r w:rsidRPr="005F0A67">
        <w:rPr>
          <w:rFonts w:asciiTheme="majorBidi" w:eastAsia="Times New Roman" w:hAnsiTheme="majorBidi" w:cstheme="majorBidi"/>
          <w:i/>
          <w:iCs/>
          <w:color w:val="242424"/>
          <w:spacing w:val="-2"/>
          <w:sz w:val="14"/>
          <w:szCs w:val="14"/>
          <w:lang w:val="en-CA" w:eastAsia="en-GB"/>
        </w:rPr>
        <w:t>of</w:t>
      </w:r>
      <w:r w:rsidRPr="005F0A67">
        <w:rPr>
          <w:rFonts w:asciiTheme="majorBidi" w:eastAsia="Times New Roman" w:hAnsiTheme="majorBidi" w:cstheme="majorBidi"/>
          <w:i/>
          <w:iCs/>
          <w:color w:val="242424"/>
          <w:spacing w:val="-7"/>
          <w:sz w:val="14"/>
          <w:szCs w:val="14"/>
          <w:lang w:val="en-CA" w:eastAsia="en-GB"/>
        </w:rPr>
        <w:t xml:space="preserve"> </w:t>
      </w:r>
      <w:r w:rsidRPr="005F0A67">
        <w:rPr>
          <w:rFonts w:asciiTheme="majorBidi" w:eastAsia="Times New Roman" w:hAnsiTheme="majorBidi" w:cstheme="majorBidi"/>
          <w:i/>
          <w:iCs/>
          <w:color w:val="242424"/>
          <w:spacing w:val="-2"/>
          <w:sz w:val="14"/>
          <w:szCs w:val="14"/>
          <w:lang w:val="en-CA" w:eastAsia="en-GB"/>
        </w:rPr>
        <w:t>digital</w:t>
      </w:r>
      <w:r w:rsidRPr="005F0A67">
        <w:rPr>
          <w:rFonts w:asciiTheme="majorBidi" w:eastAsia="Times New Roman" w:hAnsiTheme="majorBidi" w:cstheme="majorBidi"/>
          <w:i/>
          <w:iCs/>
          <w:color w:val="242424"/>
          <w:spacing w:val="-7"/>
          <w:sz w:val="14"/>
          <w:szCs w:val="14"/>
          <w:lang w:val="en-CA" w:eastAsia="en-GB"/>
        </w:rPr>
        <w:t xml:space="preserve"> </w:t>
      </w:r>
      <w:r w:rsidRPr="005F0A67">
        <w:rPr>
          <w:rFonts w:asciiTheme="majorBidi" w:eastAsia="Times New Roman" w:hAnsiTheme="majorBidi" w:cstheme="majorBidi"/>
          <w:i/>
          <w:iCs/>
          <w:color w:val="242424"/>
          <w:spacing w:val="-2"/>
          <w:sz w:val="14"/>
          <w:szCs w:val="14"/>
          <w:lang w:val="en-CA" w:eastAsia="en-GB"/>
        </w:rPr>
        <w:t>sequence</w:t>
      </w:r>
      <w:r w:rsidRPr="005F0A67">
        <w:rPr>
          <w:rFonts w:asciiTheme="majorBidi" w:eastAsia="Times New Roman" w:hAnsiTheme="majorBidi" w:cstheme="majorBidi"/>
          <w:i/>
          <w:iCs/>
          <w:color w:val="242424"/>
          <w:spacing w:val="-7"/>
          <w:sz w:val="14"/>
          <w:szCs w:val="14"/>
          <w:lang w:val="en-CA" w:eastAsia="en-GB"/>
        </w:rPr>
        <w:t xml:space="preserve"> </w:t>
      </w:r>
      <w:r w:rsidRPr="005F0A67">
        <w:rPr>
          <w:rFonts w:asciiTheme="majorBidi" w:eastAsia="Times New Roman" w:hAnsiTheme="majorBidi" w:cstheme="majorBidi"/>
          <w:i/>
          <w:iCs/>
          <w:color w:val="242424"/>
          <w:spacing w:val="-2"/>
          <w:sz w:val="14"/>
          <w:szCs w:val="14"/>
          <w:lang w:val="en-CA" w:eastAsia="en-GB"/>
        </w:rPr>
        <w:t>information</w:t>
      </w:r>
      <w:r w:rsidRPr="005F0A67">
        <w:rPr>
          <w:rFonts w:asciiTheme="majorBidi" w:eastAsia="Times New Roman" w:hAnsiTheme="majorBidi" w:cstheme="majorBidi"/>
          <w:i/>
          <w:iCs/>
          <w:color w:val="242424"/>
          <w:spacing w:val="-7"/>
          <w:sz w:val="14"/>
          <w:szCs w:val="14"/>
          <w:lang w:val="en-CA" w:eastAsia="en-GB"/>
        </w:rPr>
        <w:t xml:space="preserve"> </w:t>
      </w:r>
      <w:r w:rsidRPr="005F0A67">
        <w:rPr>
          <w:rFonts w:asciiTheme="majorBidi" w:eastAsia="Times New Roman" w:hAnsiTheme="majorBidi" w:cstheme="majorBidi"/>
          <w:i/>
          <w:iCs/>
          <w:color w:val="242424"/>
          <w:spacing w:val="-2"/>
          <w:sz w:val="14"/>
          <w:szCs w:val="14"/>
          <w:lang w:val="en-CA" w:eastAsia="en-GB"/>
        </w:rPr>
        <w:t>on</w:t>
      </w:r>
      <w:r w:rsidRPr="005F0A67">
        <w:rPr>
          <w:rFonts w:asciiTheme="majorBidi" w:eastAsia="Times New Roman" w:hAnsiTheme="majorBidi" w:cstheme="majorBidi"/>
          <w:i/>
          <w:iCs/>
          <w:color w:val="242424"/>
          <w:spacing w:val="-7"/>
          <w:sz w:val="14"/>
          <w:szCs w:val="14"/>
          <w:lang w:val="en-CA" w:eastAsia="en-GB"/>
        </w:rPr>
        <w:t xml:space="preserve"> </w:t>
      </w:r>
      <w:r w:rsidRPr="005F0A67">
        <w:rPr>
          <w:rFonts w:asciiTheme="majorBidi" w:eastAsia="Times New Roman" w:hAnsiTheme="majorBidi" w:cstheme="majorBidi"/>
          <w:i/>
          <w:iCs/>
          <w:color w:val="242424"/>
          <w:spacing w:val="-2"/>
          <w:sz w:val="14"/>
          <w:szCs w:val="14"/>
          <w:lang w:val="en-CA" w:eastAsia="en-GB"/>
        </w:rPr>
        <w:t>genetic</w:t>
      </w:r>
      <w:r w:rsidRPr="005F0A67">
        <w:rPr>
          <w:rFonts w:asciiTheme="majorBidi" w:eastAsia="Times New Roman" w:hAnsiTheme="majorBidi" w:cstheme="majorBidi"/>
          <w:i/>
          <w:iCs/>
          <w:color w:val="242424"/>
          <w:spacing w:val="-7"/>
          <w:sz w:val="14"/>
          <w:szCs w:val="14"/>
          <w:lang w:val="en-CA" w:eastAsia="en-GB"/>
        </w:rPr>
        <w:t xml:space="preserve"> </w:t>
      </w:r>
      <w:r w:rsidRPr="005F0A67">
        <w:rPr>
          <w:rFonts w:asciiTheme="majorBidi" w:eastAsia="Times New Roman" w:hAnsiTheme="majorBidi" w:cstheme="majorBidi"/>
          <w:i/>
          <w:iCs/>
          <w:color w:val="242424"/>
          <w:spacing w:val="-2"/>
          <w:sz w:val="14"/>
          <w:szCs w:val="14"/>
          <w:lang w:val="en-CA" w:eastAsia="en-GB"/>
        </w:rPr>
        <w:t>resources</w:t>
      </w:r>
      <w:r w:rsidRPr="005F0A67">
        <w:rPr>
          <w:rFonts w:asciiTheme="majorBidi" w:eastAsia="Times New Roman" w:hAnsiTheme="majorBidi" w:cstheme="majorBidi"/>
          <w:i/>
          <w:iCs/>
          <w:color w:val="242424"/>
          <w:spacing w:val="-7"/>
          <w:sz w:val="14"/>
          <w:szCs w:val="14"/>
          <w:lang w:val="en-CA" w:eastAsia="en-GB"/>
        </w:rPr>
        <w:t xml:space="preserve"> </w:t>
      </w:r>
      <w:r w:rsidRPr="005F0A67">
        <w:rPr>
          <w:rFonts w:asciiTheme="majorBidi" w:eastAsia="Times New Roman" w:hAnsiTheme="majorBidi" w:cstheme="majorBidi"/>
          <w:i/>
          <w:iCs/>
          <w:color w:val="242424"/>
          <w:spacing w:val="-2"/>
          <w:sz w:val="14"/>
          <w:szCs w:val="14"/>
          <w:lang w:val="en-CA" w:eastAsia="en-GB"/>
        </w:rPr>
        <w:t>include:</w:t>
      </w:r>
      <w:r w:rsidRPr="005F0A67">
        <w:rPr>
          <w:rFonts w:asciiTheme="majorBidi" w:eastAsia="Times New Roman" w:hAnsiTheme="majorBidi" w:cstheme="majorBidi"/>
          <w:i/>
          <w:iCs/>
          <w:color w:val="242424"/>
          <w:spacing w:val="-7"/>
          <w:sz w:val="14"/>
          <w:szCs w:val="14"/>
          <w:lang w:val="en-CA" w:eastAsia="en-GB"/>
        </w:rPr>
        <w:t xml:space="preserve"> </w:t>
      </w:r>
      <w:r w:rsidRPr="005F0A67">
        <w:rPr>
          <w:rFonts w:asciiTheme="majorBidi" w:eastAsia="Times New Roman" w:hAnsiTheme="majorBidi" w:cstheme="majorBidi"/>
          <w:i/>
          <w:iCs/>
          <w:color w:val="242424"/>
          <w:spacing w:val="-2"/>
          <w:sz w:val="14"/>
          <w:szCs w:val="14"/>
          <w:lang w:val="en-CA" w:eastAsia="en-GB"/>
        </w:rPr>
        <w:t>(a)</w:t>
      </w:r>
      <w:r w:rsidRPr="005F0A67">
        <w:rPr>
          <w:rFonts w:asciiTheme="majorBidi" w:eastAsia="Times New Roman" w:hAnsiTheme="majorBidi" w:cstheme="majorBidi"/>
          <w:i/>
          <w:iCs/>
          <w:color w:val="242424"/>
          <w:spacing w:val="-7"/>
          <w:sz w:val="14"/>
          <w:szCs w:val="14"/>
          <w:lang w:val="en-CA" w:eastAsia="en-GB"/>
        </w:rPr>
        <w:t xml:space="preserve"> </w:t>
      </w:r>
      <w:r w:rsidRPr="005F0A67">
        <w:rPr>
          <w:rFonts w:asciiTheme="majorBidi" w:eastAsia="Times New Roman" w:hAnsiTheme="majorBidi" w:cstheme="majorBidi"/>
          <w:i/>
          <w:iCs/>
          <w:color w:val="242424"/>
          <w:spacing w:val="-2"/>
          <w:sz w:val="14"/>
          <w:szCs w:val="14"/>
          <w:lang w:val="en-CA" w:eastAsia="en-GB"/>
        </w:rPr>
        <w:t>Pharmaceuticals;</w:t>
      </w:r>
      <w:r w:rsidRPr="005F0A67">
        <w:rPr>
          <w:rFonts w:asciiTheme="majorBidi" w:eastAsia="Times New Roman" w:hAnsiTheme="majorBidi" w:cstheme="majorBidi"/>
          <w:i/>
          <w:iCs/>
          <w:color w:val="242424"/>
          <w:spacing w:val="28"/>
          <w:sz w:val="14"/>
          <w:szCs w:val="14"/>
          <w:lang w:val="en-CA" w:eastAsia="en-GB"/>
        </w:rPr>
        <w:t xml:space="preserve"> </w:t>
      </w:r>
      <w:r w:rsidRPr="005F0A67">
        <w:rPr>
          <w:rFonts w:asciiTheme="majorBidi" w:eastAsia="Times New Roman" w:hAnsiTheme="majorBidi" w:cstheme="majorBidi"/>
          <w:i/>
          <w:iCs/>
          <w:color w:val="242424"/>
          <w:spacing w:val="-2"/>
          <w:sz w:val="14"/>
          <w:szCs w:val="14"/>
          <w:lang w:val="en-CA" w:eastAsia="en-GB"/>
        </w:rPr>
        <w:t>(b)</w:t>
      </w:r>
      <w:r w:rsidRPr="005F0A67">
        <w:rPr>
          <w:rFonts w:asciiTheme="majorBidi" w:eastAsia="Times New Roman" w:hAnsiTheme="majorBidi" w:cstheme="majorBidi"/>
          <w:i/>
          <w:iCs/>
          <w:color w:val="242424"/>
          <w:spacing w:val="-7"/>
          <w:sz w:val="14"/>
          <w:szCs w:val="14"/>
          <w:lang w:val="en-CA" w:eastAsia="en-GB"/>
        </w:rPr>
        <w:t xml:space="preserve"> </w:t>
      </w:r>
      <w:r w:rsidRPr="005F0A67">
        <w:rPr>
          <w:rFonts w:asciiTheme="majorBidi" w:eastAsia="Times New Roman" w:hAnsiTheme="majorBidi" w:cstheme="majorBidi"/>
          <w:i/>
          <w:iCs/>
          <w:color w:val="242424"/>
          <w:spacing w:val="-2"/>
          <w:sz w:val="14"/>
          <w:szCs w:val="14"/>
          <w:lang w:val="en-CA" w:eastAsia="en-GB"/>
        </w:rPr>
        <w:t>Nutraceuticals</w:t>
      </w:r>
      <w:r w:rsidRPr="005F0A67">
        <w:rPr>
          <w:rFonts w:asciiTheme="majorBidi" w:eastAsia="Times New Roman" w:hAnsiTheme="majorBidi" w:cstheme="majorBidi"/>
          <w:i/>
          <w:iCs/>
          <w:color w:val="242424"/>
          <w:spacing w:val="-7"/>
          <w:sz w:val="14"/>
          <w:szCs w:val="14"/>
          <w:lang w:val="en-CA" w:eastAsia="en-GB"/>
        </w:rPr>
        <w:t xml:space="preserve"> </w:t>
      </w:r>
      <w:r w:rsidRPr="005F0A67">
        <w:rPr>
          <w:rFonts w:asciiTheme="majorBidi" w:eastAsia="Times New Roman" w:hAnsiTheme="majorBidi" w:cstheme="majorBidi"/>
          <w:i/>
          <w:iCs/>
          <w:color w:val="242424"/>
          <w:spacing w:val="-2"/>
          <w:sz w:val="14"/>
          <w:szCs w:val="14"/>
          <w:lang w:val="en-CA" w:eastAsia="en-GB"/>
        </w:rPr>
        <w:t>(food</w:t>
      </w:r>
      <w:r w:rsidRPr="005F0A67">
        <w:rPr>
          <w:rFonts w:asciiTheme="majorBidi" w:eastAsia="Times New Roman" w:hAnsiTheme="majorBidi" w:cstheme="majorBidi"/>
          <w:i/>
          <w:iCs/>
          <w:color w:val="242424"/>
          <w:spacing w:val="-7"/>
          <w:sz w:val="14"/>
          <w:szCs w:val="14"/>
          <w:lang w:val="en-CA" w:eastAsia="en-GB"/>
        </w:rPr>
        <w:t xml:space="preserve"> </w:t>
      </w:r>
      <w:r w:rsidRPr="005F0A67">
        <w:rPr>
          <w:rFonts w:asciiTheme="majorBidi" w:eastAsia="Times New Roman" w:hAnsiTheme="majorBidi" w:cstheme="majorBidi"/>
          <w:i/>
          <w:iCs/>
          <w:color w:val="242424"/>
          <w:spacing w:val="-2"/>
          <w:sz w:val="14"/>
          <w:szCs w:val="14"/>
          <w:lang w:val="en-CA" w:eastAsia="en-GB"/>
        </w:rPr>
        <w:t>and</w:t>
      </w:r>
      <w:r w:rsidRPr="005F0A67">
        <w:rPr>
          <w:rFonts w:asciiTheme="majorBidi" w:eastAsia="Times New Roman" w:hAnsiTheme="majorBidi" w:cstheme="majorBidi"/>
          <w:i/>
          <w:iCs/>
          <w:color w:val="242424"/>
          <w:spacing w:val="-7"/>
          <w:sz w:val="14"/>
          <w:szCs w:val="14"/>
          <w:lang w:val="en-CA" w:eastAsia="en-GB"/>
        </w:rPr>
        <w:t xml:space="preserve"> </w:t>
      </w:r>
      <w:r w:rsidRPr="005F0A67">
        <w:rPr>
          <w:rFonts w:asciiTheme="majorBidi" w:eastAsia="Times New Roman" w:hAnsiTheme="majorBidi" w:cstheme="majorBidi"/>
          <w:i/>
          <w:iCs/>
          <w:color w:val="242424"/>
          <w:spacing w:val="-2"/>
          <w:sz w:val="14"/>
          <w:szCs w:val="14"/>
          <w:lang w:val="en-CA" w:eastAsia="en-GB"/>
        </w:rPr>
        <w:t>health</w:t>
      </w:r>
      <w:r w:rsidRPr="005F0A67">
        <w:rPr>
          <w:rFonts w:asciiTheme="majorBidi" w:eastAsia="Times New Roman" w:hAnsiTheme="majorBidi" w:cstheme="majorBidi"/>
          <w:i/>
          <w:iCs/>
          <w:color w:val="242424"/>
          <w:spacing w:val="40"/>
          <w:sz w:val="14"/>
          <w:szCs w:val="14"/>
          <w:lang w:val="en-CA" w:eastAsia="en-GB"/>
        </w:rPr>
        <w:t xml:space="preserve"> </w:t>
      </w:r>
      <w:r w:rsidRPr="005F0A67">
        <w:rPr>
          <w:rFonts w:asciiTheme="majorBidi" w:eastAsia="Times New Roman" w:hAnsiTheme="majorBidi" w:cstheme="majorBidi"/>
          <w:i/>
          <w:iCs/>
          <w:color w:val="242424"/>
          <w:spacing w:val="-2"/>
          <w:sz w:val="14"/>
          <w:szCs w:val="14"/>
          <w:lang w:val="en-CA" w:eastAsia="en-GB"/>
        </w:rPr>
        <w:t>supplements);</w:t>
      </w:r>
      <w:r w:rsidRPr="005F0A67">
        <w:rPr>
          <w:rFonts w:asciiTheme="majorBidi" w:eastAsia="Times New Roman" w:hAnsiTheme="majorBidi" w:cstheme="majorBidi"/>
          <w:i/>
          <w:iCs/>
          <w:color w:val="242424"/>
          <w:spacing w:val="-6"/>
          <w:sz w:val="14"/>
          <w:szCs w:val="14"/>
          <w:lang w:val="en-CA" w:eastAsia="en-GB"/>
        </w:rPr>
        <w:t xml:space="preserve"> </w:t>
      </w:r>
      <w:r w:rsidRPr="005F0A67">
        <w:rPr>
          <w:rFonts w:asciiTheme="majorBidi" w:eastAsia="Times New Roman" w:hAnsiTheme="majorBidi" w:cstheme="majorBidi"/>
          <w:i/>
          <w:iCs/>
          <w:color w:val="242424"/>
          <w:spacing w:val="-2"/>
          <w:sz w:val="14"/>
          <w:szCs w:val="14"/>
          <w:lang w:val="en-CA" w:eastAsia="en-GB"/>
        </w:rPr>
        <w:t>(c)</w:t>
      </w:r>
      <w:r w:rsidRPr="005F0A67">
        <w:rPr>
          <w:rFonts w:asciiTheme="majorBidi" w:eastAsia="Times New Roman" w:hAnsiTheme="majorBidi" w:cstheme="majorBidi"/>
          <w:i/>
          <w:iCs/>
          <w:color w:val="242424"/>
          <w:spacing w:val="-6"/>
          <w:sz w:val="14"/>
          <w:szCs w:val="14"/>
          <w:lang w:val="en-CA" w:eastAsia="en-GB"/>
        </w:rPr>
        <w:t xml:space="preserve"> </w:t>
      </w:r>
      <w:r w:rsidRPr="005F0A67">
        <w:rPr>
          <w:rFonts w:asciiTheme="majorBidi" w:eastAsia="Times New Roman" w:hAnsiTheme="majorBidi" w:cstheme="majorBidi"/>
          <w:i/>
          <w:iCs/>
          <w:color w:val="242424"/>
          <w:spacing w:val="-2"/>
          <w:sz w:val="14"/>
          <w:szCs w:val="14"/>
          <w:lang w:val="en-CA" w:eastAsia="en-GB"/>
        </w:rPr>
        <w:t>Cosmetics;</w:t>
      </w:r>
      <w:r w:rsidRPr="005F0A67">
        <w:rPr>
          <w:rFonts w:asciiTheme="majorBidi" w:eastAsia="Times New Roman" w:hAnsiTheme="majorBidi" w:cstheme="majorBidi"/>
          <w:i/>
          <w:iCs/>
          <w:color w:val="242424"/>
          <w:spacing w:val="-6"/>
          <w:sz w:val="14"/>
          <w:szCs w:val="14"/>
          <w:lang w:val="en-CA" w:eastAsia="en-GB"/>
        </w:rPr>
        <w:t xml:space="preserve"> </w:t>
      </w:r>
      <w:r w:rsidRPr="005F0A67">
        <w:rPr>
          <w:rFonts w:asciiTheme="majorBidi" w:eastAsia="Times New Roman" w:hAnsiTheme="majorBidi" w:cstheme="majorBidi"/>
          <w:i/>
          <w:iCs/>
          <w:color w:val="242424"/>
          <w:spacing w:val="-2"/>
          <w:sz w:val="14"/>
          <w:szCs w:val="14"/>
          <w:lang w:val="en-CA" w:eastAsia="en-GB"/>
        </w:rPr>
        <w:t>(d)</w:t>
      </w:r>
      <w:r w:rsidRPr="005F0A67">
        <w:rPr>
          <w:rFonts w:asciiTheme="majorBidi" w:eastAsia="Times New Roman" w:hAnsiTheme="majorBidi" w:cstheme="majorBidi"/>
          <w:i/>
          <w:iCs/>
          <w:color w:val="242424"/>
          <w:spacing w:val="-6"/>
          <w:sz w:val="14"/>
          <w:szCs w:val="14"/>
          <w:lang w:val="en-CA" w:eastAsia="en-GB"/>
        </w:rPr>
        <w:t xml:space="preserve"> </w:t>
      </w:r>
      <w:r w:rsidRPr="005F0A67">
        <w:rPr>
          <w:rFonts w:asciiTheme="majorBidi" w:eastAsia="Times New Roman" w:hAnsiTheme="majorBidi" w:cstheme="majorBidi"/>
          <w:i/>
          <w:iCs/>
          <w:color w:val="242424"/>
          <w:spacing w:val="-2"/>
          <w:sz w:val="14"/>
          <w:szCs w:val="14"/>
          <w:lang w:val="en-CA" w:eastAsia="en-GB"/>
        </w:rPr>
        <w:t>Animal</w:t>
      </w:r>
      <w:r w:rsidRPr="005F0A67">
        <w:rPr>
          <w:rFonts w:asciiTheme="majorBidi" w:eastAsia="Times New Roman" w:hAnsiTheme="majorBidi" w:cstheme="majorBidi"/>
          <w:i/>
          <w:iCs/>
          <w:color w:val="242424"/>
          <w:spacing w:val="-6"/>
          <w:sz w:val="14"/>
          <w:szCs w:val="14"/>
          <w:lang w:val="en-CA" w:eastAsia="en-GB"/>
        </w:rPr>
        <w:t xml:space="preserve"> </w:t>
      </w:r>
      <w:r w:rsidRPr="005F0A67">
        <w:rPr>
          <w:rFonts w:asciiTheme="majorBidi" w:eastAsia="Times New Roman" w:hAnsiTheme="majorBidi" w:cstheme="majorBidi"/>
          <w:i/>
          <w:iCs/>
          <w:color w:val="242424"/>
          <w:spacing w:val="-2"/>
          <w:sz w:val="14"/>
          <w:szCs w:val="14"/>
          <w:lang w:val="en-CA" w:eastAsia="en-GB"/>
        </w:rPr>
        <w:t>and</w:t>
      </w:r>
      <w:r w:rsidRPr="005F0A67">
        <w:rPr>
          <w:rFonts w:asciiTheme="majorBidi" w:eastAsia="Times New Roman" w:hAnsiTheme="majorBidi" w:cstheme="majorBidi"/>
          <w:i/>
          <w:iCs/>
          <w:color w:val="242424"/>
          <w:spacing w:val="-6"/>
          <w:sz w:val="14"/>
          <w:szCs w:val="14"/>
          <w:lang w:val="en-CA" w:eastAsia="en-GB"/>
        </w:rPr>
        <w:t xml:space="preserve"> </w:t>
      </w:r>
      <w:r w:rsidRPr="005F0A67">
        <w:rPr>
          <w:rFonts w:asciiTheme="majorBidi" w:eastAsia="Times New Roman" w:hAnsiTheme="majorBidi" w:cstheme="majorBidi"/>
          <w:i/>
          <w:iCs/>
          <w:color w:val="242424"/>
          <w:spacing w:val="-2"/>
          <w:sz w:val="14"/>
          <w:szCs w:val="14"/>
          <w:lang w:val="en-CA" w:eastAsia="en-GB"/>
        </w:rPr>
        <w:t>plant</w:t>
      </w:r>
      <w:r w:rsidRPr="005F0A67">
        <w:rPr>
          <w:rFonts w:asciiTheme="majorBidi" w:eastAsia="Times New Roman" w:hAnsiTheme="majorBidi" w:cstheme="majorBidi"/>
          <w:i/>
          <w:iCs/>
          <w:color w:val="242424"/>
          <w:spacing w:val="-6"/>
          <w:sz w:val="14"/>
          <w:szCs w:val="14"/>
          <w:lang w:val="en-CA" w:eastAsia="en-GB"/>
        </w:rPr>
        <w:t xml:space="preserve"> </w:t>
      </w:r>
      <w:r w:rsidRPr="005F0A67">
        <w:rPr>
          <w:rFonts w:asciiTheme="majorBidi" w:eastAsia="Times New Roman" w:hAnsiTheme="majorBidi" w:cstheme="majorBidi"/>
          <w:i/>
          <w:iCs/>
          <w:color w:val="242424"/>
          <w:spacing w:val="-2"/>
          <w:sz w:val="14"/>
          <w:szCs w:val="14"/>
          <w:lang w:val="en-CA" w:eastAsia="en-GB"/>
        </w:rPr>
        <w:t>breeding;</w:t>
      </w:r>
      <w:r w:rsidRPr="005F0A67">
        <w:rPr>
          <w:rFonts w:asciiTheme="majorBidi" w:eastAsia="Times New Roman" w:hAnsiTheme="majorBidi" w:cstheme="majorBidi"/>
          <w:i/>
          <w:iCs/>
          <w:color w:val="242424"/>
          <w:spacing w:val="-6"/>
          <w:sz w:val="14"/>
          <w:szCs w:val="14"/>
          <w:lang w:val="en-CA" w:eastAsia="en-GB"/>
        </w:rPr>
        <w:t xml:space="preserve"> </w:t>
      </w:r>
      <w:r w:rsidRPr="005F0A67">
        <w:rPr>
          <w:rFonts w:asciiTheme="majorBidi" w:eastAsia="Times New Roman" w:hAnsiTheme="majorBidi" w:cstheme="majorBidi"/>
          <w:i/>
          <w:iCs/>
          <w:color w:val="242424"/>
          <w:spacing w:val="-2"/>
          <w:sz w:val="14"/>
          <w:szCs w:val="14"/>
          <w:lang w:val="en-CA" w:eastAsia="en-GB"/>
        </w:rPr>
        <w:t>(e)</w:t>
      </w:r>
      <w:r w:rsidRPr="005F0A67">
        <w:rPr>
          <w:rFonts w:asciiTheme="majorBidi" w:eastAsia="Times New Roman" w:hAnsiTheme="majorBidi" w:cstheme="majorBidi"/>
          <w:i/>
          <w:iCs/>
          <w:color w:val="242424"/>
          <w:spacing w:val="-6"/>
          <w:sz w:val="14"/>
          <w:szCs w:val="14"/>
          <w:lang w:val="en-CA" w:eastAsia="en-GB"/>
        </w:rPr>
        <w:t xml:space="preserve"> </w:t>
      </w:r>
      <w:r w:rsidRPr="005F0A67">
        <w:rPr>
          <w:rFonts w:asciiTheme="majorBidi" w:eastAsia="Times New Roman" w:hAnsiTheme="majorBidi" w:cstheme="majorBidi"/>
          <w:i/>
          <w:iCs/>
          <w:color w:val="242424"/>
          <w:spacing w:val="-2"/>
          <w:sz w:val="14"/>
          <w:szCs w:val="14"/>
          <w:lang w:val="en-CA" w:eastAsia="en-GB"/>
        </w:rPr>
        <w:t>Biotechnology;</w:t>
      </w:r>
      <w:r w:rsidRPr="005F0A67">
        <w:rPr>
          <w:rFonts w:asciiTheme="majorBidi" w:eastAsia="Times New Roman" w:hAnsiTheme="majorBidi" w:cstheme="majorBidi"/>
          <w:i/>
          <w:iCs/>
          <w:color w:val="242424"/>
          <w:spacing w:val="-6"/>
          <w:sz w:val="14"/>
          <w:szCs w:val="14"/>
          <w:lang w:val="en-CA" w:eastAsia="en-GB"/>
        </w:rPr>
        <w:t xml:space="preserve"> </w:t>
      </w:r>
      <w:r w:rsidRPr="005F0A67">
        <w:rPr>
          <w:rFonts w:asciiTheme="majorBidi" w:eastAsia="Times New Roman" w:hAnsiTheme="majorBidi" w:cstheme="majorBidi"/>
          <w:i/>
          <w:iCs/>
          <w:color w:val="242424"/>
          <w:spacing w:val="-2"/>
          <w:sz w:val="14"/>
          <w:szCs w:val="14"/>
          <w:lang w:val="en-CA" w:eastAsia="en-GB"/>
        </w:rPr>
        <w:t>(f)</w:t>
      </w:r>
      <w:r w:rsidRPr="005F0A67">
        <w:rPr>
          <w:rFonts w:asciiTheme="majorBidi" w:eastAsia="Times New Roman" w:hAnsiTheme="majorBidi" w:cstheme="majorBidi"/>
          <w:i/>
          <w:iCs/>
          <w:color w:val="242424"/>
          <w:spacing w:val="-6"/>
          <w:sz w:val="14"/>
          <w:szCs w:val="14"/>
          <w:lang w:val="en-CA" w:eastAsia="en-GB"/>
        </w:rPr>
        <w:t xml:space="preserve"> </w:t>
      </w:r>
      <w:r w:rsidRPr="005F0A67">
        <w:rPr>
          <w:rFonts w:asciiTheme="majorBidi" w:eastAsia="Times New Roman" w:hAnsiTheme="majorBidi" w:cstheme="majorBidi"/>
          <w:i/>
          <w:iCs/>
          <w:color w:val="242424"/>
          <w:spacing w:val="-2"/>
          <w:sz w:val="14"/>
          <w:szCs w:val="14"/>
          <w:lang w:val="en-CA" w:eastAsia="en-GB"/>
        </w:rPr>
        <w:t>Laboratory</w:t>
      </w:r>
      <w:r w:rsidRPr="005F0A67">
        <w:rPr>
          <w:rFonts w:asciiTheme="majorBidi" w:eastAsia="Times New Roman" w:hAnsiTheme="majorBidi" w:cstheme="majorBidi"/>
          <w:i/>
          <w:iCs/>
          <w:color w:val="242424"/>
          <w:spacing w:val="-6"/>
          <w:sz w:val="14"/>
          <w:szCs w:val="14"/>
          <w:lang w:val="en-CA" w:eastAsia="en-GB"/>
        </w:rPr>
        <w:t xml:space="preserve"> </w:t>
      </w:r>
      <w:r w:rsidRPr="005F0A67">
        <w:rPr>
          <w:rFonts w:asciiTheme="majorBidi" w:eastAsia="Times New Roman" w:hAnsiTheme="majorBidi" w:cstheme="majorBidi"/>
          <w:i/>
          <w:iCs/>
          <w:color w:val="242424"/>
          <w:spacing w:val="-2"/>
          <w:sz w:val="14"/>
          <w:szCs w:val="14"/>
          <w:lang w:val="en-CA" w:eastAsia="en-GB"/>
        </w:rPr>
        <w:t>equipment</w:t>
      </w:r>
      <w:r w:rsidRPr="005F0A67">
        <w:rPr>
          <w:rFonts w:asciiTheme="majorBidi" w:eastAsia="Times New Roman" w:hAnsiTheme="majorBidi" w:cstheme="majorBidi"/>
          <w:i/>
          <w:iCs/>
          <w:color w:val="242424"/>
          <w:spacing w:val="-6"/>
          <w:sz w:val="14"/>
          <w:szCs w:val="14"/>
          <w:lang w:val="en-CA" w:eastAsia="en-GB"/>
        </w:rPr>
        <w:t xml:space="preserve"> </w:t>
      </w:r>
      <w:r w:rsidRPr="005F0A67">
        <w:rPr>
          <w:rFonts w:asciiTheme="majorBidi" w:eastAsia="Times New Roman" w:hAnsiTheme="majorBidi" w:cstheme="majorBidi"/>
          <w:i/>
          <w:iCs/>
          <w:color w:val="242424"/>
          <w:spacing w:val="-2"/>
          <w:sz w:val="14"/>
          <w:szCs w:val="14"/>
          <w:lang w:val="en-CA" w:eastAsia="en-GB"/>
        </w:rPr>
        <w:t>associated</w:t>
      </w:r>
      <w:r w:rsidRPr="005F0A67">
        <w:rPr>
          <w:rFonts w:asciiTheme="majorBidi" w:eastAsia="Times New Roman" w:hAnsiTheme="majorBidi" w:cstheme="majorBidi"/>
          <w:i/>
          <w:iCs/>
          <w:color w:val="242424"/>
          <w:spacing w:val="-6"/>
          <w:sz w:val="14"/>
          <w:szCs w:val="14"/>
          <w:lang w:val="en-CA" w:eastAsia="en-GB"/>
        </w:rPr>
        <w:t xml:space="preserve"> </w:t>
      </w:r>
      <w:r w:rsidRPr="005F0A67">
        <w:rPr>
          <w:rFonts w:asciiTheme="majorBidi" w:eastAsia="Times New Roman" w:hAnsiTheme="majorBidi" w:cstheme="majorBidi"/>
          <w:i/>
          <w:iCs/>
          <w:color w:val="242424"/>
          <w:spacing w:val="-2"/>
          <w:sz w:val="14"/>
          <w:szCs w:val="14"/>
          <w:lang w:val="en-CA" w:eastAsia="en-GB"/>
        </w:rPr>
        <w:t>with</w:t>
      </w:r>
      <w:r w:rsidRPr="005F0A67">
        <w:rPr>
          <w:rFonts w:asciiTheme="majorBidi" w:eastAsia="Times New Roman" w:hAnsiTheme="majorBidi" w:cstheme="majorBidi"/>
          <w:i/>
          <w:iCs/>
          <w:color w:val="242424"/>
          <w:spacing w:val="-6"/>
          <w:sz w:val="14"/>
          <w:szCs w:val="14"/>
          <w:lang w:val="en-CA" w:eastAsia="en-GB"/>
        </w:rPr>
        <w:t xml:space="preserve"> </w:t>
      </w:r>
      <w:r w:rsidRPr="005F0A67">
        <w:rPr>
          <w:rFonts w:asciiTheme="majorBidi" w:eastAsia="Times New Roman" w:hAnsiTheme="majorBidi" w:cstheme="majorBidi"/>
          <w:i/>
          <w:iCs/>
          <w:color w:val="242424"/>
          <w:spacing w:val="-2"/>
          <w:sz w:val="14"/>
          <w:szCs w:val="14"/>
          <w:lang w:val="en-CA" w:eastAsia="en-GB"/>
        </w:rPr>
        <w:t>the</w:t>
      </w:r>
      <w:r w:rsidRPr="005F0A67">
        <w:rPr>
          <w:rFonts w:asciiTheme="majorBidi" w:eastAsia="Times New Roman" w:hAnsiTheme="majorBidi" w:cstheme="majorBidi"/>
          <w:i/>
          <w:iCs/>
          <w:color w:val="242424"/>
          <w:spacing w:val="40"/>
          <w:sz w:val="14"/>
          <w:szCs w:val="14"/>
          <w:lang w:val="en-CA" w:eastAsia="en-GB"/>
        </w:rPr>
        <w:t xml:space="preserve"> </w:t>
      </w:r>
      <w:r w:rsidRPr="005F0A67">
        <w:rPr>
          <w:rFonts w:asciiTheme="majorBidi" w:eastAsia="Times New Roman" w:hAnsiTheme="majorBidi" w:cstheme="majorBidi"/>
          <w:i/>
          <w:iCs/>
          <w:color w:val="242424"/>
          <w:spacing w:val="-2"/>
          <w:sz w:val="14"/>
          <w:szCs w:val="14"/>
          <w:lang w:val="en-CA" w:eastAsia="en-GB"/>
        </w:rPr>
        <w:t>sequencing</w:t>
      </w:r>
      <w:r w:rsidRPr="005F0A67">
        <w:rPr>
          <w:rFonts w:asciiTheme="majorBidi" w:eastAsia="Times New Roman" w:hAnsiTheme="majorBidi" w:cstheme="majorBidi"/>
          <w:i/>
          <w:iCs/>
          <w:color w:val="242424"/>
          <w:spacing w:val="-4"/>
          <w:sz w:val="14"/>
          <w:szCs w:val="14"/>
          <w:lang w:val="en-CA" w:eastAsia="en-GB"/>
        </w:rPr>
        <w:t xml:space="preserve"> </w:t>
      </w:r>
      <w:r w:rsidRPr="005F0A67">
        <w:rPr>
          <w:rFonts w:asciiTheme="majorBidi" w:eastAsia="Times New Roman" w:hAnsiTheme="majorBidi" w:cstheme="majorBidi"/>
          <w:i/>
          <w:iCs/>
          <w:color w:val="242424"/>
          <w:spacing w:val="-2"/>
          <w:sz w:val="14"/>
          <w:szCs w:val="14"/>
          <w:lang w:val="en-CA" w:eastAsia="en-GB"/>
        </w:rPr>
        <w:t>and</w:t>
      </w:r>
      <w:r w:rsidRPr="005F0A67">
        <w:rPr>
          <w:rFonts w:asciiTheme="majorBidi" w:eastAsia="Times New Roman" w:hAnsiTheme="majorBidi" w:cstheme="majorBidi"/>
          <w:i/>
          <w:iCs/>
          <w:color w:val="242424"/>
          <w:spacing w:val="-4"/>
          <w:sz w:val="14"/>
          <w:szCs w:val="14"/>
          <w:lang w:val="en-CA" w:eastAsia="en-GB"/>
        </w:rPr>
        <w:t xml:space="preserve"> </w:t>
      </w:r>
      <w:r w:rsidRPr="005F0A67">
        <w:rPr>
          <w:rFonts w:asciiTheme="majorBidi" w:eastAsia="Times New Roman" w:hAnsiTheme="majorBidi" w:cstheme="majorBidi"/>
          <w:i/>
          <w:iCs/>
          <w:color w:val="242424"/>
          <w:spacing w:val="-2"/>
          <w:sz w:val="14"/>
          <w:szCs w:val="14"/>
          <w:lang w:val="en-CA" w:eastAsia="en-GB"/>
        </w:rPr>
        <w:t>use</w:t>
      </w:r>
      <w:r w:rsidRPr="005F0A67">
        <w:rPr>
          <w:rFonts w:asciiTheme="majorBidi" w:eastAsia="Times New Roman" w:hAnsiTheme="majorBidi" w:cstheme="majorBidi"/>
          <w:i/>
          <w:iCs/>
          <w:color w:val="242424"/>
          <w:spacing w:val="-4"/>
          <w:sz w:val="14"/>
          <w:szCs w:val="14"/>
          <w:lang w:val="en-CA" w:eastAsia="en-GB"/>
        </w:rPr>
        <w:t xml:space="preserve"> </w:t>
      </w:r>
      <w:r w:rsidRPr="005F0A67">
        <w:rPr>
          <w:rFonts w:asciiTheme="majorBidi" w:eastAsia="Times New Roman" w:hAnsiTheme="majorBidi" w:cstheme="majorBidi"/>
          <w:i/>
          <w:iCs/>
          <w:color w:val="242424"/>
          <w:spacing w:val="-2"/>
          <w:sz w:val="14"/>
          <w:szCs w:val="14"/>
          <w:lang w:val="en-CA" w:eastAsia="en-GB"/>
        </w:rPr>
        <w:t>of</w:t>
      </w:r>
      <w:r w:rsidRPr="005F0A67">
        <w:rPr>
          <w:rFonts w:asciiTheme="majorBidi" w:eastAsia="Times New Roman" w:hAnsiTheme="majorBidi" w:cstheme="majorBidi"/>
          <w:i/>
          <w:iCs/>
          <w:color w:val="242424"/>
          <w:spacing w:val="-4"/>
          <w:sz w:val="14"/>
          <w:szCs w:val="14"/>
          <w:lang w:val="en-CA" w:eastAsia="en-GB"/>
        </w:rPr>
        <w:t xml:space="preserve"> </w:t>
      </w:r>
      <w:r w:rsidRPr="005F0A67">
        <w:rPr>
          <w:rFonts w:asciiTheme="majorBidi" w:eastAsia="Times New Roman" w:hAnsiTheme="majorBidi" w:cstheme="majorBidi"/>
          <w:i/>
          <w:iCs/>
          <w:color w:val="242424"/>
          <w:spacing w:val="-2"/>
          <w:sz w:val="14"/>
          <w:szCs w:val="14"/>
          <w:lang w:val="en-CA" w:eastAsia="en-GB"/>
        </w:rPr>
        <w:t>digital</w:t>
      </w:r>
      <w:r w:rsidRPr="005F0A67">
        <w:rPr>
          <w:rFonts w:asciiTheme="majorBidi" w:eastAsia="Times New Roman" w:hAnsiTheme="majorBidi" w:cstheme="majorBidi"/>
          <w:i/>
          <w:iCs/>
          <w:color w:val="242424"/>
          <w:spacing w:val="-4"/>
          <w:sz w:val="14"/>
          <w:szCs w:val="14"/>
          <w:lang w:val="en-CA" w:eastAsia="en-GB"/>
        </w:rPr>
        <w:t xml:space="preserve"> </w:t>
      </w:r>
      <w:r w:rsidRPr="005F0A67">
        <w:rPr>
          <w:rFonts w:asciiTheme="majorBidi" w:eastAsia="Times New Roman" w:hAnsiTheme="majorBidi" w:cstheme="majorBidi"/>
          <w:i/>
          <w:iCs/>
          <w:color w:val="242424"/>
          <w:spacing w:val="-2"/>
          <w:sz w:val="14"/>
          <w:szCs w:val="14"/>
          <w:lang w:val="en-CA" w:eastAsia="en-GB"/>
        </w:rPr>
        <w:t>sequence</w:t>
      </w:r>
      <w:r w:rsidRPr="005F0A67">
        <w:rPr>
          <w:rFonts w:asciiTheme="majorBidi" w:eastAsia="Times New Roman" w:hAnsiTheme="majorBidi" w:cstheme="majorBidi"/>
          <w:i/>
          <w:iCs/>
          <w:color w:val="242424"/>
          <w:spacing w:val="-4"/>
          <w:sz w:val="14"/>
          <w:szCs w:val="14"/>
          <w:lang w:val="en-CA" w:eastAsia="en-GB"/>
        </w:rPr>
        <w:t xml:space="preserve"> </w:t>
      </w:r>
      <w:r w:rsidRPr="005F0A67">
        <w:rPr>
          <w:rFonts w:asciiTheme="majorBidi" w:eastAsia="Times New Roman" w:hAnsiTheme="majorBidi" w:cstheme="majorBidi"/>
          <w:i/>
          <w:iCs/>
          <w:color w:val="242424"/>
          <w:spacing w:val="-2"/>
          <w:sz w:val="14"/>
          <w:szCs w:val="14"/>
          <w:lang w:val="en-CA" w:eastAsia="en-GB"/>
        </w:rPr>
        <w:t>information</w:t>
      </w:r>
      <w:r w:rsidRPr="005F0A67">
        <w:rPr>
          <w:rFonts w:asciiTheme="majorBidi" w:eastAsia="Times New Roman" w:hAnsiTheme="majorBidi" w:cstheme="majorBidi"/>
          <w:i/>
          <w:iCs/>
          <w:color w:val="242424"/>
          <w:spacing w:val="-4"/>
          <w:sz w:val="14"/>
          <w:szCs w:val="14"/>
          <w:lang w:val="en-CA" w:eastAsia="en-GB"/>
        </w:rPr>
        <w:t xml:space="preserve"> </w:t>
      </w:r>
      <w:r w:rsidRPr="005F0A67">
        <w:rPr>
          <w:rFonts w:asciiTheme="majorBidi" w:eastAsia="Times New Roman" w:hAnsiTheme="majorBidi" w:cstheme="majorBidi"/>
          <w:i/>
          <w:iCs/>
          <w:color w:val="242424"/>
          <w:spacing w:val="-2"/>
          <w:sz w:val="14"/>
          <w:szCs w:val="14"/>
          <w:lang w:val="en-CA" w:eastAsia="en-GB"/>
        </w:rPr>
        <w:t>on</w:t>
      </w:r>
      <w:r w:rsidRPr="005F0A67">
        <w:rPr>
          <w:rFonts w:asciiTheme="majorBidi" w:eastAsia="Times New Roman" w:hAnsiTheme="majorBidi" w:cstheme="majorBidi"/>
          <w:i/>
          <w:iCs/>
          <w:color w:val="242424"/>
          <w:spacing w:val="-4"/>
          <w:sz w:val="14"/>
          <w:szCs w:val="14"/>
          <w:lang w:val="en-CA" w:eastAsia="en-GB"/>
        </w:rPr>
        <w:t xml:space="preserve"> </w:t>
      </w:r>
      <w:r w:rsidRPr="005F0A67">
        <w:rPr>
          <w:rFonts w:asciiTheme="majorBidi" w:eastAsia="Times New Roman" w:hAnsiTheme="majorBidi" w:cstheme="majorBidi"/>
          <w:i/>
          <w:iCs/>
          <w:color w:val="242424"/>
          <w:spacing w:val="-2"/>
          <w:sz w:val="14"/>
          <w:szCs w:val="14"/>
          <w:lang w:val="en-CA" w:eastAsia="en-GB"/>
        </w:rPr>
        <w:t>genetic</w:t>
      </w:r>
      <w:r w:rsidRPr="005F0A67">
        <w:rPr>
          <w:rFonts w:asciiTheme="majorBidi" w:eastAsia="Times New Roman" w:hAnsiTheme="majorBidi" w:cstheme="majorBidi"/>
          <w:i/>
          <w:iCs/>
          <w:color w:val="242424"/>
          <w:spacing w:val="-4"/>
          <w:sz w:val="14"/>
          <w:szCs w:val="14"/>
          <w:lang w:val="en-CA" w:eastAsia="en-GB"/>
        </w:rPr>
        <w:t xml:space="preserve"> </w:t>
      </w:r>
      <w:r w:rsidRPr="005F0A67">
        <w:rPr>
          <w:rFonts w:asciiTheme="majorBidi" w:eastAsia="Times New Roman" w:hAnsiTheme="majorBidi" w:cstheme="majorBidi"/>
          <w:i/>
          <w:iCs/>
          <w:color w:val="242424"/>
          <w:spacing w:val="-2"/>
          <w:sz w:val="14"/>
          <w:szCs w:val="14"/>
          <w:lang w:val="en-CA" w:eastAsia="en-GB"/>
        </w:rPr>
        <w:t>resources,</w:t>
      </w:r>
      <w:r w:rsidRPr="005F0A67">
        <w:rPr>
          <w:rFonts w:asciiTheme="majorBidi" w:eastAsia="Times New Roman" w:hAnsiTheme="majorBidi" w:cstheme="majorBidi"/>
          <w:i/>
          <w:iCs/>
          <w:color w:val="242424"/>
          <w:spacing w:val="-4"/>
          <w:sz w:val="14"/>
          <w:szCs w:val="14"/>
          <w:lang w:val="en-CA" w:eastAsia="en-GB"/>
        </w:rPr>
        <w:t xml:space="preserve"> </w:t>
      </w:r>
      <w:r w:rsidRPr="005F0A67">
        <w:rPr>
          <w:rFonts w:asciiTheme="majorBidi" w:eastAsia="Times New Roman" w:hAnsiTheme="majorBidi" w:cstheme="majorBidi"/>
          <w:i/>
          <w:iCs/>
          <w:color w:val="242424"/>
          <w:spacing w:val="-2"/>
          <w:sz w:val="14"/>
          <w:szCs w:val="14"/>
          <w:lang w:val="en-CA" w:eastAsia="en-GB"/>
        </w:rPr>
        <w:t>including</w:t>
      </w:r>
      <w:r w:rsidRPr="005F0A67">
        <w:rPr>
          <w:rFonts w:asciiTheme="majorBidi" w:eastAsia="Times New Roman" w:hAnsiTheme="majorBidi" w:cstheme="majorBidi"/>
          <w:i/>
          <w:iCs/>
          <w:color w:val="242424"/>
          <w:spacing w:val="-4"/>
          <w:sz w:val="14"/>
          <w:szCs w:val="14"/>
          <w:lang w:val="en-CA" w:eastAsia="en-GB"/>
        </w:rPr>
        <w:t xml:space="preserve"> </w:t>
      </w:r>
      <w:r w:rsidRPr="005F0A67">
        <w:rPr>
          <w:rFonts w:asciiTheme="majorBidi" w:eastAsia="Times New Roman" w:hAnsiTheme="majorBidi" w:cstheme="majorBidi"/>
          <w:i/>
          <w:iCs/>
          <w:color w:val="242424"/>
          <w:spacing w:val="-2"/>
          <w:sz w:val="14"/>
          <w:szCs w:val="14"/>
          <w:lang w:val="en-CA" w:eastAsia="en-GB"/>
        </w:rPr>
        <w:t>reagents</w:t>
      </w:r>
      <w:r w:rsidRPr="005F0A67">
        <w:rPr>
          <w:rFonts w:asciiTheme="majorBidi" w:eastAsia="Times New Roman" w:hAnsiTheme="majorBidi" w:cstheme="majorBidi"/>
          <w:i/>
          <w:iCs/>
          <w:color w:val="242424"/>
          <w:spacing w:val="-4"/>
          <w:sz w:val="14"/>
          <w:szCs w:val="14"/>
          <w:lang w:val="en-CA" w:eastAsia="en-GB"/>
        </w:rPr>
        <w:t xml:space="preserve"> </w:t>
      </w:r>
      <w:r w:rsidRPr="005F0A67">
        <w:rPr>
          <w:rFonts w:asciiTheme="majorBidi" w:eastAsia="Times New Roman" w:hAnsiTheme="majorBidi" w:cstheme="majorBidi"/>
          <w:i/>
          <w:iCs/>
          <w:color w:val="242424"/>
          <w:spacing w:val="-2"/>
          <w:sz w:val="14"/>
          <w:szCs w:val="14"/>
          <w:lang w:val="en-CA" w:eastAsia="en-GB"/>
        </w:rPr>
        <w:t>and</w:t>
      </w:r>
      <w:r w:rsidRPr="005F0A67">
        <w:rPr>
          <w:rFonts w:asciiTheme="majorBidi" w:eastAsia="Times New Roman" w:hAnsiTheme="majorBidi" w:cstheme="majorBidi"/>
          <w:i/>
          <w:iCs/>
          <w:color w:val="242424"/>
          <w:spacing w:val="-4"/>
          <w:sz w:val="14"/>
          <w:szCs w:val="14"/>
          <w:lang w:val="en-CA" w:eastAsia="en-GB"/>
        </w:rPr>
        <w:t xml:space="preserve"> </w:t>
      </w:r>
      <w:r w:rsidRPr="005F0A67">
        <w:rPr>
          <w:rFonts w:asciiTheme="majorBidi" w:eastAsia="Times New Roman" w:hAnsiTheme="majorBidi" w:cstheme="majorBidi"/>
          <w:i/>
          <w:iCs/>
          <w:color w:val="242424"/>
          <w:spacing w:val="-2"/>
          <w:sz w:val="14"/>
          <w:szCs w:val="14"/>
          <w:lang w:val="en-CA" w:eastAsia="en-GB"/>
        </w:rPr>
        <w:t>supplies;</w:t>
      </w:r>
      <w:r w:rsidRPr="005F0A67">
        <w:rPr>
          <w:rFonts w:asciiTheme="majorBidi" w:eastAsia="Times New Roman" w:hAnsiTheme="majorBidi" w:cstheme="majorBidi"/>
          <w:i/>
          <w:iCs/>
          <w:color w:val="242424"/>
          <w:spacing w:val="-4"/>
          <w:sz w:val="14"/>
          <w:szCs w:val="14"/>
          <w:lang w:val="en-CA" w:eastAsia="en-GB"/>
        </w:rPr>
        <w:t xml:space="preserve"> </w:t>
      </w:r>
      <w:r w:rsidRPr="005F0A67">
        <w:rPr>
          <w:rFonts w:asciiTheme="majorBidi" w:eastAsia="Times New Roman" w:hAnsiTheme="majorBidi" w:cstheme="majorBidi"/>
          <w:i/>
          <w:iCs/>
          <w:color w:val="242424"/>
          <w:spacing w:val="-2"/>
          <w:sz w:val="14"/>
          <w:szCs w:val="14"/>
          <w:lang w:val="en-CA" w:eastAsia="en-GB"/>
        </w:rPr>
        <w:t>(g)</w:t>
      </w:r>
      <w:r w:rsidRPr="005F0A67">
        <w:rPr>
          <w:rFonts w:asciiTheme="majorBidi" w:eastAsia="Times New Roman" w:hAnsiTheme="majorBidi" w:cstheme="majorBidi"/>
          <w:i/>
          <w:iCs/>
          <w:color w:val="242424"/>
          <w:spacing w:val="-4"/>
          <w:sz w:val="14"/>
          <w:szCs w:val="14"/>
          <w:lang w:val="en-CA" w:eastAsia="en-GB"/>
        </w:rPr>
        <w:t xml:space="preserve"> </w:t>
      </w:r>
      <w:r w:rsidRPr="005F0A67">
        <w:rPr>
          <w:rFonts w:asciiTheme="majorBidi" w:eastAsia="Times New Roman" w:hAnsiTheme="majorBidi" w:cstheme="majorBidi"/>
          <w:i/>
          <w:iCs/>
          <w:color w:val="242424"/>
          <w:spacing w:val="-2"/>
          <w:sz w:val="14"/>
          <w:szCs w:val="14"/>
          <w:lang w:val="en-CA" w:eastAsia="en-GB"/>
        </w:rPr>
        <w:t>Information,</w:t>
      </w:r>
      <w:r w:rsidRPr="005F0A67">
        <w:rPr>
          <w:rFonts w:asciiTheme="majorBidi" w:eastAsia="Times New Roman" w:hAnsiTheme="majorBidi" w:cstheme="majorBidi"/>
          <w:i/>
          <w:iCs/>
          <w:color w:val="242424"/>
          <w:spacing w:val="40"/>
          <w:sz w:val="14"/>
          <w:szCs w:val="14"/>
          <w:lang w:val="en-CA" w:eastAsia="en-GB"/>
        </w:rPr>
        <w:t xml:space="preserve"> </w:t>
      </w:r>
      <w:r w:rsidRPr="005F0A67">
        <w:rPr>
          <w:rFonts w:asciiTheme="majorBidi" w:eastAsia="Times New Roman" w:hAnsiTheme="majorBidi" w:cstheme="majorBidi"/>
          <w:i/>
          <w:iCs/>
          <w:color w:val="242424"/>
          <w:spacing w:val="-2"/>
          <w:sz w:val="14"/>
          <w:szCs w:val="14"/>
          <w:lang w:val="en-CA" w:eastAsia="en-GB"/>
        </w:rPr>
        <w:t>scientific and technical services related to digital sequence information on genetic resources, including artificial intelligence</w:t>
      </w:r>
    </w:p>
    <w:p w14:paraId="261D6B63" w14:textId="77777777" w:rsidR="005F0A67" w:rsidRPr="005F0A67" w:rsidRDefault="005F0A67" w:rsidP="005F0A67">
      <w:pPr>
        <w:widowControl w:val="0"/>
        <w:tabs>
          <w:tab w:val="clear" w:pos="567"/>
          <w:tab w:val="clear" w:pos="1134"/>
          <w:tab w:val="clear" w:pos="1701"/>
          <w:tab w:val="clear" w:pos="2268"/>
        </w:tabs>
        <w:spacing w:before="41"/>
        <w:jc w:val="left"/>
        <w:rPr>
          <w:rFonts w:asciiTheme="majorBidi" w:eastAsia="Arial" w:hAnsiTheme="majorBidi" w:cstheme="majorBidi"/>
          <w:i/>
          <w:iCs/>
          <w:sz w:val="14"/>
          <w:szCs w:val="14"/>
          <w:lang w:val="en-US"/>
        </w:rPr>
      </w:pPr>
    </w:p>
    <w:p w14:paraId="51AD6A2A" w14:textId="77777777" w:rsidR="005F0A67" w:rsidRPr="005F0A67" w:rsidRDefault="005F0A67" w:rsidP="003A387A">
      <w:pPr>
        <w:widowControl w:val="0"/>
        <w:numPr>
          <w:ilvl w:val="0"/>
          <w:numId w:val="46"/>
        </w:numPr>
        <w:tabs>
          <w:tab w:val="clear" w:pos="567"/>
          <w:tab w:val="clear" w:pos="1134"/>
          <w:tab w:val="clear" w:pos="1701"/>
          <w:tab w:val="clear" w:pos="2268"/>
          <w:tab w:val="left" w:pos="671"/>
        </w:tabs>
        <w:autoSpaceDE w:val="0"/>
        <w:autoSpaceDN w:val="0"/>
        <w:ind w:left="671" w:hanging="156"/>
        <w:jc w:val="left"/>
        <w:rPr>
          <w:rFonts w:asciiTheme="majorBidi" w:eastAsia="Georgia" w:hAnsiTheme="majorBidi" w:cstheme="majorBidi"/>
          <w:b/>
          <w:bCs/>
          <w:i/>
          <w:iCs/>
          <w:color w:val="1A1A1A"/>
          <w:sz w:val="14"/>
          <w:szCs w:val="14"/>
          <w:lang w:eastAsia="en-GB"/>
        </w:rPr>
      </w:pPr>
      <w:r w:rsidRPr="005F0A67">
        <w:rPr>
          <w:rFonts w:asciiTheme="majorBidi" w:eastAsia="Georgia" w:hAnsiTheme="majorBidi" w:cstheme="majorBidi"/>
          <w:b/>
          <w:bCs/>
          <w:color w:val="242424"/>
          <w:spacing w:val="-4"/>
          <w:sz w:val="14"/>
          <w:szCs w:val="14"/>
          <w:lang w:eastAsia="en-GB"/>
        </w:rPr>
        <w:t>CONTRIBUTION</w:t>
      </w:r>
      <w:r w:rsidRPr="005F0A67">
        <w:rPr>
          <w:rFonts w:asciiTheme="majorBidi" w:eastAsia="Georgia" w:hAnsiTheme="majorBidi" w:cstheme="majorBidi"/>
          <w:b/>
          <w:bCs/>
          <w:color w:val="242424"/>
          <w:spacing w:val="-5"/>
          <w:sz w:val="14"/>
          <w:szCs w:val="14"/>
          <w:lang w:eastAsia="en-GB"/>
        </w:rPr>
        <w:t xml:space="preserve"> </w:t>
      </w:r>
      <w:r w:rsidRPr="005F0A67">
        <w:rPr>
          <w:rFonts w:asciiTheme="majorBidi" w:eastAsia="Georgia" w:hAnsiTheme="majorBidi" w:cstheme="majorBidi"/>
          <w:b/>
          <w:bCs/>
          <w:color w:val="242424"/>
          <w:spacing w:val="-4"/>
          <w:sz w:val="14"/>
          <w:szCs w:val="14"/>
          <w:lang w:eastAsia="en-GB"/>
        </w:rPr>
        <w:t xml:space="preserve">RATES </w:t>
      </w:r>
      <w:r w:rsidRPr="005F0A67">
        <w:rPr>
          <w:rFonts w:asciiTheme="majorBidi" w:eastAsia="Georgia" w:hAnsiTheme="majorBidi" w:cstheme="majorBidi"/>
          <w:color w:val="242424"/>
          <w:spacing w:val="-4"/>
          <w:sz w:val="14"/>
          <w:szCs w:val="14"/>
          <w:lang w:eastAsia="en-GB"/>
        </w:rPr>
        <w:t xml:space="preserve">[Decision 16/2 Annex para. 3] (…) </w:t>
      </w:r>
      <w:r w:rsidRPr="005F0A67">
        <w:rPr>
          <w:rFonts w:asciiTheme="majorBidi" w:eastAsia="Georgia" w:hAnsiTheme="majorBidi" w:cstheme="majorBidi"/>
          <w:i/>
          <w:iCs/>
          <w:color w:val="242424"/>
          <w:spacing w:val="-4"/>
          <w:sz w:val="14"/>
          <w:szCs w:val="14"/>
          <w:lang w:eastAsia="en-GB"/>
        </w:rPr>
        <w:t xml:space="preserve">should contribute to the global fund </w:t>
      </w:r>
      <w:r w:rsidRPr="005F0A67">
        <w:rPr>
          <w:rFonts w:asciiTheme="majorBidi" w:eastAsia="Georgia" w:hAnsiTheme="majorBidi" w:cstheme="majorBidi"/>
          <w:b/>
          <w:bCs/>
          <w:i/>
          <w:iCs/>
          <w:color w:val="242424"/>
          <w:spacing w:val="-4"/>
          <w:sz w:val="14"/>
          <w:szCs w:val="14"/>
          <w:lang w:eastAsia="en-GB"/>
        </w:rPr>
        <w:t>1 per cent of their</w:t>
      </w:r>
      <w:r w:rsidRPr="005F0A67">
        <w:rPr>
          <w:rFonts w:asciiTheme="majorBidi" w:eastAsia="Georgia" w:hAnsiTheme="majorBidi" w:cstheme="majorBidi"/>
          <w:b/>
          <w:bCs/>
          <w:i/>
          <w:iCs/>
          <w:color w:val="242424"/>
          <w:spacing w:val="-5"/>
          <w:sz w:val="14"/>
          <w:szCs w:val="14"/>
          <w:lang w:eastAsia="en-GB"/>
        </w:rPr>
        <w:t xml:space="preserve"> </w:t>
      </w:r>
      <w:r w:rsidRPr="005F0A67">
        <w:rPr>
          <w:rFonts w:asciiTheme="majorBidi" w:eastAsia="Georgia" w:hAnsiTheme="majorBidi" w:cstheme="majorBidi"/>
          <w:b/>
          <w:bCs/>
          <w:i/>
          <w:iCs/>
          <w:color w:val="242424"/>
          <w:spacing w:val="-4"/>
          <w:sz w:val="14"/>
          <w:szCs w:val="14"/>
          <w:lang w:eastAsia="en-GB"/>
        </w:rPr>
        <w:t>profits</w:t>
      </w:r>
    </w:p>
    <w:p w14:paraId="04CEBCC1" w14:textId="77777777" w:rsidR="005F0A67" w:rsidRPr="005F0A67" w:rsidRDefault="005F0A67" w:rsidP="005F0A67">
      <w:pPr>
        <w:tabs>
          <w:tab w:val="clear" w:pos="567"/>
          <w:tab w:val="clear" w:pos="1134"/>
          <w:tab w:val="clear" w:pos="1701"/>
          <w:tab w:val="clear" w:pos="2268"/>
        </w:tabs>
        <w:spacing w:before="39"/>
        <w:ind w:left="515"/>
        <w:jc w:val="left"/>
        <w:rPr>
          <w:rFonts w:asciiTheme="majorBidi" w:eastAsia="Times New Roman" w:hAnsiTheme="majorBidi" w:cstheme="majorBidi"/>
          <w:i/>
          <w:iCs/>
          <w:sz w:val="14"/>
          <w:szCs w:val="14"/>
          <w:lang w:val="en-CA" w:eastAsia="en-GB"/>
        </w:rPr>
      </w:pPr>
      <w:r w:rsidRPr="005F0A67">
        <w:rPr>
          <w:rFonts w:asciiTheme="majorBidi" w:eastAsia="Times New Roman" w:hAnsiTheme="majorBidi" w:cstheme="majorBidi"/>
          <w:i/>
          <w:iCs/>
          <w:color w:val="242424"/>
          <w:spacing w:val="-4"/>
          <w:sz w:val="14"/>
          <w:szCs w:val="14"/>
          <w:lang w:val="en-CA" w:eastAsia="en-GB"/>
        </w:rPr>
        <w:t>or</w:t>
      </w:r>
      <w:r w:rsidRPr="005F0A67">
        <w:rPr>
          <w:rFonts w:asciiTheme="majorBidi" w:eastAsia="Times New Roman" w:hAnsiTheme="majorBidi" w:cstheme="majorBidi"/>
          <w:i/>
          <w:iCs/>
          <w:color w:val="242424"/>
          <w:spacing w:val="-3"/>
          <w:sz w:val="14"/>
          <w:szCs w:val="14"/>
          <w:lang w:val="en-CA" w:eastAsia="en-GB"/>
        </w:rPr>
        <w:t xml:space="preserve"> </w:t>
      </w:r>
      <w:r w:rsidRPr="005F0A67">
        <w:rPr>
          <w:rFonts w:asciiTheme="majorBidi" w:eastAsia="Times New Roman" w:hAnsiTheme="majorBidi" w:cstheme="majorBidi"/>
          <w:b/>
          <w:bCs/>
          <w:i/>
          <w:iCs/>
          <w:color w:val="242424"/>
          <w:spacing w:val="-4"/>
          <w:sz w:val="14"/>
          <w:szCs w:val="14"/>
          <w:lang w:val="en-CA" w:eastAsia="en-GB"/>
        </w:rPr>
        <w:t>0.1</w:t>
      </w:r>
      <w:r w:rsidRPr="005F0A67">
        <w:rPr>
          <w:rFonts w:asciiTheme="majorBidi" w:eastAsia="Times New Roman" w:hAnsiTheme="majorBidi" w:cstheme="majorBidi"/>
          <w:b/>
          <w:bCs/>
          <w:i/>
          <w:iCs/>
          <w:color w:val="242424"/>
          <w:spacing w:val="-2"/>
          <w:sz w:val="14"/>
          <w:szCs w:val="14"/>
          <w:lang w:val="en-CA" w:eastAsia="en-GB"/>
        </w:rPr>
        <w:t xml:space="preserve"> </w:t>
      </w:r>
      <w:r w:rsidRPr="005F0A67">
        <w:rPr>
          <w:rFonts w:asciiTheme="majorBidi" w:eastAsia="Times New Roman" w:hAnsiTheme="majorBidi" w:cstheme="majorBidi"/>
          <w:b/>
          <w:bCs/>
          <w:i/>
          <w:iCs/>
          <w:color w:val="242424"/>
          <w:spacing w:val="-4"/>
          <w:sz w:val="14"/>
          <w:szCs w:val="14"/>
          <w:lang w:val="en-CA" w:eastAsia="en-GB"/>
        </w:rPr>
        <w:t>per</w:t>
      </w:r>
      <w:r w:rsidRPr="005F0A67">
        <w:rPr>
          <w:rFonts w:asciiTheme="majorBidi" w:eastAsia="Times New Roman" w:hAnsiTheme="majorBidi" w:cstheme="majorBidi"/>
          <w:b/>
          <w:bCs/>
          <w:i/>
          <w:iCs/>
          <w:color w:val="242424"/>
          <w:spacing w:val="-2"/>
          <w:sz w:val="14"/>
          <w:szCs w:val="14"/>
          <w:lang w:val="en-CA" w:eastAsia="en-GB"/>
        </w:rPr>
        <w:t xml:space="preserve"> </w:t>
      </w:r>
      <w:r w:rsidRPr="005F0A67">
        <w:rPr>
          <w:rFonts w:asciiTheme="majorBidi" w:eastAsia="Times New Roman" w:hAnsiTheme="majorBidi" w:cstheme="majorBidi"/>
          <w:b/>
          <w:bCs/>
          <w:i/>
          <w:iCs/>
          <w:color w:val="242424"/>
          <w:spacing w:val="-4"/>
          <w:sz w:val="14"/>
          <w:szCs w:val="14"/>
          <w:lang w:val="en-CA" w:eastAsia="en-GB"/>
        </w:rPr>
        <w:t>cent</w:t>
      </w:r>
      <w:r w:rsidRPr="005F0A67">
        <w:rPr>
          <w:rFonts w:asciiTheme="majorBidi" w:eastAsia="Times New Roman" w:hAnsiTheme="majorBidi" w:cstheme="majorBidi"/>
          <w:b/>
          <w:bCs/>
          <w:i/>
          <w:iCs/>
          <w:color w:val="242424"/>
          <w:spacing w:val="-2"/>
          <w:sz w:val="14"/>
          <w:szCs w:val="14"/>
          <w:lang w:val="en-CA" w:eastAsia="en-GB"/>
        </w:rPr>
        <w:t xml:space="preserve"> </w:t>
      </w:r>
      <w:r w:rsidRPr="005F0A67">
        <w:rPr>
          <w:rFonts w:asciiTheme="majorBidi" w:eastAsia="Times New Roman" w:hAnsiTheme="majorBidi" w:cstheme="majorBidi"/>
          <w:b/>
          <w:bCs/>
          <w:i/>
          <w:iCs/>
          <w:color w:val="242424"/>
          <w:spacing w:val="-4"/>
          <w:sz w:val="14"/>
          <w:szCs w:val="14"/>
          <w:lang w:val="en-CA" w:eastAsia="en-GB"/>
        </w:rPr>
        <w:t>of</w:t>
      </w:r>
      <w:r w:rsidRPr="005F0A67">
        <w:rPr>
          <w:rFonts w:asciiTheme="majorBidi" w:eastAsia="Times New Roman" w:hAnsiTheme="majorBidi" w:cstheme="majorBidi"/>
          <w:b/>
          <w:bCs/>
          <w:i/>
          <w:iCs/>
          <w:color w:val="242424"/>
          <w:spacing w:val="-2"/>
          <w:sz w:val="14"/>
          <w:szCs w:val="14"/>
          <w:lang w:val="en-CA" w:eastAsia="en-GB"/>
        </w:rPr>
        <w:t xml:space="preserve"> </w:t>
      </w:r>
      <w:r w:rsidRPr="005F0A67">
        <w:rPr>
          <w:rFonts w:asciiTheme="majorBidi" w:eastAsia="Times New Roman" w:hAnsiTheme="majorBidi" w:cstheme="majorBidi"/>
          <w:b/>
          <w:bCs/>
          <w:i/>
          <w:iCs/>
          <w:color w:val="242424"/>
          <w:spacing w:val="-4"/>
          <w:sz w:val="14"/>
          <w:szCs w:val="14"/>
          <w:lang w:val="en-CA" w:eastAsia="en-GB"/>
        </w:rPr>
        <w:t>their</w:t>
      </w:r>
      <w:r w:rsidRPr="005F0A67">
        <w:rPr>
          <w:rFonts w:asciiTheme="majorBidi" w:eastAsia="Times New Roman" w:hAnsiTheme="majorBidi" w:cstheme="majorBidi"/>
          <w:b/>
          <w:bCs/>
          <w:i/>
          <w:iCs/>
          <w:color w:val="242424"/>
          <w:spacing w:val="-2"/>
          <w:sz w:val="14"/>
          <w:szCs w:val="14"/>
          <w:lang w:val="en-CA" w:eastAsia="en-GB"/>
        </w:rPr>
        <w:t xml:space="preserve"> </w:t>
      </w:r>
      <w:r w:rsidRPr="005F0A67">
        <w:rPr>
          <w:rFonts w:asciiTheme="majorBidi" w:eastAsia="Times New Roman" w:hAnsiTheme="majorBidi" w:cstheme="majorBidi"/>
          <w:b/>
          <w:bCs/>
          <w:i/>
          <w:iCs/>
          <w:color w:val="242424"/>
          <w:spacing w:val="-4"/>
          <w:sz w:val="14"/>
          <w:szCs w:val="14"/>
          <w:lang w:val="en-CA" w:eastAsia="en-GB"/>
        </w:rPr>
        <w:t>revenue</w:t>
      </w:r>
      <w:r w:rsidRPr="005F0A67">
        <w:rPr>
          <w:rFonts w:asciiTheme="majorBidi" w:eastAsia="Times New Roman" w:hAnsiTheme="majorBidi" w:cstheme="majorBidi"/>
          <w:i/>
          <w:iCs/>
          <w:color w:val="242424"/>
          <w:spacing w:val="-4"/>
          <w:sz w:val="14"/>
          <w:szCs w:val="14"/>
          <w:lang w:val="en-CA" w:eastAsia="en-GB"/>
        </w:rPr>
        <w:t>,</w:t>
      </w:r>
      <w:r w:rsidRPr="005F0A67">
        <w:rPr>
          <w:rFonts w:asciiTheme="majorBidi" w:eastAsia="Times New Roman" w:hAnsiTheme="majorBidi" w:cstheme="majorBidi"/>
          <w:i/>
          <w:iCs/>
          <w:color w:val="242424"/>
          <w:spacing w:val="-2"/>
          <w:sz w:val="14"/>
          <w:szCs w:val="14"/>
          <w:lang w:val="en-CA" w:eastAsia="en-GB"/>
        </w:rPr>
        <w:t xml:space="preserve"> </w:t>
      </w:r>
      <w:r w:rsidRPr="005F0A67">
        <w:rPr>
          <w:rFonts w:asciiTheme="majorBidi" w:eastAsia="Times New Roman" w:hAnsiTheme="majorBidi" w:cstheme="majorBidi"/>
          <w:i/>
          <w:iCs/>
          <w:color w:val="242424"/>
          <w:spacing w:val="-4"/>
          <w:sz w:val="14"/>
          <w:szCs w:val="14"/>
          <w:lang w:val="en-CA" w:eastAsia="en-GB"/>
        </w:rPr>
        <w:t>as</w:t>
      </w:r>
      <w:r w:rsidRPr="005F0A67">
        <w:rPr>
          <w:rFonts w:asciiTheme="majorBidi" w:eastAsia="Times New Roman" w:hAnsiTheme="majorBidi" w:cstheme="majorBidi"/>
          <w:i/>
          <w:iCs/>
          <w:color w:val="242424"/>
          <w:spacing w:val="-2"/>
          <w:sz w:val="14"/>
          <w:szCs w:val="14"/>
          <w:lang w:val="en-CA" w:eastAsia="en-GB"/>
        </w:rPr>
        <w:t xml:space="preserve"> </w:t>
      </w:r>
      <w:r w:rsidRPr="005F0A67">
        <w:rPr>
          <w:rFonts w:asciiTheme="majorBidi" w:eastAsia="Times New Roman" w:hAnsiTheme="majorBidi" w:cstheme="majorBidi"/>
          <w:i/>
          <w:iCs/>
          <w:color w:val="242424"/>
          <w:spacing w:val="-4"/>
          <w:sz w:val="14"/>
          <w:szCs w:val="14"/>
          <w:lang w:val="en-CA" w:eastAsia="en-GB"/>
        </w:rPr>
        <w:t>an</w:t>
      </w:r>
      <w:r w:rsidRPr="005F0A67">
        <w:rPr>
          <w:rFonts w:asciiTheme="majorBidi" w:eastAsia="Times New Roman" w:hAnsiTheme="majorBidi" w:cstheme="majorBidi"/>
          <w:i/>
          <w:iCs/>
          <w:color w:val="242424"/>
          <w:spacing w:val="-2"/>
          <w:sz w:val="14"/>
          <w:szCs w:val="14"/>
          <w:lang w:val="en-CA" w:eastAsia="en-GB"/>
        </w:rPr>
        <w:t xml:space="preserve"> </w:t>
      </w:r>
      <w:r w:rsidRPr="005F0A67">
        <w:rPr>
          <w:rFonts w:asciiTheme="majorBidi" w:eastAsia="Times New Roman" w:hAnsiTheme="majorBidi" w:cstheme="majorBidi"/>
          <w:i/>
          <w:iCs/>
          <w:color w:val="242424"/>
          <w:spacing w:val="-4"/>
          <w:sz w:val="14"/>
          <w:szCs w:val="14"/>
          <w:lang w:val="en-CA" w:eastAsia="en-GB"/>
        </w:rPr>
        <w:t>indicative</w:t>
      </w:r>
      <w:r w:rsidRPr="005F0A67">
        <w:rPr>
          <w:rFonts w:asciiTheme="majorBidi" w:eastAsia="Times New Roman" w:hAnsiTheme="majorBidi" w:cstheme="majorBidi"/>
          <w:i/>
          <w:iCs/>
          <w:color w:val="242424"/>
          <w:spacing w:val="-2"/>
          <w:sz w:val="14"/>
          <w:szCs w:val="14"/>
          <w:lang w:val="en-CA" w:eastAsia="en-GB"/>
        </w:rPr>
        <w:t xml:space="preserve"> </w:t>
      </w:r>
      <w:r w:rsidRPr="005F0A67">
        <w:rPr>
          <w:rFonts w:asciiTheme="majorBidi" w:eastAsia="Times New Roman" w:hAnsiTheme="majorBidi" w:cstheme="majorBidi"/>
          <w:i/>
          <w:iCs/>
          <w:color w:val="242424"/>
          <w:spacing w:val="-4"/>
          <w:sz w:val="14"/>
          <w:szCs w:val="14"/>
          <w:lang w:val="en-CA" w:eastAsia="en-GB"/>
        </w:rPr>
        <w:t>rate</w:t>
      </w:r>
    </w:p>
    <w:p w14:paraId="0A2BF662" w14:textId="77777777" w:rsidR="005F0A67" w:rsidRPr="005F0A67" w:rsidRDefault="005F0A67" w:rsidP="005F0A67">
      <w:pPr>
        <w:widowControl w:val="0"/>
        <w:tabs>
          <w:tab w:val="clear" w:pos="567"/>
          <w:tab w:val="clear" w:pos="1134"/>
          <w:tab w:val="clear" w:pos="1701"/>
          <w:tab w:val="clear" w:pos="2268"/>
        </w:tabs>
        <w:spacing w:before="120"/>
        <w:jc w:val="left"/>
        <w:rPr>
          <w:rFonts w:asciiTheme="majorBidi" w:eastAsia="Arial" w:hAnsiTheme="majorBidi" w:cstheme="majorBidi"/>
          <w:i/>
          <w:iCs/>
          <w:sz w:val="17"/>
          <w:szCs w:val="17"/>
          <w:lang w:val="en-US"/>
        </w:rPr>
      </w:pPr>
    </w:p>
    <w:p w14:paraId="5397BEE7" w14:textId="77777777" w:rsidR="005F0A67" w:rsidRPr="005F0A67" w:rsidRDefault="005F0A67" w:rsidP="003A387A">
      <w:pPr>
        <w:widowControl w:val="0"/>
        <w:numPr>
          <w:ilvl w:val="0"/>
          <w:numId w:val="44"/>
        </w:numPr>
        <w:tabs>
          <w:tab w:val="clear" w:pos="567"/>
          <w:tab w:val="clear" w:pos="1134"/>
          <w:tab w:val="clear" w:pos="1701"/>
          <w:tab w:val="clear" w:pos="2268"/>
          <w:tab w:val="left" w:pos="703"/>
        </w:tabs>
        <w:autoSpaceDE w:val="0"/>
        <w:autoSpaceDN w:val="0"/>
        <w:ind w:left="703" w:hanging="187"/>
        <w:jc w:val="left"/>
        <w:rPr>
          <w:rFonts w:asciiTheme="majorBidi" w:eastAsia="Georgia" w:hAnsiTheme="majorBidi" w:cstheme="majorBidi"/>
          <w:color w:val="1A1A1A"/>
          <w:sz w:val="17"/>
          <w:szCs w:val="17"/>
          <w:lang w:eastAsia="en-GB"/>
        </w:rPr>
      </w:pPr>
      <w:r w:rsidRPr="005F0A67">
        <w:rPr>
          <w:rFonts w:asciiTheme="majorBidi" w:eastAsia="Georgia" w:hAnsiTheme="majorBidi" w:cstheme="majorBidi"/>
          <w:color w:val="242424"/>
          <w:sz w:val="17"/>
          <w:szCs w:val="17"/>
          <w:lang w:eastAsia="en-GB"/>
        </w:rPr>
        <w:t>Have</w:t>
      </w:r>
      <w:r w:rsidRPr="005F0A67">
        <w:rPr>
          <w:rFonts w:asciiTheme="majorBidi" w:eastAsia="Georgia" w:hAnsiTheme="majorBidi" w:cstheme="majorBidi"/>
          <w:color w:val="242424"/>
          <w:spacing w:val="-8"/>
          <w:sz w:val="17"/>
          <w:szCs w:val="17"/>
          <w:lang w:eastAsia="en-GB"/>
        </w:rPr>
        <w:t xml:space="preserve"> </w:t>
      </w:r>
      <w:r w:rsidRPr="005F0A67">
        <w:rPr>
          <w:rFonts w:asciiTheme="majorBidi" w:eastAsia="Georgia" w:hAnsiTheme="majorBidi" w:cstheme="majorBidi"/>
          <w:color w:val="242424"/>
          <w:sz w:val="17"/>
          <w:szCs w:val="17"/>
          <w:lang w:eastAsia="en-GB"/>
        </w:rPr>
        <w:t>you</w:t>
      </w:r>
      <w:r w:rsidRPr="005F0A67">
        <w:rPr>
          <w:rFonts w:asciiTheme="majorBidi" w:eastAsia="Georgia" w:hAnsiTheme="majorBidi" w:cstheme="majorBidi"/>
          <w:color w:val="242424"/>
          <w:spacing w:val="-8"/>
          <w:sz w:val="17"/>
          <w:szCs w:val="17"/>
          <w:lang w:eastAsia="en-GB"/>
        </w:rPr>
        <w:t xml:space="preserve"> </w:t>
      </w:r>
      <w:r w:rsidRPr="005F0A67">
        <w:rPr>
          <w:rFonts w:asciiTheme="majorBidi" w:eastAsia="Georgia" w:hAnsiTheme="majorBidi" w:cstheme="majorBidi"/>
          <w:color w:val="242424"/>
          <w:sz w:val="17"/>
          <w:szCs w:val="17"/>
          <w:lang w:eastAsia="en-GB"/>
        </w:rPr>
        <w:t>heard</w:t>
      </w:r>
      <w:r w:rsidRPr="005F0A67">
        <w:rPr>
          <w:rFonts w:asciiTheme="majorBidi" w:eastAsia="Georgia" w:hAnsiTheme="majorBidi" w:cstheme="majorBidi"/>
          <w:color w:val="242424"/>
          <w:spacing w:val="-7"/>
          <w:sz w:val="17"/>
          <w:szCs w:val="17"/>
          <w:lang w:eastAsia="en-GB"/>
        </w:rPr>
        <w:t xml:space="preserve"> </w:t>
      </w:r>
      <w:r w:rsidRPr="005F0A67">
        <w:rPr>
          <w:rFonts w:asciiTheme="majorBidi" w:eastAsia="Georgia" w:hAnsiTheme="majorBidi" w:cstheme="majorBidi"/>
          <w:color w:val="242424"/>
          <w:sz w:val="17"/>
          <w:szCs w:val="17"/>
          <w:lang w:eastAsia="en-GB"/>
        </w:rPr>
        <w:t>about</w:t>
      </w:r>
      <w:r w:rsidRPr="005F0A67">
        <w:rPr>
          <w:rFonts w:asciiTheme="majorBidi" w:eastAsia="Georgia" w:hAnsiTheme="majorBidi" w:cstheme="majorBidi"/>
          <w:color w:val="242424"/>
          <w:spacing w:val="-8"/>
          <w:sz w:val="17"/>
          <w:szCs w:val="17"/>
          <w:lang w:eastAsia="en-GB"/>
        </w:rPr>
        <w:t xml:space="preserve"> </w:t>
      </w:r>
      <w:r w:rsidRPr="005F0A67">
        <w:rPr>
          <w:rFonts w:asciiTheme="majorBidi" w:eastAsia="Georgia" w:hAnsiTheme="majorBidi" w:cstheme="majorBidi"/>
          <w:b/>
          <w:bCs/>
          <w:color w:val="242424"/>
          <w:sz w:val="17"/>
          <w:szCs w:val="17"/>
          <w:lang w:eastAsia="en-GB"/>
        </w:rPr>
        <w:t>the</w:t>
      </w:r>
      <w:r w:rsidRPr="005F0A67">
        <w:rPr>
          <w:rFonts w:asciiTheme="majorBidi" w:eastAsia="Georgia" w:hAnsiTheme="majorBidi" w:cstheme="majorBidi"/>
          <w:b/>
          <w:bCs/>
          <w:color w:val="242424"/>
          <w:spacing w:val="-8"/>
          <w:sz w:val="17"/>
          <w:szCs w:val="17"/>
          <w:lang w:eastAsia="en-GB"/>
        </w:rPr>
        <w:t xml:space="preserve"> </w:t>
      </w:r>
      <w:r w:rsidRPr="005F0A67">
        <w:rPr>
          <w:rFonts w:asciiTheme="majorBidi" w:eastAsia="Georgia" w:hAnsiTheme="majorBidi" w:cstheme="majorBidi"/>
          <w:b/>
          <w:bCs/>
          <w:color w:val="242424"/>
          <w:sz w:val="17"/>
          <w:szCs w:val="17"/>
          <w:lang w:eastAsia="en-GB"/>
        </w:rPr>
        <w:t>Cali</w:t>
      </w:r>
      <w:r w:rsidRPr="005F0A67">
        <w:rPr>
          <w:rFonts w:asciiTheme="majorBidi" w:eastAsia="Georgia" w:hAnsiTheme="majorBidi" w:cstheme="majorBidi"/>
          <w:b/>
          <w:bCs/>
          <w:color w:val="242424"/>
          <w:spacing w:val="-7"/>
          <w:sz w:val="17"/>
          <w:szCs w:val="17"/>
          <w:lang w:eastAsia="en-GB"/>
        </w:rPr>
        <w:t xml:space="preserve"> </w:t>
      </w:r>
      <w:r w:rsidRPr="005F0A67">
        <w:rPr>
          <w:rFonts w:asciiTheme="majorBidi" w:eastAsia="Georgia" w:hAnsiTheme="majorBidi" w:cstheme="majorBidi"/>
          <w:b/>
          <w:bCs/>
          <w:color w:val="242424"/>
          <w:sz w:val="17"/>
          <w:szCs w:val="17"/>
          <w:lang w:eastAsia="en-GB"/>
        </w:rPr>
        <w:t>Fund</w:t>
      </w:r>
      <w:r w:rsidRPr="005F0A67">
        <w:rPr>
          <w:rFonts w:asciiTheme="majorBidi" w:eastAsia="Georgia" w:hAnsiTheme="majorBidi" w:cstheme="majorBidi"/>
          <w:b/>
          <w:bCs/>
          <w:color w:val="242424"/>
          <w:spacing w:val="-8"/>
          <w:sz w:val="17"/>
          <w:szCs w:val="17"/>
          <w:lang w:eastAsia="en-GB"/>
        </w:rPr>
        <w:t xml:space="preserve"> </w:t>
      </w:r>
      <w:r w:rsidRPr="005F0A67">
        <w:rPr>
          <w:rFonts w:asciiTheme="majorBidi" w:eastAsia="Georgia" w:hAnsiTheme="majorBidi" w:cstheme="majorBidi"/>
          <w:color w:val="242424"/>
          <w:spacing w:val="-2"/>
          <w:sz w:val="17"/>
          <w:szCs w:val="17"/>
          <w:lang w:eastAsia="en-GB"/>
        </w:rPr>
        <w:t>before?</w:t>
      </w:r>
    </w:p>
    <w:p w14:paraId="7F8391AF" w14:textId="77777777" w:rsidR="005F0A67" w:rsidRPr="005F0A67" w:rsidRDefault="005F0A67" w:rsidP="005F0A67">
      <w:pPr>
        <w:widowControl w:val="0"/>
        <w:tabs>
          <w:tab w:val="clear" w:pos="567"/>
          <w:tab w:val="clear" w:pos="1134"/>
          <w:tab w:val="clear" w:pos="1701"/>
          <w:tab w:val="clear" w:pos="2268"/>
        </w:tabs>
        <w:spacing w:before="123"/>
        <w:jc w:val="left"/>
        <w:rPr>
          <w:rFonts w:asciiTheme="majorBidi" w:eastAsia="Arial" w:hAnsiTheme="majorBidi" w:cstheme="majorBidi"/>
          <w:sz w:val="14"/>
          <w:szCs w:val="14"/>
          <w:lang w:val="en-US"/>
        </w:rPr>
      </w:pPr>
    </w:p>
    <w:p w14:paraId="7578EABF" w14:textId="77777777" w:rsidR="005F0A67" w:rsidRPr="005F0A67" w:rsidRDefault="005F0A67" w:rsidP="005F0A67">
      <w:pPr>
        <w:widowControl w:val="0"/>
        <w:tabs>
          <w:tab w:val="clear" w:pos="567"/>
          <w:tab w:val="clear" w:pos="1134"/>
          <w:tab w:val="clear" w:pos="1701"/>
          <w:tab w:val="clear" w:pos="2268"/>
        </w:tabs>
        <w:spacing w:line="600" w:lineRule="auto"/>
        <w:ind w:left="725" w:right="7228"/>
        <w:jc w:val="left"/>
        <w:rPr>
          <w:rFonts w:asciiTheme="majorBidi" w:eastAsia="Arial" w:hAnsiTheme="majorBidi" w:cstheme="majorBidi"/>
          <w:color w:val="242424"/>
          <w:sz w:val="14"/>
          <w:szCs w:val="14"/>
          <w:lang w:val="en-US"/>
        </w:rPr>
      </w:pPr>
      <w:r w:rsidRPr="005F0A67">
        <w:rPr>
          <w:rFonts w:asciiTheme="majorBidi" w:eastAsia="Arial" w:hAnsiTheme="majorBidi" w:cstheme="majorBidi"/>
          <w:noProof/>
          <w:position w:val="-4"/>
          <w:sz w:val="14"/>
          <w:szCs w:val="14"/>
          <w:lang w:val="en-US"/>
        </w:rPr>
        <w:drawing>
          <wp:inline distT="0" distB="0" distL="0" distR="0" wp14:anchorId="14FD5E18" wp14:editId="570F73FE">
            <wp:extent cx="127000" cy="127000"/>
            <wp:effectExtent l="0" t="0" r="0" b="0"/>
            <wp:docPr id="900554964"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37" cstate="print"/>
                    <a:stretch>
                      <a:fillRect/>
                    </a:stretch>
                  </pic:blipFill>
                  <pic:spPr>
                    <a:xfrm>
                      <a:off x="0" y="0"/>
                      <a:ext cx="127000" cy="127000"/>
                    </a:xfrm>
                    <a:prstGeom prst="rect">
                      <a:avLst/>
                    </a:prstGeom>
                  </pic:spPr>
                </pic:pic>
              </a:graphicData>
            </a:graphic>
          </wp:inline>
        </w:drawing>
      </w:r>
      <w:r w:rsidRPr="005F0A67">
        <w:rPr>
          <w:rFonts w:asciiTheme="majorBidi" w:eastAsia="Arial" w:hAnsiTheme="majorBidi" w:cstheme="majorBidi"/>
          <w:spacing w:val="41"/>
          <w:sz w:val="20"/>
          <w:szCs w:val="20"/>
          <w:lang w:val="en-US"/>
        </w:rPr>
        <w:t xml:space="preserve"> </w:t>
      </w:r>
      <w:r w:rsidRPr="005F0A67">
        <w:rPr>
          <w:rFonts w:asciiTheme="majorBidi" w:eastAsia="Arial" w:hAnsiTheme="majorBidi" w:cstheme="majorBidi"/>
          <w:color w:val="242424"/>
          <w:spacing w:val="-2"/>
          <w:sz w:val="14"/>
          <w:szCs w:val="14"/>
          <w:lang w:val="en-US"/>
        </w:rPr>
        <w:t>Yes</w:t>
      </w:r>
      <w:r w:rsidRPr="005F0A67">
        <w:rPr>
          <w:rFonts w:asciiTheme="majorBidi" w:eastAsia="Arial" w:hAnsiTheme="majorBidi" w:cstheme="majorBidi"/>
          <w:color w:val="242424"/>
          <w:spacing w:val="40"/>
          <w:sz w:val="14"/>
          <w:szCs w:val="14"/>
          <w:lang w:val="en-US"/>
        </w:rPr>
        <w:t xml:space="preserve"> </w:t>
      </w:r>
      <w:r w:rsidRPr="005F0A67">
        <w:rPr>
          <w:rFonts w:asciiTheme="majorBidi" w:eastAsia="Arial" w:hAnsiTheme="majorBidi" w:cstheme="majorBidi"/>
          <w:noProof/>
          <w:color w:val="242424"/>
          <w:position w:val="-4"/>
          <w:sz w:val="14"/>
          <w:szCs w:val="14"/>
          <w:lang w:val="en-US"/>
        </w:rPr>
        <w:drawing>
          <wp:inline distT="0" distB="0" distL="0" distR="0" wp14:anchorId="06E1B6BC" wp14:editId="1C2C0D83">
            <wp:extent cx="127000" cy="127000"/>
            <wp:effectExtent l="0" t="0" r="0" b="0"/>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38" cstate="print"/>
                    <a:stretch>
                      <a:fillRect/>
                    </a:stretch>
                  </pic:blipFill>
                  <pic:spPr>
                    <a:xfrm>
                      <a:off x="0" y="0"/>
                      <a:ext cx="127000" cy="127000"/>
                    </a:xfrm>
                    <a:prstGeom prst="rect">
                      <a:avLst/>
                    </a:prstGeom>
                  </pic:spPr>
                </pic:pic>
              </a:graphicData>
            </a:graphic>
          </wp:inline>
        </w:drawing>
      </w:r>
      <w:r w:rsidRPr="005F0A67">
        <w:rPr>
          <w:rFonts w:asciiTheme="majorBidi" w:eastAsia="Arial" w:hAnsiTheme="majorBidi" w:cstheme="majorBidi"/>
          <w:color w:val="242424"/>
          <w:spacing w:val="80"/>
          <w:sz w:val="14"/>
          <w:szCs w:val="14"/>
          <w:lang w:val="en-US"/>
        </w:rPr>
        <w:t xml:space="preserve"> </w:t>
      </w:r>
      <w:r w:rsidRPr="005F0A67">
        <w:rPr>
          <w:rFonts w:asciiTheme="majorBidi" w:eastAsia="Arial" w:hAnsiTheme="majorBidi" w:cstheme="majorBidi"/>
          <w:color w:val="242424"/>
          <w:sz w:val="14"/>
          <w:szCs w:val="14"/>
          <w:lang w:val="en-US"/>
        </w:rPr>
        <w:t>No</w:t>
      </w:r>
    </w:p>
    <w:p w14:paraId="3AD28B1C" w14:textId="77777777" w:rsidR="005F0A67" w:rsidRPr="005F0A67" w:rsidRDefault="005F0A67" w:rsidP="005F0A67">
      <w:pPr>
        <w:pBdr>
          <w:bottom w:val="single" w:sz="2" w:space="6" w:color="D9D9D9"/>
        </w:pBdr>
        <w:tabs>
          <w:tab w:val="clear" w:pos="567"/>
          <w:tab w:val="clear" w:pos="1134"/>
          <w:tab w:val="clear" w:pos="1701"/>
          <w:tab w:val="clear" w:pos="2268"/>
        </w:tabs>
        <w:spacing w:before="400" w:after="60"/>
        <w:ind w:left="432" w:hanging="432"/>
        <w:jc w:val="left"/>
        <w:outlineLvl w:val="0"/>
        <w:rPr>
          <w:rFonts w:asciiTheme="majorBidi" w:eastAsia="Arial" w:hAnsiTheme="majorBidi" w:cstheme="majorBidi"/>
          <w:b/>
          <w:bCs/>
          <w:color w:val="242424"/>
          <w:sz w:val="28"/>
          <w:szCs w:val="28"/>
          <w:lang w:val="en-CA" w:eastAsia="en-GB"/>
        </w:rPr>
      </w:pPr>
      <w:bookmarkStart w:id="277" w:name="_Toc234579631"/>
      <w:r w:rsidRPr="005F0A67">
        <w:rPr>
          <w:rFonts w:asciiTheme="majorBidi" w:eastAsia="Arial" w:hAnsiTheme="majorBidi" w:cstheme="majorBidi"/>
          <w:b/>
          <w:bCs/>
          <w:color w:val="242424"/>
          <w:sz w:val="28"/>
          <w:szCs w:val="28"/>
          <w:lang w:val="en-CA" w:eastAsia="en-GB"/>
        </w:rPr>
        <w:t xml:space="preserve">Basic </w:t>
      </w:r>
      <w:r w:rsidRPr="005F0A67">
        <w:rPr>
          <w:rFonts w:asciiTheme="majorBidi" w:eastAsia="Arial" w:hAnsiTheme="majorBidi" w:cstheme="majorBidi"/>
          <w:b/>
          <w:bCs/>
          <w:color w:val="1A1A1A"/>
          <w:sz w:val="28"/>
          <w:szCs w:val="28"/>
          <w:lang w:val="en-CA" w:eastAsia="en-GB"/>
        </w:rPr>
        <w:t>Information</w:t>
      </w:r>
      <w:bookmarkEnd w:id="277"/>
    </w:p>
    <w:p w14:paraId="3A2F9667" w14:textId="77777777" w:rsidR="005F0A67" w:rsidRPr="005F0A67" w:rsidRDefault="005F0A67" w:rsidP="005F0A67">
      <w:pPr>
        <w:widowControl w:val="0"/>
        <w:tabs>
          <w:tab w:val="clear" w:pos="567"/>
          <w:tab w:val="clear" w:pos="1134"/>
          <w:tab w:val="clear" w:pos="1701"/>
          <w:tab w:val="clear" w:pos="2268"/>
        </w:tabs>
        <w:spacing w:before="135" w:line="297" w:lineRule="auto"/>
        <w:ind w:left="515" w:right="663"/>
        <w:jc w:val="left"/>
        <w:rPr>
          <w:rFonts w:asciiTheme="majorBidi" w:eastAsia="Arial" w:hAnsiTheme="majorBidi" w:cstheme="majorBidi"/>
          <w:sz w:val="14"/>
          <w:szCs w:val="14"/>
          <w:lang w:val="en-US"/>
        </w:rPr>
      </w:pPr>
      <w:r w:rsidRPr="005F0A67">
        <w:rPr>
          <w:rFonts w:asciiTheme="majorBidi" w:eastAsia="Arial" w:hAnsiTheme="majorBidi" w:cstheme="majorBidi"/>
          <w:color w:val="242424"/>
          <w:spacing w:val="-2"/>
          <w:sz w:val="14"/>
          <w:szCs w:val="14"/>
          <w:lang w:val="en-US"/>
        </w:rPr>
        <w:t>This</w:t>
      </w:r>
      <w:r w:rsidRPr="005F0A67">
        <w:rPr>
          <w:rFonts w:asciiTheme="majorBidi" w:eastAsia="Arial" w:hAnsiTheme="majorBidi" w:cstheme="majorBidi"/>
          <w:color w:val="242424"/>
          <w:spacing w:val="-8"/>
          <w:sz w:val="14"/>
          <w:szCs w:val="14"/>
          <w:lang w:val="en-US"/>
        </w:rPr>
        <w:t xml:space="preserve"> </w:t>
      </w:r>
      <w:r w:rsidRPr="005F0A67">
        <w:rPr>
          <w:rFonts w:asciiTheme="majorBidi" w:eastAsia="Arial" w:hAnsiTheme="majorBidi" w:cstheme="majorBidi"/>
          <w:color w:val="242424"/>
          <w:spacing w:val="-2"/>
          <w:sz w:val="14"/>
          <w:szCs w:val="14"/>
          <w:lang w:val="en-US"/>
        </w:rPr>
        <w:t>section</w:t>
      </w:r>
      <w:r w:rsidRPr="005F0A67">
        <w:rPr>
          <w:rFonts w:asciiTheme="majorBidi" w:eastAsia="Arial" w:hAnsiTheme="majorBidi" w:cstheme="majorBidi"/>
          <w:color w:val="242424"/>
          <w:spacing w:val="-8"/>
          <w:sz w:val="14"/>
          <w:szCs w:val="14"/>
          <w:lang w:val="en-US"/>
        </w:rPr>
        <w:t xml:space="preserve"> </w:t>
      </w:r>
      <w:r w:rsidRPr="005F0A67">
        <w:rPr>
          <w:rFonts w:asciiTheme="majorBidi" w:eastAsia="Arial" w:hAnsiTheme="majorBidi" w:cstheme="majorBidi"/>
          <w:color w:val="242424"/>
          <w:spacing w:val="-2"/>
          <w:sz w:val="14"/>
          <w:szCs w:val="14"/>
          <w:lang w:val="en-US"/>
        </w:rPr>
        <w:t>collects</w:t>
      </w:r>
      <w:r w:rsidRPr="005F0A67">
        <w:rPr>
          <w:rFonts w:asciiTheme="majorBidi" w:eastAsia="Arial" w:hAnsiTheme="majorBidi" w:cstheme="majorBidi"/>
          <w:color w:val="242424"/>
          <w:spacing w:val="-8"/>
          <w:sz w:val="14"/>
          <w:szCs w:val="14"/>
          <w:lang w:val="en-US"/>
        </w:rPr>
        <w:t xml:space="preserve"> </w:t>
      </w:r>
      <w:r w:rsidRPr="005F0A67">
        <w:rPr>
          <w:rFonts w:asciiTheme="majorBidi" w:eastAsia="Arial" w:hAnsiTheme="majorBidi" w:cstheme="majorBidi"/>
          <w:color w:val="242424"/>
          <w:spacing w:val="-2"/>
          <w:sz w:val="14"/>
          <w:szCs w:val="14"/>
          <w:lang w:val="en-US"/>
        </w:rPr>
        <w:t>essential</w:t>
      </w:r>
      <w:r w:rsidRPr="005F0A67">
        <w:rPr>
          <w:rFonts w:asciiTheme="majorBidi" w:eastAsia="Arial" w:hAnsiTheme="majorBidi" w:cstheme="majorBidi"/>
          <w:color w:val="242424"/>
          <w:spacing w:val="-7"/>
          <w:sz w:val="14"/>
          <w:szCs w:val="14"/>
          <w:lang w:val="en-US"/>
        </w:rPr>
        <w:t xml:space="preserve"> </w:t>
      </w:r>
      <w:r w:rsidRPr="005F0A67">
        <w:rPr>
          <w:rFonts w:asciiTheme="majorBidi" w:eastAsia="Arial" w:hAnsiTheme="majorBidi" w:cstheme="majorBidi"/>
          <w:color w:val="242424"/>
          <w:spacing w:val="-2"/>
          <w:sz w:val="14"/>
          <w:szCs w:val="14"/>
          <w:lang w:val="en-US"/>
        </w:rPr>
        <w:t>details</w:t>
      </w:r>
      <w:r w:rsidRPr="005F0A67">
        <w:rPr>
          <w:rFonts w:asciiTheme="majorBidi" w:eastAsia="Arial" w:hAnsiTheme="majorBidi" w:cstheme="majorBidi"/>
          <w:color w:val="242424"/>
          <w:spacing w:val="-8"/>
          <w:sz w:val="14"/>
          <w:szCs w:val="14"/>
          <w:lang w:val="en-US"/>
        </w:rPr>
        <w:t xml:space="preserve"> </w:t>
      </w:r>
      <w:r w:rsidRPr="005F0A67">
        <w:rPr>
          <w:rFonts w:asciiTheme="majorBidi" w:eastAsia="Arial" w:hAnsiTheme="majorBidi" w:cstheme="majorBidi"/>
          <w:color w:val="242424"/>
          <w:spacing w:val="-2"/>
          <w:sz w:val="14"/>
          <w:szCs w:val="14"/>
          <w:lang w:val="en-US"/>
        </w:rPr>
        <w:t>about</w:t>
      </w:r>
      <w:r w:rsidRPr="005F0A67">
        <w:rPr>
          <w:rFonts w:asciiTheme="majorBidi" w:eastAsia="Arial" w:hAnsiTheme="majorBidi" w:cstheme="majorBidi"/>
          <w:color w:val="242424"/>
          <w:spacing w:val="-8"/>
          <w:sz w:val="14"/>
          <w:szCs w:val="14"/>
          <w:lang w:val="en-US"/>
        </w:rPr>
        <w:t xml:space="preserve"> </w:t>
      </w:r>
      <w:r w:rsidRPr="005F0A67">
        <w:rPr>
          <w:rFonts w:asciiTheme="majorBidi" w:eastAsia="Arial" w:hAnsiTheme="majorBidi" w:cstheme="majorBidi"/>
          <w:color w:val="242424"/>
          <w:spacing w:val="-2"/>
          <w:sz w:val="14"/>
          <w:szCs w:val="14"/>
          <w:lang w:val="en-US"/>
        </w:rPr>
        <w:t>your</w:t>
      </w:r>
      <w:r w:rsidRPr="005F0A67">
        <w:rPr>
          <w:rFonts w:asciiTheme="majorBidi" w:eastAsia="Arial" w:hAnsiTheme="majorBidi" w:cstheme="majorBidi"/>
          <w:color w:val="242424"/>
          <w:spacing w:val="-8"/>
          <w:sz w:val="14"/>
          <w:szCs w:val="14"/>
          <w:lang w:val="en-US"/>
        </w:rPr>
        <w:t xml:space="preserve"> </w:t>
      </w:r>
      <w:r w:rsidRPr="005F0A67">
        <w:rPr>
          <w:rFonts w:asciiTheme="majorBidi" w:eastAsia="Arial" w:hAnsiTheme="majorBidi" w:cstheme="majorBidi"/>
          <w:color w:val="242424"/>
          <w:spacing w:val="-2"/>
          <w:sz w:val="14"/>
          <w:szCs w:val="14"/>
          <w:lang w:val="en-US"/>
        </w:rPr>
        <w:t>organization</w:t>
      </w:r>
      <w:r w:rsidRPr="005F0A67">
        <w:rPr>
          <w:rFonts w:asciiTheme="majorBidi" w:eastAsia="Arial" w:hAnsiTheme="majorBidi" w:cstheme="majorBidi"/>
          <w:color w:val="242424"/>
          <w:spacing w:val="-7"/>
          <w:sz w:val="14"/>
          <w:szCs w:val="14"/>
          <w:lang w:val="en-US"/>
        </w:rPr>
        <w:t xml:space="preserve"> </w:t>
      </w:r>
      <w:r w:rsidRPr="005F0A67">
        <w:rPr>
          <w:rFonts w:asciiTheme="majorBidi" w:eastAsia="Arial" w:hAnsiTheme="majorBidi" w:cstheme="majorBidi"/>
          <w:color w:val="242424"/>
          <w:spacing w:val="-2"/>
          <w:sz w:val="14"/>
          <w:szCs w:val="14"/>
          <w:lang w:val="en-US"/>
        </w:rPr>
        <w:t>to</w:t>
      </w:r>
      <w:r w:rsidRPr="005F0A67">
        <w:rPr>
          <w:rFonts w:asciiTheme="majorBidi" w:eastAsia="Arial" w:hAnsiTheme="majorBidi" w:cstheme="majorBidi"/>
          <w:color w:val="242424"/>
          <w:spacing w:val="-8"/>
          <w:sz w:val="14"/>
          <w:szCs w:val="14"/>
          <w:lang w:val="en-US"/>
        </w:rPr>
        <w:t xml:space="preserve"> </w:t>
      </w:r>
      <w:r w:rsidRPr="005F0A67">
        <w:rPr>
          <w:rFonts w:asciiTheme="majorBidi" w:eastAsia="Arial" w:hAnsiTheme="majorBidi" w:cstheme="majorBidi"/>
          <w:color w:val="242424"/>
          <w:spacing w:val="-2"/>
          <w:sz w:val="14"/>
          <w:szCs w:val="14"/>
          <w:lang w:val="en-US"/>
        </w:rPr>
        <w:t>help</w:t>
      </w:r>
      <w:r w:rsidRPr="005F0A67">
        <w:rPr>
          <w:rFonts w:asciiTheme="majorBidi" w:eastAsia="Arial" w:hAnsiTheme="majorBidi" w:cstheme="majorBidi"/>
          <w:color w:val="242424"/>
          <w:spacing w:val="-8"/>
          <w:sz w:val="14"/>
          <w:szCs w:val="14"/>
          <w:lang w:val="en-US"/>
        </w:rPr>
        <w:t xml:space="preserve"> </w:t>
      </w:r>
      <w:r w:rsidRPr="005F0A67">
        <w:rPr>
          <w:rFonts w:asciiTheme="majorBidi" w:eastAsia="Arial" w:hAnsiTheme="majorBidi" w:cstheme="majorBidi"/>
          <w:color w:val="242424"/>
          <w:spacing w:val="-2"/>
          <w:sz w:val="14"/>
          <w:szCs w:val="14"/>
          <w:lang w:val="en-US"/>
        </w:rPr>
        <w:t>us</w:t>
      </w:r>
      <w:r w:rsidRPr="005F0A67">
        <w:rPr>
          <w:rFonts w:asciiTheme="majorBidi" w:eastAsia="Arial" w:hAnsiTheme="majorBidi" w:cstheme="majorBidi"/>
          <w:color w:val="242424"/>
          <w:spacing w:val="-7"/>
          <w:sz w:val="14"/>
          <w:szCs w:val="14"/>
          <w:lang w:val="en-US"/>
        </w:rPr>
        <w:t xml:space="preserve"> </w:t>
      </w:r>
      <w:r w:rsidRPr="005F0A67">
        <w:rPr>
          <w:rFonts w:asciiTheme="majorBidi" w:eastAsia="Arial" w:hAnsiTheme="majorBidi" w:cstheme="majorBidi"/>
          <w:color w:val="242424"/>
          <w:spacing w:val="-2"/>
          <w:sz w:val="14"/>
          <w:szCs w:val="14"/>
          <w:lang w:val="en-US"/>
        </w:rPr>
        <w:t>understand</w:t>
      </w:r>
      <w:r w:rsidRPr="005F0A67">
        <w:rPr>
          <w:rFonts w:asciiTheme="majorBidi" w:eastAsia="Arial" w:hAnsiTheme="majorBidi" w:cstheme="majorBidi"/>
          <w:color w:val="242424"/>
          <w:spacing w:val="-8"/>
          <w:sz w:val="14"/>
          <w:szCs w:val="14"/>
          <w:lang w:val="en-US"/>
        </w:rPr>
        <w:t xml:space="preserve"> </w:t>
      </w:r>
      <w:r w:rsidRPr="005F0A67">
        <w:rPr>
          <w:rFonts w:asciiTheme="majorBidi" w:eastAsia="Arial" w:hAnsiTheme="majorBidi" w:cstheme="majorBidi"/>
          <w:color w:val="242424"/>
          <w:spacing w:val="-2"/>
          <w:sz w:val="14"/>
          <w:szCs w:val="14"/>
          <w:lang w:val="en-US"/>
        </w:rPr>
        <w:t>how</w:t>
      </w:r>
      <w:r w:rsidRPr="005F0A67">
        <w:rPr>
          <w:rFonts w:asciiTheme="majorBidi" w:eastAsia="Arial" w:hAnsiTheme="majorBidi" w:cstheme="majorBidi"/>
          <w:color w:val="242424"/>
          <w:spacing w:val="-8"/>
          <w:sz w:val="14"/>
          <w:szCs w:val="14"/>
          <w:lang w:val="en-US"/>
        </w:rPr>
        <w:t xml:space="preserve"> </w:t>
      </w:r>
      <w:r w:rsidRPr="005F0A67">
        <w:rPr>
          <w:rFonts w:asciiTheme="majorBidi" w:eastAsia="Arial" w:hAnsiTheme="majorBidi" w:cstheme="majorBidi"/>
          <w:color w:val="242424"/>
          <w:spacing w:val="-2"/>
          <w:sz w:val="14"/>
          <w:szCs w:val="14"/>
          <w:lang w:val="en-US"/>
        </w:rPr>
        <w:t>corporate</w:t>
      </w:r>
      <w:r w:rsidRPr="005F0A67">
        <w:rPr>
          <w:rFonts w:asciiTheme="majorBidi" w:eastAsia="Arial" w:hAnsiTheme="majorBidi" w:cstheme="majorBidi"/>
          <w:color w:val="242424"/>
          <w:spacing w:val="-8"/>
          <w:sz w:val="14"/>
          <w:szCs w:val="14"/>
          <w:lang w:val="en-US"/>
        </w:rPr>
        <w:t xml:space="preserve"> </w:t>
      </w:r>
      <w:r w:rsidRPr="005F0A67">
        <w:rPr>
          <w:rFonts w:asciiTheme="majorBidi" w:eastAsia="Arial" w:hAnsiTheme="majorBidi" w:cstheme="majorBidi"/>
          <w:color w:val="242424"/>
          <w:spacing w:val="-2"/>
          <w:sz w:val="14"/>
          <w:szCs w:val="14"/>
          <w:lang w:val="en-US"/>
        </w:rPr>
        <w:t>structure</w:t>
      </w:r>
      <w:r w:rsidRPr="005F0A67">
        <w:rPr>
          <w:rFonts w:asciiTheme="majorBidi" w:eastAsia="Arial" w:hAnsiTheme="majorBidi" w:cstheme="majorBidi"/>
          <w:color w:val="242424"/>
          <w:spacing w:val="-7"/>
          <w:sz w:val="14"/>
          <w:szCs w:val="14"/>
          <w:lang w:val="en-US"/>
        </w:rPr>
        <w:t xml:space="preserve"> </w:t>
      </w:r>
      <w:r w:rsidRPr="005F0A67">
        <w:rPr>
          <w:rFonts w:asciiTheme="majorBidi" w:eastAsia="Arial" w:hAnsiTheme="majorBidi" w:cstheme="majorBidi"/>
          <w:color w:val="242424"/>
          <w:spacing w:val="-2"/>
          <w:sz w:val="14"/>
          <w:szCs w:val="14"/>
          <w:lang w:val="en-US"/>
        </w:rPr>
        <w:t>may</w:t>
      </w:r>
      <w:r w:rsidRPr="005F0A67">
        <w:rPr>
          <w:rFonts w:asciiTheme="majorBidi" w:eastAsia="Arial" w:hAnsiTheme="majorBidi" w:cstheme="majorBidi"/>
          <w:color w:val="242424"/>
          <w:spacing w:val="-8"/>
          <w:sz w:val="14"/>
          <w:szCs w:val="14"/>
          <w:lang w:val="en-US"/>
        </w:rPr>
        <w:t xml:space="preserve"> </w:t>
      </w:r>
      <w:r w:rsidRPr="005F0A67">
        <w:rPr>
          <w:rFonts w:asciiTheme="majorBidi" w:eastAsia="Arial" w:hAnsiTheme="majorBidi" w:cstheme="majorBidi"/>
          <w:color w:val="242424"/>
          <w:spacing w:val="-2"/>
          <w:sz w:val="14"/>
          <w:szCs w:val="14"/>
          <w:lang w:val="en-US"/>
        </w:rPr>
        <w:t>affect</w:t>
      </w:r>
      <w:r w:rsidRPr="005F0A67">
        <w:rPr>
          <w:rFonts w:asciiTheme="majorBidi" w:eastAsia="Arial" w:hAnsiTheme="majorBidi" w:cstheme="majorBidi"/>
          <w:color w:val="242424"/>
          <w:spacing w:val="-8"/>
          <w:sz w:val="14"/>
          <w:szCs w:val="14"/>
          <w:lang w:val="en-US"/>
        </w:rPr>
        <w:t xml:space="preserve"> </w:t>
      </w:r>
      <w:r w:rsidRPr="005F0A67">
        <w:rPr>
          <w:rFonts w:asciiTheme="majorBidi" w:eastAsia="Arial" w:hAnsiTheme="majorBidi" w:cstheme="majorBidi"/>
          <w:color w:val="242424"/>
          <w:spacing w:val="-2"/>
          <w:sz w:val="14"/>
          <w:szCs w:val="14"/>
          <w:lang w:val="en-US"/>
        </w:rPr>
        <w:t>Cali</w:t>
      </w:r>
      <w:r w:rsidRPr="005F0A67">
        <w:rPr>
          <w:rFonts w:asciiTheme="majorBidi" w:eastAsia="Arial" w:hAnsiTheme="majorBidi" w:cstheme="majorBidi"/>
          <w:color w:val="242424"/>
          <w:spacing w:val="40"/>
          <w:sz w:val="14"/>
          <w:szCs w:val="14"/>
          <w:lang w:val="en-US"/>
        </w:rPr>
        <w:t xml:space="preserve"> </w:t>
      </w:r>
      <w:r w:rsidRPr="005F0A67">
        <w:rPr>
          <w:rFonts w:asciiTheme="majorBidi" w:eastAsia="Arial" w:hAnsiTheme="majorBidi" w:cstheme="majorBidi"/>
          <w:color w:val="242424"/>
          <w:sz w:val="14"/>
          <w:szCs w:val="14"/>
          <w:lang w:val="en-US"/>
        </w:rPr>
        <w:t>Fund</w:t>
      </w:r>
      <w:r w:rsidRPr="005F0A67">
        <w:rPr>
          <w:rFonts w:asciiTheme="majorBidi" w:eastAsia="Arial" w:hAnsiTheme="majorBidi" w:cstheme="majorBidi"/>
          <w:color w:val="242424"/>
          <w:spacing w:val="-10"/>
          <w:sz w:val="14"/>
          <w:szCs w:val="14"/>
          <w:lang w:val="en-US"/>
        </w:rPr>
        <w:t xml:space="preserve"> </w:t>
      </w:r>
      <w:r w:rsidRPr="005F0A67">
        <w:rPr>
          <w:rFonts w:asciiTheme="majorBidi" w:eastAsia="Arial" w:hAnsiTheme="majorBidi" w:cstheme="majorBidi"/>
          <w:color w:val="242424"/>
          <w:sz w:val="14"/>
          <w:szCs w:val="14"/>
          <w:lang w:val="en-US"/>
        </w:rPr>
        <w:t>obligations.</w:t>
      </w:r>
    </w:p>
    <w:p w14:paraId="4EA9B01B" w14:textId="77777777" w:rsidR="005F0A67" w:rsidRPr="005F0A67" w:rsidRDefault="005F0A67" w:rsidP="005F0A67">
      <w:pPr>
        <w:widowControl w:val="0"/>
        <w:tabs>
          <w:tab w:val="clear" w:pos="567"/>
          <w:tab w:val="clear" w:pos="1134"/>
          <w:tab w:val="clear" w:pos="1701"/>
          <w:tab w:val="clear" w:pos="2268"/>
        </w:tabs>
        <w:spacing w:before="135" w:line="297" w:lineRule="auto"/>
        <w:ind w:left="515" w:right="663"/>
        <w:jc w:val="left"/>
        <w:rPr>
          <w:rFonts w:asciiTheme="majorBidi" w:eastAsia="Arial" w:hAnsiTheme="majorBidi" w:cstheme="majorBidi"/>
          <w:sz w:val="14"/>
          <w:szCs w:val="14"/>
          <w:lang w:val="en-US"/>
        </w:rPr>
      </w:pPr>
    </w:p>
    <w:p w14:paraId="5ED5C89C" w14:textId="77777777" w:rsidR="005F0A67" w:rsidRPr="005F0A67" w:rsidRDefault="005F0A67" w:rsidP="003A387A">
      <w:pPr>
        <w:widowControl w:val="0"/>
        <w:numPr>
          <w:ilvl w:val="0"/>
          <w:numId w:val="44"/>
        </w:numPr>
        <w:tabs>
          <w:tab w:val="clear" w:pos="567"/>
          <w:tab w:val="clear" w:pos="1134"/>
          <w:tab w:val="clear" w:pos="1701"/>
          <w:tab w:val="clear" w:pos="2268"/>
          <w:tab w:val="left" w:pos="703"/>
        </w:tabs>
        <w:autoSpaceDE w:val="0"/>
        <w:autoSpaceDN w:val="0"/>
        <w:ind w:left="703" w:hanging="187"/>
        <w:jc w:val="left"/>
        <w:rPr>
          <w:rFonts w:asciiTheme="majorBidi" w:eastAsia="Georgia" w:hAnsiTheme="majorBidi" w:cstheme="majorBidi"/>
          <w:b/>
          <w:bCs/>
          <w:color w:val="1A1A1A"/>
          <w:sz w:val="17"/>
          <w:szCs w:val="17"/>
          <w:lang w:eastAsia="en-GB"/>
        </w:rPr>
      </w:pPr>
      <w:r w:rsidRPr="005F0A67">
        <w:rPr>
          <w:rFonts w:asciiTheme="majorBidi" w:eastAsia="Georgia" w:hAnsiTheme="majorBidi" w:cstheme="majorBidi"/>
          <w:color w:val="242424"/>
          <w:sz w:val="17"/>
          <w:szCs w:val="17"/>
          <w:lang w:eastAsia="en-GB"/>
        </w:rPr>
        <w:t>Please</w:t>
      </w:r>
      <w:r w:rsidRPr="005F0A67">
        <w:rPr>
          <w:rFonts w:asciiTheme="majorBidi" w:eastAsia="Georgia" w:hAnsiTheme="majorBidi" w:cstheme="majorBidi"/>
          <w:color w:val="242424"/>
          <w:spacing w:val="-10"/>
          <w:sz w:val="17"/>
          <w:szCs w:val="17"/>
          <w:lang w:eastAsia="en-GB"/>
        </w:rPr>
        <w:t xml:space="preserve"> </w:t>
      </w:r>
      <w:r w:rsidRPr="005F0A67">
        <w:rPr>
          <w:rFonts w:asciiTheme="majorBidi" w:eastAsia="Georgia" w:hAnsiTheme="majorBidi" w:cstheme="majorBidi"/>
          <w:color w:val="242424"/>
          <w:sz w:val="17"/>
          <w:szCs w:val="17"/>
          <w:lang w:eastAsia="en-GB"/>
        </w:rPr>
        <w:t>provide</w:t>
      </w:r>
      <w:r w:rsidRPr="005F0A67">
        <w:rPr>
          <w:rFonts w:asciiTheme="majorBidi" w:eastAsia="Georgia" w:hAnsiTheme="majorBidi" w:cstheme="majorBidi"/>
          <w:color w:val="242424"/>
          <w:spacing w:val="-9"/>
          <w:sz w:val="17"/>
          <w:szCs w:val="17"/>
          <w:lang w:eastAsia="en-GB"/>
        </w:rPr>
        <w:t xml:space="preserve"> </w:t>
      </w:r>
      <w:r w:rsidRPr="005F0A67">
        <w:rPr>
          <w:rFonts w:asciiTheme="majorBidi" w:eastAsia="Georgia" w:hAnsiTheme="majorBidi" w:cstheme="majorBidi"/>
          <w:color w:val="242424"/>
          <w:sz w:val="17"/>
          <w:szCs w:val="17"/>
          <w:lang w:eastAsia="en-GB"/>
        </w:rPr>
        <w:t>your</w:t>
      </w:r>
      <w:r w:rsidRPr="005F0A67">
        <w:rPr>
          <w:rFonts w:asciiTheme="majorBidi" w:eastAsia="Georgia" w:hAnsiTheme="majorBidi" w:cstheme="majorBidi"/>
          <w:color w:val="242424"/>
          <w:spacing w:val="-9"/>
          <w:sz w:val="17"/>
          <w:szCs w:val="17"/>
          <w:lang w:eastAsia="en-GB"/>
        </w:rPr>
        <w:t xml:space="preserve"> </w:t>
      </w:r>
      <w:r w:rsidRPr="005F0A67">
        <w:rPr>
          <w:rFonts w:asciiTheme="majorBidi" w:eastAsia="Georgia" w:hAnsiTheme="majorBidi" w:cstheme="majorBidi"/>
          <w:b/>
          <w:bCs/>
          <w:color w:val="242424"/>
          <w:sz w:val="17"/>
          <w:szCs w:val="17"/>
          <w:lang w:eastAsia="en-GB"/>
        </w:rPr>
        <w:t>full</w:t>
      </w:r>
      <w:r w:rsidRPr="005F0A67">
        <w:rPr>
          <w:rFonts w:asciiTheme="majorBidi" w:eastAsia="Georgia" w:hAnsiTheme="majorBidi" w:cstheme="majorBidi"/>
          <w:b/>
          <w:bCs/>
          <w:color w:val="242424"/>
          <w:spacing w:val="-9"/>
          <w:sz w:val="17"/>
          <w:szCs w:val="17"/>
          <w:lang w:eastAsia="en-GB"/>
        </w:rPr>
        <w:t xml:space="preserve"> </w:t>
      </w:r>
      <w:r w:rsidRPr="005F0A67">
        <w:rPr>
          <w:rFonts w:asciiTheme="majorBidi" w:eastAsia="Georgia" w:hAnsiTheme="majorBidi" w:cstheme="majorBidi"/>
          <w:b/>
          <w:bCs/>
          <w:color w:val="242424"/>
          <w:spacing w:val="-4"/>
          <w:sz w:val="17"/>
          <w:szCs w:val="17"/>
          <w:lang w:eastAsia="en-GB"/>
        </w:rPr>
        <w:t>name</w:t>
      </w:r>
    </w:p>
    <w:p w14:paraId="4A7DE97B" w14:textId="77777777" w:rsidR="005F0A67" w:rsidRPr="005F0A67" w:rsidRDefault="005F0A67" w:rsidP="005F0A67">
      <w:pPr>
        <w:widowControl w:val="0"/>
        <w:tabs>
          <w:tab w:val="clear" w:pos="567"/>
          <w:tab w:val="clear" w:pos="1134"/>
          <w:tab w:val="clear" w:pos="1701"/>
          <w:tab w:val="clear" w:pos="2268"/>
        </w:tabs>
        <w:spacing w:before="9"/>
        <w:jc w:val="left"/>
        <w:rPr>
          <w:rFonts w:asciiTheme="majorBidi" w:eastAsia="Arial" w:hAnsiTheme="majorBidi" w:cstheme="majorBidi"/>
          <w:b/>
          <w:bCs/>
          <w:sz w:val="17"/>
          <w:szCs w:val="17"/>
          <w:lang w:val="en-US"/>
        </w:rPr>
      </w:pPr>
      <w:r w:rsidRPr="005F0A67">
        <w:rPr>
          <w:rFonts w:asciiTheme="majorBidi" w:eastAsia="Arial" w:hAnsiTheme="majorBidi" w:cstheme="majorBidi"/>
          <w:b/>
          <w:noProof/>
          <w:sz w:val="17"/>
          <w:szCs w:val="14"/>
          <w:lang w:val="en-US"/>
        </w:rPr>
        <mc:AlternateContent>
          <mc:Choice Requires="wps">
            <w:drawing>
              <wp:anchor distT="0" distB="0" distL="0" distR="0" simplePos="0" relativeHeight="251658369" behindDoc="1" locked="0" layoutInCell="1" allowOverlap="1" wp14:anchorId="610F0B71" wp14:editId="1936D860">
                <wp:simplePos x="0" y="0"/>
                <wp:positionH relativeFrom="page">
                  <wp:posOffset>1536699</wp:posOffset>
                </wp:positionH>
                <wp:positionV relativeFrom="paragraph">
                  <wp:posOffset>145685</wp:posOffset>
                </wp:positionV>
                <wp:extent cx="4597400" cy="24765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97400" cy="247650"/>
                        </a:xfrm>
                        <a:custGeom>
                          <a:avLst/>
                          <a:gdLst/>
                          <a:ahLst/>
                          <a:cxnLst/>
                          <a:rect l="l" t="t" r="r" b="b"/>
                          <a:pathLst>
                            <a:path w="4597400" h="247650">
                              <a:moveTo>
                                <a:pt x="0" y="225425"/>
                              </a:moveTo>
                              <a:lnTo>
                                <a:pt x="0" y="22225"/>
                              </a:lnTo>
                              <a:lnTo>
                                <a:pt x="0" y="19276"/>
                              </a:lnTo>
                              <a:lnTo>
                                <a:pt x="563" y="16440"/>
                              </a:lnTo>
                              <a:lnTo>
                                <a:pt x="1691" y="13717"/>
                              </a:lnTo>
                              <a:lnTo>
                                <a:pt x="2819" y="10994"/>
                              </a:lnTo>
                              <a:lnTo>
                                <a:pt x="4425" y="8591"/>
                              </a:lnTo>
                              <a:lnTo>
                                <a:pt x="6509" y="6508"/>
                              </a:lnTo>
                              <a:lnTo>
                                <a:pt x="8593" y="4422"/>
                              </a:lnTo>
                              <a:lnTo>
                                <a:pt x="10997" y="2816"/>
                              </a:lnTo>
                              <a:lnTo>
                                <a:pt x="13719" y="1689"/>
                              </a:lnTo>
                              <a:lnTo>
                                <a:pt x="16442" y="562"/>
                              </a:lnTo>
                              <a:lnTo>
                                <a:pt x="19277" y="0"/>
                              </a:lnTo>
                              <a:lnTo>
                                <a:pt x="22225" y="0"/>
                              </a:lnTo>
                              <a:lnTo>
                                <a:pt x="4575175" y="0"/>
                              </a:lnTo>
                              <a:lnTo>
                                <a:pt x="4578121" y="0"/>
                              </a:lnTo>
                              <a:lnTo>
                                <a:pt x="4580956" y="564"/>
                              </a:lnTo>
                              <a:lnTo>
                                <a:pt x="4583679" y="1691"/>
                              </a:lnTo>
                              <a:lnTo>
                                <a:pt x="4586402" y="2818"/>
                              </a:lnTo>
                              <a:lnTo>
                                <a:pt x="4588806" y="4422"/>
                              </a:lnTo>
                              <a:lnTo>
                                <a:pt x="4590890" y="6508"/>
                              </a:lnTo>
                              <a:lnTo>
                                <a:pt x="4592974" y="8591"/>
                              </a:lnTo>
                              <a:lnTo>
                                <a:pt x="4594580" y="10994"/>
                              </a:lnTo>
                              <a:lnTo>
                                <a:pt x="4595707" y="13717"/>
                              </a:lnTo>
                              <a:lnTo>
                                <a:pt x="4596835" y="16440"/>
                              </a:lnTo>
                              <a:lnTo>
                                <a:pt x="4597399" y="19276"/>
                              </a:lnTo>
                              <a:lnTo>
                                <a:pt x="4597400" y="22225"/>
                              </a:lnTo>
                              <a:lnTo>
                                <a:pt x="4597400" y="225425"/>
                              </a:lnTo>
                              <a:lnTo>
                                <a:pt x="4575175" y="247650"/>
                              </a:lnTo>
                              <a:lnTo>
                                <a:pt x="22225" y="247650"/>
                              </a:lnTo>
                              <a:lnTo>
                                <a:pt x="0" y="228370"/>
                              </a:lnTo>
                              <a:lnTo>
                                <a:pt x="0" y="225425"/>
                              </a:lnTo>
                              <a:close/>
                            </a:path>
                          </a:pathLst>
                        </a:custGeom>
                        <a:ln w="6349">
                          <a:solidFill>
                            <a:srgbClr val="C7C7C7"/>
                          </a:solidFill>
                          <a:prstDash val="solid"/>
                        </a:ln>
                      </wps:spPr>
                      <wps:bodyPr wrap="square" lIns="0" tIns="0" rIns="0" bIns="0" rtlCol="0">
                        <a:prstTxWarp prst="textNoShape">
                          <a:avLst/>
                        </a:prstTxWarp>
                        <a:noAutofit/>
                      </wps:bodyPr>
                    </wps:wsp>
                  </a:graphicData>
                </a:graphic>
              </wp:anchor>
            </w:drawing>
          </mc:Choice>
          <mc:Fallback>
            <w:pict>
              <v:shape w14:anchorId="1E8D61A4" id="Graphic 9" o:spid="_x0000_s1026" style="position:absolute;margin-left:121pt;margin-top:11.45pt;width:362pt;height:19.5pt;z-index:-251658111;visibility:visible;mso-wrap-style:square;mso-wrap-distance-left:0;mso-wrap-distance-top:0;mso-wrap-distance-right:0;mso-wrap-distance-bottom:0;mso-position-horizontal:absolute;mso-position-horizontal-relative:page;mso-position-vertical:absolute;mso-position-vertical-relative:text;v-text-anchor:top" coordsize="4597400,247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" path="m,225425l,22225,,19276,563,16440,1691,13717,2819,10994,4425,8591,6509,6508,8593,4422,10997,2816,13719,1689,16442,562,19277,r2948,l4575175,r2946,l4580956,564r2723,1127l4586402,2818r2404,1604l4590890,6508r2084,2083l4594580,10994r1127,2723l4596835,16440r564,2836l4597400,22225r,203200l4575175,247650r-4552950,l,228370r,-2945xe" filled="f" strokecolor="#c7c7c7" strokeweight=".17636mm">
                <v:path arrowok="t"/>
                <w10:wrap type="topAndBottom" anchorx="page"/>
              </v:shape>
            </w:pict>
          </mc:Fallback>
        </mc:AlternateContent>
      </w:r>
    </w:p>
    <w:p w14:paraId="5B72E13C" w14:textId="77777777" w:rsidR="005F0A67" w:rsidRPr="005F0A67" w:rsidRDefault="005F0A67" w:rsidP="005F0A67">
      <w:pPr>
        <w:widowControl w:val="0"/>
        <w:tabs>
          <w:tab w:val="clear" w:pos="567"/>
          <w:tab w:val="clear" w:pos="1134"/>
          <w:tab w:val="clear" w:pos="1701"/>
          <w:tab w:val="clear" w:pos="2268"/>
        </w:tabs>
        <w:jc w:val="left"/>
        <w:rPr>
          <w:rFonts w:asciiTheme="majorBidi" w:eastAsia="Arial" w:hAnsiTheme="majorBidi" w:cstheme="majorBidi"/>
          <w:b/>
          <w:bCs/>
          <w:sz w:val="17"/>
          <w:szCs w:val="17"/>
          <w:lang w:val="en-US"/>
        </w:rPr>
      </w:pPr>
    </w:p>
    <w:p w14:paraId="6137948F" w14:textId="77777777" w:rsidR="005F0A67" w:rsidRPr="005F0A67" w:rsidRDefault="005F0A67" w:rsidP="005F0A67">
      <w:pPr>
        <w:widowControl w:val="0"/>
        <w:tabs>
          <w:tab w:val="clear" w:pos="567"/>
          <w:tab w:val="clear" w:pos="1134"/>
          <w:tab w:val="clear" w:pos="1701"/>
          <w:tab w:val="clear" w:pos="2268"/>
        </w:tabs>
        <w:spacing w:before="24"/>
        <w:jc w:val="left"/>
        <w:rPr>
          <w:rFonts w:asciiTheme="majorBidi" w:eastAsia="Arial" w:hAnsiTheme="majorBidi" w:cstheme="majorBidi"/>
          <w:b/>
          <w:bCs/>
          <w:sz w:val="17"/>
          <w:szCs w:val="17"/>
          <w:lang w:val="en-US"/>
        </w:rPr>
      </w:pPr>
    </w:p>
    <w:p w14:paraId="2C4B2304" w14:textId="77777777" w:rsidR="005F0A67" w:rsidRPr="005F0A67" w:rsidRDefault="005F0A67" w:rsidP="003A387A">
      <w:pPr>
        <w:widowControl w:val="0"/>
        <w:numPr>
          <w:ilvl w:val="0"/>
          <w:numId w:val="44"/>
        </w:numPr>
        <w:tabs>
          <w:tab w:val="clear" w:pos="567"/>
          <w:tab w:val="clear" w:pos="1134"/>
          <w:tab w:val="clear" w:pos="1701"/>
          <w:tab w:val="clear" w:pos="2268"/>
          <w:tab w:val="left" w:pos="703"/>
        </w:tabs>
        <w:autoSpaceDE w:val="0"/>
        <w:autoSpaceDN w:val="0"/>
        <w:ind w:left="703" w:hanging="187"/>
        <w:jc w:val="left"/>
        <w:rPr>
          <w:rFonts w:asciiTheme="majorBidi" w:eastAsia="Georgia" w:hAnsiTheme="majorBidi" w:cstheme="majorBidi"/>
          <w:b/>
          <w:bCs/>
          <w:color w:val="1A1A1A"/>
          <w:sz w:val="17"/>
          <w:szCs w:val="17"/>
          <w:lang w:eastAsia="en-GB"/>
        </w:rPr>
      </w:pPr>
      <w:r w:rsidRPr="005F0A67">
        <w:rPr>
          <w:rFonts w:asciiTheme="majorBidi" w:eastAsia="Georgia" w:hAnsiTheme="majorBidi" w:cstheme="majorBidi"/>
          <w:color w:val="242424"/>
          <w:spacing w:val="-2"/>
          <w:sz w:val="17"/>
          <w:szCs w:val="17"/>
          <w:lang w:eastAsia="en-GB"/>
        </w:rPr>
        <w:t>Please</w:t>
      </w:r>
      <w:r w:rsidRPr="005F0A67">
        <w:rPr>
          <w:rFonts w:asciiTheme="majorBidi" w:eastAsia="Georgia" w:hAnsiTheme="majorBidi" w:cstheme="majorBidi"/>
          <w:color w:val="242424"/>
          <w:spacing w:val="-4"/>
          <w:sz w:val="17"/>
          <w:szCs w:val="17"/>
          <w:lang w:eastAsia="en-GB"/>
        </w:rPr>
        <w:t xml:space="preserve"> </w:t>
      </w:r>
      <w:r w:rsidRPr="005F0A67">
        <w:rPr>
          <w:rFonts w:asciiTheme="majorBidi" w:eastAsia="Georgia" w:hAnsiTheme="majorBidi" w:cstheme="majorBidi"/>
          <w:color w:val="242424"/>
          <w:spacing w:val="-2"/>
          <w:sz w:val="17"/>
          <w:szCs w:val="17"/>
          <w:lang w:eastAsia="en-GB"/>
        </w:rPr>
        <w:t>provide</w:t>
      </w:r>
      <w:r w:rsidRPr="005F0A67">
        <w:rPr>
          <w:rFonts w:asciiTheme="majorBidi" w:eastAsia="Georgia" w:hAnsiTheme="majorBidi" w:cstheme="majorBidi"/>
          <w:color w:val="242424"/>
          <w:spacing w:val="-3"/>
          <w:sz w:val="17"/>
          <w:szCs w:val="17"/>
          <w:lang w:eastAsia="en-GB"/>
        </w:rPr>
        <w:t xml:space="preserve"> </w:t>
      </w:r>
      <w:r w:rsidRPr="005F0A67">
        <w:rPr>
          <w:rFonts w:asciiTheme="majorBidi" w:eastAsia="Georgia" w:hAnsiTheme="majorBidi" w:cstheme="majorBidi"/>
          <w:color w:val="242424"/>
          <w:spacing w:val="-2"/>
          <w:sz w:val="17"/>
          <w:szCs w:val="17"/>
          <w:lang w:eastAsia="en-GB"/>
        </w:rPr>
        <w:t>your</w:t>
      </w:r>
      <w:r w:rsidRPr="005F0A67">
        <w:rPr>
          <w:rFonts w:asciiTheme="majorBidi" w:eastAsia="Georgia" w:hAnsiTheme="majorBidi" w:cstheme="majorBidi"/>
          <w:color w:val="242424"/>
          <w:spacing w:val="-3"/>
          <w:sz w:val="17"/>
          <w:szCs w:val="17"/>
          <w:lang w:eastAsia="en-GB"/>
        </w:rPr>
        <w:t xml:space="preserve"> </w:t>
      </w:r>
      <w:r w:rsidRPr="005F0A67">
        <w:rPr>
          <w:rFonts w:asciiTheme="majorBidi" w:eastAsia="Georgia" w:hAnsiTheme="majorBidi" w:cstheme="majorBidi"/>
          <w:b/>
          <w:bCs/>
          <w:color w:val="242424"/>
          <w:spacing w:val="-2"/>
          <w:sz w:val="17"/>
          <w:szCs w:val="17"/>
          <w:lang w:eastAsia="en-GB"/>
        </w:rPr>
        <w:t>position</w:t>
      </w:r>
    </w:p>
    <w:p w14:paraId="598B2DF6" w14:textId="77777777" w:rsidR="005F0A67" w:rsidRPr="005F0A67" w:rsidRDefault="005F0A67" w:rsidP="005F0A67">
      <w:pPr>
        <w:widowControl w:val="0"/>
        <w:tabs>
          <w:tab w:val="clear" w:pos="567"/>
          <w:tab w:val="clear" w:pos="1134"/>
          <w:tab w:val="clear" w:pos="1701"/>
          <w:tab w:val="clear" w:pos="2268"/>
        </w:tabs>
        <w:spacing w:before="9"/>
        <w:jc w:val="left"/>
        <w:rPr>
          <w:rFonts w:asciiTheme="majorBidi" w:eastAsia="Arial" w:hAnsiTheme="majorBidi" w:cstheme="majorBidi"/>
          <w:b/>
          <w:bCs/>
          <w:sz w:val="17"/>
          <w:szCs w:val="17"/>
          <w:lang w:val="en-US"/>
        </w:rPr>
      </w:pPr>
      <w:r w:rsidRPr="005F0A67">
        <w:rPr>
          <w:rFonts w:asciiTheme="majorBidi" w:eastAsia="Arial" w:hAnsiTheme="majorBidi" w:cstheme="majorBidi"/>
          <w:b/>
          <w:noProof/>
          <w:sz w:val="17"/>
          <w:szCs w:val="14"/>
          <w:lang w:val="en-US"/>
        </w:rPr>
        <mc:AlternateContent>
          <mc:Choice Requires="wps">
            <w:drawing>
              <wp:anchor distT="0" distB="0" distL="0" distR="0" simplePos="0" relativeHeight="251658370" behindDoc="1" locked="0" layoutInCell="1" allowOverlap="1" wp14:anchorId="6817AB0C" wp14:editId="6F09D2D5">
                <wp:simplePos x="0" y="0"/>
                <wp:positionH relativeFrom="page">
                  <wp:posOffset>1536699</wp:posOffset>
                </wp:positionH>
                <wp:positionV relativeFrom="paragraph">
                  <wp:posOffset>145457</wp:posOffset>
                </wp:positionV>
                <wp:extent cx="4597400" cy="24765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97400" cy="247650"/>
                        </a:xfrm>
                        <a:custGeom>
                          <a:avLst/>
                          <a:gdLst/>
                          <a:ahLst/>
                          <a:cxnLst/>
                          <a:rect l="l" t="t" r="r" b="b"/>
                          <a:pathLst>
                            <a:path w="4597400" h="247650">
                              <a:moveTo>
                                <a:pt x="0" y="225425"/>
                              </a:moveTo>
                              <a:lnTo>
                                <a:pt x="0" y="22225"/>
                              </a:lnTo>
                              <a:lnTo>
                                <a:pt x="0" y="19277"/>
                              </a:lnTo>
                              <a:lnTo>
                                <a:pt x="563" y="16442"/>
                              </a:lnTo>
                              <a:lnTo>
                                <a:pt x="1691" y="13718"/>
                              </a:lnTo>
                              <a:lnTo>
                                <a:pt x="2819" y="10994"/>
                              </a:lnTo>
                              <a:lnTo>
                                <a:pt x="4425" y="8590"/>
                              </a:lnTo>
                              <a:lnTo>
                                <a:pt x="6509" y="6508"/>
                              </a:lnTo>
                              <a:lnTo>
                                <a:pt x="8593" y="4422"/>
                              </a:lnTo>
                              <a:lnTo>
                                <a:pt x="10997" y="2816"/>
                              </a:lnTo>
                              <a:lnTo>
                                <a:pt x="13719" y="1689"/>
                              </a:lnTo>
                              <a:lnTo>
                                <a:pt x="16442" y="562"/>
                              </a:lnTo>
                              <a:lnTo>
                                <a:pt x="19277" y="0"/>
                              </a:lnTo>
                              <a:lnTo>
                                <a:pt x="22225" y="0"/>
                              </a:lnTo>
                              <a:lnTo>
                                <a:pt x="4575175" y="0"/>
                              </a:lnTo>
                              <a:lnTo>
                                <a:pt x="4578121" y="0"/>
                              </a:lnTo>
                              <a:lnTo>
                                <a:pt x="4580956" y="562"/>
                              </a:lnTo>
                              <a:lnTo>
                                <a:pt x="4583679" y="1689"/>
                              </a:lnTo>
                              <a:lnTo>
                                <a:pt x="4586402" y="2816"/>
                              </a:lnTo>
                              <a:lnTo>
                                <a:pt x="4588806" y="4422"/>
                              </a:lnTo>
                              <a:lnTo>
                                <a:pt x="4590890" y="6508"/>
                              </a:lnTo>
                              <a:lnTo>
                                <a:pt x="4592974" y="8590"/>
                              </a:lnTo>
                              <a:lnTo>
                                <a:pt x="4594580" y="10993"/>
                              </a:lnTo>
                              <a:lnTo>
                                <a:pt x="4595707" y="13717"/>
                              </a:lnTo>
                              <a:lnTo>
                                <a:pt x="4596835" y="16440"/>
                              </a:lnTo>
                              <a:lnTo>
                                <a:pt x="4597399" y="19277"/>
                              </a:lnTo>
                              <a:lnTo>
                                <a:pt x="4597400" y="22225"/>
                              </a:lnTo>
                              <a:lnTo>
                                <a:pt x="4597400" y="225425"/>
                              </a:lnTo>
                              <a:lnTo>
                                <a:pt x="4597399" y="228370"/>
                              </a:lnTo>
                              <a:lnTo>
                                <a:pt x="4596835" y="231204"/>
                              </a:lnTo>
                              <a:lnTo>
                                <a:pt x="4595707" y="233927"/>
                              </a:lnTo>
                              <a:lnTo>
                                <a:pt x="4594580" y="236650"/>
                              </a:lnTo>
                              <a:lnTo>
                                <a:pt x="4575175" y="247650"/>
                              </a:lnTo>
                              <a:lnTo>
                                <a:pt x="22225" y="247650"/>
                              </a:lnTo>
                              <a:lnTo>
                                <a:pt x="1691" y="233927"/>
                              </a:lnTo>
                              <a:lnTo>
                                <a:pt x="563" y="231204"/>
                              </a:lnTo>
                              <a:lnTo>
                                <a:pt x="0" y="228370"/>
                              </a:lnTo>
                              <a:lnTo>
                                <a:pt x="0" y="225425"/>
                              </a:lnTo>
                              <a:close/>
                            </a:path>
                          </a:pathLst>
                        </a:custGeom>
                        <a:ln w="6349">
                          <a:solidFill>
                            <a:srgbClr val="C7C7C7"/>
                          </a:solidFill>
                          <a:prstDash val="solid"/>
                        </a:ln>
                      </wps:spPr>
                      <wps:bodyPr wrap="square" lIns="0" tIns="0" rIns="0" bIns="0" rtlCol="0">
                        <a:prstTxWarp prst="textNoShape">
                          <a:avLst/>
                        </a:prstTxWarp>
                        <a:noAutofit/>
                      </wps:bodyPr>
                    </wps:wsp>
                  </a:graphicData>
                </a:graphic>
              </wp:anchor>
            </w:drawing>
          </mc:Choice>
          <mc:Fallback>
            <w:pict>
              <v:shape w14:anchorId="3CCCBDD9" id="Graphic 10" o:spid="_x0000_s1026" style="position:absolute;margin-left:121pt;margin-top:11.45pt;width:362pt;height:19.5pt;z-index:-251658110;visibility:visible;mso-wrap-style:square;mso-wrap-distance-left:0;mso-wrap-distance-top:0;mso-wrap-distance-right:0;mso-wrap-distance-bottom:0;mso-position-horizontal:absolute;mso-position-horizontal-relative:page;mso-position-vertical:absolute;mso-position-vertical-relative:text;v-text-anchor:top" coordsize="4597400,247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" path="m,225425l,22225,,19277,563,16442,1691,13718,2819,10994,4425,8590,6509,6508,8593,4422,10997,2816,13719,1689,16442,562,19277,r2948,l4575175,r2946,l4580956,562r2723,1127l4586402,2816r2404,1606l4590890,6508r2084,2082l4594580,10993r1127,2724l4596835,16440r564,2837l4597400,22225r,203200l4597399,228370r-564,2834l4595707,233927r-1127,2723l4575175,247650r-4552950,l1691,233927,563,231204,,228370r,-2945xe" filled="f" strokecolor="#c7c7c7" strokeweight=".17636mm">
                <v:path arrowok="t"/>
                <w10:wrap type="topAndBottom" anchorx="page"/>
              </v:shape>
            </w:pict>
          </mc:Fallback>
        </mc:AlternateContent>
      </w:r>
    </w:p>
    <w:p w14:paraId="4B6F2A95" w14:textId="77777777" w:rsidR="005F0A67" w:rsidRPr="005F0A67" w:rsidRDefault="005F0A67" w:rsidP="005F0A67">
      <w:pPr>
        <w:widowControl w:val="0"/>
        <w:tabs>
          <w:tab w:val="clear" w:pos="567"/>
          <w:tab w:val="clear" w:pos="1134"/>
          <w:tab w:val="clear" w:pos="1701"/>
          <w:tab w:val="clear" w:pos="2268"/>
        </w:tabs>
        <w:spacing w:before="24"/>
        <w:jc w:val="left"/>
        <w:rPr>
          <w:rFonts w:asciiTheme="majorBidi" w:eastAsia="Arial" w:hAnsiTheme="majorBidi" w:cstheme="majorBidi"/>
          <w:b/>
          <w:bCs/>
          <w:sz w:val="17"/>
          <w:szCs w:val="17"/>
          <w:lang w:val="en-US"/>
        </w:rPr>
      </w:pPr>
    </w:p>
    <w:p w14:paraId="02C16568" w14:textId="77777777" w:rsidR="005F0A67" w:rsidRPr="005F0A67" w:rsidRDefault="005F0A67" w:rsidP="003A387A">
      <w:pPr>
        <w:widowControl w:val="0"/>
        <w:numPr>
          <w:ilvl w:val="0"/>
          <w:numId w:val="44"/>
        </w:numPr>
        <w:tabs>
          <w:tab w:val="clear" w:pos="567"/>
          <w:tab w:val="clear" w:pos="1134"/>
          <w:tab w:val="clear" w:pos="1701"/>
          <w:tab w:val="clear" w:pos="2268"/>
          <w:tab w:val="left" w:pos="703"/>
        </w:tabs>
        <w:autoSpaceDE w:val="0"/>
        <w:autoSpaceDN w:val="0"/>
        <w:ind w:left="703" w:hanging="187"/>
        <w:jc w:val="left"/>
        <w:rPr>
          <w:rFonts w:asciiTheme="majorBidi" w:eastAsia="Georgia" w:hAnsiTheme="majorBidi" w:cstheme="majorBidi"/>
          <w:b/>
          <w:bCs/>
          <w:color w:val="1A1A1A"/>
          <w:sz w:val="17"/>
          <w:szCs w:val="17"/>
          <w:lang w:eastAsia="en-GB"/>
        </w:rPr>
      </w:pPr>
      <w:r w:rsidRPr="005F0A67">
        <w:rPr>
          <w:rFonts w:asciiTheme="majorBidi" w:eastAsia="Georgia" w:hAnsiTheme="majorBidi" w:cstheme="majorBidi"/>
          <w:color w:val="242424"/>
          <w:spacing w:val="-2"/>
          <w:sz w:val="17"/>
          <w:szCs w:val="17"/>
          <w:lang w:eastAsia="en-GB"/>
        </w:rPr>
        <w:t>Please</w:t>
      </w:r>
      <w:r w:rsidRPr="005F0A67">
        <w:rPr>
          <w:rFonts w:asciiTheme="majorBidi" w:eastAsia="Georgia" w:hAnsiTheme="majorBidi" w:cstheme="majorBidi"/>
          <w:color w:val="242424"/>
          <w:spacing w:val="-1"/>
          <w:sz w:val="17"/>
          <w:szCs w:val="17"/>
          <w:lang w:eastAsia="en-GB"/>
        </w:rPr>
        <w:t xml:space="preserve"> </w:t>
      </w:r>
      <w:r w:rsidRPr="005F0A67">
        <w:rPr>
          <w:rFonts w:asciiTheme="majorBidi" w:eastAsia="Georgia" w:hAnsiTheme="majorBidi" w:cstheme="majorBidi"/>
          <w:color w:val="242424"/>
          <w:spacing w:val="-2"/>
          <w:sz w:val="17"/>
          <w:szCs w:val="17"/>
          <w:lang w:eastAsia="en-GB"/>
        </w:rPr>
        <w:t>provide</w:t>
      </w:r>
      <w:r w:rsidRPr="005F0A67">
        <w:rPr>
          <w:rFonts w:asciiTheme="majorBidi" w:eastAsia="Georgia" w:hAnsiTheme="majorBidi" w:cstheme="majorBidi"/>
          <w:color w:val="242424"/>
          <w:spacing w:val="-1"/>
          <w:sz w:val="17"/>
          <w:szCs w:val="17"/>
          <w:lang w:eastAsia="en-GB"/>
        </w:rPr>
        <w:t xml:space="preserve"> </w:t>
      </w:r>
      <w:r w:rsidRPr="005F0A67">
        <w:rPr>
          <w:rFonts w:asciiTheme="majorBidi" w:eastAsia="Georgia" w:hAnsiTheme="majorBidi" w:cstheme="majorBidi"/>
          <w:color w:val="242424"/>
          <w:spacing w:val="-2"/>
          <w:sz w:val="17"/>
          <w:szCs w:val="17"/>
          <w:lang w:eastAsia="en-GB"/>
        </w:rPr>
        <w:t>your</w:t>
      </w:r>
      <w:r w:rsidRPr="005F0A67">
        <w:rPr>
          <w:rFonts w:asciiTheme="majorBidi" w:eastAsia="Georgia" w:hAnsiTheme="majorBidi" w:cstheme="majorBidi"/>
          <w:color w:val="242424"/>
          <w:spacing w:val="-1"/>
          <w:sz w:val="17"/>
          <w:szCs w:val="17"/>
          <w:lang w:eastAsia="en-GB"/>
        </w:rPr>
        <w:t xml:space="preserve"> </w:t>
      </w:r>
      <w:r w:rsidRPr="005F0A67">
        <w:rPr>
          <w:rFonts w:asciiTheme="majorBidi" w:eastAsia="Georgia" w:hAnsiTheme="majorBidi" w:cstheme="majorBidi"/>
          <w:b/>
          <w:bCs/>
          <w:color w:val="242424"/>
          <w:spacing w:val="-2"/>
          <w:sz w:val="17"/>
          <w:szCs w:val="17"/>
          <w:lang w:eastAsia="en-GB"/>
        </w:rPr>
        <w:t>e-</w:t>
      </w:r>
      <w:r w:rsidRPr="005F0A67">
        <w:rPr>
          <w:rFonts w:asciiTheme="majorBidi" w:eastAsia="Georgia" w:hAnsiTheme="majorBidi" w:cstheme="majorBidi"/>
          <w:b/>
          <w:bCs/>
          <w:color w:val="242424"/>
          <w:spacing w:val="-4"/>
          <w:sz w:val="17"/>
          <w:szCs w:val="17"/>
          <w:lang w:eastAsia="en-GB"/>
        </w:rPr>
        <w:t>mail</w:t>
      </w:r>
    </w:p>
    <w:p w14:paraId="505C0100" w14:textId="77777777" w:rsidR="005F0A67" w:rsidRPr="005F0A67" w:rsidRDefault="005F0A67" w:rsidP="005F0A67">
      <w:pPr>
        <w:widowControl w:val="0"/>
        <w:tabs>
          <w:tab w:val="clear" w:pos="567"/>
          <w:tab w:val="clear" w:pos="1134"/>
          <w:tab w:val="clear" w:pos="1701"/>
          <w:tab w:val="clear" w:pos="2268"/>
        </w:tabs>
        <w:spacing w:before="9"/>
        <w:jc w:val="left"/>
        <w:rPr>
          <w:rFonts w:asciiTheme="majorBidi" w:eastAsia="Arial" w:hAnsiTheme="majorBidi" w:cstheme="majorBidi"/>
          <w:b/>
          <w:bCs/>
          <w:sz w:val="17"/>
          <w:szCs w:val="17"/>
          <w:lang w:val="en-US"/>
        </w:rPr>
      </w:pPr>
      <w:r w:rsidRPr="005F0A67">
        <w:rPr>
          <w:rFonts w:asciiTheme="majorBidi" w:eastAsia="Arial" w:hAnsiTheme="majorBidi" w:cstheme="majorBidi"/>
          <w:b/>
          <w:noProof/>
          <w:sz w:val="17"/>
          <w:szCs w:val="14"/>
          <w:lang w:val="en-US"/>
        </w:rPr>
        <mc:AlternateContent>
          <mc:Choice Requires="wps">
            <w:drawing>
              <wp:anchor distT="0" distB="0" distL="0" distR="0" simplePos="0" relativeHeight="251658371" behindDoc="1" locked="0" layoutInCell="1" allowOverlap="1" wp14:anchorId="66EA2FA9" wp14:editId="41335105">
                <wp:simplePos x="0" y="0"/>
                <wp:positionH relativeFrom="page">
                  <wp:posOffset>1536699</wp:posOffset>
                </wp:positionH>
                <wp:positionV relativeFrom="paragraph">
                  <wp:posOffset>145457</wp:posOffset>
                </wp:positionV>
                <wp:extent cx="4597400" cy="24765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97400" cy="247650"/>
                        </a:xfrm>
                        <a:custGeom>
                          <a:avLst/>
                          <a:gdLst/>
                          <a:ahLst/>
                          <a:cxnLst/>
                          <a:rect l="l" t="t" r="r" b="b"/>
                          <a:pathLst>
                            <a:path w="4597400" h="247650">
                              <a:moveTo>
                                <a:pt x="0" y="225425"/>
                              </a:moveTo>
                              <a:lnTo>
                                <a:pt x="0" y="22225"/>
                              </a:lnTo>
                              <a:lnTo>
                                <a:pt x="0" y="19274"/>
                              </a:lnTo>
                              <a:lnTo>
                                <a:pt x="563" y="16439"/>
                              </a:lnTo>
                              <a:lnTo>
                                <a:pt x="1691" y="13717"/>
                              </a:lnTo>
                              <a:lnTo>
                                <a:pt x="2819" y="10994"/>
                              </a:lnTo>
                              <a:lnTo>
                                <a:pt x="4425" y="8591"/>
                              </a:lnTo>
                              <a:lnTo>
                                <a:pt x="6509" y="6508"/>
                              </a:lnTo>
                              <a:lnTo>
                                <a:pt x="8593" y="4422"/>
                              </a:lnTo>
                              <a:lnTo>
                                <a:pt x="10997" y="2816"/>
                              </a:lnTo>
                              <a:lnTo>
                                <a:pt x="13719" y="1689"/>
                              </a:lnTo>
                              <a:lnTo>
                                <a:pt x="16442" y="562"/>
                              </a:lnTo>
                              <a:lnTo>
                                <a:pt x="19277" y="0"/>
                              </a:lnTo>
                              <a:lnTo>
                                <a:pt x="22225" y="0"/>
                              </a:lnTo>
                              <a:lnTo>
                                <a:pt x="4575175" y="0"/>
                              </a:lnTo>
                              <a:lnTo>
                                <a:pt x="4578121" y="0"/>
                              </a:lnTo>
                              <a:lnTo>
                                <a:pt x="4580956" y="564"/>
                              </a:lnTo>
                              <a:lnTo>
                                <a:pt x="4583679" y="1691"/>
                              </a:lnTo>
                              <a:lnTo>
                                <a:pt x="4586402" y="2816"/>
                              </a:lnTo>
                              <a:lnTo>
                                <a:pt x="4588806" y="4422"/>
                              </a:lnTo>
                              <a:lnTo>
                                <a:pt x="4590890" y="6508"/>
                              </a:lnTo>
                              <a:lnTo>
                                <a:pt x="4592974" y="8591"/>
                              </a:lnTo>
                              <a:lnTo>
                                <a:pt x="4594580" y="10994"/>
                              </a:lnTo>
                              <a:lnTo>
                                <a:pt x="4595707" y="13717"/>
                              </a:lnTo>
                              <a:lnTo>
                                <a:pt x="4596835" y="16439"/>
                              </a:lnTo>
                              <a:lnTo>
                                <a:pt x="4597399" y="19274"/>
                              </a:lnTo>
                              <a:lnTo>
                                <a:pt x="4597400" y="22225"/>
                              </a:lnTo>
                              <a:lnTo>
                                <a:pt x="4597400" y="225425"/>
                              </a:lnTo>
                              <a:lnTo>
                                <a:pt x="4597399" y="228370"/>
                              </a:lnTo>
                              <a:lnTo>
                                <a:pt x="4596835" y="231204"/>
                              </a:lnTo>
                              <a:lnTo>
                                <a:pt x="4595707" y="233927"/>
                              </a:lnTo>
                              <a:lnTo>
                                <a:pt x="4594580" y="236650"/>
                              </a:lnTo>
                              <a:lnTo>
                                <a:pt x="4575175" y="247650"/>
                              </a:lnTo>
                              <a:lnTo>
                                <a:pt x="22225" y="247650"/>
                              </a:lnTo>
                              <a:lnTo>
                                <a:pt x="1691" y="233927"/>
                              </a:lnTo>
                              <a:lnTo>
                                <a:pt x="563" y="231204"/>
                              </a:lnTo>
                              <a:lnTo>
                                <a:pt x="0" y="228370"/>
                              </a:lnTo>
                              <a:lnTo>
                                <a:pt x="0" y="225425"/>
                              </a:lnTo>
                              <a:close/>
                            </a:path>
                          </a:pathLst>
                        </a:custGeom>
                        <a:ln w="6349">
                          <a:solidFill>
                            <a:srgbClr val="C7C7C7"/>
                          </a:solidFill>
                          <a:prstDash val="solid"/>
                        </a:ln>
                      </wps:spPr>
                      <wps:bodyPr wrap="square" lIns="0" tIns="0" rIns="0" bIns="0" rtlCol="0">
                        <a:prstTxWarp prst="textNoShape">
                          <a:avLst/>
                        </a:prstTxWarp>
                        <a:noAutofit/>
                      </wps:bodyPr>
                    </wps:wsp>
                  </a:graphicData>
                </a:graphic>
              </wp:anchor>
            </w:drawing>
          </mc:Choice>
          <mc:Fallback>
            <w:pict>
              <v:shape w14:anchorId="76C39AEE" id="Graphic 11" o:spid="_x0000_s1026" style="position:absolute;margin-left:121pt;margin-top:11.45pt;width:362pt;height:19.5pt;z-index:-251658109;visibility:visible;mso-wrap-style:square;mso-wrap-distance-left:0;mso-wrap-distance-top:0;mso-wrap-distance-right:0;mso-wrap-distance-bottom:0;mso-position-horizontal:absolute;mso-position-horizontal-relative:page;mso-position-vertical:absolute;mso-position-vertical-relative:text;v-text-anchor:top" coordsize="4597400,247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" path="m,225425l,22225,,19274,563,16439,1691,13717,2819,10994,4425,8591,6509,6508,8593,4422,10997,2816,13719,1689,16442,562,19277,r2948,l4575175,r2946,l4580956,564r2723,1127l4586402,2816r2404,1606l4590890,6508r2084,2083l4594580,10994r1127,2723l4596835,16439r564,2835l4597400,22225r,203200l4597399,228370r-564,2834l4595707,233927r-1127,2723l4575175,247650r-4552950,l1691,233927,563,231204,,228370r,-2945xe" filled="f" strokecolor="#c7c7c7" strokeweight=".17636mm">
                <v:path arrowok="t"/>
                <w10:wrap type="topAndBottom" anchorx="page"/>
              </v:shape>
            </w:pict>
          </mc:Fallback>
        </mc:AlternateContent>
      </w:r>
    </w:p>
    <w:p w14:paraId="749F3C02" w14:textId="77777777" w:rsidR="005F0A67" w:rsidRPr="005F0A67" w:rsidRDefault="005F0A67" w:rsidP="005F0A67">
      <w:pPr>
        <w:widowControl w:val="0"/>
        <w:tabs>
          <w:tab w:val="clear" w:pos="567"/>
          <w:tab w:val="clear" w:pos="1134"/>
          <w:tab w:val="clear" w:pos="1701"/>
          <w:tab w:val="clear" w:pos="2268"/>
        </w:tabs>
        <w:spacing w:before="128"/>
        <w:ind w:left="705"/>
        <w:jc w:val="left"/>
        <w:rPr>
          <w:rFonts w:asciiTheme="majorBidi" w:eastAsia="Arial" w:hAnsiTheme="majorBidi" w:cstheme="majorBidi"/>
          <w:sz w:val="14"/>
          <w:szCs w:val="14"/>
          <w:lang w:val="en-US"/>
        </w:rPr>
      </w:pPr>
      <w:r w:rsidRPr="005F0A67">
        <w:rPr>
          <w:rFonts w:asciiTheme="majorBidi" w:eastAsia="Arial" w:hAnsiTheme="majorBidi" w:cstheme="majorBidi"/>
          <w:color w:val="202020"/>
          <w:spacing w:val="-4"/>
          <w:sz w:val="14"/>
          <w:szCs w:val="14"/>
          <w:lang w:val="en-US"/>
        </w:rPr>
        <w:t>Please</w:t>
      </w:r>
      <w:r w:rsidRPr="005F0A67">
        <w:rPr>
          <w:rFonts w:asciiTheme="majorBidi" w:eastAsia="Arial" w:hAnsiTheme="majorBidi" w:cstheme="majorBidi"/>
          <w:color w:val="202020"/>
          <w:spacing w:val="-1"/>
          <w:sz w:val="14"/>
          <w:szCs w:val="14"/>
          <w:lang w:val="en-US"/>
        </w:rPr>
        <w:t xml:space="preserve"> </w:t>
      </w:r>
      <w:r w:rsidRPr="005F0A67">
        <w:rPr>
          <w:rFonts w:asciiTheme="majorBidi" w:eastAsia="Arial" w:hAnsiTheme="majorBidi" w:cstheme="majorBidi"/>
          <w:color w:val="202020"/>
          <w:spacing w:val="-4"/>
          <w:sz w:val="14"/>
          <w:szCs w:val="14"/>
          <w:lang w:val="en-US"/>
        </w:rPr>
        <w:t>enter</w:t>
      </w:r>
      <w:r w:rsidRPr="005F0A67">
        <w:rPr>
          <w:rFonts w:asciiTheme="majorBidi" w:eastAsia="Arial" w:hAnsiTheme="majorBidi" w:cstheme="majorBidi"/>
          <w:color w:val="202020"/>
          <w:spacing w:val="-1"/>
          <w:sz w:val="14"/>
          <w:szCs w:val="14"/>
          <w:lang w:val="en-US"/>
        </w:rPr>
        <w:t xml:space="preserve"> </w:t>
      </w:r>
      <w:r w:rsidRPr="005F0A67">
        <w:rPr>
          <w:rFonts w:asciiTheme="majorBidi" w:eastAsia="Arial" w:hAnsiTheme="majorBidi" w:cstheme="majorBidi"/>
          <w:color w:val="202020"/>
          <w:spacing w:val="-4"/>
          <w:sz w:val="14"/>
          <w:szCs w:val="14"/>
          <w:lang w:val="en-US"/>
        </w:rPr>
        <w:t>an</w:t>
      </w:r>
      <w:r w:rsidRPr="005F0A67">
        <w:rPr>
          <w:rFonts w:asciiTheme="majorBidi" w:eastAsia="Arial" w:hAnsiTheme="majorBidi" w:cstheme="majorBidi"/>
          <w:color w:val="202020"/>
          <w:sz w:val="14"/>
          <w:szCs w:val="14"/>
          <w:lang w:val="en-US"/>
        </w:rPr>
        <w:t xml:space="preserve"> </w:t>
      </w:r>
      <w:r w:rsidRPr="005F0A67">
        <w:rPr>
          <w:rFonts w:asciiTheme="majorBidi" w:eastAsia="Arial" w:hAnsiTheme="majorBidi" w:cstheme="majorBidi"/>
          <w:color w:val="202020"/>
          <w:spacing w:val="-4"/>
          <w:sz w:val="14"/>
          <w:szCs w:val="14"/>
          <w:lang w:val="en-US"/>
        </w:rPr>
        <w:t>email</w:t>
      </w:r>
    </w:p>
    <w:p w14:paraId="1BCE15DC" w14:textId="77777777" w:rsidR="005F0A67" w:rsidRPr="005F0A67" w:rsidRDefault="005F0A67" w:rsidP="005F0A67">
      <w:pPr>
        <w:widowControl w:val="0"/>
        <w:tabs>
          <w:tab w:val="clear" w:pos="567"/>
          <w:tab w:val="clear" w:pos="1134"/>
          <w:tab w:val="clear" w:pos="1701"/>
          <w:tab w:val="clear" w:pos="2268"/>
        </w:tabs>
        <w:jc w:val="left"/>
        <w:rPr>
          <w:rFonts w:asciiTheme="majorBidi" w:eastAsia="Arial" w:hAnsiTheme="majorBidi" w:cstheme="majorBidi"/>
          <w:sz w:val="17"/>
          <w:szCs w:val="17"/>
          <w:lang w:val="en-US"/>
        </w:rPr>
      </w:pPr>
    </w:p>
    <w:p w14:paraId="4C295996" w14:textId="77777777" w:rsidR="005F0A67" w:rsidRPr="005F0A67" w:rsidRDefault="005F0A67" w:rsidP="005F0A67">
      <w:pPr>
        <w:widowControl w:val="0"/>
        <w:tabs>
          <w:tab w:val="clear" w:pos="567"/>
          <w:tab w:val="clear" w:pos="1134"/>
          <w:tab w:val="clear" w:pos="1701"/>
          <w:tab w:val="clear" w:pos="2268"/>
        </w:tabs>
        <w:spacing w:before="35"/>
        <w:jc w:val="left"/>
        <w:rPr>
          <w:rFonts w:asciiTheme="majorBidi" w:eastAsia="Arial" w:hAnsiTheme="majorBidi" w:cstheme="majorBidi"/>
          <w:sz w:val="17"/>
          <w:szCs w:val="17"/>
          <w:lang w:val="en-US"/>
        </w:rPr>
      </w:pPr>
    </w:p>
    <w:p w14:paraId="695E9FF7" w14:textId="77777777" w:rsidR="005F0A67" w:rsidRPr="005F0A67" w:rsidRDefault="005F0A67" w:rsidP="003A387A">
      <w:pPr>
        <w:widowControl w:val="0"/>
        <w:numPr>
          <w:ilvl w:val="0"/>
          <w:numId w:val="44"/>
        </w:numPr>
        <w:tabs>
          <w:tab w:val="clear" w:pos="567"/>
          <w:tab w:val="clear" w:pos="1134"/>
          <w:tab w:val="clear" w:pos="1701"/>
          <w:tab w:val="clear" w:pos="2268"/>
          <w:tab w:val="left" w:pos="703"/>
        </w:tabs>
        <w:autoSpaceDE w:val="0"/>
        <w:autoSpaceDN w:val="0"/>
        <w:ind w:left="703" w:hanging="187"/>
        <w:jc w:val="left"/>
        <w:rPr>
          <w:rFonts w:asciiTheme="majorBidi" w:eastAsia="Georgia" w:hAnsiTheme="majorBidi" w:cstheme="majorBidi"/>
          <w:color w:val="1A1A1A"/>
          <w:sz w:val="17"/>
          <w:szCs w:val="17"/>
          <w:lang w:eastAsia="en-GB"/>
        </w:rPr>
      </w:pPr>
      <w:r w:rsidRPr="005F0A67">
        <w:rPr>
          <w:rFonts w:asciiTheme="majorBidi" w:eastAsia="Georgia" w:hAnsiTheme="majorBidi" w:cstheme="majorBidi"/>
          <w:color w:val="242424"/>
          <w:spacing w:val="-2"/>
          <w:sz w:val="17"/>
          <w:szCs w:val="17"/>
          <w:lang w:eastAsia="en-GB"/>
        </w:rPr>
        <w:t>Please</w:t>
      </w:r>
      <w:r w:rsidRPr="005F0A67">
        <w:rPr>
          <w:rFonts w:asciiTheme="majorBidi" w:eastAsia="Georgia" w:hAnsiTheme="majorBidi" w:cstheme="majorBidi"/>
          <w:color w:val="242424"/>
          <w:spacing w:val="-1"/>
          <w:sz w:val="17"/>
          <w:szCs w:val="17"/>
          <w:lang w:eastAsia="en-GB"/>
        </w:rPr>
        <w:t xml:space="preserve"> </w:t>
      </w:r>
      <w:r w:rsidRPr="005F0A67">
        <w:rPr>
          <w:rFonts w:asciiTheme="majorBidi" w:eastAsia="Georgia" w:hAnsiTheme="majorBidi" w:cstheme="majorBidi"/>
          <w:color w:val="242424"/>
          <w:spacing w:val="-2"/>
          <w:sz w:val="17"/>
          <w:szCs w:val="17"/>
          <w:lang w:eastAsia="en-GB"/>
        </w:rPr>
        <w:t>provide</w:t>
      </w:r>
      <w:r w:rsidRPr="005F0A67">
        <w:rPr>
          <w:rFonts w:asciiTheme="majorBidi" w:eastAsia="Georgia" w:hAnsiTheme="majorBidi" w:cstheme="majorBidi"/>
          <w:color w:val="242424"/>
          <w:sz w:val="17"/>
          <w:szCs w:val="17"/>
          <w:lang w:eastAsia="en-GB"/>
        </w:rPr>
        <w:t xml:space="preserve"> </w:t>
      </w:r>
      <w:r w:rsidRPr="005F0A67">
        <w:rPr>
          <w:rFonts w:asciiTheme="majorBidi" w:eastAsia="Georgia" w:hAnsiTheme="majorBidi" w:cstheme="majorBidi"/>
          <w:color w:val="242424"/>
          <w:spacing w:val="-2"/>
          <w:sz w:val="17"/>
          <w:szCs w:val="17"/>
          <w:lang w:eastAsia="en-GB"/>
        </w:rPr>
        <w:t>your</w:t>
      </w:r>
      <w:r w:rsidRPr="005F0A67">
        <w:rPr>
          <w:rFonts w:asciiTheme="majorBidi" w:eastAsia="Georgia" w:hAnsiTheme="majorBidi" w:cstheme="majorBidi"/>
          <w:color w:val="242424"/>
          <w:sz w:val="17"/>
          <w:szCs w:val="17"/>
          <w:lang w:eastAsia="en-GB"/>
        </w:rPr>
        <w:t xml:space="preserve"> </w:t>
      </w:r>
      <w:r w:rsidRPr="005F0A67">
        <w:rPr>
          <w:rFonts w:asciiTheme="majorBidi" w:eastAsia="Georgia" w:hAnsiTheme="majorBidi" w:cstheme="majorBidi"/>
          <w:color w:val="242424"/>
          <w:spacing w:val="-2"/>
          <w:sz w:val="17"/>
          <w:szCs w:val="17"/>
          <w:lang w:eastAsia="en-GB"/>
        </w:rPr>
        <w:t>company's</w:t>
      </w:r>
      <w:r w:rsidRPr="005F0A67">
        <w:rPr>
          <w:rFonts w:asciiTheme="majorBidi" w:eastAsia="Georgia" w:hAnsiTheme="majorBidi" w:cstheme="majorBidi"/>
          <w:color w:val="242424"/>
          <w:sz w:val="17"/>
          <w:szCs w:val="17"/>
          <w:lang w:eastAsia="en-GB"/>
        </w:rPr>
        <w:t xml:space="preserve"> </w:t>
      </w:r>
      <w:r w:rsidRPr="005F0A67">
        <w:rPr>
          <w:rFonts w:asciiTheme="majorBidi" w:eastAsia="Georgia" w:hAnsiTheme="majorBidi" w:cstheme="majorBidi"/>
          <w:b/>
          <w:bCs/>
          <w:color w:val="242424"/>
          <w:spacing w:val="-2"/>
          <w:sz w:val="17"/>
          <w:szCs w:val="17"/>
          <w:lang w:eastAsia="en-GB"/>
        </w:rPr>
        <w:t>legal</w:t>
      </w:r>
      <w:r w:rsidRPr="005F0A67">
        <w:rPr>
          <w:rFonts w:asciiTheme="majorBidi" w:eastAsia="Georgia" w:hAnsiTheme="majorBidi" w:cstheme="majorBidi"/>
          <w:b/>
          <w:bCs/>
          <w:color w:val="242424"/>
          <w:spacing w:val="-1"/>
          <w:sz w:val="17"/>
          <w:szCs w:val="17"/>
          <w:lang w:eastAsia="en-GB"/>
        </w:rPr>
        <w:t xml:space="preserve"> </w:t>
      </w:r>
      <w:r w:rsidRPr="005F0A67">
        <w:rPr>
          <w:rFonts w:asciiTheme="majorBidi" w:eastAsia="Georgia" w:hAnsiTheme="majorBidi" w:cstheme="majorBidi"/>
          <w:b/>
          <w:bCs/>
          <w:color w:val="242424"/>
          <w:spacing w:val="-2"/>
          <w:sz w:val="17"/>
          <w:szCs w:val="17"/>
          <w:lang w:eastAsia="en-GB"/>
        </w:rPr>
        <w:t>name</w:t>
      </w:r>
      <w:r w:rsidRPr="005F0A67">
        <w:rPr>
          <w:rFonts w:asciiTheme="majorBidi" w:eastAsia="Georgia" w:hAnsiTheme="majorBidi" w:cstheme="majorBidi"/>
          <w:b/>
          <w:bCs/>
          <w:color w:val="242424"/>
          <w:sz w:val="17"/>
          <w:szCs w:val="17"/>
          <w:lang w:eastAsia="en-GB"/>
        </w:rPr>
        <w:t xml:space="preserve"> </w:t>
      </w:r>
      <w:r w:rsidRPr="005F0A67">
        <w:rPr>
          <w:rFonts w:asciiTheme="majorBidi" w:eastAsia="Georgia" w:hAnsiTheme="majorBidi" w:cstheme="majorBidi"/>
          <w:color w:val="AE1515"/>
          <w:spacing w:val="-10"/>
          <w:sz w:val="17"/>
          <w:szCs w:val="17"/>
          <w:lang w:eastAsia="en-GB"/>
        </w:rPr>
        <w:t>*</w:t>
      </w:r>
    </w:p>
    <w:p w14:paraId="6E2BA3B7" w14:textId="77777777" w:rsidR="005F0A67" w:rsidRPr="005F0A67" w:rsidRDefault="005F0A67" w:rsidP="005F0A67">
      <w:pPr>
        <w:widowControl w:val="0"/>
        <w:tabs>
          <w:tab w:val="clear" w:pos="567"/>
          <w:tab w:val="clear" w:pos="1134"/>
          <w:tab w:val="clear" w:pos="1701"/>
          <w:tab w:val="clear" w:pos="2268"/>
        </w:tabs>
        <w:spacing w:before="9"/>
        <w:jc w:val="left"/>
        <w:rPr>
          <w:rFonts w:asciiTheme="majorBidi" w:eastAsia="Arial" w:hAnsiTheme="majorBidi" w:cstheme="majorBidi"/>
          <w:sz w:val="17"/>
          <w:szCs w:val="17"/>
          <w:lang w:val="en-US"/>
        </w:rPr>
      </w:pPr>
      <w:r w:rsidRPr="005F0A67">
        <w:rPr>
          <w:rFonts w:asciiTheme="majorBidi" w:eastAsia="Arial" w:hAnsiTheme="majorBidi" w:cstheme="majorBidi"/>
          <w:noProof/>
          <w:sz w:val="17"/>
          <w:szCs w:val="14"/>
          <w:lang w:val="en-US"/>
        </w:rPr>
        <mc:AlternateContent>
          <mc:Choice Requires="wps">
            <w:drawing>
              <wp:anchor distT="0" distB="0" distL="0" distR="0" simplePos="0" relativeHeight="251658372" behindDoc="1" locked="0" layoutInCell="1" allowOverlap="1" wp14:anchorId="68B7F27F" wp14:editId="73DEEF7D">
                <wp:simplePos x="0" y="0"/>
                <wp:positionH relativeFrom="page">
                  <wp:posOffset>1536699</wp:posOffset>
                </wp:positionH>
                <wp:positionV relativeFrom="paragraph">
                  <wp:posOffset>145465</wp:posOffset>
                </wp:positionV>
                <wp:extent cx="4597400" cy="24765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97400" cy="247650"/>
                        </a:xfrm>
                        <a:custGeom>
                          <a:avLst/>
                          <a:gdLst/>
                          <a:ahLst/>
                          <a:cxnLst/>
                          <a:rect l="l" t="t" r="r" b="b"/>
                          <a:pathLst>
                            <a:path w="4597400" h="247650">
                              <a:moveTo>
                                <a:pt x="0" y="225425"/>
                              </a:moveTo>
                              <a:lnTo>
                                <a:pt x="0" y="22225"/>
                              </a:lnTo>
                              <a:lnTo>
                                <a:pt x="0" y="19276"/>
                              </a:lnTo>
                              <a:lnTo>
                                <a:pt x="563" y="16440"/>
                              </a:lnTo>
                              <a:lnTo>
                                <a:pt x="1691" y="13717"/>
                              </a:lnTo>
                              <a:lnTo>
                                <a:pt x="2819" y="10994"/>
                              </a:lnTo>
                              <a:lnTo>
                                <a:pt x="4425" y="8591"/>
                              </a:lnTo>
                              <a:lnTo>
                                <a:pt x="6509" y="6508"/>
                              </a:lnTo>
                              <a:lnTo>
                                <a:pt x="8593" y="4422"/>
                              </a:lnTo>
                              <a:lnTo>
                                <a:pt x="10997" y="2818"/>
                              </a:lnTo>
                              <a:lnTo>
                                <a:pt x="13719" y="1691"/>
                              </a:lnTo>
                              <a:lnTo>
                                <a:pt x="16442" y="564"/>
                              </a:lnTo>
                              <a:lnTo>
                                <a:pt x="19277" y="0"/>
                              </a:lnTo>
                              <a:lnTo>
                                <a:pt x="22225" y="0"/>
                              </a:lnTo>
                              <a:lnTo>
                                <a:pt x="4575175" y="0"/>
                              </a:lnTo>
                              <a:lnTo>
                                <a:pt x="4578121" y="0"/>
                              </a:lnTo>
                              <a:lnTo>
                                <a:pt x="4580956" y="564"/>
                              </a:lnTo>
                              <a:lnTo>
                                <a:pt x="4583679" y="1691"/>
                              </a:lnTo>
                              <a:lnTo>
                                <a:pt x="4586402" y="2818"/>
                              </a:lnTo>
                              <a:lnTo>
                                <a:pt x="4588806" y="4422"/>
                              </a:lnTo>
                              <a:lnTo>
                                <a:pt x="4590890" y="6508"/>
                              </a:lnTo>
                              <a:lnTo>
                                <a:pt x="4592974" y="8591"/>
                              </a:lnTo>
                              <a:lnTo>
                                <a:pt x="4594580" y="10994"/>
                              </a:lnTo>
                              <a:lnTo>
                                <a:pt x="4595707" y="13717"/>
                              </a:lnTo>
                              <a:lnTo>
                                <a:pt x="4596835" y="16440"/>
                              </a:lnTo>
                              <a:lnTo>
                                <a:pt x="4597399" y="19276"/>
                              </a:lnTo>
                              <a:lnTo>
                                <a:pt x="4597400" y="22225"/>
                              </a:lnTo>
                              <a:lnTo>
                                <a:pt x="4597400" y="225425"/>
                              </a:lnTo>
                              <a:lnTo>
                                <a:pt x="4583679" y="245955"/>
                              </a:lnTo>
                              <a:lnTo>
                                <a:pt x="4580956" y="247084"/>
                              </a:lnTo>
                              <a:lnTo>
                                <a:pt x="4578121" y="247648"/>
                              </a:lnTo>
                              <a:lnTo>
                                <a:pt x="4575175" y="247650"/>
                              </a:lnTo>
                              <a:lnTo>
                                <a:pt x="22225" y="247650"/>
                              </a:lnTo>
                              <a:lnTo>
                                <a:pt x="19277" y="247648"/>
                              </a:lnTo>
                              <a:lnTo>
                                <a:pt x="16442" y="247084"/>
                              </a:lnTo>
                              <a:lnTo>
                                <a:pt x="13719" y="245955"/>
                              </a:lnTo>
                              <a:lnTo>
                                <a:pt x="10997" y="244828"/>
                              </a:lnTo>
                              <a:lnTo>
                                <a:pt x="0" y="228370"/>
                              </a:lnTo>
                              <a:lnTo>
                                <a:pt x="0" y="225425"/>
                              </a:lnTo>
                              <a:close/>
                            </a:path>
                          </a:pathLst>
                        </a:custGeom>
                        <a:ln w="6349">
                          <a:solidFill>
                            <a:srgbClr val="C7C7C7"/>
                          </a:solidFill>
                          <a:prstDash val="solid"/>
                        </a:ln>
                      </wps:spPr>
                      <wps:bodyPr wrap="square" lIns="0" tIns="0" rIns="0" bIns="0" rtlCol="0">
                        <a:prstTxWarp prst="textNoShape">
                          <a:avLst/>
                        </a:prstTxWarp>
                        <a:noAutofit/>
                      </wps:bodyPr>
                    </wps:wsp>
                  </a:graphicData>
                </a:graphic>
              </wp:anchor>
            </w:drawing>
          </mc:Choice>
          <mc:Fallback>
            <w:pict>
              <v:shape w14:anchorId="1D014DF6" id="Graphic 12" o:spid="_x0000_s1026" style="position:absolute;margin-left:121pt;margin-top:11.45pt;width:362pt;height:19.5pt;z-index:-251658108;visibility:visible;mso-wrap-style:square;mso-wrap-distance-left:0;mso-wrap-distance-top:0;mso-wrap-distance-right:0;mso-wrap-distance-bottom:0;mso-position-horizontal:absolute;mso-position-horizontal-relative:page;mso-position-vertical:absolute;mso-position-vertical-relative:text;v-text-anchor:top" coordsize="4597400,247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" path="m,225425l,22225,,19276,563,16440,1691,13717,2819,10994,4425,8591,6509,6508,8593,4422,10997,2818,13719,1691,16442,564,19277,r2948,l4575175,r2946,l4580956,564r2723,1127l4586402,2818r2404,1604l4590890,6508r2084,2083l4594580,10994r1127,2723l4596835,16440r564,2836l4597400,22225r,203200l4583679,245955r-2723,1129l4578121,247648r-2946,2l22225,247650r-2948,-2l16442,247084r-2723,-1129l10997,244828,,228370r,-2945xe" filled="f" strokecolor="#c7c7c7" strokeweight=".17636mm">
                <v:path arrowok="t"/>
                <w10:wrap type="topAndBottom" anchorx="page"/>
              </v:shape>
            </w:pict>
          </mc:Fallback>
        </mc:AlternateContent>
      </w:r>
    </w:p>
    <w:p w14:paraId="1B348D48" w14:textId="77777777" w:rsidR="005F0A67" w:rsidRPr="005F0A67" w:rsidRDefault="005F0A67" w:rsidP="005F0A67">
      <w:pPr>
        <w:widowControl w:val="0"/>
        <w:tabs>
          <w:tab w:val="clear" w:pos="567"/>
          <w:tab w:val="clear" w:pos="1134"/>
          <w:tab w:val="clear" w:pos="1701"/>
          <w:tab w:val="clear" w:pos="2268"/>
        </w:tabs>
        <w:jc w:val="left"/>
        <w:rPr>
          <w:rFonts w:asciiTheme="majorBidi" w:eastAsia="Arial" w:hAnsiTheme="majorBidi" w:cstheme="majorBidi"/>
          <w:sz w:val="17"/>
          <w:szCs w:val="17"/>
          <w:lang w:val="en-US"/>
        </w:rPr>
      </w:pPr>
    </w:p>
    <w:p w14:paraId="4A1CC8EA" w14:textId="77777777" w:rsidR="005F0A67" w:rsidRPr="005F0A67" w:rsidRDefault="005F0A67" w:rsidP="005F0A67">
      <w:pPr>
        <w:widowControl w:val="0"/>
        <w:tabs>
          <w:tab w:val="clear" w:pos="567"/>
          <w:tab w:val="clear" w:pos="1134"/>
          <w:tab w:val="clear" w:pos="1701"/>
          <w:tab w:val="clear" w:pos="2268"/>
        </w:tabs>
        <w:spacing w:before="24"/>
        <w:jc w:val="left"/>
        <w:rPr>
          <w:rFonts w:asciiTheme="majorBidi" w:eastAsia="Arial" w:hAnsiTheme="majorBidi" w:cstheme="majorBidi"/>
          <w:sz w:val="17"/>
          <w:szCs w:val="17"/>
          <w:lang w:val="en-US"/>
        </w:rPr>
      </w:pPr>
    </w:p>
    <w:p w14:paraId="4D5496F8" w14:textId="77777777" w:rsidR="005F0A67" w:rsidRPr="005F0A67" w:rsidRDefault="005F0A67" w:rsidP="003A387A">
      <w:pPr>
        <w:widowControl w:val="0"/>
        <w:numPr>
          <w:ilvl w:val="0"/>
          <w:numId w:val="44"/>
        </w:numPr>
        <w:tabs>
          <w:tab w:val="clear" w:pos="567"/>
          <w:tab w:val="clear" w:pos="1134"/>
          <w:tab w:val="clear" w:pos="1701"/>
          <w:tab w:val="clear" w:pos="2268"/>
          <w:tab w:val="left" w:pos="703"/>
        </w:tabs>
        <w:autoSpaceDE w:val="0"/>
        <w:autoSpaceDN w:val="0"/>
        <w:ind w:left="703" w:hanging="187"/>
        <w:jc w:val="left"/>
        <w:rPr>
          <w:rFonts w:asciiTheme="majorBidi" w:eastAsia="Georgia" w:hAnsiTheme="majorBidi" w:cstheme="majorBidi"/>
          <w:color w:val="1A1A1A"/>
          <w:sz w:val="17"/>
          <w:szCs w:val="17"/>
          <w:lang w:eastAsia="en-GB"/>
        </w:rPr>
      </w:pPr>
      <w:r w:rsidRPr="005F0A67">
        <w:rPr>
          <w:rFonts w:asciiTheme="majorBidi" w:eastAsia="Georgia" w:hAnsiTheme="majorBidi" w:cstheme="majorBidi"/>
          <w:color w:val="242424"/>
          <w:sz w:val="17"/>
          <w:szCs w:val="17"/>
          <w:lang w:eastAsia="en-GB"/>
        </w:rPr>
        <w:t>Please</w:t>
      </w:r>
      <w:r w:rsidRPr="005F0A67">
        <w:rPr>
          <w:rFonts w:asciiTheme="majorBidi" w:eastAsia="Georgia" w:hAnsiTheme="majorBidi" w:cstheme="majorBidi"/>
          <w:color w:val="242424"/>
          <w:spacing w:val="-9"/>
          <w:sz w:val="17"/>
          <w:szCs w:val="17"/>
          <w:lang w:eastAsia="en-GB"/>
        </w:rPr>
        <w:t xml:space="preserve"> </w:t>
      </w:r>
      <w:r w:rsidRPr="005F0A67">
        <w:rPr>
          <w:rFonts w:asciiTheme="majorBidi" w:eastAsia="Georgia" w:hAnsiTheme="majorBidi" w:cstheme="majorBidi"/>
          <w:color w:val="242424"/>
          <w:sz w:val="17"/>
          <w:szCs w:val="17"/>
          <w:lang w:eastAsia="en-GB"/>
        </w:rPr>
        <w:t>provide</w:t>
      </w:r>
      <w:r w:rsidRPr="005F0A67">
        <w:rPr>
          <w:rFonts w:asciiTheme="majorBidi" w:eastAsia="Georgia" w:hAnsiTheme="majorBidi" w:cstheme="majorBidi"/>
          <w:color w:val="242424"/>
          <w:spacing w:val="-8"/>
          <w:sz w:val="17"/>
          <w:szCs w:val="17"/>
          <w:lang w:eastAsia="en-GB"/>
        </w:rPr>
        <w:t xml:space="preserve"> </w:t>
      </w:r>
      <w:r w:rsidRPr="005F0A67">
        <w:rPr>
          <w:rFonts w:asciiTheme="majorBidi" w:eastAsia="Georgia" w:hAnsiTheme="majorBidi" w:cstheme="majorBidi"/>
          <w:color w:val="242424"/>
          <w:sz w:val="17"/>
          <w:szCs w:val="17"/>
          <w:lang w:eastAsia="en-GB"/>
        </w:rPr>
        <w:t>your</w:t>
      </w:r>
      <w:r w:rsidRPr="005F0A67">
        <w:rPr>
          <w:rFonts w:asciiTheme="majorBidi" w:eastAsia="Georgia" w:hAnsiTheme="majorBidi" w:cstheme="majorBidi"/>
          <w:color w:val="242424"/>
          <w:spacing w:val="-9"/>
          <w:sz w:val="17"/>
          <w:szCs w:val="17"/>
          <w:lang w:eastAsia="en-GB"/>
        </w:rPr>
        <w:t xml:space="preserve"> </w:t>
      </w:r>
      <w:r w:rsidRPr="005F0A67">
        <w:rPr>
          <w:rFonts w:asciiTheme="majorBidi" w:eastAsia="Georgia" w:hAnsiTheme="majorBidi" w:cstheme="majorBidi"/>
          <w:color w:val="242424"/>
          <w:sz w:val="17"/>
          <w:szCs w:val="17"/>
          <w:lang w:eastAsia="en-GB"/>
        </w:rPr>
        <w:t>company's</w:t>
      </w:r>
      <w:r w:rsidRPr="005F0A67">
        <w:rPr>
          <w:rFonts w:asciiTheme="majorBidi" w:eastAsia="Georgia" w:hAnsiTheme="majorBidi" w:cstheme="majorBidi"/>
          <w:color w:val="242424"/>
          <w:spacing w:val="-8"/>
          <w:sz w:val="17"/>
          <w:szCs w:val="17"/>
          <w:lang w:eastAsia="en-GB"/>
        </w:rPr>
        <w:t xml:space="preserve"> </w:t>
      </w:r>
      <w:r w:rsidRPr="005F0A67">
        <w:rPr>
          <w:rFonts w:asciiTheme="majorBidi" w:eastAsia="Georgia" w:hAnsiTheme="majorBidi" w:cstheme="majorBidi"/>
          <w:b/>
          <w:bCs/>
          <w:color w:val="242424"/>
          <w:sz w:val="17"/>
          <w:szCs w:val="17"/>
          <w:lang w:eastAsia="en-GB"/>
        </w:rPr>
        <w:t>legal</w:t>
      </w:r>
      <w:r w:rsidRPr="005F0A67">
        <w:rPr>
          <w:rFonts w:asciiTheme="majorBidi" w:eastAsia="Georgia" w:hAnsiTheme="majorBidi" w:cstheme="majorBidi"/>
          <w:b/>
          <w:bCs/>
          <w:color w:val="242424"/>
          <w:spacing w:val="-9"/>
          <w:sz w:val="17"/>
          <w:szCs w:val="17"/>
          <w:lang w:eastAsia="en-GB"/>
        </w:rPr>
        <w:t xml:space="preserve"> </w:t>
      </w:r>
      <w:r w:rsidRPr="005F0A67">
        <w:rPr>
          <w:rFonts w:asciiTheme="majorBidi" w:eastAsia="Georgia" w:hAnsiTheme="majorBidi" w:cstheme="majorBidi"/>
          <w:b/>
          <w:bCs/>
          <w:color w:val="242424"/>
          <w:sz w:val="17"/>
          <w:szCs w:val="17"/>
          <w:lang w:eastAsia="en-GB"/>
        </w:rPr>
        <w:t>entity</w:t>
      </w:r>
      <w:r w:rsidRPr="005F0A67">
        <w:rPr>
          <w:rFonts w:asciiTheme="majorBidi" w:eastAsia="Georgia" w:hAnsiTheme="majorBidi" w:cstheme="majorBidi"/>
          <w:b/>
          <w:bCs/>
          <w:color w:val="242424"/>
          <w:spacing w:val="-8"/>
          <w:sz w:val="17"/>
          <w:szCs w:val="17"/>
          <w:lang w:eastAsia="en-GB"/>
        </w:rPr>
        <w:t xml:space="preserve"> </w:t>
      </w:r>
      <w:r w:rsidRPr="005F0A67">
        <w:rPr>
          <w:rFonts w:asciiTheme="majorBidi" w:eastAsia="Georgia" w:hAnsiTheme="majorBidi" w:cstheme="majorBidi"/>
          <w:b/>
          <w:bCs/>
          <w:color w:val="242424"/>
          <w:sz w:val="17"/>
          <w:szCs w:val="17"/>
          <w:lang w:eastAsia="en-GB"/>
        </w:rPr>
        <w:t>number</w:t>
      </w:r>
      <w:r w:rsidRPr="005F0A67">
        <w:rPr>
          <w:rFonts w:asciiTheme="majorBidi" w:eastAsia="Georgia" w:hAnsiTheme="majorBidi" w:cstheme="majorBidi"/>
          <w:b/>
          <w:bCs/>
          <w:color w:val="242424"/>
          <w:spacing w:val="-8"/>
          <w:sz w:val="17"/>
          <w:szCs w:val="17"/>
          <w:lang w:eastAsia="en-GB"/>
        </w:rPr>
        <w:t xml:space="preserve"> </w:t>
      </w:r>
      <w:r w:rsidRPr="005F0A67">
        <w:rPr>
          <w:rFonts w:asciiTheme="majorBidi" w:eastAsia="Georgia" w:hAnsiTheme="majorBidi" w:cstheme="majorBidi"/>
          <w:color w:val="242424"/>
          <w:spacing w:val="-2"/>
          <w:sz w:val="17"/>
          <w:szCs w:val="17"/>
          <w:lang w:eastAsia="en-GB"/>
        </w:rPr>
        <w:t>(LEI)</w:t>
      </w:r>
    </w:p>
    <w:p w14:paraId="41307964" w14:textId="77777777" w:rsidR="005F0A67" w:rsidRPr="005F0A67" w:rsidRDefault="005F0A67" w:rsidP="005F0A67">
      <w:pPr>
        <w:widowControl w:val="0"/>
        <w:tabs>
          <w:tab w:val="clear" w:pos="567"/>
          <w:tab w:val="clear" w:pos="1134"/>
          <w:tab w:val="clear" w:pos="1701"/>
          <w:tab w:val="clear" w:pos="2268"/>
        </w:tabs>
        <w:spacing w:before="112" w:line="297" w:lineRule="auto"/>
        <w:ind w:left="705" w:right="736"/>
        <w:jc w:val="left"/>
        <w:rPr>
          <w:rFonts w:asciiTheme="majorBidi" w:eastAsia="Arial" w:hAnsiTheme="majorBidi" w:cstheme="majorBidi"/>
          <w:sz w:val="14"/>
          <w:szCs w:val="14"/>
          <w:lang w:val="en-US"/>
        </w:rPr>
      </w:pPr>
      <w:r w:rsidRPr="005F0A67">
        <w:rPr>
          <w:rFonts w:asciiTheme="majorBidi" w:eastAsia="Arial" w:hAnsiTheme="majorBidi" w:cstheme="majorBidi"/>
          <w:color w:val="242424"/>
          <w:sz w:val="14"/>
          <w:szCs w:val="14"/>
          <w:lang w:val="en-US"/>
        </w:rPr>
        <w:t>An</w:t>
      </w:r>
      <w:r w:rsidRPr="005F0A67">
        <w:rPr>
          <w:rFonts w:asciiTheme="majorBidi" w:eastAsia="Arial" w:hAnsiTheme="majorBidi" w:cstheme="majorBidi"/>
          <w:color w:val="242424"/>
          <w:spacing w:val="-8"/>
          <w:sz w:val="14"/>
          <w:szCs w:val="14"/>
          <w:lang w:val="en-US"/>
        </w:rPr>
        <w:t xml:space="preserve"> </w:t>
      </w:r>
      <w:r w:rsidRPr="005F0A67">
        <w:rPr>
          <w:rFonts w:asciiTheme="majorBidi" w:eastAsia="Arial" w:hAnsiTheme="majorBidi" w:cstheme="majorBidi"/>
          <w:color w:val="242424"/>
          <w:sz w:val="14"/>
          <w:szCs w:val="14"/>
          <w:lang w:val="en-US"/>
        </w:rPr>
        <w:t>LEI</w:t>
      </w:r>
      <w:r w:rsidRPr="005F0A67">
        <w:rPr>
          <w:rFonts w:asciiTheme="majorBidi" w:eastAsia="Arial" w:hAnsiTheme="majorBidi" w:cstheme="majorBidi"/>
          <w:color w:val="242424"/>
          <w:spacing w:val="-8"/>
          <w:sz w:val="14"/>
          <w:szCs w:val="14"/>
          <w:lang w:val="en-US"/>
        </w:rPr>
        <w:t xml:space="preserve"> </w:t>
      </w:r>
      <w:r w:rsidRPr="005F0A67">
        <w:rPr>
          <w:rFonts w:asciiTheme="majorBidi" w:eastAsia="Arial" w:hAnsiTheme="majorBidi" w:cstheme="majorBidi"/>
          <w:color w:val="242424"/>
          <w:sz w:val="14"/>
          <w:szCs w:val="14"/>
          <w:lang w:val="en-US"/>
        </w:rPr>
        <w:t>number</w:t>
      </w:r>
      <w:r w:rsidRPr="005F0A67">
        <w:rPr>
          <w:rFonts w:asciiTheme="majorBidi" w:eastAsia="Arial" w:hAnsiTheme="majorBidi" w:cstheme="majorBidi"/>
          <w:color w:val="242424"/>
          <w:spacing w:val="-8"/>
          <w:sz w:val="14"/>
          <w:szCs w:val="14"/>
          <w:lang w:val="en-US"/>
        </w:rPr>
        <w:t xml:space="preserve"> </w:t>
      </w:r>
      <w:r w:rsidRPr="005F0A67">
        <w:rPr>
          <w:rFonts w:asciiTheme="majorBidi" w:eastAsia="Arial" w:hAnsiTheme="majorBidi" w:cstheme="majorBidi"/>
          <w:color w:val="242424"/>
          <w:sz w:val="14"/>
          <w:szCs w:val="14"/>
          <w:lang w:val="en-US"/>
        </w:rPr>
        <w:t>is</w:t>
      </w:r>
      <w:r w:rsidRPr="005F0A67">
        <w:rPr>
          <w:rFonts w:asciiTheme="majorBidi" w:eastAsia="Arial" w:hAnsiTheme="majorBidi" w:cstheme="majorBidi"/>
          <w:color w:val="242424"/>
          <w:spacing w:val="-8"/>
          <w:sz w:val="14"/>
          <w:szCs w:val="14"/>
          <w:lang w:val="en-US"/>
        </w:rPr>
        <w:t xml:space="preserve"> </w:t>
      </w:r>
      <w:r w:rsidRPr="005F0A67">
        <w:rPr>
          <w:rFonts w:asciiTheme="majorBidi" w:eastAsia="Arial" w:hAnsiTheme="majorBidi" w:cstheme="majorBidi"/>
          <w:color w:val="242424"/>
          <w:sz w:val="14"/>
          <w:szCs w:val="14"/>
          <w:lang w:val="en-US"/>
        </w:rPr>
        <w:t>a</w:t>
      </w:r>
      <w:r w:rsidRPr="005F0A67">
        <w:rPr>
          <w:rFonts w:asciiTheme="majorBidi" w:eastAsia="Arial" w:hAnsiTheme="majorBidi" w:cstheme="majorBidi"/>
          <w:color w:val="242424"/>
          <w:spacing w:val="-8"/>
          <w:sz w:val="14"/>
          <w:szCs w:val="14"/>
          <w:lang w:val="en-US"/>
        </w:rPr>
        <w:t xml:space="preserve"> </w:t>
      </w:r>
      <w:r w:rsidRPr="005F0A67">
        <w:rPr>
          <w:rFonts w:asciiTheme="majorBidi" w:eastAsia="Arial" w:hAnsiTheme="majorBidi" w:cstheme="majorBidi"/>
          <w:color w:val="242424"/>
          <w:sz w:val="14"/>
          <w:szCs w:val="14"/>
          <w:lang w:val="en-US"/>
        </w:rPr>
        <w:t>20-character</w:t>
      </w:r>
      <w:r w:rsidRPr="005F0A67">
        <w:rPr>
          <w:rFonts w:asciiTheme="majorBidi" w:eastAsia="Arial" w:hAnsiTheme="majorBidi" w:cstheme="majorBidi"/>
          <w:color w:val="242424"/>
          <w:spacing w:val="-8"/>
          <w:sz w:val="14"/>
          <w:szCs w:val="14"/>
          <w:lang w:val="en-US"/>
        </w:rPr>
        <w:t xml:space="preserve"> </w:t>
      </w:r>
      <w:r w:rsidRPr="005F0A67">
        <w:rPr>
          <w:rFonts w:asciiTheme="majorBidi" w:eastAsia="Arial" w:hAnsiTheme="majorBidi" w:cstheme="majorBidi"/>
          <w:color w:val="242424"/>
          <w:sz w:val="14"/>
          <w:szCs w:val="14"/>
          <w:lang w:val="en-US"/>
        </w:rPr>
        <w:t>code</w:t>
      </w:r>
      <w:r w:rsidRPr="005F0A67">
        <w:rPr>
          <w:rFonts w:asciiTheme="majorBidi" w:eastAsia="Arial" w:hAnsiTheme="majorBidi" w:cstheme="majorBidi"/>
          <w:color w:val="242424"/>
          <w:spacing w:val="-8"/>
          <w:sz w:val="14"/>
          <w:szCs w:val="14"/>
          <w:lang w:val="en-US"/>
        </w:rPr>
        <w:t xml:space="preserve"> </w:t>
      </w:r>
      <w:r w:rsidRPr="005F0A67">
        <w:rPr>
          <w:rFonts w:asciiTheme="majorBidi" w:eastAsia="Arial" w:hAnsiTheme="majorBidi" w:cstheme="majorBidi"/>
          <w:color w:val="242424"/>
          <w:sz w:val="14"/>
          <w:szCs w:val="14"/>
          <w:lang w:val="en-US"/>
        </w:rPr>
        <w:t>based</w:t>
      </w:r>
      <w:r w:rsidRPr="005F0A67">
        <w:rPr>
          <w:rFonts w:asciiTheme="majorBidi" w:eastAsia="Arial" w:hAnsiTheme="majorBidi" w:cstheme="majorBidi"/>
          <w:color w:val="242424"/>
          <w:spacing w:val="-8"/>
          <w:sz w:val="14"/>
          <w:szCs w:val="14"/>
          <w:lang w:val="en-US"/>
        </w:rPr>
        <w:t xml:space="preserve"> </w:t>
      </w:r>
      <w:r w:rsidRPr="005F0A67">
        <w:rPr>
          <w:rFonts w:asciiTheme="majorBidi" w:eastAsia="Arial" w:hAnsiTheme="majorBidi" w:cstheme="majorBidi"/>
          <w:color w:val="242424"/>
          <w:sz w:val="14"/>
          <w:szCs w:val="14"/>
          <w:lang w:val="en-US"/>
        </w:rPr>
        <w:t>on</w:t>
      </w:r>
      <w:r w:rsidRPr="005F0A67">
        <w:rPr>
          <w:rFonts w:asciiTheme="majorBidi" w:eastAsia="Arial" w:hAnsiTheme="majorBidi" w:cstheme="majorBidi"/>
          <w:color w:val="242424"/>
          <w:spacing w:val="-8"/>
          <w:sz w:val="14"/>
          <w:szCs w:val="14"/>
          <w:lang w:val="en-US"/>
        </w:rPr>
        <w:t xml:space="preserve"> </w:t>
      </w:r>
      <w:r w:rsidRPr="005F0A67">
        <w:rPr>
          <w:rFonts w:asciiTheme="majorBidi" w:eastAsia="Arial" w:hAnsiTheme="majorBidi" w:cstheme="majorBidi"/>
          <w:color w:val="242424"/>
          <w:sz w:val="14"/>
          <w:szCs w:val="14"/>
          <w:lang w:val="en-US"/>
        </w:rPr>
        <w:t>the</w:t>
      </w:r>
      <w:r w:rsidRPr="005F0A67">
        <w:rPr>
          <w:rFonts w:asciiTheme="majorBidi" w:eastAsia="Arial" w:hAnsiTheme="majorBidi" w:cstheme="majorBidi"/>
          <w:color w:val="242424"/>
          <w:spacing w:val="-8"/>
          <w:sz w:val="14"/>
          <w:szCs w:val="14"/>
          <w:lang w:val="en-US"/>
        </w:rPr>
        <w:t xml:space="preserve"> </w:t>
      </w:r>
      <w:r w:rsidRPr="005F0A67">
        <w:rPr>
          <w:rFonts w:asciiTheme="majorBidi" w:eastAsia="Arial" w:hAnsiTheme="majorBidi" w:cstheme="majorBidi"/>
          <w:color w:val="242424"/>
          <w:sz w:val="14"/>
          <w:szCs w:val="14"/>
          <w:lang w:val="en-US"/>
        </w:rPr>
        <w:t>ISO</w:t>
      </w:r>
      <w:r w:rsidRPr="005F0A67">
        <w:rPr>
          <w:rFonts w:asciiTheme="majorBidi" w:eastAsia="Arial" w:hAnsiTheme="majorBidi" w:cstheme="majorBidi"/>
          <w:color w:val="242424"/>
          <w:spacing w:val="-8"/>
          <w:sz w:val="14"/>
          <w:szCs w:val="14"/>
          <w:lang w:val="en-US"/>
        </w:rPr>
        <w:t xml:space="preserve"> </w:t>
      </w:r>
      <w:r w:rsidRPr="005F0A67">
        <w:rPr>
          <w:rFonts w:asciiTheme="majorBidi" w:eastAsia="Arial" w:hAnsiTheme="majorBidi" w:cstheme="majorBidi"/>
          <w:color w:val="242424"/>
          <w:sz w:val="14"/>
          <w:szCs w:val="14"/>
          <w:lang w:val="en-US"/>
        </w:rPr>
        <w:t>17442</w:t>
      </w:r>
      <w:r w:rsidRPr="005F0A67">
        <w:rPr>
          <w:rFonts w:asciiTheme="majorBidi" w:eastAsia="Arial" w:hAnsiTheme="majorBidi" w:cstheme="majorBidi"/>
          <w:color w:val="242424"/>
          <w:spacing w:val="-8"/>
          <w:sz w:val="14"/>
          <w:szCs w:val="14"/>
          <w:lang w:val="en-US"/>
        </w:rPr>
        <w:t xml:space="preserve"> </w:t>
      </w:r>
      <w:r w:rsidRPr="005F0A67">
        <w:rPr>
          <w:rFonts w:asciiTheme="majorBidi" w:eastAsia="Arial" w:hAnsiTheme="majorBidi" w:cstheme="majorBidi"/>
          <w:color w:val="242424"/>
          <w:sz w:val="14"/>
          <w:szCs w:val="14"/>
          <w:lang w:val="en-US"/>
        </w:rPr>
        <w:t>standard</w:t>
      </w:r>
      <w:r w:rsidRPr="005F0A67">
        <w:rPr>
          <w:rFonts w:asciiTheme="majorBidi" w:eastAsia="Arial" w:hAnsiTheme="majorBidi" w:cstheme="majorBidi"/>
          <w:color w:val="242424"/>
          <w:spacing w:val="-8"/>
          <w:sz w:val="14"/>
          <w:szCs w:val="14"/>
          <w:lang w:val="en-US"/>
        </w:rPr>
        <w:t xml:space="preserve"> </w:t>
      </w:r>
      <w:r w:rsidRPr="005F0A67">
        <w:rPr>
          <w:rFonts w:asciiTheme="majorBidi" w:eastAsia="Arial" w:hAnsiTheme="majorBidi" w:cstheme="majorBidi"/>
          <w:color w:val="242424"/>
          <w:sz w:val="14"/>
          <w:szCs w:val="14"/>
          <w:lang w:val="en-US"/>
        </w:rPr>
        <w:t>developed</w:t>
      </w:r>
      <w:r w:rsidRPr="005F0A67">
        <w:rPr>
          <w:rFonts w:asciiTheme="majorBidi" w:eastAsia="Arial" w:hAnsiTheme="majorBidi" w:cstheme="majorBidi"/>
          <w:color w:val="242424"/>
          <w:spacing w:val="-8"/>
          <w:sz w:val="14"/>
          <w:szCs w:val="14"/>
          <w:lang w:val="en-US"/>
        </w:rPr>
        <w:t xml:space="preserve"> </w:t>
      </w:r>
      <w:r w:rsidRPr="005F0A67">
        <w:rPr>
          <w:rFonts w:asciiTheme="majorBidi" w:eastAsia="Arial" w:hAnsiTheme="majorBidi" w:cstheme="majorBidi"/>
          <w:color w:val="242424"/>
          <w:sz w:val="14"/>
          <w:szCs w:val="14"/>
          <w:lang w:val="en-US"/>
        </w:rPr>
        <w:t>by</w:t>
      </w:r>
      <w:r w:rsidRPr="005F0A67">
        <w:rPr>
          <w:rFonts w:asciiTheme="majorBidi" w:eastAsia="Arial" w:hAnsiTheme="majorBidi" w:cstheme="majorBidi"/>
          <w:color w:val="242424"/>
          <w:spacing w:val="-8"/>
          <w:sz w:val="14"/>
          <w:szCs w:val="14"/>
          <w:lang w:val="en-US"/>
        </w:rPr>
        <w:t xml:space="preserve"> </w:t>
      </w:r>
      <w:r w:rsidRPr="005F0A67">
        <w:rPr>
          <w:rFonts w:asciiTheme="majorBidi" w:eastAsia="Arial" w:hAnsiTheme="majorBidi" w:cstheme="majorBidi"/>
          <w:color w:val="242424"/>
          <w:sz w:val="14"/>
          <w:szCs w:val="14"/>
          <w:lang w:val="en-US"/>
        </w:rPr>
        <w:t>the</w:t>
      </w:r>
      <w:r w:rsidRPr="005F0A67">
        <w:rPr>
          <w:rFonts w:asciiTheme="majorBidi" w:eastAsia="Arial" w:hAnsiTheme="majorBidi" w:cstheme="majorBidi"/>
          <w:color w:val="242424"/>
          <w:spacing w:val="-8"/>
          <w:sz w:val="14"/>
          <w:szCs w:val="14"/>
          <w:lang w:val="en-US"/>
        </w:rPr>
        <w:t xml:space="preserve"> </w:t>
      </w:r>
      <w:r w:rsidRPr="005F0A67">
        <w:rPr>
          <w:rFonts w:asciiTheme="majorBidi" w:eastAsia="Arial" w:hAnsiTheme="majorBidi" w:cstheme="majorBidi"/>
          <w:color w:val="242424"/>
          <w:sz w:val="14"/>
          <w:szCs w:val="14"/>
          <w:lang w:val="en-US"/>
        </w:rPr>
        <w:t>International</w:t>
      </w:r>
      <w:r w:rsidRPr="005F0A67">
        <w:rPr>
          <w:rFonts w:asciiTheme="majorBidi" w:eastAsia="Arial" w:hAnsiTheme="majorBidi" w:cstheme="majorBidi"/>
          <w:color w:val="242424"/>
          <w:spacing w:val="40"/>
          <w:sz w:val="14"/>
          <w:szCs w:val="14"/>
          <w:lang w:val="en-US"/>
        </w:rPr>
        <w:t xml:space="preserve"> </w:t>
      </w:r>
      <w:r w:rsidRPr="005F0A67">
        <w:rPr>
          <w:rFonts w:asciiTheme="majorBidi" w:eastAsia="Arial" w:hAnsiTheme="majorBidi" w:cstheme="majorBidi"/>
          <w:color w:val="242424"/>
          <w:sz w:val="14"/>
          <w:szCs w:val="14"/>
          <w:lang w:val="en-US"/>
        </w:rPr>
        <w:t xml:space="preserve">Organization for </w:t>
      </w:r>
      <w:proofErr w:type="spellStart"/>
      <w:r w:rsidRPr="005F0A67">
        <w:rPr>
          <w:rFonts w:asciiTheme="majorBidi" w:eastAsia="Arial" w:hAnsiTheme="majorBidi" w:cstheme="majorBidi"/>
          <w:color w:val="242424"/>
          <w:sz w:val="14"/>
          <w:szCs w:val="14"/>
          <w:lang w:val="en-US"/>
        </w:rPr>
        <w:t>Standardisation</w:t>
      </w:r>
      <w:proofErr w:type="spellEnd"/>
      <w:r w:rsidRPr="005F0A67">
        <w:rPr>
          <w:rFonts w:asciiTheme="majorBidi" w:eastAsia="Arial" w:hAnsiTheme="majorBidi" w:cstheme="majorBidi"/>
          <w:color w:val="242424"/>
          <w:sz w:val="14"/>
          <w:szCs w:val="14"/>
          <w:lang w:val="en-US"/>
        </w:rPr>
        <w:t xml:space="preserve"> (ISO).</w:t>
      </w:r>
    </w:p>
    <w:p w14:paraId="7BADCE3C" w14:textId="77777777" w:rsidR="005F0A67" w:rsidRPr="005F0A67" w:rsidRDefault="005F0A67" w:rsidP="005F0A67">
      <w:pPr>
        <w:widowControl w:val="0"/>
        <w:tabs>
          <w:tab w:val="clear" w:pos="567"/>
          <w:tab w:val="clear" w:pos="1134"/>
          <w:tab w:val="clear" w:pos="1701"/>
          <w:tab w:val="clear" w:pos="2268"/>
        </w:tabs>
        <w:spacing w:before="1"/>
        <w:jc w:val="left"/>
        <w:rPr>
          <w:rFonts w:asciiTheme="majorBidi" w:eastAsia="Arial" w:hAnsiTheme="majorBidi" w:cstheme="majorBidi"/>
          <w:sz w:val="15"/>
          <w:szCs w:val="15"/>
          <w:lang w:val="en-US"/>
        </w:rPr>
      </w:pPr>
      <w:r w:rsidRPr="005F0A67">
        <w:rPr>
          <w:rFonts w:asciiTheme="majorBidi" w:eastAsia="Arial" w:hAnsiTheme="majorBidi" w:cstheme="majorBidi"/>
          <w:noProof/>
          <w:sz w:val="15"/>
          <w:szCs w:val="14"/>
          <w:lang w:val="en-US"/>
        </w:rPr>
        <mc:AlternateContent>
          <mc:Choice Requires="wps">
            <w:drawing>
              <wp:anchor distT="0" distB="0" distL="0" distR="0" simplePos="0" relativeHeight="251658373" behindDoc="1" locked="0" layoutInCell="1" allowOverlap="1" wp14:anchorId="4A968A31" wp14:editId="0C405657">
                <wp:simplePos x="0" y="0"/>
                <wp:positionH relativeFrom="page">
                  <wp:posOffset>1536699</wp:posOffset>
                </wp:positionH>
                <wp:positionV relativeFrom="paragraph">
                  <wp:posOffset>125615</wp:posOffset>
                </wp:positionV>
                <wp:extent cx="4597400" cy="24765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97400" cy="247650"/>
                        </a:xfrm>
                        <a:custGeom>
                          <a:avLst/>
                          <a:gdLst/>
                          <a:ahLst/>
                          <a:cxnLst/>
                          <a:rect l="l" t="t" r="r" b="b"/>
                          <a:pathLst>
                            <a:path w="4597400" h="247650">
                              <a:moveTo>
                                <a:pt x="0" y="225425"/>
                              </a:moveTo>
                              <a:lnTo>
                                <a:pt x="0" y="22225"/>
                              </a:lnTo>
                              <a:lnTo>
                                <a:pt x="0" y="19274"/>
                              </a:lnTo>
                              <a:lnTo>
                                <a:pt x="563" y="16439"/>
                              </a:lnTo>
                              <a:lnTo>
                                <a:pt x="1691" y="13715"/>
                              </a:lnTo>
                              <a:lnTo>
                                <a:pt x="2819" y="10991"/>
                              </a:lnTo>
                              <a:lnTo>
                                <a:pt x="4425" y="8588"/>
                              </a:lnTo>
                              <a:lnTo>
                                <a:pt x="6509" y="6506"/>
                              </a:lnTo>
                              <a:lnTo>
                                <a:pt x="8593" y="4421"/>
                              </a:lnTo>
                              <a:lnTo>
                                <a:pt x="10997" y="2815"/>
                              </a:lnTo>
                              <a:lnTo>
                                <a:pt x="13719" y="1688"/>
                              </a:lnTo>
                              <a:lnTo>
                                <a:pt x="16442" y="562"/>
                              </a:lnTo>
                              <a:lnTo>
                                <a:pt x="19277" y="0"/>
                              </a:lnTo>
                              <a:lnTo>
                                <a:pt x="22225" y="0"/>
                              </a:lnTo>
                              <a:lnTo>
                                <a:pt x="4575175" y="0"/>
                              </a:lnTo>
                              <a:lnTo>
                                <a:pt x="4578121" y="0"/>
                              </a:lnTo>
                              <a:lnTo>
                                <a:pt x="4580956" y="562"/>
                              </a:lnTo>
                              <a:lnTo>
                                <a:pt x="4583679" y="1688"/>
                              </a:lnTo>
                              <a:lnTo>
                                <a:pt x="4586402" y="2815"/>
                              </a:lnTo>
                              <a:lnTo>
                                <a:pt x="4588806" y="4421"/>
                              </a:lnTo>
                              <a:lnTo>
                                <a:pt x="4590890" y="6506"/>
                              </a:lnTo>
                              <a:lnTo>
                                <a:pt x="4592974" y="8588"/>
                              </a:lnTo>
                              <a:lnTo>
                                <a:pt x="4594580" y="10993"/>
                              </a:lnTo>
                              <a:lnTo>
                                <a:pt x="4595707" y="13717"/>
                              </a:lnTo>
                              <a:lnTo>
                                <a:pt x="4596835" y="16439"/>
                              </a:lnTo>
                              <a:lnTo>
                                <a:pt x="4597399" y="19274"/>
                              </a:lnTo>
                              <a:lnTo>
                                <a:pt x="4597400" y="22225"/>
                              </a:lnTo>
                              <a:lnTo>
                                <a:pt x="4597400" y="225425"/>
                              </a:lnTo>
                              <a:lnTo>
                                <a:pt x="4583679" y="245953"/>
                              </a:lnTo>
                              <a:lnTo>
                                <a:pt x="4580956" y="247082"/>
                              </a:lnTo>
                              <a:lnTo>
                                <a:pt x="4578121" y="247648"/>
                              </a:lnTo>
                              <a:lnTo>
                                <a:pt x="4575175" y="247650"/>
                              </a:lnTo>
                              <a:lnTo>
                                <a:pt x="22225" y="247650"/>
                              </a:lnTo>
                              <a:lnTo>
                                <a:pt x="0" y="228370"/>
                              </a:lnTo>
                              <a:lnTo>
                                <a:pt x="0" y="225425"/>
                              </a:lnTo>
                              <a:close/>
                            </a:path>
                          </a:pathLst>
                        </a:custGeom>
                        <a:ln w="6349">
                          <a:solidFill>
                            <a:srgbClr val="C7C7C7"/>
                          </a:solidFill>
                          <a:prstDash val="solid"/>
                        </a:ln>
                      </wps:spPr>
                      <wps:bodyPr wrap="square" lIns="0" tIns="0" rIns="0" bIns="0" rtlCol="0">
                        <a:prstTxWarp prst="textNoShape">
                          <a:avLst/>
                        </a:prstTxWarp>
                        <a:noAutofit/>
                      </wps:bodyPr>
                    </wps:wsp>
                  </a:graphicData>
                </a:graphic>
              </wp:anchor>
            </w:drawing>
          </mc:Choice>
          <mc:Fallback>
            <w:pict>
              <v:shape w14:anchorId="4CCB182C" id="Graphic 13" o:spid="_x0000_s1026" style="position:absolute;margin-left:121pt;margin-top:9.9pt;width:362pt;height:19.5pt;z-index:-251658107;visibility:visible;mso-wrap-style:square;mso-wrap-distance-left:0;mso-wrap-distance-top:0;mso-wrap-distance-right:0;mso-wrap-distance-bottom:0;mso-position-horizontal:absolute;mso-position-horizontal-relative:page;mso-position-vertical:absolute;mso-position-vertical-relative:text;v-text-anchor:top" coordsize="4597400,247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" path="m,225425l,22225,,19274,563,16439,1691,13715,2819,10991,4425,8588,6509,6506,8593,4421,10997,2815,13719,1688,16442,562,19277,r2948,l4575175,r2946,l4580956,562r2723,1126l4586402,2815r2404,1606l4590890,6506r2084,2082l4594580,10993r1127,2724l4596835,16439r564,2835l4597400,22225r,203200l4583679,245953r-2723,1129l4578121,247648r-2946,2l22225,247650,,228370r,-2945xe" filled="f" strokecolor="#c7c7c7" strokeweight=".17636mm">
                <v:path arrowok="t"/>
                <w10:wrap type="topAndBottom" anchorx="page"/>
              </v:shape>
            </w:pict>
          </mc:Fallback>
        </mc:AlternateContent>
      </w:r>
    </w:p>
    <w:p w14:paraId="55CDDCFD" w14:textId="77777777" w:rsidR="005F0A67" w:rsidRPr="005F0A67" w:rsidRDefault="005F0A67" w:rsidP="005F0A67">
      <w:pPr>
        <w:widowControl w:val="0"/>
        <w:tabs>
          <w:tab w:val="clear" w:pos="567"/>
          <w:tab w:val="clear" w:pos="1134"/>
          <w:tab w:val="clear" w:pos="1701"/>
          <w:tab w:val="clear" w:pos="2268"/>
        </w:tabs>
        <w:jc w:val="left"/>
        <w:rPr>
          <w:rFonts w:asciiTheme="majorBidi" w:eastAsia="Arial" w:hAnsiTheme="majorBidi" w:cstheme="majorBidi"/>
          <w:sz w:val="17"/>
          <w:szCs w:val="17"/>
          <w:lang w:val="en-US"/>
        </w:rPr>
      </w:pPr>
    </w:p>
    <w:p w14:paraId="55A3C63A" w14:textId="77777777" w:rsidR="005F0A67" w:rsidRPr="005F0A67" w:rsidRDefault="005F0A67" w:rsidP="005F0A67">
      <w:pPr>
        <w:widowControl w:val="0"/>
        <w:tabs>
          <w:tab w:val="clear" w:pos="567"/>
          <w:tab w:val="clear" w:pos="1134"/>
          <w:tab w:val="clear" w:pos="1701"/>
          <w:tab w:val="clear" w:pos="2268"/>
        </w:tabs>
        <w:spacing w:before="24"/>
        <w:jc w:val="left"/>
        <w:rPr>
          <w:rFonts w:asciiTheme="majorBidi" w:eastAsia="Arial" w:hAnsiTheme="majorBidi" w:cstheme="majorBidi"/>
          <w:sz w:val="17"/>
          <w:szCs w:val="17"/>
          <w:lang w:val="en-US"/>
        </w:rPr>
      </w:pPr>
    </w:p>
    <w:p w14:paraId="06F883A1" w14:textId="77777777" w:rsidR="005F0A67" w:rsidRPr="005F0A67" w:rsidRDefault="005F0A67" w:rsidP="003A387A">
      <w:pPr>
        <w:widowControl w:val="0"/>
        <w:numPr>
          <w:ilvl w:val="0"/>
          <w:numId w:val="44"/>
        </w:numPr>
        <w:tabs>
          <w:tab w:val="clear" w:pos="567"/>
          <w:tab w:val="clear" w:pos="1134"/>
          <w:tab w:val="clear" w:pos="1701"/>
          <w:tab w:val="clear" w:pos="2268"/>
          <w:tab w:val="left" w:pos="703"/>
        </w:tabs>
        <w:autoSpaceDE w:val="0"/>
        <w:autoSpaceDN w:val="0"/>
        <w:ind w:left="703" w:hanging="187"/>
        <w:jc w:val="left"/>
        <w:rPr>
          <w:rFonts w:asciiTheme="majorBidi" w:eastAsia="Georgia" w:hAnsiTheme="majorBidi" w:cstheme="majorBidi"/>
          <w:color w:val="1A1A1A"/>
          <w:sz w:val="17"/>
          <w:szCs w:val="17"/>
          <w:lang w:eastAsia="en-GB"/>
        </w:rPr>
      </w:pPr>
      <w:r w:rsidRPr="005F0A67">
        <w:rPr>
          <w:rFonts w:asciiTheme="majorBidi" w:eastAsia="Georgia" w:hAnsiTheme="majorBidi" w:cstheme="majorBidi"/>
          <w:color w:val="242424"/>
          <w:sz w:val="17"/>
          <w:szCs w:val="17"/>
          <w:lang w:eastAsia="en-GB"/>
        </w:rPr>
        <w:lastRenderedPageBreak/>
        <w:t>Please</w:t>
      </w:r>
      <w:r w:rsidRPr="005F0A67">
        <w:rPr>
          <w:rFonts w:asciiTheme="majorBidi" w:eastAsia="Georgia" w:hAnsiTheme="majorBidi" w:cstheme="majorBidi"/>
          <w:color w:val="242424"/>
          <w:spacing w:val="-11"/>
          <w:sz w:val="17"/>
          <w:szCs w:val="17"/>
          <w:lang w:eastAsia="en-GB"/>
        </w:rPr>
        <w:t xml:space="preserve"> </w:t>
      </w:r>
      <w:r w:rsidRPr="005F0A67">
        <w:rPr>
          <w:rFonts w:asciiTheme="majorBidi" w:eastAsia="Georgia" w:hAnsiTheme="majorBidi" w:cstheme="majorBidi"/>
          <w:color w:val="242424"/>
          <w:sz w:val="17"/>
          <w:szCs w:val="17"/>
          <w:lang w:eastAsia="en-GB"/>
        </w:rPr>
        <w:t>provide</w:t>
      </w:r>
      <w:r w:rsidRPr="005F0A67">
        <w:rPr>
          <w:rFonts w:asciiTheme="majorBidi" w:eastAsia="Georgia" w:hAnsiTheme="majorBidi" w:cstheme="majorBidi"/>
          <w:color w:val="242424"/>
          <w:spacing w:val="-10"/>
          <w:sz w:val="17"/>
          <w:szCs w:val="17"/>
          <w:lang w:eastAsia="en-GB"/>
        </w:rPr>
        <w:t xml:space="preserve"> </w:t>
      </w:r>
      <w:r w:rsidRPr="005F0A67">
        <w:rPr>
          <w:rFonts w:asciiTheme="majorBidi" w:eastAsia="Georgia" w:hAnsiTheme="majorBidi" w:cstheme="majorBidi"/>
          <w:color w:val="242424"/>
          <w:sz w:val="17"/>
          <w:szCs w:val="17"/>
          <w:lang w:eastAsia="en-GB"/>
        </w:rPr>
        <w:t>your</w:t>
      </w:r>
      <w:r w:rsidRPr="005F0A67">
        <w:rPr>
          <w:rFonts w:asciiTheme="majorBidi" w:eastAsia="Georgia" w:hAnsiTheme="majorBidi" w:cstheme="majorBidi"/>
          <w:color w:val="242424"/>
          <w:spacing w:val="-10"/>
          <w:sz w:val="17"/>
          <w:szCs w:val="17"/>
          <w:lang w:eastAsia="en-GB"/>
        </w:rPr>
        <w:t xml:space="preserve"> </w:t>
      </w:r>
      <w:r w:rsidRPr="005F0A67">
        <w:rPr>
          <w:rFonts w:asciiTheme="majorBidi" w:eastAsia="Georgia" w:hAnsiTheme="majorBidi" w:cstheme="majorBidi"/>
          <w:color w:val="242424"/>
          <w:sz w:val="17"/>
          <w:szCs w:val="17"/>
          <w:lang w:eastAsia="en-GB"/>
        </w:rPr>
        <w:t>company's</w:t>
      </w:r>
      <w:r w:rsidRPr="005F0A67">
        <w:rPr>
          <w:rFonts w:asciiTheme="majorBidi" w:eastAsia="Georgia" w:hAnsiTheme="majorBidi" w:cstheme="majorBidi"/>
          <w:color w:val="242424"/>
          <w:spacing w:val="-10"/>
          <w:sz w:val="17"/>
          <w:szCs w:val="17"/>
          <w:lang w:eastAsia="en-GB"/>
        </w:rPr>
        <w:t xml:space="preserve"> </w:t>
      </w:r>
      <w:r w:rsidRPr="005F0A67">
        <w:rPr>
          <w:rFonts w:asciiTheme="majorBidi" w:eastAsia="Georgia" w:hAnsiTheme="majorBidi" w:cstheme="majorBidi"/>
          <w:b/>
          <w:bCs/>
          <w:color w:val="242424"/>
          <w:sz w:val="17"/>
          <w:szCs w:val="17"/>
          <w:lang w:eastAsia="en-GB"/>
        </w:rPr>
        <w:t>country</w:t>
      </w:r>
      <w:r w:rsidRPr="005F0A67">
        <w:rPr>
          <w:rFonts w:asciiTheme="majorBidi" w:eastAsia="Georgia" w:hAnsiTheme="majorBidi" w:cstheme="majorBidi"/>
          <w:b/>
          <w:bCs/>
          <w:color w:val="242424"/>
          <w:spacing w:val="-10"/>
          <w:sz w:val="17"/>
          <w:szCs w:val="17"/>
          <w:lang w:eastAsia="en-GB"/>
        </w:rPr>
        <w:t xml:space="preserve"> </w:t>
      </w:r>
      <w:r w:rsidRPr="005F0A67">
        <w:rPr>
          <w:rFonts w:asciiTheme="majorBidi" w:eastAsia="Georgia" w:hAnsiTheme="majorBidi" w:cstheme="majorBidi"/>
          <w:b/>
          <w:bCs/>
          <w:color w:val="242424"/>
          <w:sz w:val="17"/>
          <w:szCs w:val="17"/>
          <w:lang w:eastAsia="en-GB"/>
        </w:rPr>
        <w:t>of</w:t>
      </w:r>
      <w:r w:rsidRPr="005F0A67">
        <w:rPr>
          <w:rFonts w:asciiTheme="majorBidi" w:eastAsia="Georgia" w:hAnsiTheme="majorBidi" w:cstheme="majorBidi"/>
          <w:b/>
          <w:bCs/>
          <w:color w:val="242424"/>
          <w:spacing w:val="-10"/>
          <w:sz w:val="17"/>
          <w:szCs w:val="17"/>
          <w:lang w:eastAsia="en-GB"/>
        </w:rPr>
        <w:t xml:space="preserve"> </w:t>
      </w:r>
      <w:r w:rsidRPr="005F0A67">
        <w:rPr>
          <w:rFonts w:asciiTheme="majorBidi" w:eastAsia="Georgia" w:hAnsiTheme="majorBidi" w:cstheme="majorBidi"/>
          <w:b/>
          <w:bCs/>
          <w:color w:val="242424"/>
          <w:sz w:val="17"/>
          <w:szCs w:val="17"/>
          <w:lang w:eastAsia="en-GB"/>
        </w:rPr>
        <w:t>registration</w:t>
      </w:r>
      <w:r w:rsidRPr="005F0A67">
        <w:rPr>
          <w:rFonts w:asciiTheme="majorBidi" w:eastAsia="Georgia" w:hAnsiTheme="majorBidi" w:cstheme="majorBidi"/>
          <w:b/>
          <w:bCs/>
          <w:color w:val="242424"/>
          <w:spacing w:val="-10"/>
          <w:sz w:val="17"/>
          <w:szCs w:val="17"/>
          <w:lang w:eastAsia="en-GB"/>
        </w:rPr>
        <w:t xml:space="preserve"> </w:t>
      </w:r>
      <w:r w:rsidRPr="005F0A67">
        <w:rPr>
          <w:rFonts w:asciiTheme="majorBidi" w:eastAsia="Georgia" w:hAnsiTheme="majorBidi" w:cstheme="majorBidi"/>
          <w:color w:val="AE1515"/>
          <w:spacing w:val="-10"/>
          <w:sz w:val="17"/>
          <w:szCs w:val="17"/>
          <w:lang w:eastAsia="en-GB"/>
        </w:rPr>
        <w:t>*</w:t>
      </w:r>
    </w:p>
    <w:p w14:paraId="06DE61D4" w14:textId="77777777" w:rsidR="005F0A67" w:rsidRPr="005F0A67" w:rsidRDefault="005F0A67" w:rsidP="005F0A67">
      <w:pPr>
        <w:widowControl w:val="0"/>
        <w:tabs>
          <w:tab w:val="clear" w:pos="567"/>
          <w:tab w:val="clear" w:pos="1134"/>
          <w:tab w:val="clear" w:pos="1701"/>
          <w:tab w:val="clear" w:pos="2268"/>
        </w:tabs>
        <w:spacing w:before="9"/>
        <w:jc w:val="left"/>
        <w:rPr>
          <w:rFonts w:asciiTheme="majorBidi" w:eastAsia="Arial" w:hAnsiTheme="majorBidi" w:cstheme="majorBidi"/>
          <w:sz w:val="17"/>
          <w:szCs w:val="17"/>
          <w:lang w:val="en-US"/>
        </w:rPr>
      </w:pPr>
      <w:r w:rsidRPr="005F0A67">
        <w:rPr>
          <w:rFonts w:asciiTheme="majorBidi" w:eastAsia="Arial" w:hAnsiTheme="majorBidi" w:cstheme="majorBidi"/>
          <w:noProof/>
          <w:sz w:val="17"/>
          <w:szCs w:val="14"/>
          <w:lang w:val="en-US"/>
        </w:rPr>
        <mc:AlternateContent>
          <mc:Choice Requires="wps">
            <w:drawing>
              <wp:anchor distT="0" distB="0" distL="0" distR="0" simplePos="0" relativeHeight="251658374" behindDoc="1" locked="0" layoutInCell="1" allowOverlap="1" wp14:anchorId="1B3D0799" wp14:editId="0F5930B5">
                <wp:simplePos x="0" y="0"/>
                <wp:positionH relativeFrom="page">
                  <wp:posOffset>1536699</wp:posOffset>
                </wp:positionH>
                <wp:positionV relativeFrom="paragraph">
                  <wp:posOffset>145086</wp:posOffset>
                </wp:positionV>
                <wp:extent cx="4597400" cy="247650"/>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97400" cy="247650"/>
                        </a:xfrm>
                        <a:custGeom>
                          <a:avLst/>
                          <a:gdLst/>
                          <a:ahLst/>
                          <a:cxnLst/>
                          <a:rect l="l" t="t" r="r" b="b"/>
                          <a:pathLst>
                            <a:path w="4597400" h="247650">
                              <a:moveTo>
                                <a:pt x="0" y="225425"/>
                              </a:moveTo>
                              <a:lnTo>
                                <a:pt x="0" y="22225"/>
                              </a:lnTo>
                              <a:lnTo>
                                <a:pt x="0" y="19276"/>
                              </a:lnTo>
                              <a:lnTo>
                                <a:pt x="563" y="16439"/>
                              </a:lnTo>
                              <a:lnTo>
                                <a:pt x="1691" y="13717"/>
                              </a:lnTo>
                              <a:lnTo>
                                <a:pt x="2819" y="10991"/>
                              </a:lnTo>
                              <a:lnTo>
                                <a:pt x="4425" y="8588"/>
                              </a:lnTo>
                              <a:lnTo>
                                <a:pt x="6509" y="6508"/>
                              </a:lnTo>
                              <a:lnTo>
                                <a:pt x="8593" y="4421"/>
                              </a:lnTo>
                              <a:lnTo>
                                <a:pt x="10997" y="2815"/>
                              </a:lnTo>
                              <a:lnTo>
                                <a:pt x="13719" y="1689"/>
                              </a:lnTo>
                              <a:lnTo>
                                <a:pt x="16442" y="564"/>
                              </a:lnTo>
                              <a:lnTo>
                                <a:pt x="19277" y="0"/>
                              </a:lnTo>
                              <a:lnTo>
                                <a:pt x="22225" y="0"/>
                              </a:lnTo>
                              <a:lnTo>
                                <a:pt x="4575175" y="0"/>
                              </a:lnTo>
                              <a:lnTo>
                                <a:pt x="4578121" y="0"/>
                              </a:lnTo>
                              <a:lnTo>
                                <a:pt x="4580956" y="564"/>
                              </a:lnTo>
                              <a:lnTo>
                                <a:pt x="4583679" y="1689"/>
                              </a:lnTo>
                              <a:lnTo>
                                <a:pt x="4586402" y="2815"/>
                              </a:lnTo>
                              <a:lnTo>
                                <a:pt x="4588806" y="4421"/>
                              </a:lnTo>
                              <a:lnTo>
                                <a:pt x="4590890" y="6508"/>
                              </a:lnTo>
                              <a:lnTo>
                                <a:pt x="4592974" y="8588"/>
                              </a:lnTo>
                              <a:lnTo>
                                <a:pt x="4594580" y="10991"/>
                              </a:lnTo>
                              <a:lnTo>
                                <a:pt x="4595707" y="13717"/>
                              </a:lnTo>
                              <a:lnTo>
                                <a:pt x="4596835" y="16439"/>
                              </a:lnTo>
                              <a:lnTo>
                                <a:pt x="4597399" y="19276"/>
                              </a:lnTo>
                              <a:lnTo>
                                <a:pt x="4597400" y="22225"/>
                              </a:lnTo>
                              <a:lnTo>
                                <a:pt x="4597400" y="225425"/>
                              </a:lnTo>
                              <a:lnTo>
                                <a:pt x="4597399" y="228370"/>
                              </a:lnTo>
                              <a:lnTo>
                                <a:pt x="4596835" y="231204"/>
                              </a:lnTo>
                              <a:lnTo>
                                <a:pt x="4595707" y="233927"/>
                              </a:lnTo>
                              <a:lnTo>
                                <a:pt x="4594580" y="236649"/>
                              </a:lnTo>
                              <a:lnTo>
                                <a:pt x="4583679" y="245953"/>
                              </a:lnTo>
                              <a:lnTo>
                                <a:pt x="4580956" y="247082"/>
                              </a:lnTo>
                              <a:lnTo>
                                <a:pt x="4578121" y="247646"/>
                              </a:lnTo>
                              <a:lnTo>
                                <a:pt x="4575175" y="247650"/>
                              </a:lnTo>
                              <a:lnTo>
                                <a:pt x="22225" y="247650"/>
                              </a:lnTo>
                              <a:lnTo>
                                <a:pt x="0" y="228370"/>
                              </a:lnTo>
                              <a:lnTo>
                                <a:pt x="0" y="225425"/>
                              </a:lnTo>
                              <a:close/>
                            </a:path>
                          </a:pathLst>
                        </a:custGeom>
                        <a:ln w="6349">
                          <a:solidFill>
                            <a:srgbClr val="C7C7C7"/>
                          </a:solidFill>
                          <a:prstDash val="solid"/>
                        </a:ln>
                      </wps:spPr>
                      <wps:bodyPr wrap="square" lIns="0" tIns="0" rIns="0" bIns="0" rtlCol="0">
                        <a:prstTxWarp prst="textNoShape">
                          <a:avLst/>
                        </a:prstTxWarp>
                        <a:noAutofit/>
                      </wps:bodyPr>
                    </wps:wsp>
                  </a:graphicData>
                </a:graphic>
              </wp:anchor>
            </w:drawing>
          </mc:Choice>
          <mc:Fallback>
            <w:pict>
              <v:shape w14:anchorId="32133B67" id="Graphic 14" o:spid="_x0000_s1026" style="position:absolute;margin-left:121pt;margin-top:11.4pt;width:362pt;height:19.5pt;z-index:-251658106;visibility:visible;mso-wrap-style:square;mso-wrap-distance-left:0;mso-wrap-distance-top:0;mso-wrap-distance-right:0;mso-wrap-distance-bottom:0;mso-position-horizontal:absolute;mso-position-horizontal-relative:page;mso-position-vertical:absolute;mso-position-vertical-relative:text;v-text-anchor:top" coordsize="4597400,247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" path="m,225425l,22225,,19276,563,16439,1691,13717,2819,10991,4425,8588,6509,6508,8593,4421,10997,2815,13719,1689,16442,564,19277,r2948,l4575175,r2946,l4580956,564r2723,1125l4586402,2815r2404,1606l4590890,6508r2084,2080l4594580,10991r1127,2726l4596835,16439r564,2837l4597400,22225r,203200l4597399,228370r-564,2834l4595707,233927r-1127,2722l4583679,245953r-2723,1129l4578121,247646r-2946,4l22225,247650,,228370r,-2945xe" filled="f" strokecolor="#c7c7c7" strokeweight=".17636mm">
                <v:path arrowok="t"/>
                <w10:wrap type="topAndBottom" anchorx="page"/>
              </v:shape>
            </w:pict>
          </mc:Fallback>
        </mc:AlternateContent>
      </w:r>
    </w:p>
    <w:p w14:paraId="1C5BA72F" w14:textId="77777777" w:rsidR="005F0A67" w:rsidRPr="005F0A67" w:rsidRDefault="005F0A67" w:rsidP="005F0A67">
      <w:pPr>
        <w:tabs>
          <w:tab w:val="clear" w:pos="567"/>
          <w:tab w:val="clear" w:pos="1134"/>
          <w:tab w:val="clear" w:pos="1701"/>
          <w:tab w:val="clear" w:pos="2268"/>
        </w:tabs>
        <w:jc w:val="left"/>
        <w:rPr>
          <w:rFonts w:asciiTheme="majorBidi" w:eastAsia="Georgia" w:hAnsiTheme="majorBidi" w:cstheme="majorBidi"/>
          <w:color w:val="242424"/>
          <w:spacing w:val="-2"/>
          <w:lang w:eastAsia="en-GB"/>
        </w:rPr>
      </w:pPr>
    </w:p>
    <w:p w14:paraId="03296D27" w14:textId="77777777" w:rsidR="005F0A67" w:rsidRPr="005F0A67" w:rsidRDefault="005F0A67" w:rsidP="003A387A">
      <w:pPr>
        <w:numPr>
          <w:ilvl w:val="0"/>
          <w:numId w:val="44"/>
        </w:numPr>
        <w:tabs>
          <w:tab w:val="clear" w:pos="567"/>
          <w:tab w:val="clear" w:pos="1134"/>
          <w:tab w:val="clear" w:pos="1701"/>
          <w:tab w:val="clear" w:pos="2268"/>
          <w:tab w:val="num" w:pos="360"/>
          <w:tab w:val="left" w:pos="703"/>
        </w:tabs>
        <w:spacing w:before="97" w:after="160"/>
        <w:ind w:left="703" w:hanging="187"/>
        <w:jc w:val="left"/>
        <w:outlineLvl w:val="2"/>
        <w:rPr>
          <w:rFonts w:asciiTheme="majorBidi" w:eastAsia="Arial" w:hAnsiTheme="majorBidi" w:cstheme="majorBidi"/>
          <w:b/>
          <w:bCs/>
          <w:color w:val="7F7F7F"/>
          <w:sz w:val="23"/>
          <w:szCs w:val="23"/>
          <w:lang w:val="en-CA" w:eastAsia="en-GB"/>
        </w:rPr>
      </w:pPr>
      <w:bookmarkStart w:id="278" w:name="_Toc234579632"/>
      <w:r w:rsidRPr="005F0A67">
        <w:rPr>
          <w:rFonts w:asciiTheme="majorBidi" w:eastAsia="Georgia" w:hAnsiTheme="majorBidi" w:cstheme="majorBidi"/>
          <w:color w:val="242424"/>
          <w:sz w:val="17"/>
          <w:szCs w:val="17"/>
          <w:lang w:val="en-CA" w:eastAsia="en-GB"/>
        </w:rPr>
        <w:t xml:space="preserve">Which sector best describes your organisation’s </w:t>
      </w:r>
      <w:r w:rsidRPr="005F0A67">
        <w:rPr>
          <w:rFonts w:asciiTheme="majorBidi" w:eastAsia="Georgia" w:hAnsiTheme="majorBidi" w:cstheme="majorBidi"/>
          <w:b/>
          <w:bCs/>
          <w:color w:val="242424"/>
          <w:sz w:val="17"/>
          <w:szCs w:val="17"/>
          <w:lang w:val="en-CA" w:eastAsia="en-GB"/>
        </w:rPr>
        <w:t>primary activity</w:t>
      </w:r>
      <w:r w:rsidRPr="005F0A67">
        <w:rPr>
          <w:rFonts w:asciiTheme="majorBidi" w:eastAsia="Georgia" w:hAnsiTheme="majorBidi" w:cstheme="majorBidi"/>
          <w:color w:val="242424"/>
          <w:sz w:val="17"/>
          <w:szCs w:val="17"/>
          <w:lang w:val="en-CA" w:eastAsia="en-GB"/>
        </w:rPr>
        <w:t>? (Select one)</w:t>
      </w:r>
      <w:r w:rsidRPr="005F0A67">
        <w:rPr>
          <w:rFonts w:asciiTheme="majorBidi" w:eastAsia="Arial" w:hAnsiTheme="majorBidi" w:cstheme="majorBidi"/>
          <w:b/>
          <w:bCs/>
          <w:color w:val="242424"/>
          <w:sz w:val="23"/>
          <w:szCs w:val="23"/>
          <w:lang w:val="en-CA" w:eastAsia="en-GB"/>
        </w:rPr>
        <w:t xml:space="preserve"> </w:t>
      </w:r>
      <w:r w:rsidRPr="005F0A67">
        <w:rPr>
          <w:rFonts w:asciiTheme="majorBidi" w:eastAsia="Arial" w:hAnsiTheme="majorBidi" w:cstheme="majorBidi"/>
          <w:b/>
          <w:bCs/>
          <w:color w:val="AE1515"/>
          <w:spacing w:val="-10"/>
          <w:sz w:val="23"/>
          <w:szCs w:val="23"/>
          <w:lang w:val="en-CA" w:eastAsia="en-GB"/>
        </w:rPr>
        <w:t>*</w:t>
      </w:r>
      <w:bookmarkEnd w:id="278"/>
    </w:p>
    <w:p w14:paraId="674D11AF" w14:textId="77777777" w:rsidR="005F0A67" w:rsidRPr="005F0A67" w:rsidRDefault="005F0A67" w:rsidP="005F0A67">
      <w:pPr>
        <w:widowControl w:val="0"/>
        <w:tabs>
          <w:tab w:val="clear" w:pos="567"/>
          <w:tab w:val="clear" w:pos="1134"/>
          <w:tab w:val="clear" w:pos="1701"/>
          <w:tab w:val="clear" w:pos="2268"/>
        </w:tabs>
        <w:spacing w:before="123"/>
        <w:jc w:val="left"/>
        <w:rPr>
          <w:rFonts w:asciiTheme="majorBidi" w:eastAsia="Arial" w:hAnsiTheme="majorBidi" w:cstheme="majorBidi"/>
          <w:sz w:val="14"/>
          <w:szCs w:val="14"/>
          <w:lang w:val="en-US"/>
        </w:rPr>
      </w:pPr>
    </w:p>
    <w:p w14:paraId="12AC6057" w14:textId="77777777" w:rsidR="005F0A67" w:rsidRPr="005F0A67" w:rsidRDefault="005F0A67" w:rsidP="005F0A67">
      <w:pPr>
        <w:widowControl w:val="0"/>
        <w:tabs>
          <w:tab w:val="clear" w:pos="567"/>
          <w:tab w:val="clear" w:pos="1134"/>
          <w:tab w:val="clear" w:pos="1701"/>
          <w:tab w:val="clear" w:pos="2268"/>
        </w:tabs>
        <w:ind w:left="725"/>
        <w:jc w:val="left"/>
        <w:rPr>
          <w:rFonts w:asciiTheme="majorBidi" w:eastAsia="Arial" w:hAnsiTheme="majorBidi" w:cstheme="majorBidi"/>
          <w:sz w:val="14"/>
          <w:szCs w:val="14"/>
          <w:lang w:val="en-US"/>
        </w:rPr>
      </w:pPr>
      <w:r w:rsidRPr="005F0A67">
        <w:rPr>
          <w:rFonts w:asciiTheme="majorBidi" w:eastAsia="Arial" w:hAnsiTheme="majorBidi" w:cstheme="majorBidi"/>
          <w:noProof/>
          <w:position w:val="-4"/>
          <w:sz w:val="14"/>
          <w:szCs w:val="14"/>
          <w:lang w:val="en-US"/>
        </w:rPr>
        <w:drawing>
          <wp:inline distT="0" distB="0" distL="0" distR="0" wp14:anchorId="6BAE451A" wp14:editId="179DDCE0">
            <wp:extent cx="127000" cy="127000"/>
            <wp:effectExtent l="0" t="0" r="0" b="0"/>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39" cstate="print"/>
                    <a:stretch>
                      <a:fillRect/>
                    </a:stretch>
                  </pic:blipFill>
                  <pic:spPr>
                    <a:xfrm>
                      <a:off x="0" y="0"/>
                      <a:ext cx="127000" cy="127000"/>
                    </a:xfrm>
                    <a:prstGeom prst="rect">
                      <a:avLst/>
                    </a:prstGeom>
                  </pic:spPr>
                </pic:pic>
              </a:graphicData>
            </a:graphic>
          </wp:inline>
        </w:drawing>
      </w:r>
      <w:r w:rsidRPr="005F0A67">
        <w:rPr>
          <w:rFonts w:asciiTheme="majorBidi" w:eastAsia="Arial" w:hAnsiTheme="majorBidi" w:cstheme="majorBidi"/>
          <w:spacing w:val="80"/>
          <w:sz w:val="20"/>
          <w:szCs w:val="20"/>
          <w:lang w:val="en-US"/>
        </w:rPr>
        <w:t xml:space="preserve"> </w:t>
      </w:r>
      <w:r w:rsidRPr="005F0A67">
        <w:rPr>
          <w:rFonts w:asciiTheme="majorBidi" w:eastAsia="Arial" w:hAnsiTheme="majorBidi" w:cstheme="majorBidi"/>
          <w:color w:val="242424"/>
          <w:sz w:val="14"/>
          <w:szCs w:val="14"/>
          <w:lang w:val="en-US"/>
        </w:rPr>
        <w:t>Pharmaceuticals</w:t>
      </w:r>
    </w:p>
    <w:p w14:paraId="79F89416" w14:textId="77777777" w:rsidR="005F0A67" w:rsidRPr="005F0A67" w:rsidRDefault="005F0A67" w:rsidP="005F0A67">
      <w:pPr>
        <w:widowControl w:val="0"/>
        <w:tabs>
          <w:tab w:val="clear" w:pos="567"/>
          <w:tab w:val="clear" w:pos="1134"/>
          <w:tab w:val="clear" w:pos="1701"/>
          <w:tab w:val="clear" w:pos="2268"/>
        </w:tabs>
        <w:spacing w:before="139"/>
        <w:jc w:val="left"/>
        <w:rPr>
          <w:rFonts w:asciiTheme="majorBidi" w:eastAsia="Arial" w:hAnsiTheme="majorBidi" w:cstheme="majorBidi"/>
          <w:sz w:val="14"/>
          <w:szCs w:val="14"/>
          <w:lang w:val="en-US"/>
        </w:rPr>
      </w:pPr>
    </w:p>
    <w:p w14:paraId="50560FD2" w14:textId="77777777" w:rsidR="005F0A67" w:rsidRPr="005F0A67" w:rsidRDefault="005F0A67" w:rsidP="005F0A67">
      <w:pPr>
        <w:widowControl w:val="0"/>
        <w:tabs>
          <w:tab w:val="clear" w:pos="567"/>
          <w:tab w:val="clear" w:pos="1134"/>
          <w:tab w:val="clear" w:pos="1701"/>
          <w:tab w:val="clear" w:pos="2268"/>
        </w:tabs>
        <w:spacing w:line="600" w:lineRule="auto"/>
        <w:ind w:left="725" w:right="4478"/>
        <w:jc w:val="left"/>
        <w:rPr>
          <w:rFonts w:asciiTheme="majorBidi" w:eastAsia="Arial" w:hAnsiTheme="majorBidi" w:cstheme="majorBidi"/>
          <w:sz w:val="14"/>
          <w:szCs w:val="14"/>
          <w:lang w:val="en-US"/>
        </w:rPr>
      </w:pPr>
      <w:r w:rsidRPr="005F0A67">
        <w:rPr>
          <w:rFonts w:asciiTheme="majorBidi" w:eastAsia="Arial" w:hAnsiTheme="majorBidi" w:cstheme="majorBidi"/>
          <w:noProof/>
          <w:position w:val="-4"/>
          <w:sz w:val="14"/>
          <w:szCs w:val="14"/>
          <w:lang w:val="en-US"/>
        </w:rPr>
        <w:drawing>
          <wp:inline distT="0" distB="0" distL="0" distR="0" wp14:anchorId="1E2F3C8B" wp14:editId="153258B2">
            <wp:extent cx="127000" cy="127000"/>
            <wp:effectExtent l="0" t="0" r="0" b="0"/>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37" cstate="print"/>
                    <a:stretch>
                      <a:fillRect/>
                    </a:stretch>
                  </pic:blipFill>
                  <pic:spPr>
                    <a:xfrm>
                      <a:off x="0" y="0"/>
                      <a:ext cx="127000" cy="127000"/>
                    </a:xfrm>
                    <a:prstGeom prst="rect">
                      <a:avLst/>
                    </a:prstGeom>
                  </pic:spPr>
                </pic:pic>
              </a:graphicData>
            </a:graphic>
          </wp:inline>
        </w:drawing>
      </w:r>
      <w:r w:rsidRPr="005F0A67">
        <w:rPr>
          <w:rFonts w:asciiTheme="majorBidi" w:eastAsia="Arial" w:hAnsiTheme="majorBidi" w:cstheme="majorBidi"/>
          <w:spacing w:val="73"/>
          <w:sz w:val="20"/>
          <w:szCs w:val="20"/>
          <w:lang w:val="en-US"/>
        </w:rPr>
        <w:t xml:space="preserve"> </w:t>
      </w:r>
      <w:r w:rsidRPr="005F0A67">
        <w:rPr>
          <w:rFonts w:asciiTheme="majorBidi" w:eastAsia="Arial" w:hAnsiTheme="majorBidi" w:cstheme="majorBidi"/>
          <w:color w:val="242424"/>
          <w:sz w:val="14"/>
          <w:szCs w:val="14"/>
          <w:lang w:val="en-US"/>
        </w:rPr>
        <w:t>Nutraceuticals</w:t>
      </w:r>
      <w:r w:rsidRPr="005F0A67">
        <w:rPr>
          <w:rFonts w:asciiTheme="majorBidi" w:eastAsia="Arial" w:hAnsiTheme="majorBidi" w:cstheme="majorBidi"/>
          <w:color w:val="242424"/>
          <w:spacing w:val="-6"/>
          <w:sz w:val="14"/>
          <w:szCs w:val="14"/>
          <w:lang w:val="en-US"/>
        </w:rPr>
        <w:t xml:space="preserve"> </w:t>
      </w:r>
      <w:r w:rsidRPr="005F0A67">
        <w:rPr>
          <w:rFonts w:asciiTheme="majorBidi" w:eastAsia="Arial" w:hAnsiTheme="majorBidi" w:cstheme="majorBidi"/>
          <w:color w:val="242424"/>
          <w:sz w:val="14"/>
          <w:szCs w:val="14"/>
          <w:lang w:val="en-US"/>
        </w:rPr>
        <w:t>(food</w:t>
      </w:r>
      <w:r w:rsidRPr="005F0A67">
        <w:rPr>
          <w:rFonts w:asciiTheme="majorBidi" w:eastAsia="Arial" w:hAnsiTheme="majorBidi" w:cstheme="majorBidi"/>
          <w:color w:val="242424"/>
          <w:spacing w:val="-6"/>
          <w:sz w:val="14"/>
          <w:szCs w:val="14"/>
          <w:lang w:val="en-US"/>
        </w:rPr>
        <w:t xml:space="preserve"> </w:t>
      </w:r>
      <w:r w:rsidRPr="005F0A67">
        <w:rPr>
          <w:rFonts w:asciiTheme="majorBidi" w:eastAsia="Arial" w:hAnsiTheme="majorBidi" w:cstheme="majorBidi"/>
          <w:color w:val="242424"/>
          <w:sz w:val="14"/>
          <w:szCs w:val="14"/>
          <w:lang w:val="en-US"/>
        </w:rPr>
        <w:t>and</w:t>
      </w:r>
      <w:r w:rsidRPr="005F0A67">
        <w:rPr>
          <w:rFonts w:asciiTheme="majorBidi" w:eastAsia="Arial" w:hAnsiTheme="majorBidi" w:cstheme="majorBidi"/>
          <w:color w:val="242424"/>
          <w:spacing w:val="-6"/>
          <w:sz w:val="14"/>
          <w:szCs w:val="14"/>
          <w:lang w:val="en-US"/>
        </w:rPr>
        <w:t xml:space="preserve"> </w:t>
      </w:r>
      <w:r w:rsidRPr="005F0A67">
        <w:rPr>
          <w:rFonts w:asciiTheme="majorBidi" w:eastAsia="Arial" w:hAnsiTheme="majorBidi" w:cstheme="majorBidi"/>
          <w:color w:val="242424"/>
          <w:sz w:val="14"/>
          <w:szCs w:val="14"/>
          <w:lang w:val="en-US"/>
        </w:rPr>
        <w:t>health</w:t>
      </w:r>
      <w:r w:rsidRPr="005F0A67">
        <w:rPr>
          <w:rFonts w:asciiTheme="majorBidi" w:eastAsia="Arial" w:hAnsiTheme="majorBidi" w:cstheme="majorBidi"/>
          <w:color w:val="242424"/>
          <w:spacing w:val="-6"/>
          <w:sz w:val="14"/>
          <w:szCs w:val="14"/>
          <w:lang w:val="en-US"/>
        </w:rPr>
        <w:t xml:space="preserve"> </w:t>
      </w:r>
      <w:r w:rsidRPr="005F0A67">
        <w:rPr>
          <w:rFonts w:asciiTheme="majorBidi" w:eastAsia="Arial" w:hAnsiTheme="majorBidi" w:cstheme="majorBidi"/>
          <w:color w:val="242424"/>
          <w:sz w:val="14"/>
          <w:szCs w:val="14"/>
          <w:lang w:val="en-US"/>
        </w:rPr>
        <w:t>supplements)</w:t>
      </w:r>
      <w:r w:rsidRPr="005F0A67">
        <w:rPr>
          <w:rFonts w:asciiTheme="majorBidi" w:eastAsia="Arial" w:hAnsiTheme="majorBidi" w:cstheme="majorBidi"/>
          <w:color w:val="242424"/>
          <w:spacing w:val="40"/>
          <w:sz w:val="14"/>
          <w:szCs w:val="14"/>
          <w:lang w:val="en-US"/>
        </w:rPr>
        <w:t xml:space="preserve"> </w:t>
      </w:r>
      <w:r w:rsidRPr="005F0A67">
        <w:rPr>
          <w:rFonts w:asciiTheme="majorBidi" w:eastAsia="Arial" w:hAnsiTheme="majorBidi" w:cstheme="majorBidi"/>
          <w:noProof/>
          <w:color w:val="242424"/>
          <w:position w:val="-4"/>
          <w:sz w:val="14"/>
          <w:szCs w:val="14"/>
          <w:lang w:val="en-US"/>
        </w:rPr>
        <w:drawing>
          <wp:inline distT="0" distB="0" distL="0" distR="0" wp14:anchorId="478160FB" wp14:editId="49725F7D">
            <wp:extent cx="127000" cy="127000"/>
            <wp:effectExtent l="0" t="0" r="0" b="0"/>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38" cstate="print"/>
                    <a:stretch>
                      <a:fillRect/>
                    </a:stretch>
                  </pic:blipFill>
                  <pic:spPr>
                    <a:xfrm>
                      <a:off x="0" y="0"/>
                      <a:ext cx="127000" cy="127000"/>
                    </a:xfrm>
                    <a:prstGeom prst="rect">
                      <a:avLst/>
                    </a:prstGeom>
                  </pic:spPr>
                </pic:pic>
              </a:graphicData>
            </a:graphic>
          </wp:inline>
        </w:drawing>
      </w:r>
      <w:r w:rsidRPr="005F0A67">
        <w:rPr>
          <w:rFonts w:asciiTheme="majorBidi" w:eastAsia="Arial" w:hAnsiTheme="majorBidi" w:cstheme="majorBidi"/>
          <w:color w:val="242424"/>
          <w:spacing w:val="80"/>
          <w:sz w:val="14"/>
          <w:szCs w:val="14"/>
          <w:lang w:val="en-US"/>
        </w:rPr>
        <w:t xml:space="preserve"> </w:t>
      </w:r>
      <w:r w:rsidRPr="005F0A67">
        <w:rPr>
          <w:rFonts w:asciiTheme="majorBidi" w:eastAsia="Arial" w:hAnsiTheme="majorBidi" w:cstheme="majorBidi"/>
          <w:color w:val="242424"/>
          <w:sz w:val="14"/>
          <w:szCs w:val="14"/>
          <w:lang w:val="en-US"/>
        </w:rPr>
        <w:t>Cosmetics</w:t>
      </w:r>
    </w:p>
    <w:p w14:paraId="10A9C0A3" w14:textId="77777777" w:rsidR="005F0A67" w:rsidRPr="005F0A67" w:rsidRDefault="005F0A67" w:rsidP="005F0A67">
      <w:pPr>
        <w:widowControl w:val="0"/>
        <w:tabs>
          <w:tab w:val="clear" w:pos="567"/>
          <w:tab w:val="clear" w:pos="1134"/>
          <w:tab w:val="clear" w:pos="1701"/>
          <w:tab w:val="clear" w:pos="2268"/>
        </w:tabs>
        <w:spacing w:line="600" w:lineRule="auto"/>
        <w:ind w:left="725" w:right="5656"/>
        <w:jc w:val="left"/>
        <w:rPr>
          <w:rFonts w:asciiTheme="majorBidi" w:eastAsia="Arial" w:hAnsiTheme="majorBidi" w:cstheme="majorBidi"/>
          <w:sz w:val="14"/>
          <w:szCs w:val="14"/>
          <w:lang w:val="en-US"/>
        </w:rPr>
      </w:pPr>
      <w:r w:rsidRPr="005F0A67">
        <w:rPr>
          <w:rFonts w:asciiTheme="majorBidi" w:eastAsia="Arial" w:hAnsiTheme="majorBidi" w:cstheme="majorBidi"/>
          <w:noProof/>
          <w:position w:val="-4"/>
          <w:sz w:val="14"/>
          <w:szCs w:val="14"/>
          <w:lang w:val="en-US"/>
        </w:rPr>
        <w:drawing>
          <wp:inline distT="0" distB="0" distL="0" distR="0" wp14:anchorId="43C6243D" wp14:editId="23690C3B">
            <wp:extent cx="127000" cy="127000"/>
            <wp:effectExtent l="0" t="0" r="0" b="0"/>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39" cstate="print"/>
                    <a:stretch>
                      <a:fillRect/>
                    </a:stretch>
                  </pic:blipFill>
                  <pic:spPr>
                    <a:xfrm>
                      <a:off x="0" y="0"/>
                      <a:ext cx="127000" cy="127000"/>
                    </a:xfrm>
                    <a:prstGeom prst="rect">
                      <a:avLst/>
                    </a:prstGeom>
                  </pic:spPr>
                </pic:pic>
              </a:graphicData>
            </a:graphic>
          </wp:inline>
        </w:drawing>
      </w:r>
      <w:r w:rsidRPr="005F0A67">
        <w:rPr>
          <w:rFonts w:asciiTheme="majorBidi" w:eastAsia="Arial" w:hAnsiTheme="majorBidi" w:cstheme="majorBidi"/>
          <w:spacing w:val="80"/>
          <w:sz w:val="20"/>
          <w:szCs w:val="20"/>
          <w:lang w:val="en-US"/>
        </w:rPr>
        <w:t xml:space="preserve"> </w:t>
      </w:r>
      <w:r w:rsidRPr="005F0A67">
        <w:rPr>
          <w:rFonts w:asciiTheme="majorBidi" w:eastAsia="Arial" w:hAnsiTheme="majorBidi" w:cstheme="majorBidi"/>
          <w:color w:val="242424"/>
          <w:sz w:val="14"/>
          <w:szCs w:val="14"/>
          <w:lang w:val="en-US"/>
        </w:rPr>
        <w:t>Animal</w:t>
      </w:r>
      <w:r w:rsidRPr="005F0A67">
        <w:rPr>
          <w:rFonts w:asciiTheme="majorBidi" w:eastAsia="Arial" w:hAnsiTheme="majorBidi" w:cstheme="majorBidi"/>
          <w:color w:val="242424"/>
          <w:spacing w:val="-4"/>
          <w:sz w:val="14"/>
          <w:szCs w:val="14"/>
          <w:lang w:val="en-US"/>
        </w:rPr>
        <w:t xml:space="preserve"> </w:t>
      </w:r>
      <w:r w:rsidRPr="005F0A67">
        <w:rPr>
          <w:rFonts w:asciiTheme="majorBidi" w:eastAsia="Arial" w:hAnsiTheme="majorBidi" w:cstheme="majorBidi"/>
          <w:color w:val="242424"/>
          <w:sz w:val="14"/>
          <w:szCs w:val="14"/>
          <w:lang w:val="en-US"/>
        </w:rPr>
        <w:t>and</w:t>
      </w:r>
      <w:r w:rsidRPr="005F0A67">
        <w:rPr>
          <w:rFonts w:asciiTheme="majorBidi" w:eastAsia="Arial" w:hAnsiTheme="majorBidi" w:cstheme="majorBidi"/>
          <w:color w:val="242424"/>
          <w:spacing w:val="-4"/>
          <w:sz w:val="14"/>
          <w:szCs w:val="14"/>
          <w:lang w:val="en-US"/>
        </w:rPr>
        <w:t xml:space="preserve"> </w:t>
      </w:r>
      <w:r w:rsidRPr="005F0A67">
        <w:rPr>
          <w:rFonts w:asciiTheme="majorBidi" w:eastAsia="Arial" w:hAnsiTheme="majorBidi" w:cstheme="majorBidi"/>
          <w:color w:val="242424"/>
          <w:sz w:val="14"/>
          <w:szCs w:val="14"/>
          <w:lang w:val="en-US"/>
        </w:rPr>
        <w:t>plant</w:t>
      </w:r>
      <w:r w:rsidRPr="005F0A67">
        <w:rPr>
          <w:rFonts w:asciiTheme="majorBidi" w:eastAsia="Arial" w:hAnsiTheme="majorBidi" w:cstheme="majorBidi"/>
          <w:color w:val="242424"/>
          <w:spacing w:val="-4"/>
          <w:sz w:val="14"/>
          <w:szCs w:val="14"/>
          <w:lang w:val="en-US"/>
        </w:rPr>
        <w:t xml:space="preserve"> </w:t>
      </w:r>
      <w:r w:rsidRPr="005F0A67">
        <w:rPr>
          <w:rFonts w:asciiTheme="majorBidi" w:eastAsia="Arial" w:hAnsiTheme="majorBidi" w:cstheme="majorBidi"/>
          <w:color w:val="242424"/>
          <w:sz w:val="14"/>
          <w:szCs w:val="14"/>
          <w:lang w:val="en-US"/>
        </w:rPr>
        <w:t>breeding</w:t>
      </w:r>
      <w:r w:rsidRPr="005F0A67">
        <w:rPr>
          <w:rFonts w:asciiTheme="majorBidi" w:eastAsia="Arial" w:hAnsiTheme="majorBidi" w:cstheme="majorBidi"/>
          <w:color w:val="242424"/>
          <w:spacing w:val="40"/>
          <w:sz w:val="14"/>
          <w:szCs w:val="14"/>
          <w:lang w:val="en-US"/>
        </w:rPr>
        <w:t xml:space="preserve"> </w:t>
      </w:r>
      <w:r w:rsidRPr="005F0A67">
        <w:rPr>
          <w:rFonts w:asciiTheme="majorBidi" w:eastAsia="Arial" w:hAnsiTheme="majorBidi" w:cstheme="majorBidi"/>
          <w:noProof/>
          <w:color w:val="242424"/>
          <w:position w:val="-4"/>
          <w:sz w:val="14"/>
          <w:szCs w:val="14"/>
          <w:lang w:val="en-US"/>
        </w:rPr>
        <w:drawing>
          <wp:inline distT="0" distB="0" distL="0" distR="0" wp14:anchorId="100705A2" wp14:editId="786FD54A">
            <wp:extent cx="127000" cy="127000"/>
            <wp:effectExtent l="0" t="0" r="0" b="0"/>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37" cstate="print"/>
                    <a:stretch>
                      <a:fillRect/>
                    </a:stretch>
                  </pic:blipFill>
                  <pic:spPr>
                    <a:xfrm>
                      <a:off x="0" y="0"/>
                      <a:ext cx="127000" cy="127000"/>
                    </a:xfrm>
                    <a:prstGeom prst="rect">
                      <a:avLst/>
                    </a:prstGeom>
                  </pic:spPr>
                </pic:pic>
              </a:graphicData>
            </a:graphic>
          </wp:inline>
        </w:drawing>
      </w:r>
      <w:r w:rsidRPr="005F0A67">
        <w:rPr>
          <w:rFonts w:asciiTheme="majorBidi" w:eastAsia="Arial" w:hAnsiTheme="majorBidi" w:cstheme="majorBidi"/>
          <w:color w:val="242424"/>
          <w:spacing w:val="80"/>
          <w:sz w:val="14"/>
          <w:szCs w:val="14"/>
          <w:lang w:val="en-US"/>
        </w:rPr>
        <w:t xml:space="preserve"> </w:t>
      </w:r>
      <w:r w:rsidRPr="005F0A67">
        <w:rPr>
          <w:rFonts w:asciiTheme="majorBidi" w:eastAsia="Arial" w:hAnsiTheme="majorBidi" w:cstheme="majorBidi"/>
          <w:color w:val="242424"/>
          <w:sz w:val="14"/>
          <w:szCs w:val="14"/>
          <w:lang w:val="en-US"/>
        </w:rPr>
        <w:t>Biotechnology</w:t>
      </w:r>
    </w:p>
    <w:p w14:paraId="5B4FDC6B" w14:textId="77777777" w:rsidR="005F0A67" w:rsidRPr="005F0A67" w:rsidRDefault="005F0A67" w:rsidP="005F0A67">
      <w:pPr>
        <w:widowControl w:val="0"/>
        <w:tabs>
          <w:tab w:val="clear" w:pos="567"/>
          <w:tab w:val="clear" w:pos="1134"/>
          <w:tab w:val="clear" w:pos="1701"/>
          <w:tab w:val="clear" w:pos="2268"/>
        </w:tabs>
        <w:spacing w:line="297" w:lineRule="auto"/>
        <w:ind w:left="1065" w:right="484"/>
        <w:jc w:val="left"/>
        <w:rPr>
          <w:rFonts w:asciiTheme="majorBidi" w:eastAsia="Arial" w:hAnsiTheme="majorBidi" w:cstheme="majorBidi"/>
          <w:sz w:val="14"/>
          <w:szCs w:val="14"/>
          <w:lang w:val="en-US"/>
        </w:rPr>
      </w:pPr>
      <w:r w:rsidRPr="005F0A67">
        <w:rPr>
          <w:rFonts w:asciiTheme="majorBidi" w:eastAsia="Arial" w:hAnsiTheme="majorBidi" w:cstheme="majorBidi"/>
          <w:noProof/>
          <w:sz w:val="14"/>
          <w:szCs w:val="14"/>
          <w:lang w:val="en-US"/>
        </w:rPr>
        <w:drawing>
          <wp:anchor distT="0" distB="0" distL="0" distR="0" simplePos="0" relativeHeight="251658240" behindDoc="0" locked="0" layoutInCell="1" allowOverlap="1" wp14:anchorId="755675FC" wp14:editId="10F9395D">
            <wp:simplePos x="0" y="0"/>
            <wp:positionH relativeFrom="page">
              <wp:posOffset>1539875</wp:posOffset>
            </wp:positionH>
            <wp:positionV relativeFrom="paragraph">
              <wp:posOffset>50894</wp:posOffset>
            </wp:positionV>
            <wp:extent cx="127000" cy="127000"/>
            <wp:effectExtent l="0" t="0" r="0" b="0"/>
            <wp:wrapNone/>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39" cstate="print"/>
                    <a:stretch>
                      <a:fillRect/>
                    </a:stretch>
                  </pic:blipFill>
                  <pic:spPr>
                    <a:xfrm>
                      <a:off x="0" y="0"/>
                      <a:ext cx="127000" cy="127000"/>
                    </a:xfrm>
                    <a:prstGeom prst="rect">
                      <a:avLst/>
                    </a:prstGeom>
                  </pic:spPr>
                </pic:pic>
              </a:graphicData>
            </a:graphic>
          </wp:anchor>
        </w:drawing>
      </w:r>
      <w:r w:rsidRPr="005F0A67">
        <w:rPr>
          <w:rFonts w:asciiTheme="majorBidi" w:eastAsia="Arial" w:hAnsiTheme="majorBidi" w:cstheme="majorBidi"/>
          <w:color w:val="242424"/>
          <w:sz w:val="14"/>
          <w:szCs w:val="14"/>
          <w:lang w:val="en-US"/>
        </w:rPr>
        <w:t>Laboratory</w:t>
      </w:r>
      <w:r w:rsidRPr="005F0A67">
        <w:rPr>
          <w:rFonts w:asciiTheme="majorBidi" w:eastAsia="Arial" w:hAnsiTheme="majorBidi" w:cstheme="majorBidi"/>
          <w:color w:val="242424"/>
          <w:spacing w:val="-2"/>
          <w:sz w:val="14"/>
          <w:szCs w:val="14"/>
          <w:lang w:val="en-US"/>
        </w:rPr>
        <w:t xml:space="preserve"> </w:t>
      </w:r>
      <w:r w:rsidRPr="005F0A67">
        <w:rPr>
          <w:rFonts w:asciiTheme="majorBidi" w:eastAsia="Arial" w:hAnsiTheme="majorBidi" w:cstheme="majorBidi"/>
          <w:color w:val="242424"/>
          <w:sz w:val="14"/>
          <w:szCs w:val="14"/>
          <w:lang w:val="en-US"/>
        </w:rPr>
        <w:t>equipment</w:t>
      </w:r>
      <w:r w:rsidRPr="005F0A67">
        <w:rPr>
          <w:rFonts w:asciiTheme="majorBidi" w:eastAsia="Arial" w:hAnsiTheme="majorBidi" w:cstheme="majorBidi"/>
          <w:color w:val="242424"/>
          <w:spacing w:val="-2"/>
          <w:sz w:val="14"/>
          <w:szCs w:val="14"/>
          <w:lang w:val="en-US"/>
        </w:rPr>
        <w:t xml:space="preserve"> </w:t>
      </w:r>
      <w:r w:rsidRPr="005F0A67">
        <w:rPr>
          <w:rFonts w:asciiTheme="majorBidi" w:eastAsia="Arial" w:hAnsiTheme="majorBidi" w:cstheme="majorBidi"/>
          <w:color w:val="242424"/>
          <w:sz w:val="14"/>
          <w:szCs w:val="14"/>
          <w:lang w:val="en-US"/>
        </w:rPr>
        <w:t>associated</w:t>
      </w:r>
      <w:r w:rsidRPr="005F0A67">
        <w:rPr>
          <w:rFonts w:asciiTheme="majorBidi" w:eastAsia="Arial" w:hAnsiTheme="majorBidi" w:cstheme="majorBidi"/>
          <w:color w:val="242424"/>
          <w:spacing w:val="-2"/>
          <w:sz w:val="14"/>
          <w:szCs w:val="14"/>
          <w:lang w:val="en-US"/>
        </w:rPr>
        <w:t xml:space="preserve"> </w:t>
      </w:r>
      <w:r w:rsidRPr="005F0A67">
        <w:rPr>
          <w:rFonts w:asciiTheme="majorBidi" w:eastAsia="Arial" w:hAnsiTheme="majorBidi" w:cstheme="majorBidi"/>
          <w:color w:val="242424"/>
          <w:sz w:val="14"/>
          <w:szCs w:val="14"/>
          <w:lang w:val="en-US"/>
        </w:rPr>
        <w:t>with</w:t>
      </w:r>
      <w:r w:rsidRPr="005F0A67">
        <w:rPr>
          <w:rFonts w:asciiTheme="majorBidi" w:eastAsia="Arial" w:hAnsiTheme="majorBidi" w:cstheme="majorBidi"/>
          <w:color w:val="242424"/>
          <w:spacing w:val="-2"/>
          <w:sz w:val="14"/>
          <w:szCs w:val="14"/>
          <w:lang w:val="en-US"/>
        </w:rPr>
        <w:t xml:space="preserve"> </w:t>
      </w:r>
      <w:r w:rsidRPr="005F0A67">
        <w:rPr>
          <w:rFonts w:asciiTheme="majorBidi" w:eastAsia="Arial" w:hAnsiTheme="majorBidi" w:cstheme="majorBidi"/>
          <w:color w:val="242424"/>
          <w:sz w:val="14"/>
          <w:szCs w:val="14"/>
          <w:lang w:val="en-US"/>
        </w:rPr>
        <w:t>the</w:t>
      </w:r>
      <w:r w:rsidRPr="005F0A67">
        <w:rPr>
          <w:rFonts w:asciiTheme="majorBidi" w:eastAsia="Arial" w:hAnsiTheme="majorBidi" w:cstheme="majorBidi"/>
          <w:color w:val="242424"/>
          <w:spacing w:val="-2"/>
          <w:sz w:val="14"/>
          <w:szCs w:val="14"/>
          <w:lang w:val="en-US"/>
        </w:rPr>
        <w:t xml:space="preserve"> </w:t>
      </w:r>
      <w:r w:rsidRPr="005F0A67">
        <w:rPr>
          <w:rFonts w:asciiTheme="majorBidi" w:eastAsia="Arial" w:hAnsiTheme="majorBidi" w:cstheme="majorBidi"/>
          <w:color w:val="242424"/>
          <w:sz w:val="14"/>
          <w:szCs w:val="14"/>
          <w:lang w:val="en-US"/>
        </w:rPr>
        <w:t>sequencing</w:t>
      </w:r>
      <w:r w:rsidRPr="005F0A67">
        <w:rPr>
          <w:rFonts w:asciiTheme="majorBidi" w:eastAsia="Arial" w:hAnsiTheme="majorBidi" w:cstheme="majorBidi"/>
          <w:color w:val="242424"/>
          <w:spacing w:val="-2"/>
          <w:sz w:val="14"/>
          <w:szCs w:val="14"/>
          <w:lang w:val="en-US"/>
        </w:rPr>
        <w:t xml:space="preserve"> </w:t>
      </w:r>
      <w:r w:rsidRPr="005F0A67">
        <w:rPr>
          <w:rFonts w:asciiTheme="majorBidi" w:eastAsia="Arial" w:hAnsiTheme="majorBidi" w:cstheme="majorBidi"/>
          <w:color w:val="242424"/>
          <w:sz w:val="14"/>
          <w:szCs w:val="14"/>
          <w:lang w:val="en-US"/>
        </w:rPr>
        <w:t>and</w:t>
      </w:r>
      <w:r w:rsidRPr="005F0A67">
        <w:rPr>
          <w:rFonts w:asciiTheme="majorBidi" w:eastAsia="Arial" w:hAnsiTheme="majorBidi" w:cstheme="majorBidi"/>
          <w:color w:val="242424"/>
          <w:spacing w:val="-2"/>
          <w:sz w:val="14"/>
          <w:szCs w:val="14"/>
          <w:lang w:val="en-US"/>
        </w:rPr>
        <w:t xml:space="preserve"> </w:t>
      </w:r>
      <w:r w:rsidRPr="005F0A67">
        <w:rPr>
          <w:rFonts w:asciiTheme="majorBidi" w:eastAsia="Arial" w:hAnsiTheme="majorBidi" w:cstheme="majorBidi"/>
          <w:color w:val="242424"/>
          <w:sz w:val="14"/>
          <w:szCs w:val="14"/>
          <w:lang w:val="en-US"/>
        </w:rPr>
        <w:t>use</w:t>
      </w:r>
      <w:r w:rsidRPr="005F0A67">
        <w:rPr>
          <w:rFonts w:asciiTheme="majorBidi" w:eastAsia="Arial" w:hAnsiTheme="majorBidi" w:cstheme="majorBidi"/>
          <w:color w:val="242424"/>
          <w:spacing w:val="-2"/>
          <w:sz w:val="14"/>
          <w:szCs w:val="14"/>
          <w:lang w:val="en-US"/>
        </w:rPr>
        <w:t xml:space="preserve"> </w:t>
      </w:r>
      <w:r w:rsidRPr="005F0A67">
        <w:rPr>
          <w:rFonts w:asciiTheme="majorBidi" w:eastAsia="Arial" w:hAnsiTheme="majorBidi" w:cstheme="majorBidi"/>
          <w:color w:val="242424"/>
          <w:sz w:val="14"/>
          <w:szCs w:val="14"/>
          <w:lang w:val="en-US"/>
        </w:rPr>
        <w:t>of</w:t>
      </w:r>
      <w:r w:rsidRPr="005F0A67">
        <w:rPr>
          <w:rFonts w:asciiTheme="majorBidi" w:eastAsia="Arial" w:hAnsiTheme="majorBidi" w:cstheme="majorBidi"/>
          <w:color w:val="242424"/>
          <w:spacing w:val="-2"/>
          <w:sz w:val="14"/>
          <w:szCs w:val="14"/>
          <w:lang w:val="en-US"/>
        </w:rPr>
        <w:t xml:space="preserve"> </w:t>
      </w:r>
      <w:r w:rsidRPr="005F0A67">
        <w:rPr>
          <w:rFonts w:asciiTheme="majorBidi" w:eastAsia="Arial" w:hAnsiTheme="majorBidi" w:cstheme="majorBidi"/>
          <w:color w:val="242424"/>
          <w:sz w:val="14"/>
          <w:szCs w:val="14"/>
          <w:lang w:val="en-US"/>
        </w:rPr>
        <w:t>digital</w:t>
      </w:r>
      <w:r w:rsidRPr="005F0A67">
        <w:rPr>
          <w:rFonts w:asciiTheme="majorBidi" w:eastAsia="Arial" w:hAnsiTheme="majorBidi" w:cstheme="majorBidi"/>
          <w:color w:val="242424"/>
          <w:spacing w:val="-2"/>
          <w:sz w:val="14"/>
          <w:szCs w:val="14"/>
          <w:lang w:val="en-US"/>
        </w:rPr>
        <w:t xml:space="preserve"> </w:t>
      </w:r>
      <w:r w:rsidRPr="005F0A67">
        <w:rPr>
          <w:rFonts w:asciiTheme="majorBidi" w:eastAsia="Arial" w:hAnsiTheme="majorBidi" w:cstheme="majorBidi"/>
          <w:color w:val="242424"/>
          <w:sz w:val="14"/>
          <w:szCs w:val="14"/>
          <w:lang w:val="en-US"/>
        </w:rPr>
        <w:t>sequence</w:t>
      </w:r>
      <w:r w:rsidRPr="005F0A67">
        <w:rPr>
          <w:rFonts w:asciiTheme="majorBidi" w:eastAsia="Arial" w:hAnsiTheme="majorBidi" w:cstheme="majorBidi"/>
          <w:color w:val="242424"/>
          <w:spacing w:val="-2"/>
          <w:sz w:val="14"/>
          <w:szCs w:val="14"/>
          <w:lang w:val="en-US"/>
        </w:rPr>
        <w:t xml:space="preserve"> </w:t>
      </w:r>
      <w:r w:rsidRPr="005F0A67">
        <w:rPr>
          <w:rFonts w:asciiTheme="majorBidi" w:eastAsia="Arial" w:hAnsiTheme="majorBidi" w:cstheme="majorBidi"/>
          <w:color w:val="242424"/>
          <w:sz w:val="14"/>
          <w:szCs w:val="14"/>
          <w:lang w:val="en-US"/>
        </w:rPr>
        <w:t>information</w:t>
      </w:r>
      <w:r w:rsidRPr="005F0A67">
        <w:rPr>
          <w:rFonts w:asciiTheme="majorBidi" w:eastAsia="Arial" w:hAnsiTheme="majorBidi" w:cstheme="majorBidi"/>
          <w:color w:val="242424"/>
          <w:spacing w:val="-2"/>
          <w:sz w:val="14"/>
          <w:szCs w:val="14"/>
          <w:lang w:val="en-US"/>
        </w:rPr>
        <w:t xml:space="preserve"> </w:t>
      </w:r>
      <w:r w:rsidRPr="005F0A67">
        <w:rPr>
          <w:rFonts w:asciiTheme="majorBidi" w:eastAsia="Arial" w:hAnsiTheme="majorBidi" w:cstheme="majorBidi"/>
          <w:color w:val="242424"/>
          <w:sz w:val="14"/>
          <w:szCs w:val="14"/>
          <w:lang w:val="en-US"/>
        </w:rPr>
        <w:t>on</w:t>
      </w:r>
      <w:r w:rsidRPr="005F0A67">
        <w:rPr>
          <w:rFonts w:asciiTheme="majorBidi" w:eastAsia="Arial" w:hAnsiTheme="majorBidi" w:cstheme="majorBidi"/>
          <w:color w:val="242424"/>
          <w:spacing w:val="-2"/>
          <w:sz w:val="14"/>
          <w:szCs w:val="14"/>
          <w:lang w:val="en-US"/>
        </w:rPr>
        <w:t xml:space="preserve"> </w:t>
      </w:r>
      <w:r w:rsidRPr="005F0A67">
        <w:rPr>
          <w:rFonts w:asciiTheme="majorBidi" w:eastAsia="Arial" w:hAnsiTheme="majorBidi" w:cstheme="majorBidi"/>
          <w:color w:val="242424"/>
          <w:sz w:val="14"/>
          <w:szCs w:val="14"/>
          <w:lang w:val="en-US"/>
        </w:rPr>
        <w:t>genetic</w:t>
      </w:r>
      <w:r w:rsidRPr="005F0A67">
        <w:rPr>
          <w:rFonts w:asciiTheme="majorBidi" w:eastAsia="Arial" w:hAnsiTheme="majorBidi" w:cstheme="majorBidi"/>
          <w:color w:val="242424"/>
          <w:spacing w:val="40"/>
          <w:sz w:val="14"/>
          <w:szCs w:val="14"/>
          <w:lang w:val="en-US"/>
        </w:rPr>
        <w:t xml:space="preserve"> </w:t>
      </w:r>
      <w:r w:rsidRPr="005F0A67">
        <w:rPr>
          <w:rFonts w:asciiTheme="majorBidi" w:eastAsia="Arial" w:hAnsiTheme="majorBidi" w:cstheme="majorBidi"/>
          <w:color w:val="242424"/>
          <w:sz w:val="14"/>
          <w:szCs w:val="14"/>
          <w:lang w:val="en-US"/>
        </w:rPr>
        <w:t>resources, including reagents and supplies</w:t>
      </w:r>
    </w:p>
    <w:p w14:paraId="21C7DF59" w14:textId="77777777" w:rsidR="005F0A67" w:rsidRPr="005F0A67" w:rsidRDefault="005F0A67" w:rsidP="005F0A67">
      <w:pPr>
        <w:widowControl w:val="0"/>
        <w:tabs>
          <w:tab w:val="clear" w:pos="567"/>
          <w:tab w:val="clear" w:pos="1134"/>
          <w:tab w:val="clear" w:pos="1701"/>
          <w:tab w:val="clear" w:pos="2268"/>
        </w:tabs>
        <w:spacing w:before="38"/>
        <w:jc w:val="left"/>
        <w:rPr>
          <w:rFonts w:asciiTheme="majorBidi" w:eastAsia="Arial" w:hAnsiTheme="majorBidi" w:cstheme="majorBidi"/>
          <w:sz w:val="14"/>
          <w:szCs w:val="14"/>
          <w:lang w:val="en-US"/>
        </w:rPr>
      </w:pPr>
    </w:p>
    <w:p w14:paraId="0BD01115" w14:textId="77777777" w:rsidR="005F0A67" w:rsidRPr="005F0A67" w:rsidRDefault="005F0A67" w:rsidP="005F0A67">
      <w:pPr>
        <w:widowControl w:val="0"/>
        <w:tabs>
          <w:tab w:val="clear" w:pos="567"/>
          <w:tab w:val="clear" w:pos="1134"/>
          <w:tab w:val="clear" w:pos="1701"/>
          <w:tab w:val="clear" w:pos="2268"/>
        </w:tabs>
        <w:spacing w:line="297" w:lineRule="auto"/>
        <w:ind w:left="1065" w:right="484"/>
        <w:jc w:val="left"/>
        <w:rPr>
          <w:rFonts w:asciiTheme="majorBidi" w:eastAsia="Arial" w:hAnsiTheme="majorBidi" w:cstheme="majorBidi"/>
          <w:sz w:val="14"/>
          <w:szCs w:val="14"/>
          <w:lang w:val="en-US"/>
        </w:rPr>
      </w:pPr>
      <w:r w:rsidRPr="005F0A67">
        <w:rPr>
          <w:rFonts w:asciiTheme="majorBidi" w:eastAsia="Arial" w:hAnsiTheme="majorBidi" w:cstheme="majorBidi"/>
          <w:noProof/>
          <w:sz w:val="14"/>
          <w:szCs w:val="14"/>
          <w:lang w:val="en-US"/>
        </w:rPr>
        <w:drawing>
          <wp:anchor distT="0" distB="0" distL="0" distR="0" simplePos="0" relativeHeight="251658241" behindDoc="0" locked="0" layoutInCell="1" allowOverlap="1" wp14:anchorId="441A5F28" wp14:editId="42C1481D">
            <wp:simplePos x="0" y="0"/>
            <wp:positionH relativeFrom="page">
              <wp:posOffset>1539875</wp:posOffset>
            </wp:positionH>
            <wp:positionV relativeFrom="paragraph">
              <wp:posOffset>52016</wp:posOffset>
            </wp:positionV>
            <wp:extent cx="127000" cy="127000"/>
            <wp:effectExtent l="0" t="0" r="0" b="0"/>
            <wp:wrapNone/>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39" cstate="print"/>
                    <a:stretch>
                      <a:fillRect/>
                    </a:stretch>
                  </pic:blipFill>
                  <pic:spPr>
                    <a:xfrm>
                      <a:off x="0" y="0"/>
                      <a:ext cx="127000" cy="127000"/>
                    </a:xfrm>
                    <a:prstGeom prst="rect">
                      <a:avLst/>
                    </a:prstGeom>
                  </pic:spPr>
                </pic:pic>
              </a:graphicData>
            </a:graphic>
          </wp:anchor>
        </w:drawing>
      </w:r>
      <w:r w:rsidRPr="005F0A67">
        <w:rPr>
          <w:rFonts w:asciiTheme="majorBidi" w:eastAsia="Arial" w:hAnsiTheme="majorBidi" w:cstheme="majorBidi"/>
          <w:color w:val="242424"/>
          <w:sz w:val="14"/>
          <w:szCs w:val="14"/>
          <w:lang w:val="en-US"/>
        </w:rPr>
        <w:t>Information,</w:t>
      </w:r>
      <w:r w:rsidRPr="005F0A67">
        <w:rPr>
          <w:rFonts w:asciiTheme="majorBidi" w:eastAsia="Arial" w:hAnsiTheme="majorBidi" w:cstheme="majorBidi"/>
          <w:color w:val="242424"/>
          <w:spacing w:val="-5"/>
          <w:sz w:val="14"/>
          <w:szCs w:val="14"/>
          <w:lang w:val="en-US"/>
        </w:rPr>
        <w:t xml:space="preserve"> </w:t>
      </w:r>
      <w:r w:rsidRPr="005F0A67">
        <w:rPr>
          <w:rFonts w:asciiTheme="majorBidi" w:eastAsia="Arial" w:hAnsiTheme="majorBidi" w:cstheme="majorBidi"/>
          <w:color w:val="242424"/>
          <w:sz w:val="14"/>
          <w:szCs w:val="14"/>
          <w:lang w:val="en-US"/>
        </w:rPr>
        <w:t>scientific</w:t>
      </w:r>
      <w:r w:rsidRPr="005F0A67">
        <w:rPr>
          <w:rFonts w:asciiTheme="majorBidi" w:eastAsia="Arial" w:hAnsiTheme="majorBidi" w:cstheme="majorBidi"/>
          <w:color w:val="242424"/>
          <w:spacing w:val="-5"/>
          <w:sz w:val="14"/>
          <w:szCs w:val="14"/>
          <w:lang w:val="en-US"/>
        </w:rPr>
        <w:t xml:space="preserve"> </w:t>
      </w:r>
      <w:r w:rsidRPr="005F0A67">
        <w:rPr>
          <w:rFonts w:asciiTheme="majorBidi" w:eastAsia="Arial" w:hAnsiTheme="majorBidi" w:cstheme="majorBidi"/>
          <w:color w:val="242424"/>
          <w:sz w:val="14"/>
          <w:szCs w:val="14"/>
          <w:lang w:val="en-US"/>
        </w:rPr>
        <w:t>and</w:t>
      </w:r>
      <w:r w:rsidRPr="005F0A67">
        <w:rPr>
          <w:rFonts w:asciiTheme="majorBidi" w:eastAsia="Arial" w:hAnsiTheme="majorBidi" w:cstheme="majorBidi"/>
          <w:color w:val="242424"/>
          <w:spacing w:val="-5"/>
          <w:sz w:val="14"/>
          <w:szCs w:val="14"/>
          <w:lang w:val="en-US"/>
        </w:rPr>
        <w:t xml:space="preserve"> </w:t>
      </w:r>
      <w:r w:rsidRPr="005F0A67">
        <w:rPr>
          <w:rFonts w:asciiTheme="majorBidi" w:eastAsia="Arial" w:hAnsiTheme="majorBidi" w:cstheme="majorBidi"/>
          <w:color w:val="242424"/>
          <w:sz w:val="14"/>
          <w:szCs w:val="14"/>
          <w:lang w:val="en-US"/>
        </w:rPr>
        <w:t>technical</w:t>
      </w:r>
      <w:r w:rsidRPr="005F0A67">
        <w:rPr>
          <w:rFonts w:asciiTheme="majorBidi" w:eastAsia="Arial" w:hAnsiTheme="majorBidi" w:cstheme="majorBidi"/>
          <w:color w:val="242424"/>
          <w:spacing w:val="-5"/>
          <w:sz w:val="14"/>
          <w:szCs w:val="14"/>
          <w:lang w:val="en-US"/>
        </w:rPr>
        <w:t xml:space="preserve"> </w:t>
      </w:r>
      <w:r w:rsidRPr="005F0A67">
        <w:rPr>
          <w:rFonts w:asciiTheme="majorBidi" w:eastAsia="Arial" w:hAnsiTheme="majorBidi" w:cstheme="majorBidi"/>
          <w:color w:val="242424"/>
          <w:sz w:val="14"/>
          <w:szCs w:val="14"/>
          <w:lang w:val="en-US"/>
        </w:rPr>
        <w:t>services</w:t>
      </w:r>
      <w:r w:rsidRPr="005F0A67">
        <w:rPr>
          <w:rFonts w:asciiTheme="majorBidi" w:eastAsia="Arial" w:hAnsiTheme="majorBidi" w:cstheme="majorBidi"/>
          <w:color w:val="242424"/>
          <w:spacing w:val="-5"/>
          <w:sz w:val="14"/>
          <w:szCs w:val="14"/>
          <w:lang w:val="en-US"/>
        </w:rPr>
        <w:t xml:space="preserve"> </w:t>
      </w:r>
      <w:r w:rsidRPr="005F0A67">
        <w:rPr>
          <w:rFonts w:asciiTheme="majorBidi" w:eastAsia="Arial" w:hAnsiTheme="majorBidi" w:cstheme="majorBidi"/>
          <w:color w:val="242424"/>
          <w:sz w:val="14"/>
          <w:szCs w:val="14"/>
          <w:lang w:val="en-US"/>
        </w:rPr>
        <w:t>related</w:t>
      </w:r>
      <w:r w:rsidRPr="005F0A67">
        <w:rPr>
          <w:rFonts w:asciiTheme="majorBidi" w:eastAsia="Arial" w:hAnsiTheme="majorBidi" w:cstheme="majorBidi"/>
          <w:color w:val="242424"/>
          <w:spacing w:val="-5"/>
          <w:sz w:val="14"/>
          <w:szCs w:val="14"/>
          <w:lang w:val="en-US"/>
        </w:rPr>
        <w:t xml:space="preserve"> </w:t>
      </w:r>
      <w:r w:rsidRPr="005F0A67">
        <w:rPr>
          <w:rFonts w:asciiTheme="majorBidi" w:eastAsia="Arial" w:hAnsiTheme="majorBidi" w:cstheme="majorBidi"/>
          <w:color w:val="242424"/>
          <w:sz w:val="14"/>
          <w:szCs w:val="14"/>
          <w:lang w:val="en-US"/>
        </w:rPr>
        <w:t>to</w:t>
      </w:r>
      <w:r w:rsidRPr="005F0A67">
        <w:rPr>
          <w:rFonts w:asciiTheme="majorBidi" w:eastAsia="Arial" w:hAnsiTheme="majorBidi" w:cstheme="majorBidi"/>
          <w:color w:val="242424"/>
          <w:spacing w:val="-5"/>
          <w:sz w:val="14"/>
          <w:szCs w:val="14"/>
          <w:lang w:val="en-US"/>
        </w:rPr>
        <w:t xml:space="preserve"> </w:t>
      </w:r>
      <w:r w:rsidRPr="005F0A67">
        <w:rPr>
          <w:rFonts w:asciiTheme="majorBidi" w:eastAsia="Arial" w:hAnsiTheme="majorBidi" w:cstheme="majorBidi"/>
          <w:color w:val="242424"/>
          <w:sz w:val="14"/>
          <w:szCs w:val="14"/>
          <w:lang w:val="en-US"/>
        </w:rPr>
        <w:t>digital</w:t>
      </w:r>
      <w:r w:rsidRPr="005F0A67">
        <w:rPr>
          <w:rFonts w:asciiTheme="majorBidi" w:eastAsia="Arial" w:hAnsiTheme="majorBidi" w:cstheme="majorBidi"/>
          <w:color w:val="242424"/>
          <w:spacing w:val="-5"/>
          <w:sz w:val="14"/>
          <w:szCs w:val="14"/>
          <w:lang w:val="en-US"/>
        </w:rPr>
        <w:t xml:space="preserve"> </w:t>
      </w:r>
      <w:r w:rsidRPr="005F0A67">
        <w:rPr>
          <w:rFonts w:asciiTheme="majorBidi" w:eastAsia="Arial" w:hAnsiTheme="majorBidi" w:cstheme="majorBidi"/>
          <w:color w:val="242424"/>
          <w:sz w:val="14"/>
          <w:szCs w:val="14"/>
          <w:lang w:val="en-US"/>
        </w:rPr>
        <w:t>sequence</w:t>
      </w:r>
      <w:r w:rsidRPr="005F0A67">
        <w:rPr>
          <w:rFonts w:asciiTheme="majorBidi" w:eastAsia="Arial" w:hAnsiTheme="majorBidi" w:cstheme="majorBidi"/>
          <w:color w:val="242424"/>
          <w:spacing w:val="-5"/>
          <w:sz w:val="14"/>
          <w:szCs w:val="14"/>
          <w:lang w:val="en-US"/>
        </w:rPr>
        <w:t xml:space="preserve"> </w:t>
      </w:r>
      <w:r w:rsidRPr="005F0A67">
        <w:rPr>
          <w:rFonts w:asciiTheme="majorBidi" w:eastAsia="Arial" w:hAnsiTheme="majorBidi" w:cstheme="majorBidi"/>
          <w:color w:val="242424"/>
          <w:sz w:val="14"/>
          <w:szCs w:val="14"/>
          <w:lang w:val="en-US"/>
        </w:rPr>
        <w:t>information</w:t>
      </w:r>
      <w:r w:rsidRPr="005F0A67">
        <w:rPr>
          <w:rFonts w:asciiTheme="majorBidi" w:eastAsia="Arial" w:hAnsiTheme="majorBidi" w:cstheme="majorBidi"/>
          <w:color w:val="242424"/>
          <w:spacing w:val="-5"/>
          <w:sz w:val="14"/>
          <w:szCs w:val="14"/>
          <w:lang w:val="en-US"/>
        </w:rPr>
        <w:t xml:space="preserve"> </w:t>
      </w:r>
      <w:r w:rsidRPr="005F0A67">
        <w:rPr>
          <w:rFonts w:asciiTheme="majorBidi" w:eastAsia="Arial" w:hAnsiTheme="majorBidi" w:cstheme="majorBidi"/>
          <w:color w:val="242424"/>
          <w:sz w:val="14"/>
          <w:szCs w:val="14"/>
          <w:lang w:val="en-US"/>
        </w:rPr>
        <w:t>on</w:t>
      </w:r>
      <w:r w:rsidRPr="005F0A67">
        <w:rPr>
          <w:rFonts w:asciiTheme="majorBidi" w:eastAsia="Arial" w:hAnsiTheme="majorBidi" w:cstheme="majorBidi"/>
          <w:color w:val="242424"/>
          <w:spacing w:val="-5"/>
          <w:sz w:val="14"/>
          <w:szCs w:val="14"/>
          <w:lang w:val="en-US"/>
        </w:rPr>
        <w:t xml:space="preserve"> </w:t>
      </w:r>
      <w:r w:rsidRPr="005F0A67">
        <w:rPr>
          <w:rFonts w:asciiTheme="majorBidi" w:eastAsia="Arial" w:hAnsiTheme="majorBidi" w:cstheme="majorBidi"/>
          <w:color w:val="242424"/>
          <w:sz w:val="14"/>
          <w:szCs w:val="14"/>
          <w:lang w:val="en-US"/>
        </w:rPr>
        <w:t>genetic</w:t>
      </w:r>
      <w:r w:rsidRPr="005F0A67">
        <w:rPr>
          <w:rFonts w:asciiTheme="majorBidi" w:eastAsia="Arial" w:hAnsiTheme="majorBidi" w:cstheme="majorBidi"/>
          <w:color w:val="242424"/>
          <w:spacing w:val="-5"/>
          <w:sz w:val="14"/>
          <w:szCs w:val="14"/>
          <w:lang w:val="en-US"/>
        </w:rPr>
        <w:t xml:space="preserve"> </w:t>
      </w:r>
      <w:r w:rsidRPr="005F0A67">
        <w:rPr>
          <w:rFonts w:asciiTheme="majorBidi" w:eastAsia="Arial" w:hAnsiTheme="majorBidi" w:cstheme="majorBidi"/>
          <w:color w:val="242424"/>
          <w:sz w:val="14"/>
          <w:szCs w:val="14"/>
          <w:lang w:val="en-US"/>
        </w:rPr>
        <w:t>resources,</w:t>
      </w:r>
      <w:r w:rsidRPr="005F0A67">
        <w:rPr>
          <w:rFonts w:asciiTheme="majorBidi" w:eastAsia="Arial" w:hAnsiTheme="majorBidi" w:cstheme="majorBidi"/>
          <w:color w:val="242424"/>
          <w:spacing w:val="40"/>
          <w:sz w:val="14"/>
          <w:szCs w:val="14"/>
          <w:lang w:val="en-US"/>
        </w:rPr>
        <w:t xml:space="preserve"> </w:t>
      </w:r>
      <w:r w:rsidRPr="005F0A67">
        <w:rPr>
          <w:rFonts w:asciiTheme="majorBidi" w:eastAsia="Arial" w:hAnsiTheme="majorBidi" w:cstheme="majorBidi"/>
          <w:color w:val="242424"/>
          <w:sz w:val="14"/>
          <w:szCs w:val="14"/>
          <w:lang w:val="en-US"/>
        </w:rPr>
        <w:t>including artificial intelligence</w:t>
      </w:r>
    </w:p>
    <w:p w14:paraId="482C0B80" w14:textId="77777777" w:rsidR="005F0A67" w:rsidRPr="005F0A67" w:rsidRDefault="005F0A67" w:rsidP="005F0A67">
      <w:pPr>
        <w:widowControl w:val="0"/>
        <w:tabs>
          <w:tab w:val="clear" w:pos="567"/>
          <w:tab w:val="clear" w:pos="1134"/>
          <w:tab w:val="clear" w:pos="1701"/>
          <w:tab w:val="clear" w:pos="2268"/>
        </w:tabs>
        <w:spacing w:before="111"/>
        <w:jc w:val="left"/>
        <w:rPr>
          <w:rFonts w:asciiTheme="majorBidi" w:eastAsia="Arial" w:hAnsiTheme="majorBidi" w:cstheme="majorBidi"/>
          <w:sz w:val="14"/>
          <w:szCs w:val="14"/>
          <w:lang w:val="en-US"/>
        </w:rPr>
      </w:pPr>
    </w:p>
    <w:p w14:paraId="5CC2022B" w14:textId="07A98C05" w:rsidR="005F0A67" w:rsidRPr="005F0A67" w:rsidRDefault="005F0A67" w:rsidP="005F0A67">
      <w:pPr>
        <w:tabs>
          <w:tab w:val="clear" w:pos="567"/>
          <w:tab w:val="clear" w:pos="1134"/>
          <w:tab w:val="clear" w:pos="1701"/>
          <w:tab w:val="clear" w:pos="2268"/>
        </w:tabs>
        <w:ind w:left="725"/>
        <w:jc w:val="left"/>
        <w:rPr>
          <w:rFonts w:asciiTheme="majorBidi" w:eastAsia="Times New Roman" w:hAnsiTheme="majorBidi" w:cstheme="majorBidi"/>
          <w:sz w:val="14"/>
          <w:szCs w:val="14"/>
          <w:lang w:val="en-CA" w:eastAsia="en-GB"/>
        </w:rPr>
      </w:pPr>
      <w:r w:rsidRPr="005F0A67">
        <w:rPr>
          <w:rFonts w:asciiTheme="majorBidi" w:eastAsia="Times New Roman" w:hAnsiTheme="majorBidi" w:cstheme="majorBidi"/>
          <w:noProof/>
          <w:sz w:val="24"/>
          <w:szCs w:val="24"/>
          <w:lang w:val="en-CA" w:eastAsia="en-GB"/>
        </w:rPr>
        <w:drawing>
          <wp:inline distT="0" distB="0" distL="0" distR="0" wp14:anchorId="5B27663E" wp14:editId="4D7B20E3">
            <wp:extent cx="114300" cy="123825"/>
            <wp:effectExtent l="0" t="0" r="0" b="9525"/>
            <wp:docPr id="1206704616"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Rot="1" noChangeAspect="1" noEditPoints="1" noChangeArrowheads="1" noCrop="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14300" cy="123825"/>
                    </a:xfrm>
                    <a:prstGeom prst="rect">
                      <a:avLst/>
                    </a:prstGeom>
                    <a:noFill/>
                    <a:ln>
                      <a:noFill/>
                    </a:ln>
                  </pic:spPr>
                </pic:pic>
              </a:graphicData>
            </a:graphic>
          </wp:inline>
        </w:drawing>
      </w:r>
      <w:r w:rsidRPr="005F0A67">
        <w:rPr>
          <w:rFonts w:asciiTheme="majorBidi" w:eastAsia="Times New Roman" w:hAnsiTheme="majorBidi" w:cstheme="majorBidi"/>
          <w:noProof/>
          <w:sz w:val="24"/>
          <w:szCs w:val="24"/>
          <w:lang w:val="en-CA" w:eastAsia="en-GB"/>
        </w:rPr>
        <w:drawing>
          <wp:inline distT="0" distB="0" distL="0" distR="0" wp14:anchorId="118A49AB" wp14:editId="0DF507D2">
            <wp:extent cx="114300" cy="123825"/>
            <wp:effectExtent l="0" t="0" r="0" b="9525"/>
            <wp:docPr id="1726523649"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Rot="1" noChangeAspect="1" noEditPoints="1" noChangeArrowheads="1" noCrop="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14300" cy="123825"/>
                    </a:xfrm>
                    <a:prstGeom prst="rect">
                      <a:avLst/>
                    </a:prstGeom>
                    <a:noFill/>
                    <a:ln>
                      <a:noFill/>
                    </a:ln>
                  </pic:spPr>
                </pic:pic>
              </a:graphicData>
            </a:graphic>
          </wp:inline>
        </w:drawing>
      </w:r>
      <w:r w:rsidRPr="005F0A67">
        <w:rPr>
          <w:rFonts w:asciiTheme="majorBidi" w:eastAsia="Times New Roman" w:hAnsiTheme="majorBidi" w:cstheme="majorBidi"/>
          <w:spacing w:val="80"/>
          <w:sz w:val="20"/>
          <w:szCs w:val="20"/>
          <w:lang w:val="en-CA" w:eastAsia="en-GB"/>
        </w:rPr>
        <w:t xml:space="preserve"> </w:t>
      </w:r>
      <w:r w:rsidRPr="005F0A67">
        <w:rPr>
          <w:rFonts w:asciiTheme="majorBidi" w:eastAsia="Times New Roman" w:hAnsiTheme="majorBidi" w:cstheme="majorBidi"/>
          <w:color w:val="202020"/>
          <w:sz w:val="14"/>
          <w:szCs w:val="14"/>
          <w:lang w:val="en-CA" w:eastAsia="en-GB"/>
        </w:rPr>
        <w:t>Other</w:t>
      </w:r>
    </w:p>
    <w:p w14:paraId="19DA0F34" w14:textId="77777777" w:rsidR="005F0A67" w:rsidRPr="005F0A67" w:rsidRDefault="005F0A67" w:rsidP="005F0A67">
      <w:pPr>
        <w:widowControl w:val="0"/>
        <w:tabs>
          <w:tab w:val="clear" w:pos="567"/>
          <w:tab w:val="clear" w:pos="1134"/>
          <w:tab w:val="clear" w:pos="1701"/>
          <w:tab w:val="clear" w:pos="2268"/>
        </w:tabs>
        <w:spacing w:before="174"/>
        <w:jc w:val="left"/>
        <w:rPr>
          <w:rFonts w:asciiTheme="majorBidi" w:eastAsia="Arial" w:hAnsiTheme="majorBidi" w:cstheme="majorBidi"/>
          <w:sz w:val="17"/>
          <w:szCs w:val="17"/>
          <w:lang w:val="en-US"/>
        </w:rPr>
      </w:pPr>
    </w:p>
    <w:p w14:paraId="5D8600BA" w14:textId="77777777" w:rsidR="005F0A67" w:rsidRPr="005F0A67" w:rsidRDefault="005F0A67" w:rsidP="003A387A">
      <w:pPr>
        <w:widowControl w:val="0"/>
        <w:numPr>
          <w:ilvl w:val="0"/>
          <w:numId w:val="44"/>
        </w:numPr>
        <w:tabs>
          <w:tab w:val="clear" w:pos="567"/>
          <w:tab w:val="clear" w:pos="1134"/>
          <w:tab w:val="clear" w:pos="1701"/>
          <w:tab w:val="clear" w:pos="2268"/>
          <w:tab w:val="left" w:pos="703"/>
        </w:tabs>
        <w:autoSpaceDE w:val="0"/>
        <w:autoSpaceDN w:val="0"/>
        <w:ind w:left="703" w:hanging="187"/>
        <w:jc w:val="left"/>
        <w:rPr>
          <w:rFonts w:asciiTheme="majorBidi" w:eastAsia="Georgia" w:hAnsiTheme="majorBidi" w:cstheme="majorBidi"/>
          <w:color w:val="1A1A1A"/>
          <w:sz w:val="17"/>
          <w:szCs w:val="17"/>
          <w:lang w:eastAsia="en-GB"/>
        </w:rPr>
      </w:pPr>
      <w:r w:rsidRPr="005F0A67">
        <w:rPr>
          <w:rFonts w:asciiTheme="majorBidi" w:eastAsia="Georgia" w:hAnsiTheme="majorBidi" w:cstheme="majorBidi"/>
          <w:color w:val="242424"/>
          <w:spacing w:val="-2"/>
          <w:sz w:val="17"/>
          <w:szCs w:val="17"/>
          <w:lang w:eastAsia="en-GB"/>
        </w:rPr>
        <w:t>Which</w:t>
      </w:r>
      <w:r w:rsidRPr="005F0A67">
        <w:rPr>
          <w:rFonts w:asciiTheme="majorBidi" w:eastAsia="Georgia" w:hAnsiTheme="majorBidi" w:cstheme="majorBidi"/>
          <w:color w:val="242424"/>
          <w:spacing w:val="-4"/>
          <w:sz w:val="17"/>
          <w:szCs w:val="17"/>
          <w:lang w:eastAsia="en-GB"/>
        </w:rPr>
        <w:t xml:space="preserve"> </w:t>
      </w:r>
      <w:r w:rsidRPr="005F0A67">
        <w:rPr>
          <w:rFonts w:asciiTheme="majorBidi" w:eastAsia="Georgia" w:hAnsiTheme="majorBidi" w:cstheme="majorBidi"/>
          <w:color w:val="242424"/>
          <w:spacing w:val="-2"/>
          <w:sz w:val="17"/>
          <w:szCs w:val="17"/>
          <w:lang w:eastAsia="en-GB"/>
        </w:rPr>
        <w:t>sector(s)</w:t>
      </w:r>
      <w:r w:rsidRPr="005F0A67">
        <w:rPr>
          <w:rFonts w:asciiTheme="majorBidi" w:eastAsia="Georgia" w:hAnsiTheme="majorBidi" w:cstheme="majorBidi"/>
          <w:color w:val="242424"/>
          <w:spacing w:val="-3"/>
          <w:sz w:val="17"/>
          <w:szCs w:val="17"/>
          <w:lang w:eastAsia="en-GB"/>
        </w:rPr>
        <w:t xml:space="preserve"> </w:t>
      </w:r>
      <w:r w:rsidRPr="005F0A67">
        <w:rPr>
          <w:rFonts w:asciiTheme="majorBidi" w:eastAsia="Georgia" w:hAnsiTheme="majorBidi" w:cstheme="majorBidi"/>
          <w:color w:val="242424"/>
          <w:spacing w:val="-2"/>
          <w:sz w:val="17"/>
          <w:szCs w:val="17"/>
          <w:lang w:eastAsia="en-GB"/>
        </w:rPr>
        <w:t>best</w:t>
      </w:r>
      <w:r w:rsidRPr="005F0A67">
        <w:rPr>
          <w:rFonts w:asciiTheme="majorBidi" w:eastAsia="Georgia" w:hAnsiTheme="majorBidi" w:cstheme="majorBidi"/>
          <w:color w:val="242424"/>
          <w:spacing w:val="-3"/>
          <w:sz w:val="17"/>
          <w:szCs w:val="17"/>
          <w:lang w:eastAsia="en-GB"/>
        </w:rPr>
        <w:t xml:space="preserve"> </w:t>
      </w:r>
      <w:r w:rsidRPr="005F0A67">
        <w:rPr>
          <w:rFonts w:asciiTheme="majorBidi" w:eastAsia="Georgia" w:hAnsiTheme="majorBidi" w:cstheme="majorBidi"/>
          <w:color w:val="242424"/>
          <w:spacing w:val="-2"/>
          <w:sz w:val="17"/>
          <w:szCs w:val="17"/>
          <w:lang w:eastAsia="en-GB"/>
        </w:rPr>
        <w:t>describe</w:t>
      </w:r>
      <w:r w:rsidRPr="005F0A67">
        <w:rPr>
          <w:rFonts w:asciiTheme="majorBidi" w:eastAsia="Georgia" w:hAnsiTheme="majorBidi" w:cstheme="majorBidi"/>
          <w:color w:val="242424"/>
          <w:spacing w:val="-3"/>
          <w:sz w:val="17"/>
          <w:szCs w:val="17"/>
          <w:lang w:eastAsia="en-GB"/>
        </w:rPr>
        <w:t xml:space="preserve"> </w:t>
      </w:r>
      <w:r w:rsidRPr="005F0A67">
        <w:rPr>
          <w:rFonts w:asciiTheme="majorBidi" w:eastAsia="Georgia" w:hAnsiTheme="majorBidi" w:cstheme="majorBidi"/>
          <w:color w:val="242424"/>
          <w:spacing w:val="-2"/>
          <w:sz w:val="17"/>
          <w:szCs w:val="17"/>
          <w:lang w:eastAsia="en-GB"/>
        </w:rPr>
        <w:t>your</w:t>
      </w:r>
      <w:r w:rsidRPr="005F0A67">
        <w:rPr>
          <w:rFonts w:asciiTheme="majorBidi" w:eastAsia="Georgia" w:hAnsiTheme="majorBidi" w:cstheme="majorBidi"/>
          <w:color w:val="242424"/>
          <w:spacing w:val="-4"/>
          <w:sz w:val="17"/>
          <w:szCs w:val="17"/>
          <w:lang w:eastAsia="en-GB"/>
        </w:rPr>
        <w:t xml:space="preserve"> </w:t>
      </w:r>
      <w:r w:rsidRPr="005F0A67">
        <w:rPr>
          <w:rFonts w:asciiTheme="majorBidi" w:eastAsia="Georgia" w:hAnsiTheme="majorBidi" w:cstheme="majorBidi"/>
          <w:color w:val="242424"/>
          <w:spacing w:val="-2"/>
          <w:sz w:val="17"/>
          <w:szCs w:val="17"/>
          <w:lang w:eastAsia="en-GB"/>
        </w:rPr>
        <w:t>organisation’s</w:t>
      </w:r>
      <w:r w:rsidRPr="005F0A67">
        <w:rPr>
          <w:rFonts w:asciiTheme="majorBidi" w:eastAsia="Georgia" w:hAnsiTheme="majorBidi" w:cstheme="majorBidi"/>
          <w:color w:val="242424"/>
          <w:spacing w:val="-3"/>
          <w:sz w:val="17"/>
          <w:szCs w:val="17"/>
          <w:lang w:eastAsia="en-GB"/>
        </w:rPr>
        <w:t xml:space="preserve"> </w:t>
      </w:r>
      <w:r w:rsidRPr="005F0A67">
        <w:rPr>
          <w:rFonts w:asciiTheme="majorBidi" w:eastAsia="Georgia" w:hAnsiTheme="majorBidi" w:cstheme="majorBidi"/>
          <w:b/>
          <w:bCs/>
          <w:color w:val="242424"/>
          <w:spacing w:val="-2"/>
          <w:sz w:val="17"/>
          <w:szCs w:val="17"/>
          <w:lang w:eastAsia="en-GB"/>
        </w:rPr>
        <w:t>secondary</w:t>
      </w:r>
      <w:r w:rsidRPr="005F0A67">
        <w:rPr>
          <w:rFonts w:asciiTheme="majorBidi" w:eastAsia="Georgia" w:hAnsiTheme="majorBidi" w:cstheme="majorBidi"/>
          <w:b/>
          <w:bCs/>
          <w:color w:val="242424"/>
          <w:spacing w:val="-3"/>
          <w:sz w:val="17"/>
          <w:szCs w:val="17"/>
          <w:lang w:eastAsia="en-GB"/>
        </w:rPr>
        <w:t xml:space="preserve"> </w:t>
      </w:r>
      <w:r w:rsidRPr="005F0A67">
        <w:rPr>
          <w:rFonts w:asciiTheme="majorBidi" w:eastAsia="Georgia" w:hAnsiTheme="majorBidi" w:cstheme="majorBidi"/>
          <w:b/>
          <w:bCs/>
          <w:color w:val="242424"/>
          <w:spacing w:val="-2"/>
          <w:sz w:val="17"/>
          <w:szCs w:val="17"/>
          <w:lang w:eastAsia="en-GB"/>
        </w:rPr>
        <w:t>activities</w:t>
      </w:r>
      <w:r w:rsidRPr="005F0A67">
        <w:rPr>
          <w:rFonts w:asciiTheme="majorBidi" w:eastAsia="Georgia" w:hAnsiTheme="majorBidi" w:cstheme="majorBidi"/>
          <w:color w:val="242424"/>
          <w:spacing w:val="-2"/>
          <w:sz w:val="17"/>
          <w:szCs w:val="17"/>
          <w:lang w:eastAsia="en-GB"/>
        </w:rPr>
        <w:t>?</w:t>
      </w:r>
      <w:r w:rsidRPr="005F0A67">
        <w:rPr>
          <w:rFonts w:asciiTheme="majorBidi" w:eastAsia="Georgia" w:hAnsiTheme="majorBidi" w:cstheme="majorBidi"/>
          <w:color w:val="242424"/>
          <w:spacing w:val="-3"/>
          <w:sz w:val="17"/>
          <w:szCs w:val="17"/>
          <w:lang w:eastAsia="en-GB"/>
        </w:rPr>
        <w:t xml:space="preserve"> </w:t>
      </w:r>
      <w:r w:rsidRPr="005F0A67">
        <w:rPr>
          <w:rFonts w:asciiTheme="majorBidi" w:eastAsia="Georgia" w:hAnsiTheme="majorBidi" w:cstheme="majorBidi"/>
          <w:color w:val="242424"/>
          <w:spacing w:val="-2"/>
          <w:sz w:val="17"/>
          <w:szCs w:val="17"/>
          <w:lang w:eastAsia="en-GB"/>
        </w:rPr>
        <w:t>(Select</w:t>
      </w:r>
      <w:r w:rsidRPr="005F0A67">
        <w:rPr>
          <w:rFonts w:asciiTheme="majorBidi" w:eastAsia="Georgia" w:hAnsiTheme="majorBidi" w:cstheme="majorBidi"/>
          <w:color w:val="242424"/>
          <w:spacing w:val="-4"/>
          <w:sz w:val="17"/>
          <w:szCs w:val="17"/>
          <w:lang w:eastAsia="en-GB"/>
        </w:rPr>
        <w:t xml:space="preserve"> </w:t>
      </w:r>
      <w:r w:rsidRPr="005F0A67">
        <w:rPr>
          <w:rFonts w:asciiTheme="majorBidi" w:eastAsia="Georgia" w:hAnsiTheme="majorBidi" w:cstheme="majorBidi"/>
          <w:color w:val="242424"/>
          <w:spacing w:val="-2"/>
          <w:sz w:val="17"/>
          <w:szCs w:val="17"/>
          <w:lang w:eastAsia="en-GB"/>
        </w:rPr>
        <w:t>all</w:t>
      </w:r>
      <w:r w:rsidRPr="005F0A67">
        <w:rPr>
          <w:rFonts w:asciiTheme="majorBidi" w:eastAsia="Georgia" w:hAnsiTheme="majorBidi" w:cstheme="majorBidi"/>
          <w:color w:val="242424"/>
          <w:spacing w:val="-3"/>
          <w:sz w:val="17"/>
          <w:szCs w:val="17"/>
          <w:lang w:eastAsia="en-GB"/>
        </w:rPr>
        <w:t xml:space="preserve"> </w:t>
      </w:r>
      <w:r w:rsidRPr="005F0A67">
        <w:rPr>
          <w:rFonts w:asciiTheme="majorBidi" w:eastAsia="Georgia" w:hAnsiTheme="majorBidi" w:cstheme="majorBidi"/>
          <w:color w:val="242424"/>
          <w:spacing w:val="-2"/>
          <w:sz w:val="17"/>
          <w:szCs w:val="17"/>
          <w:lang w:eastAsia="en-GB"/>
        </w:rPr>
        <w:t>that</w:t>
      </w:r>
      <w:r w:rsidRPr="005F0A67">
        <w:rPr>
          <w:rFonts w:asciiTheme="majorBidi" w:eastAsia="Georgia" w:hAnsiTheme="majorBidi" w:cstheme="majorBidi"/>
          <w:color w:val="242424"/>
          <w:spacing w:val="-3"/>
          <w:sz w:val="17"/>
          <w:szCs w:val="17"/>
          <w:lang w:eastAsia="en-GB"/>
        </w:rPr>
        <w:t xml:space="preserve"> </w:t>
      </w:r>
      <w:r w:rsidRPr="005F0A67">
        <w:rPr>
          <w:rFonts w:asciiTheme="majorBidi" w:eastAsia="Georgia" w:hAnsiTheme="majorBidi" w:cstheme="majorBidi"/>
          <w:color w:val="242424"/>
          <w:spacing w:val="-2"/>
          <w:sz w:val="17"/>
          <w:szCs w:val="17"/>
          <w:lang w:eastAsia="en-GB"/>
        </w:rPr>
        <w:t>apply)</w:t>
      </w:r>
    </w:p>
    <w:p w14:paraId="78D6BA4E" w14:textId="77777777" w:rsidR="005F0A67" w:rsidRPr="005F0A67" w:rsidRDefault="005F0A67" w:rsidP="005F0A67">
      <w:pPr>
        <w:tabs>
          <w:tab w:val="clear" w:pos="567"/>
          <w:tab w:val="clear" w:pos="1134"/>
          <w:tab w:val="clear" w:pos="1701"/>
          <w:tab w:val="clear" w:pos="2268"/>
        </w:tabs>
        <w:spacing w:before="25"/>
        <w:ind w:left="705"/>
        <w:jc w:val="left"/>
        <w:rPr>
          <w:rFonts w:asciiTheme="majorBidi" w:eastAsia="Times New Roman" w:hAnsiTheme="majorBidi" w:cstheme="majorBidi"/>
          <w:sz w:val="17"/>
          <w:szCs w:val="17"/>
          <w:lang w:val="en-CA" w:eastAsia="en-GB"/>
        </w:rPr>
      </w:pPr>
      <w:r w:rsidRPr="005F0A67">
        <w:rPr>
          <w:rFonts w:asciiTheme="majorBidi" w:eastAsia="Times New Roman" w:hAnsiTheme="majorBidi" w:cstheme="majorBidi"/>
          <w:color w:val="AE1515"/>
          <w:spacing w:val="-10"/>
          <w:w w:val="105"/>
          <w:sz w:val="17"/>
          <w:szCs w:val="17"/>
          <w:lang w:val="en-CA" w:eastAsia="en-GB"/>
        </w:rPr>
        <w:t>*</w:t>
      </w:r>
    </w:p>
    <w:p w14:paraId="60B64143" w14:textId="77777777" w:rsidR="005F0A67" w:rsidRPr="005F0A67" w:rsidRDefault="005F0A67" w:rsidP="005F0A67">
      <w:pPr>
        <w:widowControl w:val="0"/>
        <w:tabs>
          <w:tab w:val="clear" w:pos="567"/>
          <w:tab w:val="clear" w:pos="1134"/>
          <w:tab w:val="clear" w:pos="1701"/>
          <w:tab w:val="clear" w:pos="2268"/>
        </w:tabs>
        <w:spacing w:before="123"/>
        <w:jc w:val="left"/>
        <w:rPr>
          <w:rFonts w:asciiTheme="majorBidi" w:eastAsia="Arial" w:hAnsiTheme="majorBidi" w:cstheme="majorBidi"/>
          <w:sz w:val="14"/>
          <w:szCs w:val="14"/>
          <w:lang w:val="en-US"/>
        </w:rPr>
      </w:pPr>
    </w:p>
    <w:p w14:paraId="4AF29C27" w14:textId="77777777" w:rsidR="005F0A67" w:rsidRPr="005F0A67" w:rsidRDefault="005F0A67" w:rsidP="005F0A67">
      <w:pPr>
        <w:widowControl w:val="0"/>
        <w:tabs>
          <w:tab w:val="clear" w:pos="567"/>
          <w:tab w:val="clear" w:pos="1134"/>
          <w:tab w:val="clear" w:pos="1701"/>
          <w:tab w:val="clear" w:pos="2268"/>
        </w:tabs>
        <w:ind w:left="725"/>
        <w:jc w:val="left"/>
        <w:rPr>
          <w:rFonts w:asciiTheme="majorBidi" w:eastAsia="Arial" w:hAnsiTheme="majorBidi" w:cstheme="majorBidi"/>
          <w:sz w:val="14"/>
          <w:szCs w:val="14"/>
          <w:lang w:val="en-US"/>
        </w:rPr>
      </w:pPr>
      <w:r w:rsidRPr="005F0A67">
        <w:rPr>
          <w:rFonts w:asciiTheme="majorBidi" w:eastAsia="Arial" w:hAnsiTheme="majorBidi" w:cstheme="majorBidi"/>
          <w:noProof/>
          <w:position w:val="-4"/>
          <w:sz w:val="14"/>
          <w:szCs w:val="14"/>
          <w:lang w:val="en-US"/>
        </w:rPr>
        <w:drawing>
          <wp:inline distT="0" distB="0" distL="0" distR="0" wp14:anchorId="0BF85E6C" wp14:editId="524B1F90">
            <wp:extent cx="127000" cy="127000"/>
            <wp:effectExtent l="0" t="0" r="0" b="0"/>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40" cstate="print"/>
                    <a:stretch>
                      <a:fillRect/>
                    </a:stretch>
                  </pic:blipFill>
                  <pic:spPr>
                    <a:xfrm>
                      <a:off x="0" y="0"/>
                      <a:ext cx="127000" cy="127000"/>
                    </a:xfrm>
                    <a:prstGeom prst="rect">
                      <a:avLst/>
                    </a:prstGeom>
                  </pic:spPr>
                </pic:pic>
              </a:graphicData>
            </a:graphic>
          </wp:inline>
        </w:drawing>
      </w:r>
      <w:r w:rsidRPr="005F0A67">
        <w:rPr>
          <w:rFonts w:asciiTheme="majorBidi" w:eastAsia="Arial" w:hAnsiTheme="majorBidi" w:cstheme="majorBidi"/>
          <w:spacing w:val="80"/>
          <w:sz w:val="20"/>
          <w:szCs w:val="20"/>
          <w:lang w:val="en-US"/>
        </w:rPr>
        <w:t xml:space="preserve"> </w:t>
      </w:r>
      <w:r w:rsidRPr="005F0A67">
        <w:rPr>
          <w:rFonts w:asciiTheme="majorBidi" w:eastAsia="Arial" w:hAnsiTheme="majorBidi" w:cstheme="majorBidi"/>
          <w:color w:val="242424"/>
          <w:sz w:val="14"/>
          <w:szCs w:val="14"/>
          <w:lang w:val="en-US"/>
        </w:rPr>
        <w:t>Pharmaceuticals</w:t>
      </w:r>
    </w:p>
    <w:p w14:paraId="585D64D3" w14:textId="77777777" w:rsidR="005F0A67" w:rsidRPr="005F0A67" w:rsidRDefault="005F0A67" w:rsidP="005F0A67">
      <w:pPr>
        <w:widowControl w:val="0"/>
        <w:tabs>
          <w:tab w:val="clear" w:pos="567"/>
          <w:tab w:val="clear" w:pos="1134"/>
          <w:tab w:val="clear" w:pos="1701"/>
          <w:tab w:val="clear" w:pos="2268"/>
        </w:tabs>
        <w:spacing w:before="139"/>
        <w:jc w:val="left"/>
        <w:rPr>
          <w:rFonts w:asciiTheme="majorBidi" w:eastAsia="Arial" w:hAnsiTheme="majorBidi" w:cstheme="majorBidi"/>
          <w:sz w:val="14"/>
          <w:szCs w:val="14"/>
          <w:lang w:val="en-US"/>
        </w:rPr>
      </w:pPr>
    </w:p>
    <w:p w14:paraId="11F1D8A2" w14:textId="77777777" w:rsidR="005F0A67" w:rsidRPr="005F0A67" w:rsidRDefault="005F0A67" w:rsidP="005F0A67">
      <w:pPr>
        <w:widowControl w:val="0"/>
        <w:tabs>
          <w:tab w:val="clear" w:pos="567"/>
          <w:tab w:val="clear" w:pos="1134"/>
          <w:tab w:val="clear" w:pos="1701"/>
          <w:tab w:val="clear" w:pos="2268"/>
        </w:tabs>
        <w:spacing w:line="600" w:lineRule="auto"/>
        <w:ind w:left="725" w:right="4478"/>
        <w:jc w:val="left"/>
        <w:rPr>
          <w:rFonts w:asciiTheme="majorBidi" w:eastAsia="Arial" w:hAnsiTheme="majorBidi" w:cstheme="majorBidi"/>
          <w:sz w:val="14"/>
          <w:szCs w:val="14"/>
          <w:lang w:val="en-US"/>
        </w:rPr>
      </w:pPr>
      <w:r w:rsidRPr="005F0A67">
        <w:rPr>
          <w:rFonts w:asciiTheme="majorBidi" w:eastAsia="Arial" w:hAnsiTheme="majorBidi" w:cstheme="majorBidi"/>
          <w:noProof/>
          <w:position w:val="-4"/>
          <w:sz w:val="14"/>
          <w:szCs w:val="14"/>
          <w:lang w:val="en-US"/>
        </w:rPr>
        <w:drawing>
          <wp:inline distT="0" distB="0" distL="0" distR="0" wp14:anchorId="2706B859" wp14:editId="47DAEA6D">
            <wp:extent cx="127000" cy="127000"/>
            <wp:effectExtent l="0" t="0" r="0" b="0"/>
            <wp:docPr id="24"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41" cstate="print"/>
                    <a:stretch>
                      <a:fillRect/>
                    </a:stretch>
                  </pic:blipFill>
                  <pic:spPr>
                    <a:xfrm>
                      <a:off x="0" y="0"/>
                      <a:ext cx="127000" cy="127000"/>
                    </a:xfrm>
                    <a:prstGeom prst="rect">
                      <a:avLst/>
                    </a:prstGeom>
                  </pic:spPr>
                </pic:pic>
              </a:graphicData>
            </a:graphic>
          </wp:inline>
        </w:drawing>
      </w:r>
      <w:r w:rsidRPr="005F0A67">
        <w:rPr>
          <w:rFonts w:asciiTheme="majorBidi" w:eastAsia="Arial" w:hAnsiTheme="majorBidi" w:cstheme="majorBidi"/>
          <w:spacing w:val="73"/>
          <w:sz w:val="20"/>
          <w:szCs w:val="20"/>
          <w:lang w:val="en-US"/>
        </w:rPr>
        <w:t xml:space="preserve"> </w:t>
      </w:r>
      <w:r w:rsidRPr="005F0A67">
        <w:rPr>
          <w:rFonts w:asciiTheme="majorBidi" w:eastAsia="Arial" w:hAnsiTheme="majorBidi" w:cstheme="majorBidi"/>
          <w:color w:val="242424"/>
          <w:sz w:val="14"/>
          <w:szCs w:val="14"/>
          <w:lang w:val="en-US"/>
        </w:rPr>
        <w:t>Nutraceuticals</w:t>
      </w:r>
      <w:r w:rsidRPr="005F0A67">
        <w:rPr>
          <w:rFonts w:asciiTheme="majorBidi" w:eastAsia="Arial" w:hAnsiTheme="majorBidi" w:cstheme="majorBidi"/>
          <w:color w:val="242424"/>
          <w:spacing w:val="-6"/>
          <w:sz w:val="14"/>
          <w:szCs w:val="14"/>
          <w:lang w:val="en-US"/>
        </w:rPr>
        <w:t xml:space="preserve"> </w:t>
      </w:r>
      <w:r w:rsidRPr="005F0A67">
        <w:rPr>
          <w:rFonts w:asciiTheme="majorBidi" w:eastAsia="Arial" w:hAnsiTheme="majorBidi" w:cstheme="majorBidi"/>
          <w:color w:val="242424"/>
          <w:sz w:val="14"/>
          <w:szCs w:val="14"/>
          <w:lang w:val="en-US"/>
        </w:rPr>
        <w:t>(food</w:t>
      </w:r>
      <w:r w:rsidRPr="005F0A67">
        <w:rPr>
          <w:rFonts w:asciiTheme="majorBidi" w:eastAsia="Arial" w:hAnsiTheme="majorBidi" w:cstheme="majorBidi"/>
          <w:color w:val="242424"/>
          <w:spacing w:val="-6"/>
          <w:sz w:val="14"/>
          <w:szCs w:val="14"/>
          <w:lang w:val="en-US"/>
        </w:rPr>
        <w:t xml:space="preserve"> </w:t>
      </w:r>
      <w:r w:rsidRPr="005F0A67">
        <w:rPr>
          <w:rFonts w:asciiTheme="majorBidi" w:eastAsia="Arial" w:hAnsiTheme="majorBidi" w:cstheme="majorBidi"/>
          <w:color w:val="242424"/>
          <w:sz w:val="14"/>
          <w:szCs w:val="14"/>
          <w:lang w:val="en-US"/>
        </w:rPr>
        <w:t>and</w:t>
      </w:r>
      <w:r w:rsidRPr="005F0A67">
        <w:rPr>
          <w:rFonts w:asciiTheme="majorBidi" w:eastAsia="Arial" w:hAnsiTheme="majorBidi" w:cstheme="majorBidi"/>
          <w:color w:val="242424"/>
          <w:spacing w:val="-6"/>
          <w:sz w:val="14"/>
          <w:szCs w:val="14"/>
          <w:lang w:val="en-US"/>
        </w:rPr>
        <w:t xml:space="preserve"> </w:t>
      </w:r>
      <w:r w:rsidRPr="005F0A67">
        <w:rPr>
          <w:rFonts w:asciiTheme="majorBidi" w:eastAsia="Arial" w:hAnsiTheme="majorBidi" w:cstheme="majorBidi"/>
          <w:color w:val="242424"/>
          <w:sz w:val="14"/>
          <w:szCs w:val="14"/>
          <w:lang w:val="en-US"/>
        </w:rPr>
        <w:t>health</w:t>
      </w:r>
      <w:r w:rsidRPr="005F0A67">
        <w:rPr>
          <w:rFonts w:asciiTheme="majorBidi" w:eastAsia="Arial" w:hAnsiTheme="majorBidi" w:cstheme="majorBidi"/>
          <w:color w:val="242424"/>
          <w:spacing w:val="-6"/>
          <w:sz w:val="14"/>
          <w:szCs w:val="14"/>
          <w:lang w:val="en-US"/>
        </w:rPr>
        <w:t xml:space="preserve"> </w:t>
      </w:r>
      <w:r w:rsidRPr="005F0A67">
        <w:rPr>
          <w:rFonts w:asciiTheme="majorBidi" w:eastAsia="Arial" w:hAnsiTheme="majorBidi" w:cstheme="majorBidi"/>
          <w:color w:val="242424"/>
          <w:sz w:val="14"/>
          <w:szCs w:val="14"/>
          <w:lang w:val="en-US"/>
        </w:rPr>
        <w:t>supplements)</w:t>
      </w:r>
      <w:r w:rsidRPr="005F0A67">
        <w:rPr>
          <w:rFonts w:asciiTheme="majorBidi" w:eastAsia="Arial" w:hAnsiTheme="majorBidi" w:cstheme="majorBidi"/>
          <w:color w:val="242424"/>
          <w:spacing w:val="40"/>
          <w:sz w:val="14"/>
          <w:szCs w:val="14"/>
          <w:lang w:val="en-US"/>
        </w:rPr>
        <w:t xml:space="preserve"> </w:t>
      </w:r>
      <w:r w:rsidRPr="005F0A67">
        <w:rPr>
          <w:rFonts w:asciiTheme="majorBidi" w:eastAsia="Arial" w:hAnsiTheme="majorBidi" w:cstheme="majorBidi"/>
          <w:noProof/>
          <w:color w:val="242424"/>
          <w:position w:val="-4"/>
          <w:sz w:val="14"/>
          <w:szCs w:val="14"/>
          <w:lang w:val="en-US"/>
        </w:rPr>
        <w:drawing>
          <wp:inline distT="0" distB="0" distL="0" distR="0" wp14:anchorId="34602500" wp14:editId="67783CD3">
            <wp:extent cx="127000" cy="127000"/>
            <wp:effectExtent l="0" t="0" r="0" b="0"/>
            <wp:docPr id="25"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41" cstate="print"/>
                    <a:stretch>
                      <a:fillRect/>
                    </a:stretch>
                  </pic:blipFill>
                  <pic:spPr>
                    <a:xfrm>
                      <a:off x="0" y="0"/>
                      <a:ext cx="127000" cy="127000"/>
                    </a:xfrm>
                    <a:prstGeom prst="rect">
                      <a:avLst/>
                    </a:prstGeom>
                  </pic:spPr>
                </pic:pic>
              </a:graphicData>
            </a:graphic>
          </wp:inline>
        </w:drawing>
      </w:r>
      <w:r w:rsidRPr="005F0A67">
        <w:rPr>
          <w:rFonts w:asciiTheme="majorBidi" w:eastAsia="Arial" w:hAnsiTheme="majorBidi" w:cstheme="majorBidi"/>
          <w:color w:val="242424"/>
          <w:spacing w:val="80"/>
          <w:sz w:val="14"/>
          <w:szCs w:val="14"/>
          <w:lang w:val="en-US"/>
        </w:rPr>
        <w:t xml:space="preserve"> </w:t>
      </w:r>
      <w:r w:rsidRPr="005F0A67">
        <w:rPr>
          <w:rFonts w:asciiTheme="majorBidi" w:eastAsia="Arial" w:hAnsiTheme="majorBidi" w:cstheme="majorBidi"/>
          <w:color w:val="242424"/>
          <w:sz w:val="14"/>
          <w:szCs w:val="14"/>
          <w:lang w:val="en-US"/>
        </w:rPr>
        <w:t>Cosmetics</w:t>
      </w:r>
    </w:p>
    <w:p w14:paraId="06107A80" w14:textId="77777777" w:rsidR="005F0A67" w:rsidRPr="005F0A67" w:rsidRDefault="005F0A67" w:rsidP="005F0A67">
      <w:pPr>
        <w:widowControl w:val="0"/>
        <w:tabs>
          <w:tab w:val="clear" w:pos="567"/>
          <w:tab w:val="clear" w:pos="1134"/>
          <w:tab w:val="clear" w:pos="1701"/>
          <w:tab w:val="clear" w:pos="2268"/>
        </w:tabs>
        <w:spacing w:line="600" w:lineRule="auto"/>
        <w:ind w:left="725" w:right="5656"/>
        <w:jc w:val="left"/>
        <w:rPr>
          <w:rFonts w:asciiTheme="majorBidi" w:eastAsia="Arial" w:hAnsiTheme="majorBidi" w:cstheme="majorBidi"/>
          <w:sz w:val="14"/>
          <w:szCs w:val="14"/>
          <w:lang w:val="en-US"/>
        </w:rPr>
      </w:pPr>
      <w:r w:rsidRPr="005F0A67">
        <w:rPr>
          <w:rFonts w:asciiTheme="majorBidi" w:eastAsia="Arial" w:hAnsiTheme="majorBidi" w:cstheme="majorBidi"/>
          <w:noProof/>
          <w:position w:val="-4"/>
          <w:sz w:val="14"/>
          <w:szCs w:val="14"/>
          <w:lang w:val="en-US"/>
        </w:rPr>
        <w:drawing>
          <wp:inline distT="0" distB="0" distL="0" distR="0" wp14:anchorId="0AC263F7" wp14:editId="5E81B120">
            <wp:extent cx="127000" cy="127000"/>
            <wp:effectExtent l="0" t="0" r="0" b="0"/>
            <wp:docPr id="2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40" cstate="print"/>
                    <a:stretch>
                      <a:fillRect/>
                    </a:stretch>
                  </pic:blipFill>
                  <pic:spPr>
                    <a:xfrm>
                      <a:off x="0" y="0"/>
                      <a:ext cx="127000" cy="127000"/>
                    </a:xfrm>
                    <a:prstGeom prst="rect">
                      <a:avLst/>
                    </a:prstGeom>
                  </pic:spPr>
                </pic:pic>
              </a:graphicData>
            </a:graphic>
          </wp:inline>
        </w:drawing>
      </w:r>
      <w:r w:rsidRPr="005F0A67">
        <w:rPr>
          <w:rFonts w:asciiTheme="majorBidi" w:eastAsia="Arial" w:hAnsiTheme="majorBidi" w:cstheme="majorBidi"/>
          <w:spacing w:val="80"/>
          <w:sz w:val="20"/>
          <w:szCs w:val="20"/>
          <w:lang w:val="en-US"/>
        </w:rPr>
        <w:t xml:space="preserve"> </w:t>
      </w:r>
      <w:r w:rsidRPr="005F0A67">
        <w:rPr>
          <w:rFonts w:asciiTheme="majorBidi" w:eastAsia="Arial" w:hAnsiTheme="majorBidi" w:cstheme="majorBidi"/>
          <w:color w:val="242424"/>
          <w:sz w:val="14"/>
          <w:szCs w:val="14"/>
          <w:lang w:val="en-US"/>
        </w:rPr>
        <w:t>Animal</w:t>
      </w:r>
      <w:r w:rsidRPr="005F0A67">
        <w:rPr>
          <w:rFonts w:asciiTheme="majorBidi" w:eastAsia="Arial" w:hAnsiTheme="majorBidi" w:cstheme="majorBidi"/>
          <w:color w:val="242424"/>
          <w:spacing w:val="-4"/>
          <w:sz w:val="14"/>
          <w:szCs w:val="14"/>
          <w:lang w:val="en-US"/>
        </w:rPr>
        <w:t xml:space="preserve"> </w:t>
      </w:r>
      <w:r w:rsidRPr="005F0A67">
        <w:rPr>
          <w:rFonts w:asciiTheme="majorBidi" w:eastAsia="Arial" w:hAnsiTheme="majorBidi" w:cstheme="majorBidi"/>
          <w:color w:val="242424"/>
          <w:sz w:val="14"/>
          <w:szCs w:val="14"/>
          <w:lang w:val="en-US"/>
        </w:rPr>
        <w:t>and</w:t>
      </w:r>
      <w:r w:rsidRPr="005F0A67">
        <w:rPr>
          <w:rFonts w:asciiTheme="majorBidi" w:eastAsia="Arial" w:hAnsiTheme="majorBidi" w:cstheme="majorBidi"/>
          <w:color w:val="242424"/>
          <w:spacing w:val="-4"/>
          <w:sz w:val="14"/>
          <w:szCs w:val="14"/>
          <w:lang w:val="en-US"/>
        </w:rPr>
        <w:t xml:space="preserve"> </w:t>
      </w:r>
      <w:r w:rsidRPr="005F0A67">
        <w:rPr>
          <w:rFonts w:asciiTheme="majorBidi" w:eastAsia="Arial" w:hAnsiTheme="majorBidi" w:cstheme="majorBidi"/>
          <w:color w:val="242424"/>
          <w:sz w:val="14"/>
          <w:szCs w:val="14"/>
          <w:lang w:val="en-US"/>
        </w:rPr>
        <w:t>plant</w:t>
      </w:r>
      <w:r w:rsidRPr="005F0A67">
        <w:rPr>
          <w:rFonts w:asciiTheme="majorBidi" w:eastAsia="Arial" w:hAnsiTheme="majorBidi" w:cstheme="majorBidi"/>
          <w:color w:val="242424"/>
          <w:spacing w:val="-4"/>
          <w:sz w:val="14"/>
          <w:szCs w:val="14"/>
          <w:lang w:val="en-US"/>
        </w:rPr>
        <w:t xml:space="preserve"> </w:t>
      </w:r>
      <w:r w:rsidRPr="005F0A67">
        <w:rPr>
          <w:rFonts w:asciiTheme="majorBidi" w:eastAsia="Arial" w:hAnsiTheme="majorBidi" w:cstheme="majorBidi"/>
          <w:color w:val="242424"/>
          <w:sz w:val="14"/>
          <w:szCs w:val="14"/>
          <w:lang w:val="en-US"/>
        </w:rPr>
        <w:t>breeding</w:t>
      </w:r>
      <w:r w:rsidRPr="005F0A67">
        <w:rPr>
          <w:rFonts w:asciiTheme="majorBidi" w:eastAsia="Arial" w:hAnsiTheme="majorBidi" w:cstheme="majorBidi"/>
          <w:color w:val="242424"/>
          <w:spacing w:val="40"/>
          <w:sz w:val="14"/>
          <w:szCs w:val="14"/>
          <w:lang w:val="en-US"/>
        </w:rPr>
        <w:t xml:space="preserve"> </w:t>
      </w:r>
      <w:r w:rsidRPr="005F0A67">
        <w:rPr>
          <w:rFonts w:asciiTheme="majorBidi" w:eastAsia="Arial" w:hAnsiTheme="majorBidi" w:cstheme="majorBidi"/>
          <w:noProof/>
          <w:color w:val="242424"/>
          <w:position w:val="-4"/>
          <w:sz w:val="14"/>
          <w:szCs w:val="14"/>
          <w:lang w:val="en-US"/>
        </w:rPr>
        <w:drawing>
          <wp:inline distT="0" distB="0" distL="0" distR="0" wp14:anchorId="307513E2" wp14:editId="1688973A">
            <wp:extent cx="127000" cy="127000"/>
            <wp:effectExtent l="0" t="0" r="0" b="0"/>
            <wp:docPr id="27"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41" cstate="print"/>
                    <a:stretch>
                      <a:fillRect/>
                    </a:stretch>
                  </pic:blipFill>
                  <pic:spPr>
                    <a:xfrm>
                      <a:off x="0" y="0"/>
                      <a:ext cx="127000" cy="127000"/>
                    </a:xfrm>
                    <a:prstGeom prst="rect">
                      <a:avLst/>
                    </a:prstGeom>
                  </pic:spPr>
                </pic:pic>
              </a:graphicData>
            </a:graphic>
          </wp:inline>
        </w:drawing>
      </w:r>
      <w:r w:rsidRPr="005F0A67">
        <w:rPr>
          <w:rFonts w:asciiTheme="majorBidi" w:eastAsia="Arial" w:hAnsiTheme="majorBidi" w:cstheme="majorBidi"/>
          <w:color w:val="242424"/>
          <w:spacing w:val="80"/>
          <w:sz w:val="14"/>
          <w:szCs w:val="14"/>
          <w:lang w:val="en-US"/>
        </w:rPr>
        <w:t xml:space="preserve"> </w:t>
      </w:r>
      <w:r w:rsidRPr="005F0A67">
        <w:rPr>
          <w:rFonts w:asciiTheme="majorBidi" w:eastAsia="Arial" w:hAnsiTheme="majorBidi" w:cstheme="majorBidi"/>
          <w:color w:val="242424"/>
          <w:sz w:val="14"/>
          <w:szCs w:val="14"/>
          <w:lang w:val="en-US"/>
        </w:rPr>
        <w:t>Biotechnology</w:t>
      </w:r>
    </w:p>
    <w:p w14:paraId="41382417" w14:textId="77777777" w:rsidR="005F0A67" w:rsidRPr="005F0A67" w:rsidRDefault="005F0A67" w:rsidP="005F0A67">
      <w:pPr>
        <w:widowControl w:val="0"/>
        <w:tabs>
          <w:tab w:val="clear" w:pos="567"/>
          <w:tab w:val="clear" w:pos="1134"/>
          <w:tab w:val="clear" w:pos="1701"/>
          <w:tab w:val="clear" w:pos="2268"/>
        </w:tabs>
        <w:spacing w:line="297" w:lineRule="auto"/>
        <w:ind w:left="1065" w:right="484"/>
        <w:jc w:val="left"/>
        <w:rPr>
          <w:rFonts w:asciiTheme="majorBidi" w:eastAsia="Arial" w:hAnsiTheme="majorBidi" w:cstheme="majorBidi"/>
          <w:sz w:val="14"/>
          <w:szCs w:val="14"/>
          <w:lang w:val="en-US"/>
        </w:rPr>
      </w:pPr>
      <w:r w:rsidRPr="005F0A67">
        <w:rPr>
          <w:rFonts w:asciiTheme="majorBidi" w:eastAsia="Arial" w:hAnsiTheme="majorBidi" w:cstheme="majorBidi"/>
          <w:noProof/>
          <w:sz w:val="14"/>
          <w:szCs w:val="14"/>
          <w:lang w:val="en-US"/>
        </w:rPr>
        <w:drawing>
          <wp:anchor distT="0" distB="0" distL="0" distR="0" simplePos="0" relativeHeight="251658242" behindDoc="0" locked="0" layoutInCell="1" allowOverlap="1" wp14:anchorId="111E428C" wp14:editId="50EBAA5C">
            <wp:simplePos x="0" y="0"/>
            <wp:positionH relativeFrom="page">
              <wp:posOffset>1539875</wp:posOffset>
            </wp:positionH>
            <wp:positionV relativeFrom="paragraph">
              <wp:posOffset>50986</wp:posOffset>
            </wp:positionV>
            <wp:extent cx="127000" cy="127000"/>
            <wp:effectExtent l="0" t="0" r="0" b="0"/>
            <wp:wrapNone/>
            <wp:docPr id="1808240168"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40" cstate="print"/>
                    <a:stretch>
                      <a:fillRect/>
                    </a:stretch>
                  </pic:blipFill>
                  <pic:spPr>
                    <a:xfrm>
                      <a:off x="0" y="0"/>
                      <a:ext cx="127000" cy="127000"/>
                    </a:xfrm>
                    <a:prstGeom prst="rect">
                      <a:avLst/>
                    </a:prstGeom>
                  </pic:spPr>
                </pic:pic>
              </a:graphicData>
            </a:graphic>
          </wp:anchor>
        </w:drawing>
      </w:r>
      <w:r w:rsidRPr="005F0A67">
        <w:rPr>
          <w:rFonts w:asciiTheme="majorBidi" w:eastAsia="Arial" w:hAnsiTheme="majorBidi" w:cstheme="majorBidi"/>
          <w:color w:val="242424"/>
          <w:sz w:val="14"/>
          <w:szCs w:val="14"/>
          <w:lang w:val="en-US"/>
        </w:rPr>
        <w:t>Laboratory</w:t>
      </w:r>
      <w:r w:rsidRPr="005F0A67">
        <w:rPr>
          <w:rFonts w:asciiTheme="majorBidi" w:eastAsia="Arial" w:hAnsiTheme="majorBidi" w:cstheme="majorBidi"/>
          <w:color w:val="242424"/>
          <w:spacing w:val="-2"/>
          <w:sz w:val="14"/>
          <w:szCs w:val="14"/>
          <w:lang w:val="en-US"/>
        </w:rPr>
        <w:t xml:space="preserve"> </w:t>
      </w:r>
      <w:r w:rsidRPr="005F0A67">
        <w:rPr>
          <w:rFonts w:asciiTheme="majorBidi" w:eastAsia="Arial" w:hAnsiTheme="majorBidi" w:cstheme="majorBidi"/>
          <w:color w:val="242424"/>
          <w:sz w:val="14"/>
          <w:szCs w:val="14"/>
          <w:lang w:val="en-US"/>
        </w:rPr>
        <w:t>equipment</w:t>
      </w:r>
      <w:r w:rsidRPr="005F0A67">
        <w:rPr>
          <w:rFonts w:asciiTheme="majorBidi" w:eastAsia="Arial" w:hAnsiTheme="majorBidi" w:cstheme="majorBidi"/>
          <w:color w:val="242424"/>
          <w:spacing w:val="-2"/>
          <w:sz w:val="14"/>
          <w:szCs w:val="14"/>
          <w:lang w:val="en-US"/>
        </w:rPr>
        <w:t xml:space="preserve"> </w:t>
      </w:r>
      <w:r w:rsidRPr="005F0A67">
        <w:rPr>
          <w:rFonts w:asciiTheme="majorBidi" w:eastAsia="Arial" w:hAnsiTheme="majorBidi" w:cstheme="majorBidi"/>
          <w:color w:val="242424"/>
          <w:sz w:val="14"/>
          <w:szCs w:val="14"/>
          <w:lang w:val="en-US"/>
        </w:rPr>
        <w:t>associated</w:t>
      </w:r>
      <w:r w:rsidRPr="005F0A67">
        <w:rPr>
          <w:rFonts w:asciiTheme="majorBidi" w:eastAsia="Arial" w:hAnsiTheme="majorBidi" w:cstheme="majorBidi"/>
          <w:color w:val="242424"/>
          <w:spacing w:val="-2"/>
          <w:sz w:val="14"/>
          <w:szCs w:val="14"/>
          <w:lang w:val="en-US"/>
        </w:rPr>
        <w:t xml:space="preserve"> </w:t>
      </w:r>
      <w:r w:rsidRPr="005F0A67">
        <w:rPr>
          <w:rFonts w:asciiTheme="majorBidi" w:eastAsia="Arial" w:hAnsiTheme="majorBidi" w:cstheme="majorBidi"/>
          <w:color w:val="242424"/>
          <w:sz w:val="14"/>
          <w:szCs w:val="14"/>
          <w:lang w:val="en-US"/>
        </w:rPr>
        <w:t>with</w:t>
      </w:r>
      <w:r w:rsidRPr="005F0A67">
        <w:rPr>
          <w:rFonts w:asciiTheme="majorBidi" w:eastAsia="Arial" w:hAnsiTheme="majorBidi" w:cstheme="majorBidi"/>
          <w:color w:val="242424"/>
          <w:spacing w:val="-2"/>
          <w:sz w:val="14"/>
          <w:szCs w:val="14"/>
          <w:lang w:val="en-US"/>
        </w:rPr>
        <w:t xml:space="preserve"> </w:t>
      </w:r>
      <w:r w:rsidRPr="005F0A67">
        <w:rPr>
          <w:rFonts w:asciiTheme="majorBidi" w:eastAsia="Arial" w:hAnsiTheme="majorBidi" w:cstheme="majorBidi"/>
          <w:color w:val="242424"/>
          <w:sz w:val="14"/>
          <w:szCs w:val="14"/>
          <w:lang w:val="en-US"/>
        </w:rPr>
        <w:t>the</w:t>
      </w:r>
      <w:r w:rsidRPr="005F0A67">
        <w:rPr>
          <w:rFonts w:asciiTheme="majorBidi" w:eastAsia="Arial" w:hAnsiTheme="majorBidi" w:cstheme="majorBidi"/>
          <w:color w:val="242424"/>
          <w:spacing w:val="-2"/>
          <w:sz w:val="14"/>
          <w:szCs w:val="14"/>
          <w:lang w:val="en-US"/>
        </w:rPr>
        <w:t xml:space="preserve"> </w:t>
      </w:r>
      <w:r w:rsidRPr="005F0A67">
        <w:rPr>
          <w:rFonts w:asciiTheme="majorBidi" w:eastAsia="Arial" w:hAnsiTheme="majorBidi" w:cstheme="majorBidi"/>
          <w:color w:val="242424"/>
          <w:sz w:val="14"/>
          <w:szCs w:val="14"/>
          <w:lang w:val="en-US"/>
        </w:rPr>
        <w:t>sequencing</w:t>
      </w:r>
      <w:r w:rsidRPr="005F0A67">
        <w:rPr>
          <w:rFonts w:asciiTheme="majorBidi" w:eastAsia="Arial" w:hAnsiTheme="majorBidi" w:cstheme="majorBidi"/>
          <w:color w:val="242424"/>
          <w:spacing w:val="-2"/>
          <w:sz w:val="14"/>
          <w:szCs w:val="14"/>
          <w:lang w:val="en-US"/>
        </w:rPr>
        <w:t xml:space="preserve"> </w:t>
      </w:r>
      <w:r w:rsidRPr="005F0A67">
        <w:rPr>
          <w:rFonts w:asciiTheme="majorBidi" w:eastAsia="Arial" w:hAnsiTheme="majorBidi" w:cstheme="majorBidi"/>
          <w:color w:val="242424"/>
          <w:sz w:val="14"/>
          <w:szCs w:val="14"/>
          <w:lang w:val="en-US"/>
        </w:rPr>
        <w:t>and</w:t>
      </w:r>
      <w:r w:rsidRPr="005F0A67">
        <w:rPr>
          <w:rFonts w:asciiTheme="majorBidi" w:eastAsia="Arial" w:hAnsiTheme="majorBidi" w:cstheme="majorBidi"/>
          <w:color w:val="242424"/>
          <w:spacing w:val="-2"/>
          <w:sz w:val="14"/>
          <w:szCs w:val="14"/>
          <w:lang w:val="en-US"/>
        </w:rPr>
        <w:t xml:space="preserve"> </w:t>
      </w:r>
      <w:r w:rsidRPr="005F0A67">
        <w:rPr>
          <w:rFonts w:asciiTheme="majorBidi" w:eastAsia="Arial" w:hAnsiTheme="majorBidi" w:cstheme="majorBidi"/>
          <w:color w:val="242424"/>
          <w:sz w:val="14"/>
          <w:szCs w:val="14"/>
          <w:lang w:val="en-US"/>
        </w:rPr>
        <w:t>use</w:t>
      </w:r>
      <w:r w:rsidRPr="005F0A67">
        <w:rPr>
          <w:rFonts w:asciiTheme="majorBidi" w:eastAsia="Arial" w:hAnsiTheme="majorBidi" w:cstheme="majorBidi"/>
          <w:color w:val="242424"/>
          <w:spacing w:val="-2"/>
          <w:sz w:val="14"/>
          <w:szCs w:val="14"/>
          <w:lang w:val="en-US"/>
        </w:rPr>
        <w:t xml:space="preserve"> </w:t>
      </w:r>
      <w:r w:rsidRPr="005F0A67">
        <w:rPr>
          <w:rFonts w:asciiTheme="majorBidi" w:eastAsia="Arial" w:hAnsiTheme="majorBidi" w:cstheme="majorBidi"/>
          <w:color w:val="242424"/>
          <w:sz w:val="14"/>
          <w:szCs w:val="14"/>
          <w:lang w:val="en-US"/>
        </w:rPr>
        <w:t>of</w:t>
      </w:r>
      <w:r w:rsidRPr="005F0A67">
        <w:rPr>
          <w:rFonts w:asciiTheme="majorBidi" w:eastAsia="Arial" w:hAnsiTheme="majorBidi" w:cstheme="majorBidi"/>
          <w:color w:val="242424"/>
          <w:spacing w:val="-2"/>
          <w:sz w:val="14"/>
          <w:szCs w:val="14"/>
          <w:lang w:val="en-US"/>
        </w:rPr>
        <w:t xml:space="preserve"> </w:t>
      </w:r>
      <w:r w:rsidRPr="005F0A67">
        <w:rPr>
          <w:rFonts w:asciiTheme="majorBidi" w:eastAsia="Arial" w:hAnsiTheme="majorBidi" w:cstheme="majorBidi"/>
          <w:color w:val="242424"/>
          <w:sz w:val="14"/>
          <w:szCs w:val="14"/>
          <w:lang w:val="en-US"/>
        </w:rPr>
        <w:t>digital</w:t>
      </w:r>
      <w:r w:rsidRPr="005F0A67">
        <w:rPr>
          <w:rFonts w:asciiTheme="majorBidi" w:eastAsia="Arial" w:hAnsiTheme="majorBidi" w:cstheme="majorBidi"/>
          <w:color w:val="242424"/>
          <w:spacing w:val="-2"/>
          <w:sz w:val="14"/>
          <w:szCs w:val="14"/>
          <w:lang w:val="en-US"/>
        </w:rPr>
        <w:t xml:space="preserve"> </w:t>
      </w:r>
      <w:r w:rsidRPr="005F0A67">
        <w:rPr>
          <w:rFonts w:asciiTheme="majorBidi" w:eastAsia="Arial" w:hAnsiTheme="majorBidi" w:cstheme="majorBidi"/>
          <w:color w:val="242424"/>
          <w:sz w:val="14"/>
          <w:szCs w:val="14"/>
          <w:lang w:val="en-US"/>
        </w:rPr>
        <w:t>sequence</w:t>
      </w:r>
      <w:r w:rsidRPr="005F0A67">
        <w:rPr>
          <w:rFonts w:asciiTheme="majorBidi" w:eastAsia="Arial" w:hAnsiTheme="majorBidi" w:cstheme="majorBidi"/>
          <w:color w:val="242424"/>
          <w:spacing w:val="-2"/>
          <w:sz w:val="14"/>
          <w:szCs w:val="14"/>
          <w:lang w:val="en-US"/>
        </w:rPr>
        <w:t xml:space="preserve"> </w:t>
      </w:r>
      <w:r w:rsidRPr="005F0A67">
        <w:rPr>
          <w:rFonts w:asciiTheme="majorBidi" w:eastAsia="Arial" w:hAnsiTheme="majorBidi" w:cstheme="majorBidi"/>
          <w:color w:val="242424"/>
          <w:sz w:val="14"/>
          <w:szCs w:val="14"/>
          <w:lang w:val="en-US"/>
        </w:rPr>
        <w:t>information</w:t>
      </w:r>
      <w:r w:rsidRPr="005F0A67">
        <w:rPr>
          <w:rFonts w:asciiTheme="majorBidi" w:eastAsia="Arial" w:hAnsiTheme="majorBidi" w:cstheme="majorBidi"/>
          <w:color w:val="242424"/>
          <w:spacing w:val="-2"/>
          <w:sz w:val="14"/>
          <w:szCs w:val="14"/>
          <w:lang w:val="en-US"/>
        </w:rPr>
        <w:t xml:space="preserve"> </w:t>
      </w:r>
      <w:r w:rsidRPr="005F0A67">
        <w:rPr>
          <w:rFonts w:asciiTheme="majorBidi" w:eastAsia="Arial" w:hAnsiTheme="majorBidi" w:cstheme="majorBidi"/>
          <w:color w:val="242424"/>
          <w:sz w:val="14"/>
          <w:szCs w:val="14"/>
          <w:lang w:val="en-US"/>
        </w:rPr>
        <w:t>on</w:t>
      </w:r>
      <w:r w:rsidRPr="005F0A67">
        <w:rPr>
          <w:rFonts w:asciiTheme="majorBidi" w:eastAsia="Arial" w:hAnsiTheme="majorBidi" w:cstheme="majorBidi"/>
          <w:color w:val="242424"/>
          <w:spacing w:val="-2"/>
          <w:sz w:val="14"/>
          <w:szCs w:val="14"/>
          <w:lang w:val="en-US"/>
        </w:rPr>
        <w:t xml:space="preserve"> </w:t>
      </w:r>
      <w:r w:rsidRPr="005F0A67">
        <w:rPr>
          <w:rFonts w:asciiTheme="majorBidi" w:eastAsia="Arial" w:hAnsiTheme="majorBidi" w:cstheme="majorBidi"/>
          <w:color w:val="242424"/>
          <w:sz w:val="14"/>
          <w:szCs w:val="14"/>
          <w:lang w:val="en-US"/>
        </w:rPr>
        <w:t>genetic</w:t>
      </w:r>
      <w:r w:rsidRPr="005F0A67">
        <w:rPr>
          <w:rFonts w:asciiTheme="majorBidi" w:eastAsia="Arial" w:hAnsiTheme="majorBidi" w:cstheme="majorBidi"/>
          <w:color w:val="242424"/>
          <w:spacing w:val="40"/>
          <w:sz w:val="14"/>
          <w:szCs w:val="14"/>
          <w:lang w:val="en-US"/>
        </w:rPr>
        <w:t xml:space="preserve"> </w:t>
      </w:r>
      <w:r w:rsidRPr="005F0A67">
        <w:rPr>
          <w:rFonts w:asciiTheme="majorBidi" w:eastAsia="Arial" w:hAnsiTheme="majorBidi" w:cstheme="majorBidi"/>
          <w:color w:val="242424"/>
          <w:sz w:val="14"/>
          <w:szCs w:val="14"/>
          <w:lang w:val="en-US"/>
        </w:rPr>
        <w:t>resources, including reagents and supplies</w:t>
      </w:r>
    </w:p>
    <w:p w14:paraId="21CD6AE9" w14:textId="77777777" w:rsidR="005F0A67" w:rsidRPr="005F0A67" w:rsidRDefault="005F0A67" w:rsidP="005F0A67">
      <w:pPr>
        <w:widowControl w:val="0"/>
        <w:tabs>
          <w:tab w:val="clear" w:pos="567"/>
          <w:tab w:val="clear" w:pos="1134"/>
          <w:tab w:val="clear" w:pos="1701"/>
          <w:tab w:val="clear" w:pos="2268"/>
        </w:tabs>
        <w:spacing w:before="38"/>
        <w:jc w:val="left"/>
        <w:rPr>
          <w:rFonts w:asciiTheme="majorBidi" w:eastAsia="Arial" w:hAnsiTheme="majorBidi" w:cstheme="majorBidi"/>
          <w:sz w:val="14"/>
          <w:szCs w:val="14"/>
          <w:lang w:val="en-US"/>
        </w:rPr>
      </w:pPr>
    </w:p>
    <w:p w14:paraId="608B3D57" w14:textId="77777777" w:rsidR="005F0A67" w:rsidRPr="005F0A67" w:rsidRDefault="005F0A67" w:rsidP="005F0A67">
      <w:pPr>
        <w:widowControl w:val="0"/>
        <w:tabs>
          <w:tab w:val="clear" w:pos="567"/>
          <w:tab w:val="clear" w:pos="1134"/>
          <w:tab w:val="clear" w:pos="1701"/>
          <w:tab w:val="clear" w:pos="2268"/>
        </w:tabs>
        <w:spacing w:line="297" w:lineRule="auto"/>
        <w:ind w:left="1065" w:right="484"/>
        <w:jc w:val="left"/>
        <w:rPr>
          <w:rFonts w:asciiTheme="majorBidi" w:eastAsia="Arial" w:hAnsiTheme="majorBidi" w:cstheme="majorBidi"/>
          <w:sz w:val="14"/>
          <w:szCs w:val="14"/>
          <w:lang w:val="en-US"/>
        </w:rPr>
      </w:pPr>
      <w:r w:rsidRPr="005F0A67">
        <w:rPr>
          <w:rFonts w:asciiTheme="majorBidi" w:eastAsia="Arial" w:hAnsiTheme="majorBidi" w:cstheme="majorBidi"/>
          <w:noProof/>
          <w:sz w:val="14"/>
          <w:szCs w:val="14"/>
          <w:lang w:val="en-US"/>
        </w:rPr>
        <w:drawing>
          <wp:anchor distT="0" distB="0" distL="0" distR="0" simplePos="0" relativeHeight="251658243" behindDoc="0" locked="0" layoutInCell="1" allowOverlap="1" wp14:anchorId="7BF3596B" wp14:editId="41BA6172">
            <wp:simplePos x="0" y="0"/>
            <wp:positionH relativeFrom="page">
              <wp:posOffset>1539875</wp:posOffset>
            </wp:positionH>
            <wp:positionV relativeFrom="paragraph">
              <wp:posOffset>52109</wp:posOffset>
            </wp:positionV>
            <wp:extent cx="127000" cy="127000"/>
            <wp:effectExtent l="0" t="0" r="0" b="0"/>
            <wp:wrapNone/>
            <wp:docPr id="29"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40" cstate="print"/>
                    <a:stretch>
                      <a:fillRect/>
                    </a:stretch>
                  </pic:blipFill>
                  <pic:spPr>
                    <a:xfrm>
                      <a:off x="0" y="0"/>
                      <a:ext cx="127000" cy="127000"/>
                    </a:xfrm>
                    <a:prstGeom prst="rect">
                      <a:avLst/>
                    </a:prstGeom>
                  </pic:spPr>
                </pic:pic>
              </a:graphicData>
            </a:graphic>
          </wp:anchor>
        </w:drawing>
      </w:r>
      <w:r w:rsidRPr="005F0A67">
        <w:rPr>
          <w:rFonts w:asciiTheme="majorBidi" w:eastAsia="Arial" w:hAnsiTheme="majorBidi" w:cstheme="majorBidi"/>
          <w:color w:val="242424"/>
          <w:sz w:val="14"/>
          <w:szCs w:val="14"/>
          <w:lang w:val="en-US"/>
        </w:rPr>
        <w:t>Information,</w:t>
      </w:r>
      <w:r w:rsidRPr="005F0A67">
        <w:rPr>
          <w:rFonts w:asciiTheme="majorBidi" w:eastAsia="Arial" w:hAnsiTheme="majorBidi" w:cstheme="majorBidi"/>
          <w:color w:val="242424"/>
          <w:spacing w:val="-5"/>
          <w:sz w:val="14"/>
          <w:szCs w:val="14"/>
          <w:lang w:val="en-US"/>
        </w:rPr>
        <w:t xml:space="preserve"> </w:t>
      </w:r>
      <w:r w:rsidRPr="005F0A67">
        <w:rPr>
          <w:rFonts w:asciiTheme="majorBidi" w:eastAsia="Arial" w:hAnsiTheme="majorBidi" w:cstheme="majorBidi"/>
          <w:color w:val="242424"/>
          <w:sz w:val="14"/>
          <w:szCs w:val="14"/>
          <w:lang w:val="en-US"/>
        </w:rPr>
        <w:t>scientific</w:t>
      </w:r>
      <w:r w:rsidRPr="005F0A67">
        <w:rPr>
          <w:rFonts w:asciiTheme="majorBidi" w:eastAsia="Arial" w:hAnsiTheme="majorBidi" w:cstheme="majorBidi"/>
          <w:color w:val="242424"/>
          <w:spacing w:val="-5"/>
          <w:sz w:val="14"/>
          <w:szCs w:val="14"/>
          <w:lang w:val="en-US"/>
        </w:rPr>
        <w:t xml:space="preserve"> </w:t>
      </w:r>
      <w:r w:rsidRPr="005F0A67">
        <w:rPr>
          <w:rFonts w:asciiTheme="majorBidi" w:eastAsia="Arial" w:hAnsiTheme="majorBidi" w:cstheme="majorBidi"/>
          <w:color w:val="242424"/>
          <w:sz w:val="14"/>
          <w:szCs w:val="14"/>
          <w:lang w:val="en-US"/>
        </w:rPr>
        <w:t>and</w:t>
      </w:r>
      <w:r w:rsidRPr="005F0A67">
        <w:rPr>
          <w:rFonts w:asciiTheme="majorBidi" w:eastAsia="Arial" w:hAnsiTheme="majorBidi" w:cstheme="majorBidi"/>
          <w:color w:val="242424"/>
          <w:spacing w:val="-5"/>
          <w:sz w:val="14"/>
          <w:szCs w:val="14"/>
          <w:lang w:val="en-US"/>
        </w:rPr>
        <w:t xml:space="preserve"> </w:t>
      </w:r>
      <w:r w:rsidRPr="005F0A67">
        <w:rPr>
          <w:rFonts w:asciiTheme="majorBidi" w:eastAsia="Arial" w:hAnsiTheme="majorBidi" w:cstheme="majorBidi"/>
          <w:color w:val="242424"/>
          <w:sz w:val="14"/>
          <w:szCs w:val="14"/>
          <w:lang w:val="en-US"/>
        </w:rPr>
        <w:t>technical</w:t>
      </w:r>
      <w:r w:rsidRPr="005F0A67">
        <w:rPr>
          <w:rFonts w:asciiTheme="majorBidi" w:eastAsia="Arial" w:hAnsiTheme="majorBidi" w:cstheme="majorBidi"/>
          <w:color w:val="242424"/>
          <w:spacing w:val="-5"/>
          <w:sz w:val="14"/>
          <w:szCs w:val="14"/>
          <w:lang w:val="en-US"/>
        </w:rPr>
        <w:t xml:space="preserve"> </w:t>
      </w:r>
      <w:r w:rsidRPr="005F0A67">
        <w:rPr>
          <w:rFonts w:asciiTheme="majorBidi" w:eastAsia="Arial" w:hAnsiTheme="majorBidi" w:cstheme="majorBidi"/>
          <w:color w:val="242424"/>
          <w:sz w:val="14"/>
          <w:szCs w:val="14"/>
          <w:lang w:val="en-US"/>
        </w:rPr>
        <w:t>services</w:t>
      </w:r>
      <w:r w:rsidRPr="005F0A67">
        <w:rPr>
          <w:rFonts w:asciiTheme="majorBidi" w:eastAsia="Arial" w:hAnsiTheme="majorBidi" w:cstheme="majorBidi"/>
          <w:color w:val="242424"/>
          <w:spacing w:val="-5"/>
          <w:sz w:val="14"/>
          <w:szCs w:val="14"/>
          <w:lang w:val="en-US"/>
        </w:rPr>
        <w:t xml:space="preserve"> </w:t>
      </w:r>
      <w:r w:rsidRPr="005F0A67">
        <w:rPr>
          <w:rFonts w:asciiTheme="majorBidi" w:eastAsia="Arial" w:hAnsiTheme="majorBidi" w:cstheme="majorBidi"/>
          <w:color w:val="242424"/>
          <w:sz w:val="14"/>
          <w:szCs w:val="14"/>
          <w:lang w:val="en-US"/>
        </w:rPr>
        <w:t>related</w:t>
      </w:r>
      <w:r w:rsidRPr="005F0A67">
        <w:rPr>
          <w:rFonts w:asciiTheme="majorBidi" w:eastAsia="Arial" w:hAnsiTheme="majorBidi" w:cstheme="majorBidi"/>
          <w:color w:val="242424"/>
          <w:spacing w:val="-5"/>
          <w:sz w:val="14"/>
          <w:szCs w:val="14"/>
          <w:lang w:val="en-US"/>
        </w:rPr>
        <w:t xml:space="preserve"> </w:t>
      </w:r>
      <w:r w:rsidRPr="005F0A67">
        <w:rPr>
          <w:rFonts w:asciiTheme="majorBidi" w:eastAsia="Arial" w:hAnsiTheme="majorBidi" w:cstheme="majorBidi"/>
          <w:color w:val="242424"/>
          <w:sz w:val="14"/>
          <w:szCs w:val="14"/>
          <w:lang w:val="en-US"/>
        </w:rPr>
        <w:t>to</w:t>
      </w:r>
      <w:r w:rsidRPr="005F0A67">
        <w:rPr>
          <w:rFonts w:asciiTheme="majorBidi" w:eastAsia="Arial" w:hAnsiTheme="majorBidi" w:cstheme="majorBidi"/>
          <w:color w:val="242424"/>
          <w:spacing w:val="-5"/>
          <w:sz w:val="14"/>
          <w:szCs w:val="14"/>
          <w:lang w:val="en-US"/>
        </w:rPr>
        <w:t xml:space="preserve"> </w:t>
      </w:r>
      <w:r w:rsidRPr="005F0A67">
        <w:rPr>
          <w:rFonts w:asciiTheme="majorBidi" w:eastAsia="Arial" w:hAnsiTheme="majorBidi" w:cstheme="majorBidi"/>
          <w:color w:val="242424"/>
          <w:sz w:val="14"/>
          <w:szCs w:val="14"/>
          <w:lang w:val="en-US"/>
        </w:rPr>
        <w:t>digital</w:t>
      </w:r>
      <w:r w:rsidRPr="005F0A67">
        <w:rPr>
          <w:rFonts w:asciiTheme="majorBidi" w:eastAsia="Arial" w:hAnsiTheme="majorBidi" w:cstheme="majorBidi"/>
          <w:color w:val="242424"/>
          <w:spacing w:val="-5"/>
          <w:sz w:val="14"/>
          <w:szCs w:val="14"/>
          <w:lang w:val="en-US"/>
        </w:rPr>
        <w:t xml:space="preserve"> </w:t>
      </w:r>
      <w:r w:rsidRPr="005F0A67">
        <w:rPr>
          <w:rFonts w:asciiTheme="majorBidi" w:eastAsia="Arial" w:hAnsiTheme="majorBidi" w:cstheme="majorBidi"/>
          <w:color w:val="242424"/>
          <w:sz w:val="14"/>
          <w:szCs w:val="14"/>
          <w:lang w:val="en-US"/>
        </w:rPr>
        <w:t>sequence</w:t>
      </w:r>
      <w:r w:rsidRPr="005F0A67">
        <w:rPr>
          <w:rFonts w:asciiTheme="majorBidi" w:eastAsia="Arial" w:hAnsiTheme="majorBidi" w:cstheme="majorBidi"/>
          <w:color w:val="242424"/>
          <w:spacing w:val="-5"/>
          <w:sz w:val="14"/>
          <w:szCs w:val="14"/>
          <w:lang w:val="en-US"/>
        </w:rPr>
        <w:t xml:space="preserve"> </w:t>
      </w:r>
      <w:r w:rsidRPr="005F0A67">
        <w:rPr>
          <w:rFonts w:asciiTheme="majorBidi" w:eastAsia="Arial" w:hAnsiTheme="majorBidi" w:cstheme="majorBidi"/>
          <w:color w:val="242424"/>
          <w:sz w:val="14"/>
          <w:szCs w:val="14"/>
          <w:lang w:val="en-US"/>
        </w:rPr>
        <w:t>information</w:t>
      </w:r>
      <w:r w:rsidRPr="005F0A67">
        <w:rPr>
          <w:rFonts w:asciiTheme="majorBidi" w:eastAsia="Arial" w:hAnsiTheme="majorBidi" w:cstheme="majorBidi"/>
          <w:color w:val="242424"/>
          <w:spacing w:val="-5"/>
          <w:sz w:val="14"/>
          <w:szCs w:val="14"/>
          <w:lang w:val="en-US"/>
        </w:rPr>
        <w:t xml:space="preserve"> </w:t>
      </w:r>
      <w:r w:rsidRPr="005F0A67">
        <w:rPr>
          <w:rFonts w:asciiTheme="majorBidi" w:eastAsia="Arial" w:hAnsiTheme="majorBidi" w:cstheme="majorBidi"/>
          <w:color w:val="242424"/>
          <w:sz w:val="14"/>
          <w:szCs w:val="14"/>
          <w:lang w:val="en-US"/>
        </w:rPr>
        <w:t>on</w:t>
      </w:r>
      <w:r w:rsidRPr="005F0A67">
        <w:rPr>
          <w:rFonts w:asciiTheme="majorBidi" w:eastAsia="Arial" w:hAnsiTheme="majorBidi" w:cstheme="majorBidi"/>
          <w:color w:val="242424"/>
          <w:spacing w:val="-5"/>
          <w:sz w:val="14"/>
          <w:szCs w:val="14"/>
          <w:lang w:val="en-US"/>
        </w:rPr>
        <w:t xml:space="preserve"> </w:t>
      </w:r>
      <w:r w:rsidRPr="005F0A67">
        <w:rPr>
          <w:rFonts w:asciiTheme="majorBidi" w:eastAsia="Arial" w:hAnsiTheme="majorBidi" w:cstheme="majorBidi"/>
          <w:color w:val="242424"/>
          <w:sz w:val="14"/>
          <w:szCs w:val="14"/>
          <w:lang w:val="en-US"/>
        </w:rPr>
        <w:t>genetic</w:t>
      </w:r>
      <w:r w:rsidRPr="005F0A67">
        <w:rPr>
          <w:rFonts w:asciiTheme="majorBidi" w:eastAsia="Arial" w:hAnsiTheme="majorBidi" w:cstheme="majorBidi"/>
          <w:color w:val="242424"/>
          <w:spacing w:val="-5"/>
          <w:sz w:val="14"/>
          <w:szCs w:val="14"/>
          <w:lang w:val="en-US"/>
        </w:rPr>
        <w:t xml:space="preserve"> </w:t>
      </w:r>
      <w:r w:rsidRPr="005F0A67">
        <w:rPr>
          <w:rFonts w:asciiTheme="majorBidi" w:eastAsia="Arial" w:hAnsiTheme="majorBidi" w:cstheme="majorBidi"/>
          <w:color w:val="242424"/>
          <w:sz w:val="14"/>
          <w:szCs w:val="14"/>
          <w:lang w:val="en-US"/>
        </w:rPr>
        <w:t>resources,</w:t>
      </w:r>
      <w:r w:rsidRPr="005F0A67">
        <w:rPr>
          <w:rFonts w:asciiTheme="majorBidi" w:eastAsia="Arial" w:hAnsiTheme="majorBidi" w:cstheme="majorBidi"/>
          <w:color w:val="242424"/>
          <w:spacing w:val="40"/>
          <w:sz w:val="14"/>
          <w:szCs w:val="14"/>
          <w:lang w:val="en-US"/>
        </w:rPr>
        <w:t xml:space="preserve"> </w:t>
      </w:r>
      <w:r w:rsidRPr="005F0A67">
        <w:rPr>
          <w:rFonts w:asciiTheme="majorBidi" w:eastAsia="Arial" w:hAnsiTheme="majorBidi" w:cstheme="majorBidi"/>
          <w:color w:val="242424"/>
          <w:sz w:val="14"/>
          <w:szCs w:val="14"/>
          <w:lang w:val="en-US"/>
        </w:rPr>
        <w:t>including artificial intelligence</w:t>
      </w:r>
    </w:p>
    <w:p w14:paraId="58BD247F" w14:textId="77777777" w:rsidR="005F0A67" w:rsidRPr="005F0A67" w:rsidRDefault="005F0A67" w:rsidP="005F0A67">
      <w:pPr>
        <w:widowControl w:val="0"/>
        <w:tabs>
          <w:tab w:val="clear" w:pos="567"/>
          <w:tab w:val="clear" w:pos="1134"/>
          <w:tab w:val="clear" w:pos="1701"/>
          <w:tab w:val="clear" w:pos="2268"/>
        </w:tabs>
        <w:spacing w:before="41"/>
        <w:jc w:val="left"/>
        <w:rPr>
          <w:rFonts w:asciiTheme="majorBidi" w:eastAsia="Arial" w:hAnsiTheme="majorBidi" w:cstheme="majorBidi"/>
          <w:sz w:val="14"/>
          <w:szCs w:val="14"/>
          <w:lang w:val="en-US"/>
        </w:rPr>
      </w:pPr>
    </w:p>
    <w:p w14:paraId="6B2DF992" w14:textId="77777777" w:rsidR="005F0A67" w:rsidRPr="005F0A67" w:rsidRDefault="005F0A67" w:rsidP="005F0A67">
      <w:pPr>
        <w:widowControl w:val="0"/>
        <w:tabs>
          <w:tab w:val="clear" w:pos="567"/>
          <w:tab w:val="clear" w:pos="1134"/>
          <w:tab w:val="clear" w:pos="1701"/>
          <w:tab w:val="clear" w:pos="2268"/>
        </w:tabs>
        <w:spacing w:before="1" w:line="684" w:lineRule="auto"/>
        <w:ind w:left="725" w:right="6200"/>
        <w:jc w:val="left"/>
        <w:rPr>
          <w:rFonts w:asciiTheme="majorBidi" w:eastAsia="Arial" w:hAnsiTheme="majorBidi" w:cstheme="majorBidi"/>
          <w:sz w:val="14"/>
          <w:szCs w:val="14"/>
          <w:lang w:val="en-US"/>
        </w:rPr>
      </w:pPr>
      <w:r w:rsidRPr="005F0A67">
        <w:rPr>
          <w:rFonts w:asciiTheme="majorBidi" w:eastAsia="Arial" w:hAnsiTheme="majorBidi" w:cstheme="majorBidi"/>
          <w:noProof/>
          <w:position w:val="-4"/>
          <w:sz w:val="14"/>
          <w:szCs w:val="14"/>
          <w:lang w:val="en-US"/>
        </w:rPr>
        <w:drawing>
          <wp:inline distT="0" distB="0" distL="0" distR="0" wp14:anchorId="26392AC2" wp14:editId="7A2A0DDE">
            <wp:extent cx="127000" cy="127000"/>
            <wp:effectExtent l="0" t="0" r="0" b="0"/>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41" cstate="print"/>
                    <a:stretch>
                      <a:fillRect/>
                    </a:stretch>
                  </pic:blipFill>
                  <pic:spPr>
                    <a:xfrm>
                      <a:off x="0" y="0"/>
                      <a:ext cx="127000" cy="127000"/>
                    </a:xfrm>
                    <a:prstGeom prst="rect">
                      <a:avLst/>
                    </a:prstGeom>
                  </pic:spPr>
                </pic:pic>
              </a:graphicData>
            </a:graphic>
          </wp:inline>
        </w:drawing>
      </w:r>
      <w:r w:rsidRPr="005F0A67">
        <w:rPr>
          <w:rFonts w:asciiTheme="majorBidi" w:eastAsia="Arial" w:hAnsiTheme="majorBidi" w:cstheme="majorBidi"/>
          <w:spacing w:val="75"/>
          <w:sz w:val="20"/>
          <w:szCs w:val="20"/>
          <w:lang w:val="en-US"/>
        </w:rPr>
        <w:t xml:space="preserve"> </w:t>
      </w:r>
      <w:r w:rsidRPr="005F0A67">
        <w:rPr>
          <w:rFonts w:asciiTheme="majorBidi" w:eastAsia="Arial" w:hAnsiTheme="majorBidi" w:cstheme="majorBidi"/>
          <w:color w:val="242424"/>
          <w:sz w:val="14"/>
          <w:szCs w:val="14"/>
          <w:lang w:val="en-US"/>
        </w:rPr>
        <w:t>None</w:t>
      </w:r>
      <w:r w:rsidRPr="005F0A67">
        <w:rPr>
          <w:rFonts w:asciiTheme="majorBidi" w:eastAsia="Arial" w:hAnsiTheme="majorBidi" w:cstheme="majorBidi"/>
          <w:color w:val="242424"/>
          <w:spacing w:val="-5"/>
          <w:sz w:val="14"/>
          <w:szCs w:val="14"/>
          <w:lang w:val="en-US"/>
        </w:rPr>
        <w:t xml:space="preserve"> </w:t>
      </w:r>
      <w:r w:rsidRPr="005F0A67">
        <w:rPr>
          <w:rFonts w:asciiTheme="majorBidi" w:eastAsia="Arial" w:hAnsiTheme="majorBidi" w:cstheme="majorBidi"/>
          <w:color w:val="242424"/>
          <w:sz w:val="14"/>
          <w:szCs w:val="14"/>
          <w:lang w:val="en-US"/>
        </w:rPr>
        <w:t>of</w:t>
      </w:r>
      <w:r w:rsidRPr="005F0A67">
        <w:rPr>
          <w:rFonts w:asciiTheme="majorBidi" w:eastAsia="Arial" w:hAnsiTheme="majorBidi" w:cstheme="majorBidi"/>
          <w:color w:val="242424"/>
          <w:spacing w:val="-5"/>
          <w:sz w:val="14"/>
          <w:szCs w:val="14"/>
          <w:lang w:val="en-US"/>
        </w:rPr>
        <w:t xml:space="preserve"> </w:t>
      </w:r>
      <w:r w:rsidRPr="005F0A67">
        <w:rPr>
          <w:rFonts w:asciiTheme="majorBidi" w:eastAsia="Arial" w:hAnsiTheme="majorBidi" w:cstheme="majorBidi"/>
          <w:color w:val="242424"/>
          <w:sz w:val="14"/>
          <w:szCs w:val="14"/>
          <w:lang w:val="en-US"/>
        </w:rPr>
        <w:t>the</w:t>
      </w:r>
      <w:r w:rsidRPr="005F0A67">
        <w:rPr>
          <w:rFonts w:asciiTheme="majorBidi" w:eastAsia="Arial" w:hAnsiTheme="majorBidi" w:cstheme="majorBidi"/>
          <w:color w:val="242424"/>
          <w:spacing w:val="-5"/>
          <w:sz w:val="14"/>
          <w:szCs w:val="14"/>
          <w:lang w:val="en-US"/>
        </w:rPr>
        <w:t xml:space="preserve"> </w:t>
      </w:r>
      <w:r w:rsidRPr="005F0A67">
        <w:rPr>
          <w:rFonts w:asciiTheme="majorBidi" w:eastAsia="Arial" w:hAnsiTheme="majorBidi" w:cstheme="majorBidi"/>
          <w:color w:val="242424"/>
          <w:sz w:val="14"/>
          <w:szCs w:val="14"/>
          <w:lang w:val="en-US"/>
        </w:rPr>
        <w:t>above</w:t>
      </w:r>
      <w:r w:rsidRPr="005F0A67">
        <w:rPr>
          <w:rFonts w:asciiTheme="majorBidi" w:eastAsia="Arial" w:hAnsiTheme="majorBidi" w:cstheme="majorBidi"/>
          <w:color w:val="242424"/>
          <w:spacing w:val="40"/>
          <w:sz w:val="14"/>
          <w:szCs w:val="14"/>
          <w:lang w:val="en-US"/>
        </w:rPr>
        <w:t xml:space="preserve"> </w:t>
      </w:r>
      <w:r w:rsidRPr="005F0A67">
        <w:rPr>
          <w:rFonts w:asciiTheme="majorBidi" w:eastAsia="Arial" w:hAnsiTheme="majorBidi" w:cstheme="majorBidi"/>
          <w:noProof/>
          <w:color w:val="242424"/>
          <w:position w:val="-2"/>
          <w:sz w:val="14"/>
          <w:szCs w:val="14"/>
          <w:lang w:val="en-US"/>
        </w:rPr>
        <w:drawing>
          <wp:inline distT="0" distB="0" distL="0" distR="0" wp14:anchorId="3A630319" wp14:editId="037A9CE5">
            <wp:extent cx="127000" cy="127000"/>
            <wp:effectExtent l="0" t="0" r="0" b="0"/>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41" cstate="print"/>
                    <a:stretch>
                      <a:fillRect/>
                    </a:stretch>
                  </pic:blipFill>
                  <pic:spPr>
                    <a:xfrm>
                      <a:off x="0" y="0"/>
                      <a:ext cx="127000" cy="127000"/>
                    </a:xfrm>
                    <a:prstGeom prst="rect">
                      <a:avLst/>
                    </a:prstGeom>
                  </pic:spPr>
                </pic:pic>
              </a:graphicData>
            </a:graphic>
          </wp:inline>
        </w:drawing>
      </w:r>
      <w:r w:rsidRPr="005F0A67">
        <w:rPr>
          <w:rFonts w:asciiTheme="majorBidi" w:eastAsia="Arial" w:hAnsiTheme="majorBidi" w:cstheme="majorBidi"/>
          <w:color w:val="242424"/>
          <w:spacing w:val="80"/>
          <w:sz w:val="14"/>
          <w:szCs w:val="14"/>
          <w:lang w:val="en-US"/>
        </w:rPr>
        <w:t xml:space="preserve"> </w:t>
      </w:r>
      <w:r w:rsidRPr="005F0A67">
        <w:rPr>
          <w:rFonts w:asciiTheme="majorBidi" w:eastAsia="Arial" w:hAnsiTheme="majorBidi" w:cstheme="majorBidi"/>
          <w:color w:val="202020"/>
          <w:sz w:val="14"/>
          <w:szCs w:val="14"/>
          <w:lang w:val="en-US"/>
        </w:rPr>
        <w:t>Other</w:t>
      </w:r>
    </w:p>
    <w:p w14:paraId="5DCC4348" w14:textId="77777777" w:rsidR="005F0A67" w:rsidRPr="005F0A67" w:rsidRDefault="005F0A67" w:rsidP="003A387A">
      <w:pPr>
        <w:numPr>
          <w:ilvl w:val="0"/>
          <w:numId w:val="44"/>
        </w:numPr>
        <w:tabs>
          <w:tab w:val="clear" w:pos="567"/>
          <w:tab w:val="clear" w:pos="1134"/>
          <w:tab w:val="clear" w:pos="1701"/>
          <w:tab w:val="clear" w:pos="2268"/>
          <w:tab w:val="num" w:pos="360"/>
          <w:tab w:val="left" w:pos="703"/>
        </w:tabs>
        <w:spacing w:before="1" w:after="160"/>
        <w:ind w:left="703" w:hanging="279"/>
        <w:jc w:val="left"/>
        <w:outlineLvl w:val="2"/>
        <w:rPr>
          <w:rFonts w:asciiTheme="majorBidi" w:eastAsia="Arial" w:hAnsiTheme="majorBidi" w:cstheme="majorBidi"/>
          <w:b/>
          <w:bCs/>
          <w:color w:val="7F7F7F"/>
          <w:sz w:val="23"/>
          <w:szCs w:val="23"/>
          <w:lang w:val="en-CA" w:eastAsia="en-GB"/>
        </w:rPr>
      </w:pPr>
      <w:bookmarkStart w:id="279" w:name="_Toc234579633"/>
      <w:r w:rsidRPr="005F0A67">
        <w:rPr>
          <w:rFonts w:asciiTheme="majorBidi" w:eastAsia="Georgia" w:hAnsiTheme="majorBidi" w:cstheme="majorBidi"/>
          <w:color w:val="242424"/>
          <w:spacing w:val="-2"/>
          <w:sz w:val="17"/>
          <w:szCs w:val="17"/>
          <w:lang w:val="en-CA" w:eastAsia="en-GB"/>
        </w:rPr>
        <w:t>What's your company's size?</w:t>
      </w:r>
      <w:r w:rsidRPr="005F0A67">
        <w:rPr>
          <w:rFonts w:asciiTheme="majorBidi" w:eastAsia="Arial" w:hAnsiTheme="majorBidi" w:cstheme="majorBidi"/>
          <w:b/>
          <w:bCs/>
          <w:color w:val="242424"/>
          <w:spacing w:val="-6"/>
          <w:sz w:val="23"/>
          <w:szCs w:val="23"/>
          <w:lang w:val="en-CA" w:eastAsia="en-GB"/>
        </w:rPr>
        <w:t xml:space="preserve"> </w:t>
      </w:r>
      <w:r w:rsidRPr="005F0A67">
        <w:rPr>
          <w:rFonts w:asciiTheme="majorBidi" w:eastAsia="Arial" w:hAnsiTheme="majorBidi" w:cstheme="majorBidi"/>
          <w:b/>
          <w:bCs/>
          <w:color w:val="AE1515"/>
          <w:spacing w:val="-10"/>
          <w:sz w:val="23"/>
          <w:szCs w:val="23"/>
          <w:lang w:val="en-CA" w:eastAsia="en-GB"/>
        </w:rPr>
        <w:t>*</w:t>
      </w:r>
      <w:bookmarkEnd w:id="279"/>
    </w:p>
    <w:p w14:paraId="003E1B12" w14:textId="77777777" w:rsidR="005F0A67" w:rsidRPr="005F0A67" w:rsidRDefault="005F0A67" w:rsidP="005F0A67">
      <w:pPr>
        <w:widowControl w:val="0"/>
        <w:tabs>
          <w:tab w:val="clear" w:pos="567"/>
          <w:tab w:val="clear" w:pos="1134"/>
          <w:tab w:val="clear" w:pos="1701"/>
          <w:tab w:val="clear" w:pos="2268"/>
        </w:tabs>
        <w:spacing w:before="122"/>
        <w:jc w:val="left"/>
        <w:rPr>
          <w:rFonts w:asciiTheme="majorBidi" w:eastAsia="Arial" w:hAnsiTheme="majorBidi" w:cstheme="majorBidi"/>
          <w:sz w:val="14"/>
          <w:szCs w:val="14"/>
          <w:lang w:val="en-US"/>
        </w:rPr>
      </w:pPr>
    </w:p>
    <w:p w14:paraId="69A122F4" w14:textId="77777777" w:rsidR="005F0A67" w:rsidRPr="005F0A67" w:rsidRDefault="005F0A67" w:rsidP="005F0A67">
      <w:pPr>
        <w:widowControl w:val="0"/>
        <w:tabs>
          <w:tab w:val="clear" w:pos="567"/>
          <w:tab w:val="clear" w:pos="1134"/>
          <w:tab w:val="clear" w:pos="1701"/>
          <w:tab w:val="clear" w:pos="2268"/>
        </w:tabs>
        <w:spacing w:before="1"/>
        <w:ind w:left="725"/>
        <w:jc w:val="left"/>
        <w:rPr>
          <w:rFonts w:asciiTheme="majorBidi" w:eastAsia="Arial" w:hAnsiTheme="majorBidi" w:cstheme="majorBidi"/>
          <w:sz w:val="14"/>
          <w:szCs w:val="14"/>
          <w:lang w:val="en-US"/>
        </w:rPr>
      </w:pPr>
      <w:r w:rsidRPr="005F0A67">
        <w:rPr>
          <w:rFonts w:asciiTheme="majorBidi" w:eastAsia="Arial" w:hAnsiTheme="majorBidi" w:cstheme="majorBidi"/>
          <w:noProof/>
          <w:position w:val="-4"/>
          <w:sz w:val="14"/>
          <w:szCs w:val="14"/>
          <w:lang w:val="en-US"/>
        </w:rPr>
        <w:drawing>
          <wp:inline distT="0" distB="0" distL="0" distR="0" wp14:anchorId="11E1A342" wp14:editId="1840D8F2">
            <wp:extent cx="127000" cy="127000"/>
            <wp:effectExtent l="0" t="0" r="0" b="0"/>
            <wp:docPr id="32"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42" cstate="print"/>
                    <a:stretch>
                      <a:fillRect/>
                    </a:stretch>
                  </pic:blipFill>
                  <pic:spPr>
                    <a:xfrm>
                      <a:off x="0" y="0"/>
                      <a:ext cx="127000" cy="127000"/>
                    </a:xfrm>
                    <a:prstGeom prst="rect">
                      <a:avLst/>
                    </a:prstGeom>
                  </pic:spPr>
                </pic:pic>
              </a:graphicData>
            </a:graphic>
          </wp:inline>
        </w:drawing>
      </w:r>
      <w:r w:rsidRPr="005F0A67">
        <w:rPr>
          <w:rFonts w:asciiTheme="majorBidi" w:eastAsia="Arial" w:hAnsiTheme="majorBidi" w:cstheme="majorBidi"/>
          <w:spacing w:val="80"/>
          <w:sz w:val="20"/>
          <w:szCs w:val="20"/>
          <w:lang w:val="en-US"/>
        </w:rPr>
        <w:t xml:space="preserve"> </w:t>
      </w:r>
      <w:r w:rsidRPr="005F0A67">
        <w:rPr>
          <w:rFonts w:asciiTheme="majorBidi" w:eastAsia="Arial" w:hAnsiTheme="majorBidi" w:cstheme="majorBidi"/>
          <w:color w:val="242424"/>
          <w:sz w:val="14"/>
          <w:szCs w:val="14"/>
          <w:lang w:val="en-US"/>
        </w:rPr>
        <w:t>Micro (1-9 employees)</w:t>
      </w:r>
    </w:p>
    <w:p w14:paraId="65C6EB4B" w14:textId="77777777" w:rsidR="005F0A67" w:rsidRPr="005F0A67" w:rsidRDefault="005F0A67" w:rsidP="005F0A67">
      <w:pPr>
        <w:widowControl w:val="0"/>
        <w:tabs>
          <w:tab w:val="clear" w:pos="567"/>
          <w:tab w:val="clear" w:pos="1134"/>
          <w:tab w:val="clear" w:pos="1701"/>
          <w:tab w:val="clear" w:pos="2268"/>
        </w:tabs>
        <w:spacing w:before="138"/>
        <w:jc w:val="left"/>
        <w:rPr>
          <w:rFonts w:asciiTheme="majorBidi" w:eastAsia="Arial" w:hAnsiTheme="majorBidi" w:cstheme="majorBidi"/>
          <w:sz w:val="14"/>
          <w:szCs w:val="14"/>
          <w:lang w:val="en-US"/>
        </w:rPr>
      </w:pPr>
    </w:p>
    <w:p w14:paraId="1B3D7FC1" w14:textId="77777777" w:rsidR="005F0A67" w:rsidRPr="005F0A67" w:rsidRDefault="005F0A67" w:rsidP="005F0A67">
      <w:pPr>
        <w:widowControl w:val="0"/>
        <w:tabs>
          <w:tab w:val="clear" w:pos="567"/>
          <w:tab w:val="clear" w:pos="1134"/>
          <w:tab w:val="clear" w:pos="1701"/>
          <w:tab w:val="clear" w:pos="2268"/>
        </w:tabs>
        <w:spacing w:before="1"/>
        <w:ind w:left="725"/>
        <w:jc w:val="left"/>
        <w:rPr>
          <w:rFonts w:asciiTheme="majorBidi" w:eastAsia="Arial" w:hAnsiTheme="majorBidi" w:cstheme="majorBidi"/>
          <w:sz w:val="14"/>
          <w:szCs w:val="14"/>
          <w:lang w:val="en-US"/>
        </w:rPr>
      </w:pPr>
      <w:r w:rsidRPr="005F0A67">
        <w:rPr>
          <w:rFonts w:asciiTheme="majorBidi" w:eastAsia="Arial" w:hAnsiTheme="majorBidi" w:cstheme="majorBidi"/>
          <w:noProof/>
          <w:position w:val="-4"/>
          <w:sz w:val="14"/>
          <w:szCs w:val="14"/>
          <w:lang w:val="en-US"/>
        </w:rPr>
        <w:drawing>
          <wp:inline distT="0" distB="0" distL="0" distR="0" wp14:anchorId="0ACF77B6" wp14:editId="543032A5">
            <wp:extent cx="127000" cy="127000"/>
            <wp:effectExtent l="0" t="0" r="0" b="0"/>
            <wp:docPr id="33"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39" cstate="print"/>
                    <a:stretch>
                      <a:fillRect/>
                    </a:stretch>
                  </pic:blipFill>
                  <pic:spPr>
                    <a:xfrm>
                      <a:off x="0" y="0"/>
                      <a:ext cx="127000" cy="127000"/>
                    </a:xfrm>
                    <a:prstGeom prst="rect">
                      <a:avLst/>
                    </a:prstGeom>
                  </pic:spPr>
                </pic:pic>
              </a:graphicData>
            </a:graphic>
          </wp:inline>
        </w:drawing>
      </w:r>
      <w:r w:rsidRPr="005F0A67">
        <w:rPr>
          <w:rFonts w:asciiTheme="majorBidi" w:eastAsia="Arial" w:hAnsiTheme="majorBidi" w:cstheme="majorBidi"/>
          <w:spacing w:val="80"/>
          <w:sz w:val="20"/>
          <w:szCs w:val="20"/>
          <w:lang w:val="en-US"/>
        </w:rPr>
        <w:t xml:space="preserve"> </w:t>
      </w:r>
      <w:r w:rsidRPr="005F0A67">
        <w:rPr>
          <w:rFonts w:asciiTheme="majorBidi" w:eastAsia="Arial" w:hAnsiTheme="majorBidi" w:cstheme="majorBidi"/>
          <w:color w:val="242424"/>
          <w:spacing w:val="-2"/>
          <w:sz w:val="14"/>
          <w:szCs w:val="14"/>
          <w:lang w:val="en-US"/>
        </w:rPr>
        <w:t>Small (10-49 employees)</w:t>
      </w:r>
    </w:p>
    <w:p w14:paraId="215ACAFC" w14:textId="77777777" w:rsidR="005F0A67" w:rsidRPr="005F0A67" w:rsidRDefault="005F0A67" w:rsidP="005F0A67">
      <w:pPr>
        <w:widowControl w:val="0"/>
        <w:tabs>
          <w:tab w:val="clear" w:pos="567"/>
          <w:tab w:val="clear" w:pos="1134"/>
          <w:tab w:val="clear" w:pos="1701"/>
          <w:tab w:val="clear" w:pos="2268"/>
        </w:tabs>
        <w:spacing w:before="138"/>
        <w:jc w:val="left"/>
        <w:rPr>
          <w:rFonts w:asciiTheme="majorBidi" w:eastAsia="Arial" w:hAnsiTheme="majorBidi" w:cstheme="majorBidi"/>
          <w:sz w:val="14"/>
          <w:szCs w:val="14"/>
          <w:lang w:val="en-US"/>
        </w:rPr>
      </w:pPr>
    </w:p>
    <w:p w14:paraId="3329DE0B" w14:textId="77777777" w:rsidR="005F0A67" w:rsidRPr="005F0A67" w:rsidRDefault="005F0A67" w:rsidP="005F0A67">
      <w:pPr>
        <w:widowControl w:val="0"/>
        <w:tabs>
          <w:tab w:val="clear" w:pos="567"/>
          <w:tab w:val="clear" w:pos="1134"/>
          <w:tab w:val="clear" w:pos="1701"/>
          <w:tab w:val="clear" w:pos="2268"/>
        </w:tabs>
        <w:spacing w:before="1"/>
        <w:ind w:left="725"/>
        <w:jc w:val="left"/>
        <w:rPr>
          <w:rFonts w:asciiTheme="majorBidi" w:eastAsia="Arial" w:hAnsiTheme="majorBidi" w:cstheme="majorBidi"/>
          <w:sz w:val="14"/>
          <w:szCs w:val="14"/>
          <w:lang w:val="en-US"/>
        </w:rPr>
      </w:pPr>
      <w:r w:rsidRPr="005F0A67">
        <w:rPr>
          <w:rFonts w:asciiTheme="majorBidi" w:eastAsia="Arial" w:hAnsiTheme="majorBidi" w:cstheme="majorBidi"/>
          <w:noProof/>
          <w:position w:val="-4"/>
          <w:sz w:val="14"/>
          <w:szCs w:val="14"/>
          <w:lang w:val="en-US"/>
        </w:rPr>
        <w:drawing>
          <wp:inline distT="0" distB="0" distL="0" distR="0" wp14:anchorId="5813C040" wp14:editId="08C34F10">
            <wp:extent cx="127000" cy="127000"/>
            <wp:effectExtent l="0" t="0" r="0" b="0"/>
            <wp:docPr id="34"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37" cstate="print"/>
                    <a:stretch>
                      <a:fillRect/>
                    </a:stretch>
                  </pic:blipFill>
                  <pic:spPr>
                    <a:xfrm>
                      <a:off x="0" y="0"/>
                      <a:ext cx="127000" cy="127000"/>
                    </a:xfrm>
                    <a:prstGeom prst="rect">
                      <a:avLst/>
                    </a:prstGeom>
                  </pic:spPr>
                </pic:pic>
              </a:graphicData>
            </a:graphic>
          </wp:inline>
        </w:drawing>
      </w:r>
      <w:r w:rsidRPr="005F0A67">
        <w:rPr>
          <w:rFonts w:asciiTheme="majorBidi" w:eastAsia="Arial" w:hAnsiTheme="majorBidi" w:cstheme="majorBidi"/>
          <w:spacing w:val="80"/>
          <w:sz w:val="20"/>
          <w:szCs w:val="20"/>
          <w:lang w:val="en-US"/>
        </w:rPr>
        <w:t xml:space="preserve"> </w:t>
      </w:r>
      <w:r w:rsidRPr="005F0A67">
        <w:rPr>
          <w:rFonts w:asciiTheme="majorBidi" w:eastAsia="Arial" w:hAnsiTheme="majorBidi" w:cstheme="majorBidi"/>
          <w:color w:val="242424"/>
          <w:sz w:val="14"/>
          <w:szCs w:val="14"/>
          <w:lang w:val="en-US"/>
        </w:rPr>
        <w:t>Medium (50 to 249 employees)</w:t>
      </w:r>
    </w:p>
    <w:p w14:paraId="6838242F" w14:textId="77777777" w:rsidR="005F0A67" w:rsidRPr="005F0A67" w:rsidRDefault="005F0A67" w:rsidP="005F0A67">
      <w:pPr>
        <w:widowControl w:val="0"/>
        <w:tabs>
          <w:tab w:val="clear" w:pos="567"/>
          <w:tab w:val="clear" w:pos="1134"/>
          <w:tab w:val="clear" w:pos="1701"/>
          <w:tab w:val="clear" w:pos="2268"/>
        </w:tabs>
        <w:spacing w:before="138"/>
        <w:jc w:val="left"/>
        <w:rPr>
          <w:rFonts w:asciiTheme="majorBidi" w:eastAsia="Arial" w:hAnsiTheme="majorBidi" w:cstheme="majorBidi"/>
          <w:sz w:val="14"/>
          <w:szCs w:val="14"/>
          <w:lang w:val="en-US"/>
        </w:rPr>
      </w:pPr>
    </w:p>
    <w:p w14:paraId="4CD11742" w14:textId="77777777" w:rsidR="005F0A67" w:rsidRPr="005F0A67" w:rsidRDefault="005F0A67" w:rsidP="005F0A67">
      <w:pPr>
        <w:widowControl w:val="0"/>
        <w:tabs>
          <w:tab w:val="clear" w:pos="567"/>
          <w:tab w:val="clear" w:pos="1134"/>
          <w:tab w:val="clear" w:pos="1701"/>
          <w:tab w:val="clear" w:pos="2268"/>
        </w:tabs>
        <w:spacing w:before="1"/>
        <w:ind w:left="725"/>
        <w:jc w:val="left"/>
        <w:rPr>
          <w:rFonts w:asciiTheme="majorBidi" w:eastAsia="Arial" w:hAnsiTheme="majorBidi" w:cstheme="majorBidi"/>
          <w:sz w:val="14"/>
          <w:szCs w:val="14"/>
          <w:lang w:val="en-US"/>
        </w:rPr>
      </w:pPr>
      <w:r w:rsidRPr="005F0A67">
        <w:rPr>
          <w:rFonts w:asciiTheme="majorBidi" w:eastAsia="Arial" w:hAnsiTheme="majorBidi" w:cstheme="majorBidi"/>
          <w:noProof/>
          <w:position w:val="-4"/>
          <w:sz w:val="14"/>
          <w:szCs w:val="14"/>
          <w:lang w:val="en-US"/>
        </w:rPr>
        <w:drawing>
          <wp:inline distT="0" distB="0" distL="0" distR="0" wp14:anchorId="47BCDD4C" wp14:editId="33828733">
            <wp:extent cx="127000" cy="127000"/>
            <wp:effectExtent l="0" t="0" r="0" b="0"/>
            <wp:docPr id="35" name="Imag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42" cstate="print"/>
                    <a:stretch>
                      <a:fillRect/>
                    </a:stretch>
                  </pic:blipFill>
                  <pic:spPr>
                    <a:xfrm>
                      <a:off x="0" y="0"/>
                      <a:ext cx="127000" cy="127000"/>
                    </a:xfrm>
                    <a:prstGeom prst="rect">
                      <a:avLst/>
                    </a:prstGeom>
                  </pic:spPr>
                </pic:pic>
              </a:graphicData>
            </a:graphic>
          </wp:inline>
        </w:drawing>
      </w:r>
      <w:r w:rsidRPr="005F0A67">
        <w:rPr>
          <w:rFonts w:asciiTheme="majorBidi" w:eastAsia="Arial" w:hAnsiTheme="majorBidi" w:cstheme="majorBidi"/>
          <w:spacing w:val="80"/>
          <w:sz w:val="20"/>
          <w:szCs w:val="20"/>
          <w:lang w:val="en-US"/>
        </w:rPr>
        <w:t xml:space="preserve"> </w:t>
      </w:r>
      <w:r w:rsidRPr="005F0A67">
        <w:rPr>
          <w:rFonts w:asciiTheme="majorBidi" w:eastAsia="Arial" w:hAnsiTheme="majorBidi" w:cstheme="majorBidi"/>
          <w:color w:val="242424"/>
          <w:spacing w:val="-2"/>
          <w:sz w:val="14"/>
          <w:szCs w:val="14"/>
          <w:lang w:val="en-US"/>
        </w:rPr>
        <w:t>Large (250+ employees)</w:t>
      </w:r>
    </w:p>
    <w:p w14:paraId="0C76264E" w14:textId="77777777" w:rsidR="005F0A67" w:rsidRPr="005F0A67" w:rsidRDefault="005F0A67" w:rsidP="003A387A">
      <w:pPr>
        <w:widowControl w:val="0"/>
        <w:numPr>
          <w:ilvl w:val="0"/>
          <w:numId w:val="44"/>
        </w:numPr>
        <w:tabs>
          <w:tab w:val="clear" w:pos="567"/>
          <w:tab w:val="clear" w:pos="1134"/>
          <w:tab w:val="clear" w:pos="1701"/>
          <w:tab w:val="clear" w:pos="2268"/>
          <w:tab w:val="left" w:pos="703"/>
        </w:tabs>
        <w:autoSpaceDE w:val="0"/>
        <w:autoSpaceDN w:val="0"/>
        <w:spacing w:before="97"/>
        <w:ind w:left="703" w:hanging="279"/>
        <w:jc w:val="left"/>
        <w:rPr>
          <w:rFonts w:asciiTheme="majorBidi" w:eastAsia="Georgia" w:hAnsiTheme="majorBidi" w:cstheme="majorBidi"/>
          <w:color w:val="1A1A1A"/>
          <w:sz w:val="17"/>
          <w:szCs w:val="17"/>
          <w:lang w:eastAsia="en-GB"/>
        </w:rPr>
      </w:pPr>
      <w:r w:rsidRPr="005F0A67">
        <w:rPr>
          <w:rFonts w:asciiTheme="majorBidi" w:eastAsia="Georgia" w:hAnsiTheme="majorBidi" w:cstheme="majorBidi"/>
          <w:color w:val="242424"/>
          <w:sz w:val="17"/>
          <w:szCs w:val="17"/>
          <w:lang w:eastAsia="en-GB"/>
        </w:rPr>
        <w:t>Which</w:t>
      </w:r>
      <w:r w:rsidRPr="005F0A67">
        <w:rPr>
          <w:rFonts w:asciiTheme="majorBidi" w:eastAsia="Georgia" w:hAnsiTheme="majorBidi" w:cstheme="majorBidi"/>
          <w:color w:val="242424"/>
          <w:spacing w:val="-11"/>
          <w:sz w:val="17"/>
          <w:szCs w:val="17"/>
          <w:lang w:eastAsia="en-GB"/>
        </w:rPr>
        <w:t xml:space="preserve"> </w:t>
      </w:r>
      <w:r w:rsidRPr="005F0A67">
        <w:rPr>
          <w:rFonts w:asciiTheme="majorBidi" w:eastAsia="Georgia" w:hAnsiTheme="majorBidi" w:cstheme="majorBidi"/>
          <w:color w:val="242424"/>
          <w:sz w:val="17"/>
          <w:szCs w:val="17"/>
          <w:lang w:eastAsia="en-GB"/>
        </w:rPr>
        <w:t>best</w:t>
      </w:r>
      <w:r w:rsidRPr="005F0A67">
        <w:rPr>
          <w:rFonts w:asciiTheme="majorBidi" w:eastAsia="Georgia" w:hAnsiTheme="majorBidi" w:cstheme="majorBidi"/>
          <w:color w:val="242424"/>
          <w:spacing w:val="-10"/>
          <w:sz w:val="17"/>
          <w:szCs w:val="17"/>
          <w:lang w:eastAsia="en-GB"/>
        </w:rPr>
        <w:t xml:space="preserve"> </w:t>
      </w:r>
      <w:r w:rsidRPr="005F0A67">
        <w:rPr>
          <w:rFonts w:asciiTheme="majorBidi" w:eastAsia="Georgia" w:hAnsiTheme="majorBidi" w:cstheme="majorBidi"/>
          <w:color w:val="242424"/>
          <w:sz w:val="17"/>
          <w:szCs w:val="17"/>
          <w:lang w:eastAsia="en-GB"/>
        </w:rPr>
        <w:t>describes</w:t>
      </w:r>
      <w:r w:rsidRPr="005F0A67">
        <w:rPr>
          <w:rFonts w:asciiTheme="majorBidi" w:eastAsia="Georgia" w:hAnsiTheme="majorBidi" w:cstheme="majorBidi"/>
          <w:color w:val="242424"/>
          <w:spacing w:val="-11"/>
          <w:sz w:val="17"/>
          <w:szCs w:val="17"/>
          <w:lang w:eastAsia="en-GB"/>
        </w:rPr>
        <w:t xml:space="preserve"> </w:t>
      </w:r>
      <w:r w:rsidRPr="005F0A67">
        <w:rPr>
          <w:rFonts w:asciiTheme="majorBidi" w:eastAsia="Georgia" w:hAnsiTheme="majorBidi" w:cstheme="majorBidi"/>
          <w:color w:val="242424"/>
          <w:sz w:val="17"/>
          <w:szCs w:val="17"/>
          <w:lang w:eastAsia="en-GB"/>
        </w:rPr>
        <w:t>your</w:t>
      </w:r>
      <w:r w:rsidRPr="005F0A67">
        <w:rPr>
          <w:rFonts w:asciiTheme="majorBidi" w:eastAsia="Georgia" w:hAnsiTheme="majorBidi" w:cstheme="majorBidi"/>
          <w:color w:val="242424"/>
          <w:spacing w:val="-10"/>
          <w:sz w:val="17"/>
          <w:szCs w:val="17"/>
          <w:lang w:eastAsia="en-GB"/>
        </w:rPr>
        <w:t xml:space="preserve"> </w:t>
      </w:r>
      <w:r w:rsidRPr="005F0A67">
        <w:rPr>
          <w:rFonts w:asciiTheme="majorBidi" w:eastAsia="Georgia" w:hAnsiTheme="majorBidi" w:cstheme="majorBidi"/>
          <w:color w:val="242424"/>
          <w:sz w:val="17"/>
          <w:szCs w:val="17"/>
          <w:lang w:eastAsia="en-GB"/>
        </w:rPr>
        <w:t>organisation</w:t>
      </w:r>
      <w:r w:rsidRPr="005F0A67">
        <w:rPr>
          <w:rFonts w:asciiTheme="majorBidi" w:eastAsia="Georgia" w:hAnsiTheme="majorBidi" w:cstheme="majorBidi"/>
          <w:color w:val="242424"/>
          <w:spacing w:val="-11"/>
          <w:sz w:val="17"/>
          <w:szCs w:val="17"/>
          <w:lang w:eastAsia="en-GB"/>
        </w:rPr>
        <w:t xml:space="preserve"> </w:t>
      </w:r>
      <w:r w:rsidRPr="005F0A67">
        <w:rPr>
          <w:rFonts w:asciiTheme="majorBidi" w:eastAsia="Georgia" w:hAnsiTheme="majorBidi" w:cstheme="majorBidi"/>
          <w:b/>
          <w:bCs/>
          <w:color w:val="242424"/>
          <w:sz w:val="17"/>
          <w:szCs w:val="17"/>
          <w:lang w:eastAsia="en-GB"/>
        </w:rPr>
        <w:t>within</w:t>
      </w:r>
      <w:r w:rsidRPr="005F0A67">
        <w:rPr>
          <w:rFonts w:asciiTheme="majorBidi" w:eastAsia="Georgia" w:hAnsiTheme="majorBidi" w:cstheme="majorBidi"/>
          <w:b/>
          <w:bCs/>
          <w:color w:val="242424"/>
          <w:spacing w:val="-10"/>
          <w:sz w:val="17"/>
          <w:szCs w:val="17"/>
          <w:lang w:eastAsia="en-GB"/>
        </w:rPr>
        <w:t xml:space="preserve"> </w:t>
      </w:r>
      <w:r w:rsidRPr="005F0A67">
        <w:rPr>
          <w:rFonts w:asciiTheme="majorBidi" w:eastAsia="Georgia" w:hAnsiTheme="majorBidi" w:cstheme="majorBidi"/>
          <w:b/>
          <w:bCs/>
          <w:color w:val="242424"/>
          <w:sz w:val="17"/>
          <w:szCs w:val="17"/>
          <w:lang w:eastAsia="en-GB"/>
        </w:rPr>
        <w:t>its</w:t>
      </w:r>
      <w:r w:rsidRPr="005F0A67">
        <w:rPr>
          <w:rFonts w:asciiTheme="majorBidi" w:eastAsia="Georgia" w:hAnsiTheme="majorBidi" w:cstheme="majorBidi"/>
          <w:b/>
          <w:bCs/>
          <w:color w:val="242424"/>
          <w:spacing w:val="-11"/>
          <w:sz w:val="17"/>
          <w:szCs w:val="17"/>
          <w:lang w:eastAsia="en-GB"/>
        </w:rPr>
        <w:t xml:space="preserve"> </w:t>
      </w:r>
      <w:r w:rsidRPr="005F0A67">
        <w:rPr>
          <w:rFonts w:asciiTheme="majorBidi" w:eastAsia="Georgia" w:hAnsiTheme="majorBidi" w:cstheme="majorBidi"/>
          <w:b/>
          <w:bCs/>
          <w:color w:val="242424"/>
          <w:sz w:val="17"/>
          <w:szCs w:val="17"/>
          <w:lang w:eastAsia="en-GB"/>
        </w:rPr>
        <w:t>corporate</w:t>
      </w:r>
      <w:r w:rsidRPr="005F0A67">
        <w:rPr>
          <w:rFonts w:asciiTheme="majorBidi" w:eastAsia="Georgia" w:hAnsiTheme="majorBidi" w:cstheme="majorBidi"/>
          <w:b/>
          <w:bCs/>
          <w:color w:val="242424"/>
          <w:spacing w:val="-10"/>
          <w:sz w:val="17"/>
          <w:szCs w:val="17"/>
          <w:lang w:eastAsia="en-GB"/>
        </w:rPr>
        <w:t xml:space="preserve"> </w:t>
      </w:r>
      <w:r w:rsidRPr="005F0A67">
        <w:rPr>
          <w:rFonts w:asciiTheme="majorBidi" w:eastAsia="Georgia" w:hAnsiTheme="majorBidi" w:cstheme="majorBidi"/>
          <w:b/>
          <w:bCs/>
          <w:color w:val="242424"/>
          <w:sz w:val="17"/>
          <w:szCs w:val="17"/>
          <w:lang w:eastAsia="en-GB"/>
        </w:rPr>
        <w:t>group</w:t>
      </w:r>
      <w:r w:rsidRPr="005F0A67">
        <w:rPr>
          <w:rFonts w:asciiTheme="majorBidi" w:eastAsia="Georgia" w:hAnsiTheme="majorBidi" w:cstheme="majorBidi"/>
          <w:color w:val="242424"/>
          <w:sz w:val="17"/>
          <w:szCs w:val="17"/>
          <w:lang w:eastAsia="en-GB"/>
        </w:rPr>
        <w:t>?</w:t>
      </w:r>
      <w:r w:rsidRPr="005F0A67">
        <w:rPr>
          <w:rFonts w:asciiTheme="majorBidi" w:eastAsia="Georgia" w:hAnsiTheme="majorBidi" w:cstheme="majorBidi"/>
          <w:color w:val="242424"/>
          <w:spacing w:val="-11"/>
          <w:sz w:val="17"/>
          <w:szCs w:val="17"/>
          <w:lang w:eastAsia="en-GB"/>
        </w:rPr>
        <w:t xml:space="preserve"> </w:t>
      </w:r>
      <w:r w:rsidRPr="005F0A67">
        <w:rPr>
          <w:rFonts w:asciiTheme="majorBidi" w:eastAsia="Georgia" w:hAnsiTheme="majorBidi" w:cstheme="majorBidi"/>
          <w:color w:val="242424"/>
          <w:sz w:val="17"/>
          <w:szCs w:val="17"/>
          <w:lang w:eastAsia="en-GB"/>
        </w:rPr>
        <w:t>(Select</w:t>
      </w:r>
      <w:r w:rsidRPr="005F0A67">
        <w:rPr>
          <w:rFonts w:asciiTheme="majorBidi" w:eastAsia="Georgia" w:hAnsiTheme="majorBidi" w:cstheme="majorBidi"/>
          <w:color w:val="242424"/>
          <w:spacing w:val="-10"/>
          <w:sz w:val="17"/>
          <w:szCs w:val="17"/>
          <w:lang w:eastAsia="en-GB"/>
        </w:rPr>
        <w:t xml:space="preserve"> </w:t>
      </w:r>
      <w:r w:rsidRPr="005F0A67">
        <w:rPr>
          <w:rFonts w:asciiTheme="majorBidi" w:eastAsia="Georgia" w:hAnsiTheme="majorBidi" w:cstheme="majorBidi"/>
          <w:color w:val="242424"/>
          <w:sz w:val="17"/>
          <w:szCs w:val="17"/>
          <w:lang w:eastAsia="en-GB"/>
        </w:rPr>
        <w:t>one)</w:t>
      </w:r>
      <w:r w:rsidRPr="005F0A67">
        <w:rPr>
          <w:rFonts w:asciiTheme="majorBidi" w:eastAsia="Georgia" w:hAnsiTheme="majorBidi" w:cstheme="majorBidi"/>
          <w:color w:val="242424"/>
          <w:spacing w:val="-10"/>
          <w:sz w:val="17"/>
          <w:szCs w:val="17"/>
          <w:lang w:eastAsia="en-GB"/>
        </w:rPr>
        <w:t xml:space="preserve"> </w:t>
      </w:r>
      <w:r w:rsidRPr="005F0A67">
        <w:rPr>
          <w:rFonts w:asciiTheme="majorBidi" w:eastAsia="Georgia" w:hAnsiTheme="majorBidi" w:cstheme="majorBidi"/>
          <w:color w:val="AE1515"/>
          <w:spacing w:val="-10"/>
          <w:sz w:val="17"/>
          <w:szCs w:val="17"/>
          <w:lang w:eastAsia="en-GB"/>
        </w:rPr>
        <w:t>*</w:t>
      </w:r>
    </w:p>
    <w:p w14:paraId="2BA84452" w14:textId="77777777" w:rsidR="005F0A67" w:rsidRPr="005F0A67" w:rsidRDefault="005F0A67" w:rsidP="005F0A67">
      <w:pPr>
        <w:widowControl w:val="0"/>
        <w:tabs>
          <w:tab w:val="clear" w:pos="567"/>
          <w:tab w:val="clear" w:pos="1134"/>
          <w:tab w:val="clear" w:pos="1701"/>
          <w:tab w:val="clear" w:pos="2268"/>
        </w:tabs>
        <w:spacing w:before="123"/>
        <w:jc w:val="left"/>
        <w:rPr>
          <w:rFonts w:asciiTheme="majorBidi" w:eastAsia="Arial" w:hAnsiTheme="majorBidi" w:cstheme="majorBidi"/>
          <w:sz w:val="14"/>
          <w:szCs w:val="14"/>
          <w:lang w:val="en-US"/>
        </w:rPr>
      </w:pPr>
    </w:p>
    <w:p w14:paraId="7151CA4A" w14:textId="77777777" w:rsidR="005F0A67" w:rsidRPr="005F0A67" w:rsidRDefault="005F0A67" w:rsidP="005F0A67">
      <w:pPr>
        <w:widowControl w:val="0"/>
        <w:tabs>
          <w:tab w:val="clear" w:pos="567"/>
          <w:tab w:val="clear" w:pos="1134"/>
          <w:tab w:val="clear" w:pos="1701"/>
          <w:tab w:val="clear" w:pos="2268"/>
        </w:tabs>
        <w:ind w:left="725"/>
        <w:jc w:val="left"/>
        <w:rPr>
          <w:rFonts w:asciiTheme="majorBidi" w:eastAsia="Arial" w:hAnsiTheme="majorBidi" w:cstheme="majorBidi"/>
          <w:sz w:val="14"/>
          <w:szCs w:val="14"/>
          <w:lang w:val="en-US"/>
        </w:rPr>
      </w:pPr>
      <w:r w:rsidRPr="005F0A67">
        <w:rPr>
          <w:rFonts w:asciiTheme="majorBidi" w:eastAsia="Arial" w:hAnsiTheme="majorBidi" w:cstheme="majorBidi"/>
          <w:noProof/>
          <w:position w:val="-4"/>
          <w:sz w:val="14"/>
          <w:szCs w:val="14"/>
          <w:lang w:val="en-US"/>
        </w:rPr>
        <w:drawing>
          <wp:inline distT="0" distB="0" distL="0" distR="0" wp14:anchorId="31897A28" wp14:editId="02202714">
            <wp:extent cx="127000" cy="127000"/>
            <wp:effectExtent l="0" t="0" r="0" b="0"/>
            <wp:docPr id="36" name="Imag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39" cstate="print"/>
                    <a:stretch>
                      <a:fillRect/>
                    </a:stretch>
                  </pic:blipFill>
                  <pic:spPr>
                    <a:xfrm>
                      <a:off x="0" y="0"/>
                      <a:ext cx="127000" cy="127000"/>
                    </a:xfrm>
                    <a:prstGeom prst="rect">
                      <a:avLst/>
                    </a:prstGeom>
                  </pic:spPr>
                </pic:pic>
              </a:graphicData>
            </a:graphic>
          </wp:inline>
        </w:drawing>
      </w:r>
      <w:r w:rsidRPr="005F0A67">
        <w:rPr>
          <w:rFonts w:asciiTheme="majorBidi" w:eastAsia="Arial" w:hAnsiTheme="majorBidi" w:cstheme="majorBidi"/>
          <w:spacing w:val="80"/>
          <w:sz w:val="20"/>
          <w:szCs w:val="20"/>
          <w:lang w:val="en-US"/>
        </w:rPr>
        <w:t xml:space="preserve"> </w:t>
      </w:r>
      <w:r w:rsidRPr="005F0A67">
        <w:rPr>
          <w:rFonts w:asciiTheme="majorBidi" w:eastAsia="Arial" w:hAnsiTheme="majorBidi" w:cstheme="majorBidi"/>
          <w:color w:val="242424"/>
          <w:sz w:val="14"/>
          <w:szCs w:val="14"/>
          <w:lang w:val="en-US"/>
        </w:rPr>
        <w:t>Independent company (not part of a group)</w:t>
      </w:r>
    </w:p>
    <w:p w14:paraId="69CA642E" w14:textId="77777777" w:rsidR="005F0A67" w:rsidRPr="005F0A67" w:rsidRDefault="005F0A67" w:rsidP="005F0A67">
      <w:pPr>
        <w:widowControl w:val="0"/>
        <w:tabs>
          <w:tab w:val="clear" w:pos="567"/>
          <w:tab w:val="clear" w:pos="1134"/>
          <w:tab w:val="clear" w:pos="1701"/>
          <w:tab w:val="clear" w:pos="2268"/>
        </w:tabs>
        <w:spacing w:before="139"/>
        <w:jc w:val="left"/>
        <w:rPr>
          <w:rFonts w:asciiTheme="majorBidi" w:eastAsia="Arial" w:hAnsiTheme="majorBidi" w:cstheme="majorBidi"/>
          <w:sz w:val="14"/>
          <w:szCs w:val="14"/>
          <w:lang w:val="en-US"/>
        </w:rPr>
      </w:pPr>
    </w:p>
    <w:p w14:paraId="147216C0" w14:textId="77777777" w:rsidR="005F0A67" w:rsidRPr="005F0A67" w:rsidRDefault="005F0A67" w:rsidP="005F0A67">
      <w:pPr>
        <w:widowControl w:val="0"/>
        <w:tabs>
          <w:tab w:val="clear" w:pos="567"/>
          <w:tab w:val="clear" w:pos="1134"/>
          <w:tab w:val="clear" w:pos="1701"/>
          <w:tab w:val="clear" w:pos="2268"/>
        </w:tabs>
        <w:spacing w:line="600" w:lineRule="auto"/>
        <w:ind w:left="725" w:right="3264"/>
        <w:jc w:val="left"/>
        <w:rPr>
          <w:rFonts w:asciiTheme="majorBidi" w:eastAsia="Arial" w:hAnsiTheme="majorBidi" w:cstheme="majorBidi"/>
          <w:sz w:val="14"/>
          <w:szCs w:val="14"/>
          <w:lang w:val="en-US"/>
        </w:rPr>
      </w:pPr>
      <w:r w:rsidRPr="005F0A67">
        <w:rPr>
          <w:rFonts w:asciiTheme="majorBidi" w:eastAsia="Arial" w:hAnsiTheme="majorBidi" w:cstheme="majorBidi"/>
          <w:noProof/>
          <w:position w:val="-4"/>
          <w:sz w:val="14"/>
          <w:szCs w:val="14"/>
          <w:lang w:val="en-US"/>
        </w:rPr>
        <w:drawing>
          <wp:inline distT="0" distB="0" distL="0" distR="0" wp14:anchorId="2687D5E0" wp14:editId="4424C147">
            <wp:extent cx="127000" cy="127000"/>
            <wp:effectExtent l="0" t="0" r="0" b="0"/>
            <wp:docPr id="37" name="Image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Image 37"/>
                    <pic:cNvPicPr/>
                  </pic:nvPicPr>
                  <pic:blipFill>
                    <a:blip r:embed="rId37" cstate="print"/>
                    <a:stretch>
                      <a:fillRect/>
                    </a:stretch>
                  </pic:blipFill>
                  <pic:spPr>
                    <a:xfrm>
                      <a:off x="0" y="0"/>
                      <a:ext cx="127000" cy="127000"/>
                    </a:xfrm>
                    <a:prstGeom prst="rect">
                      <a:avLst/>
                    </a:prstGeom>
                  </pic:spPr>
                </pic:pic>
              </a:graphicData>
            </a:graphic>
          </wp:inline>
        </w:drawing>
      </w:r>
      <w:r w:rsidRPr="005F0A67">
        <w:rPr>
          <w:rFonts w:asciiTheme="majorBidi" w:eastAsia="Arial" w:hAnsiTheme="majorBidi" w:cstheme="majorBidi"/>
          <w:spacing w:val="80"/>
          <w:sz w:val="20"/>
          <w:szCs w:val="20"/>
          <w:lang w:val="en-US"/>
        </w:rPr>
        <w:t xml:space="preserve"> </w:t>
      </w:r>
      <w:r w:rsidRPr="005F0A67">
        <w:rPr>
          <w:rFonts w:asciiTheme="majorBidi" w:eastAsia="Arial" w:hAnsiTheme="majorBidi" w:cstheme="majorBidi"/>
          <w:color w:val="242424"/>
          <w:sz w:val="14"/>
          <w:szCs w:val="14"/>
          <w:lang w:val="en-US"/>
        </w:rPr>
        <w:t>Parent</w:t>
      </w:r>
      <w:r w:rsidRPr="005F0A67">
        <w:rPr>
          <w:rFonts w:asciiTheme="majorBidi" w:eastAsia="Arial" w:hAnsiTheme="majorBidi" w:cstheme="majorBidi"/>
          <w:color w:val="242424"/>
          <w:spacing w:val="-3"/>
          <w:sz w:val="14"/>
          <w:szCs w:val="14"/>
          <w:lang w:val="en-US"/>
        </w:rPr>
        <w:t xml:space="preserve"> </w:t>
      </w:r>
      <w:r w:rsidRPr="005F0A67">
        <w:rPr>
          <w:rFonts w:asciiTheme="majorBidi" w:eastAsia="Arial" w:hAnsiTheme="majorBidi" w:cstheme="majorBidi"/>
          <w:color w:val="242424"/>
          <w:sz w:val="14"/>
          <w:szCs w:val="14"/>
          <w:lang w:val="en-US"/>
        </w:rPr>
        <w:t>company</w:t>
      </w:r>
      <w:r w:rsidRPr="005F0A67">
        <w:rPr>
          <w:rFonts w:asciiTheme="majorBidi" w:eastAsia="Arial" w:hAnsiTheme="majorBidi" w:cstheme="majorBidi"/>
          <w:color w:val="242424"/>
          <w:spacing w:val="-3"/>
          <w:sz w:val="14"/>
          <w:szCs w:val="14"/>
          <w:lang w:val="en-US"/>
        </w:rPr>
        <w:t xml:space="preserve"> </w:t>
      </w:r>
      <w:r w:rsidRPr="005F0A67">
        <w:rPr>
          <w:rFonts w:asciiTheme="majorBidi" w:eastAsia="Arial" w:hAnsiTheme="majorBidi" w:cstheme="majorBidi"/>
          <w:color w:val="242424"/>
          <w:sz w:val="14"/>
          <w:szCs w:val="14"/>
          <w:lang w:val="en-US"/>
        </w:rPr>
        <w:t>/</w:t>
      </w:r>
      <w:r w:rsidRPr="005F0A67">
        <w:rPr>
          <w:rFonts w:asciiTheme="majorBidi" w:eastAsia="Arial" w:hAnsiTheme="majorBidi" w:cstheme="majorBidi"/>
          <w:color w:val="242424"/>
          <w:spacing w:val="-3"/>
          <w:sz w:val="14"/>
          <w:szCs w:val="14"/>
          <w:lang w:val="en-US"/>
        </w:rPr>
        <w:t xml:space="preserve"> </w:t>
      </w:r>
      <w:r w:rsidRPr="005F0A67">
        <w:rPr>
          <w:rFonts w:asciiTheme="majorBidi" w:eastAsia="Arial" w:hAnsiTheme="majorBidi" w:cstheme="majorBidi"/>
          <w:color w:val="242424"/>
          <w:sz w:val="14"/>
          <w:szCs w:val="14"/>
          <w:lang w:val="en-US"/>
        </w:rPr>
        <w:t>headquarters</w:t>
      </w:r>
      <w:r w:rsidRPr="005F0A67">
        <w:rPr>
          <w:rFonts w:asciiTheme="majorBidi" w:eastAsia="Arial" w:hAnsiTheme="majorBidi" w:cstheme="majorBidi"/>
          <w:color w:val="242424"/>
          <w:spacing w:val="-3"/>
          <w:sz w:val="14"/>
          <w:szCs w:val="14"/>
          <w:lang w:val="en-US"/>
        </w:rPr>
        <w:t xml:space="preserve"> </w:t>
      </w:r>
      <w:r w:rsidRPr="005F0A67">
        <w:rPr>
          <w:rFonts w:asciiTheme="majorBidi" w:eastAsia="Arial" w:hAnsiTheme="majorBidi" w:cstheme="majorBidi"/>
          <w:color w:val="242424"/>
          <w:sz w:val="14"/>
          <w:szCs w:val="14"/>
          <w:lang w:val="en-US"/>
        </w:rPr>
        <w:t>of</w:t>
      </w:r>
      <w:r w:rsidRPr="005F0A67">
        <w:rPr>
          <w:rFonts w:asciiTheme="majorBidi" w:eastAsia="Arial" w:hAnsiTheme="majorBidi" w:cstheme="majorBidi"/>
          <w:color w:val="242424"/>
          <w:spacing w:val="-3"/>
          <w:sz w:val="14"/>
          <w:szCs w:val="14"/>
          <w:lang w:val="en-US"/>
        </w:rPr>
        <w:t xml:space="preserve"> </w:t>
      </w:r>
      <w:r w:rsidRPr="005F0A67">
        <w:rPr>
          <w:rFonts w:asciiTheme="majorBidi" w:eastAsia="Arial" w:hAnsiTheme="majorBidi" w:cstheme="majorBidi"/>
          <w:color w:val="242424"/>
          <w:sz w:val="14"/>
          <w:szCs w:val="14"/>
          <w:lang w:val="en-US"/>
        </w:rPr>
        <w:t>a</w:t>
      </w:r>
      <w:r w:rsidRPr="005F0A67">
        <w:rPr>
          <w:rFonts w:asciiTheme="majorBidi" w:eastAsia="Arial" w:hAnsiTheme="majorBidi" w:cstheme="majorBidi"/>
          <w:color w:val="242424"/>
          <w:spacing w:val="-3"/>
          <w:sz w:val="14"/>
          <w:szCs w:val="14"/>
          <w:lang w:val="en-US"/>
        </w:rPr>
        <w:t xml:space="preserve"> </w:t>
      </w:r>
      <w:r w:rsidRPr="005F0A67">
        <w:rPr>
          <w:rFonts w:asciiTheme="majorBidi" w:eastAsia="Arial" w:hAnsiTheme="majorBidi" w:cstheme="majorBidi"/>
          <w:color w:val="242424"/>
          <w:sz w:val="14"/>
          <w:szCs w:val="14"/>
          <w:lang w:val="en-US"/>
        </w:rPr>
        <w:t>domestically</w:t>
      </w:r>
      <w:r w:rsidRPr="005F0A67">
        <w:rPr>
          <w:rFonts w:asciiTheme="majorBidi" w:eastAsia="Arial" w:hAnsiTheme="majorBidi" w:cstheme="majorBidi"/>
          <w:color w:val="242424"/>
          <w:spacing w:val="-3"/>
          <w:sz w:val="14"/>
          <w:szCs w:val="14"/>
          <w:lang w:val="en-US"/>
        </w:rPr>
        <w:t xml:space="preserve"> </w:t>
      </w:r>
      <w:r w:rsidRPr="005F0A67">
        <w:rPr>
          <w:rFonts w:asciiTheme="majorBidi" w:eastAsia="Arial" w:hAnsiTheme="majorBidi" w:cstheme="majorBidi"/>
          <w:color w:val="242424"/>
          <w:sz w:val="14"/>
          <w:szCs w:val="14"/>
          <w:lang w:val="en-US"/>
        </w:rPr>
        <w:t>controlled</w:t>
      </w:r>
      <w:r w:rsidRPr="005F0A67">
        <w:rPr>
          <w:rFonts w:asciiTheme="majorBidi" w:eastAsia="Arial" w:hAnsiTheme="majorBidi" w:cstheme="majorBidi"/>
          <w:color w:val="242424"/>
          <w:spacing w:val="-3"/>
          <w:sz w:val="14"/>
          <w:szCs w:val="14"/>
          <w:lang w:val="en-US"/>
        </w:rPr>
        <w:t xml:space="preserve"> </w:t>
      </w:r>
      <w:r w:rsidRPr="005F0A67">
        <w:rPr>
          <w:rFonts w:asciiTheme="majorBidi" w:eastAsia="Arial" w:hAnsiTheme="majorBidi" w:cstheme="majorBidi"/>
          <w:color w:val="242424"/>
          <w:sz w:val="14"/>
          <w:szCs w:val="14"/>
          <w:lang w:val="en-US"/>
        </w:rPr>
        <w:t>group</w:t>
      </w:r>
      <w:r w:rsidRPr="005F0A67">
        <w:rPr>
          <w:rFonts w:asciiTheme="majorBidi" w:eastAsia="Arial" w:hAnsiTheme="majorBidi" w:cstheme="majorBidi"/>
          <w:color w:val="242424"/>
          <w:spacing w:val="40"/>
          <w:sz w:val="14"/>
          <w:szCs w:val="14"/>
          <w:lang w:val="en-US"/>
        </w:rPr>
        <w:t xml:space="preserve"> </w:t>
      </w:r>
      <w:r w:rsidRPr="005F0A67">
        <w:rPr>
          <w:rFonts w:asciiTheme="majorBidi" w:eastAsia="Arial" w:hAnsiTheme="majorBidi" w:cstheme="majorBidi"/>
          <w:noProof/>
          <w:color w:val="242424"/>
          <w:position w:val="-4"/>
          <w:sz w:val="14"/>
          <w:szCs w:val="14"/>
          <w:lang w:val="en-US"/>
        </w:rPr>
        <w:drawing>
          <wp:inline distT="0" distB="0" distL="0" distR="0" wp14:anchorId="51179589" wp14:editId="10D09352">
            <wp:extent cx="127000" cy="127000"/>
            <wp:effectExtent l="0" t="0" r="0" b="0"/>
            <wp:docPr id="38" name="Imag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38" cstate="print"/>
                    <a:stretch>
                      <a:fillRect/>
                    </a:stretch>
                  </pic:blipFill>
                  <pic:spPr>
                    <a:xfrm>
                      <a:off x="0" y="0"/>
                      <a:ext cx="127000" cy="127000"/>
                    </a:xfrm>
                    <a:prstGeom prst="rect">
                      <a:avLst/>
                    </a:prstGeom>
                  </pic:spPr>
                </pic:pic>
              </a:graphicData>
            </a:graphic>
          </wp:inline>
        </w:drawing>
      </w:r>
      <w:r w:rsidRPr="005F0A67">
        <w:rPr>
          <w:rFonts w:asciiTheme="majorBidi" w:eastAsia="Arial" w:hAnsiTheme="majorBidi" w:cstheme="majorBidi"/>
          <w:color w:val="242424"/>
          <w:spacing w:val="80"/>
          <w:sz w:val="14"/>
          <w:szCs w:val="14"/>
          <w:lang w:val="en-US"/>
        </w:rPr>
        <w:t xml:space="preserve"> </w:t>
      </w:r>
      <w:r w:rsidRPr="005F0A67">
        <w:rPr>
          <w:rFonts w:asciiTheme="majorBidi" w:eastAsia="Arial" w:hAnsiTheme="majorBidi" w:cstheme="majorBidi"/>
          <w:color w:val="242424"/>
          <w:sz w:val="14"/>
          <w:szCs w:val="14"/>
          <w:lang w:val="en-US"/>
        </w:rPr>
        <w:lastRenderedPageBreak/>
        <w:t>Parent company / headquarters of a foreign-controlled group</w:t>
      </w:r>
    </w:p>
    <w:p w14:paraId="77DF75A6" w14:textId="612797C9" w:rsidR="005F0A67" w:rsidRPr="005F0A67" w:rsidRDefault="005F0A67" w:rsidP="005F0A67">
      <w:pPr>
        <w:widowControl w:val="0"/>
        <w:tabs>
          <w:tab w:val="clear" w:pos="567"/>
          <w:tab w:val="clear" w:pos="1134"/>
          <w:tab w:val="clear" w:pos="1701"/>
          <w:tab w:val="clear" w:pos="2268"/>
        </w:tabs>
        <w:spacing w:line="600" w:lineRule="auto"/>
        <w:ind w:left="725" w:right="5451"/>
        <w:jc w:val="left"/>
        <w:rPr>
          <w:rFonts w:asciiTheme="majorBidi" w:eastAsia="Arial" w:hAnsiTheme="majorBidi" w:cstheme="majorBidi"/>
          <w:sz w:val="14"/>
          <w:szCs w:val="14"/>
          <w:lang w:val="en-US"/>
        </w:rPr>
      </w:pPr>
      <w:r w:rsidRPr="005F0A67">
        <w:rPr>
          <w:rFonts w:asciiTheme="majorBidi" w:eastAsia="Arial" w:hAnsiTheme="majorBidi" w:cstheme="majorBidi"/>
          <w:noProof/>
          <w:sz w:val="14"/>
          <w:szCs w:val="14"/>
          <w:lang w:val="en-US"/>
        </w:rPr>
        <w:drawing>
          <wp:inline distT="0" distB="0" distL="0" distR="0" wp14:anchorId="0138E33E" wp14:editId="1954B16E">
            <wp:extent cx="114300" cy="123825"/>
            <wp:effectExtent l="0" t="0" r="0" b="9525"/>
            <wp:docPr id="770875783"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Rot="1" noChangeAspect="1" noEditPoints="1" noChangeArrowheads="1" noCrop="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14300" cy="123825"/>
                    </a:xfrm>
                    <a:prstGeom prst="rect">
                      <a:avLst/>
                    </a:prstGeom>
                    <a:noFill/>
                    <a:ln>
                      <a:noFill/>
                    </a:ln>
                  </pic:spPr>
                </pic:pic>
              </a:graphicData>
            </a:graphic>
          </wp:inline>
        </w:drawing>
      </w:r>
      <w:r w:rsidRPr="005F0A67">
        <w:rPr>
          <w:rFonts w:asciiTheme="majorBidi" w:eastAsia="Arial" w:hAnsiTheme="majorBidi" w:cstheme="majorBidi"/>
          <w:noProof/>
          <w:sz w:val="14"/>
          <w:szCs w:val="14"/>
          <w:lang w:val="en-US"/>
        </w:rPr>
        <w:drawing>
          <wp:inline distT="0" distB="0" distL="0" distR="0" wp14:anchorId="7E7264E3" wp14:editId="1F9F8A96">
            <wp:extent cx="114300" cy="123825"/>
            <wp:effectExtent l="0" t="0" r="0" b="9525"/>
            <wp:docPr id="1689345715"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Rot="1" noChangeAspect="1" noEditPoints="1" noChangeArrowheads="1" noCrop="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14300" cy="123825"/>
                    </a:xfrm>
                    <a:prstGeom prst="rect">
                      <a:avLst/>
                    </a:prstGeom>
                    <a:noFill/>
                    <a:ln>
                      <a:noFill/>
                    </a:ln>
                  </pic:spPr>
                </pic:pic>
              </a:graphicData>
            </a:graphic>
          </wp:inline>
        </w:drawing>
      </w:r>
      <w:r w:rsidRPr="005F0A67">
        <w:rPr>
          <w:rFonts w:asciiTheme="majorBidi" w:eastAsia="Arial" w:hAnsiTheme="majorBidi" w:cstheme="majorBidi"/>
          <w:spacing w:val="68"/>
          <w:sz w:val="20"/>
          <w:szCs w:val="20"/>
          <w:lang w:val="en-US"/>
        </w:rPr>
        <w:t xml:space="preserve"> </w:t>
      </w:r>
      <w:r w:rsidRPr="005F0A67">
        <w:rPr>
          <w:rFonts w:asciiTheme="majorBidi" w:eastAsia="Arial" w:hAnsiTheme="majorBidi" w:cstheme="majorBidi"/>
          <w:color w:val="242424"/>
          <w:sz w:val="14"/>
          <w:szCs w:val="14"/>
          <w:lang w:val="en-US"/>
        </w:rPr>
        <w:t>Subsidiary</w:t>
      </w:r>
      <w:r w:rsidRPr="005F0A67">
        <w:rPr>
          <w:rFonts w:asciiTheme="majorBidi" w:eastAsia="Arial" w:hAnsiTheme="majorBidi" w:cstheme="majorBidi"/>
          <w:color w:val="242424"/>
          <w:spacing w:val="-7"/>
          <w:sz w:val="14"/>
          <w:szCs w:val="14"/>
          <w:lang w:val="en-US"/>
        </w:rPr>
        <w:t xml:space="preserve"> </w:t>
      </w:r>
      <w:r w:rsidRPr="005F0A67">
        <w:rPr>
          <w:rFonts w:asciiTheme="majorBidi" w:eastAsia="Arial" w:hAnsiTheme="majorBidi" w:cstheme="majorBidi"/>
          <w:color w:val="242424"/>
          <w:sz w:val="14"/>
          <w:szCs w:val="14"/>
          <w:lang w:val="en-US"/>
        </w:rPr>
        <w:t>of</w:t>
      </w:r>
      <w:r w:rsidRPr="005F0A67">
        <w:rPr>
          <w:rFonts w:asciiTheme="majorBidi" w:eastAsia="Arial" w:hAnsiTheme="majorBidi" w:cstheme="majorBidi"/>
          <w:color w:val="242424"/>
          <w:spacing w:val="-7"/>
          <w:sz w:val="14"/>
          <w:szCs w:val="14"/>
          <w:lang w:val="en-US"/>
        </w:rPr>
        <w:t xml:space="preserve"> </w:t>
      </w:r>
      <w:r w:rsidRPr="005F0A67">
        <w:rPr>
          <w:rFonts w:asciiTheme="majorBidi" w:eastAsia="Arial" w:hAnsiTheme="majorBidi" w:cstheme="majorBidi"/>
          <w:color w:val="242424"/>
          <w:sz w:val="14"/>
          <w:szCs w:val="14"/>
          <w:lang w:val="en-US"/>
        </w:rPr>
        <w:t>a</w:t>
      </w:r>
      <w:r w:rsidRPr="005F0A67">
        <w:rPr>
          <w:rFonts w:asciiTheme="majorBidi" w:eastAsia="Arial" w:hAnsiTheme="majorBidi" w:cstheme="majorBidi"/>
          <w:color w:val="242424"/>
          <w:spacing w:val="-7"/>
          <w:sz w:val="14"/>
          <w:szCs w:val="14"/>
          <w:lang w:val="en-US"/>
        </w:rPr>
        <w:t xml:space="preserve"> </w:t>
      </w:r>
      <w:r w:rsidRPr="005F0A67">
        <w:rPr>
          <w:rFonts w:asciiTheme="majorBidi" w:eastAsia="Arial" w:hAnsiTheme="majorBidi" w:cstheme="majorBidi"/>
          <w:color w:val="242424"/>
          <w:sz w:val="14"/>
          <w:szCs w:val="14"/>
          <w:lang w:val="en-US"/>
        </w:rPr>
        <w:t>domestic</w:t>
      </w:r>
      <w:r w:rsidRPr="005F0A67">
        <w:rPr>
          <w:rFonts w:asciiTheme="majorBidi" w:eastAsia="Arial" w:hAnsiTheme="majorBidi" w:cstheme="majorBidi"/>
          <w:color w:val="242424"/>
          <w:spacing w:val="-7"/>
          <w:sz w:val="14"/>
          <w:szCs w:val="14"/>
          <w:lang w:val="en-US"/>
        </w:rPr>
        <w:t xml:space="preserve"> </w:t>
      </w:r>
      <w:r w:rsidRPr="005F0A67">
        <w:rPr>
          <w:rFonts w:asciiTheme="majorBidi" w:eastAsia="Arial" w:hAnsiTheme="majorBidi" w:cstheme="majorBidi"/>
          <w:color w:val="242424"/>
          <w:sz w:val="14"/>
          <w:szCs w:val="14"/>
          <w:lang w:val="en-US"/>
        </w:rPr>
        <w:t>parent</w:t>
      </w:r>
      <w:r w:rsidRPr="005F0A67">
        <w:rPr>
          <w:rFonts w:asciiTheme="majorBidi" w:eastAsia="Arial" w:hAnsiTheme="majorBidi" w:cstheme="majorBidi"/>
          <w:color w:val="242424"/>
          <w:spacing w:val="40"/>
          <w:sz w:val="14"/>
          <w:szCs w:val="14"/>
          <w:lang w:val="en-US"/>
        </w:rPr>
        <w:t xml:space="preserve"> </w:t>
      </w:r>
      <w:r w:rsidRPr="005F0A67">
        <w:rPr>
          <w:rFonts w:asciiTheme="majorBidi" w:eastAsia="Arial" w:hAnsiTheme="majorBidi" w:cstheme="majorBidi"/>
          <w:noProof/>
          <w:color w:val="242424"/>
          <w:position w:val="-4"/>
          <w:sz w:val="14"/>
          <w:szCs w:val="14"/>
          <w:lang w:val="en-US"/>
        </w:rPr>
        <w:drawing>
          <wp:inline distT="0" distB="0" distL="0" distR="0" wp14:anchorId="2CB06F81" wp14:editId="07B282FB">
            <wp:extent cx="127000" cy="127000"/>
            <wp:effectExtent l="0" t="0" r="0" b="0"/>
            <wp:docPr id="40" name="Image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pic:cNvPicPr/>
                  </pic:nvPicPr>
                  <pic:blipFill>
                    <a:blip r:embed="rId42" cstate="print"/>
                    <a:stretch>
                      <a:fillRect/>
                    </a:stretch>
                  </pic:blipFill>
                  <pic:spPr>
                    <a:xfrm>
                      <a:off x="0" y="0"/>
                      <a:ext cx="127000" cy="127000"/>
                    </a:xfrm>
                    <a:prstGeom prst="rect">
                      <a:avLst/>
                    </a:prstGeom>
                  </pic:spPr>
                </pic:pic>
              </a:graphicData>
            </a:graphic>
          </wp:inline>
        </w:drawing>
      </w:r>
      <w:r w:rsidRPr="005F0A67">
        <w:rPr>
          <w:rFonts w:asciiTheme="majorBidi" w:eastAsia="Arial" w:hAnsiTheme="majorBidi" w:cstheme="majorBidi"/>
          <w:color w:val="242424"/>
          <w:spacing w:val="80"/>
          <w:sz w:val="14"/>
          <w:szCs w:val="14"/>
          <w:lang w:val="en-US"/>
        </w:rPr>
        <w:t xml:space="preserve"> </w:t>
      </w:r>
      <w:r w:rsidRPr="005F0A67">
        <w:rPr>
          <w:rFonts w:asciiTheme="majorBidi" w:eastAsia="Arial" w:hAnsiTheme="majorBidi" w:cstheme="majorBidi"/>
          <w:color w:val="242424"/>
          <w:sz w:val="14"/>
          <w:szCs w:val="14"/>
          <w:lang w:val="en-US"/>
        </w:rPr>
        <w:t>Subsidiary of a foreign parent</w:t>
      </w:r>
      <w:r w:rsidRPr="005F0A67">
        <w:rPr>
          <w:rFonts w:asciiTheme="majorBidi" w:eastAsia="Arial" w:hAnsiTheme="majorBidi" w:cstheme="majorBidi"/>
          <w:color w:val="242424"/>
          <w:spacing w:val="40"/>
          <w:sz w:val="14"/>
          <w:szCs w:val="14"/>
          <w:lang w:val="en-US"/>
        </w:rPr>
        <w:t xml:space="preserve"> </w:t>
      </w:r>
      <w:r w:rsidRPr="005F0A67">
        <w:rPr>
          <w:rFonts w:asciiTheme="majorBidi" w:eastAsia="Arial" w:hAnsiTheme="majorBidi" w:cstheme="majorBidi"/>
          <w:noProof/>
          <w:color w:val="242424"/>
          <w:position w:val="-4"/>
          <w:sz w:val="14"/>
          <w:szCs w:val="14"/>
          <w:lang w:val="en-US"/>
        </w:rPr>
        <w:drawing>
          <wp:inline distT="0" distB="0" distL="0" distR="0" wp14:anchorId="665785DD" wp14:editId="46B74F58">
            <wp:extent cx="127000" cy="127000"/>
            <wp:effectExtent l="0" t="0" r="0" b="0"/>
            <wp:docPr id="41" name="Image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pic:cNvPicPr/>
                  </pic:nvPicPr>
                  <pic:blipFill>
                    <a:blip r:embed="rId43" cstate="print"/>
                    <a:stretch>
                      <a:fillRect/>
                    </a:stretch>
                  </pic:blipFill>
                  <pic:spPr>
                    <a:xfrm>
                      <a:off x="0" y="0"/>
                      <a:ext cx="127000" cy="127000"/>
                    </a:xfrm>
                    <a:prstGeom prst="rect">
                      <a:avLst/>
                    </a:prstGeom>
                  </pic:spPr>
                </pic:pic>
              </a:graphicData>
            </a:graphic>
          </wp:inline>
        </w:drawing>
      </w:r>
      <w:r w:rsidRPr="005F0A67">
        <w:rPr>
          <w:rFonts w:asciiTheme="majorBidi" w:eastAsia="Arial" w:hAnsiTheme="majorBidi" w:cstheme="majorBidi"/>
          <w:color w:val="242424"/>
          <w:spacing w:val="80"/>
          <w:sz w:val="14"/>
          <w:szCs w:val="14"/>
          <w:lang w:val="en-US"/>
        </w:rPr>
        <w:t xml:space="preserve"> </w:t>
      </w:r>
      <w:r w:rsidRPr="005F0A67">
        <w:rPr>
          <w:rFonts w:asciiTheme="majorBidi" w:eastAsia="Arial" w:hAnsiTheme="majorBidi" w:cstheme="majorBidi"/>
          <w:color w:val="242424"/>
          <w:sz w:val="14"/>
          <w:szCs w:val="14"/>
          <w:lang w:val="en-US"/>
        </w:rPr>
        <w:t>Joint venture</w:t>
      </w:r>
    </w:p>
    <w:p w14:paraId="52B16075" w14:textId="50DBA7C7" w:rsidR="005F0A67" w:rsidRPr="005F0A67" w:rsidRDefault="005F0A67" w:rsidP="005F0A67">
      <w:pPr>
        <w:tabs>
          <w:tab w:val="clear" w:pos="567"/>
          <w:tab w:val="clear" w:pos="1134"/>
          <w:tab w:val="clear" w:pos="1701"/>
          <w:tab w:val="clear" w:pos="2268"/>
        </w:tabs>
        <w:ind w:firstLine="720"/>
        <w:jc w:val="left"/>
        <w:rPr>
          <w:rFonts w:asciiTheme="majorBidi" w:eastAsia="Times New Roman" w:hAnsiTheme="majorBidi" w:cstheme="majorBidi"/>
          <w:sz w:val="14"/>
          <w:szCs w:val="14"/>
          <w:lang w:val="en-CA" w:eastAsia="en-GB"/>
        </w:rPr>
      </w:pPr>
      <w:r w:rsidRPr="005F0A67">
        <w:rPr>
          <w:rFonts w:asciiTheme="majorBidi" w:eastAsia="Times New Roman" w:hAnsiTheme="majorBidi" w:cstheme="majorBidi"/>
          <w:noProof/>
          <w:sz w:val="24"/>
          <w:szCs w:val="24"/>
          <w:lang w:val="en-CA" w:eastAsia="en-GB"/>
        </w:rPr>
        <w:drawing>
          <wp:inline distT="0" distB="0" distL="0" distR="0" wp14:anchorId="05954E7B" wp14:editId="4CC8DD39">
            <wp:extent cx="114300" cy="123825"/>
            <wp:effectExtent l="0" t="0" r="0" b="9525"/>
            <wp:docPr id="1144772509"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Rot="1" noChangeAspect="1" noEditPoints="1" noChangeArrowheads="1" noCrop="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14300" cy="123825"/>
                    </a:xfrm>
                    <a:prstGeom prst="rect">
                      <a:avLst/>
                    </a:prstGeom>
                    <a:noFill/>
                    <a:ln>
                      <a:noFill/>
                    </a:ln>
                  </pic:spPr>
                </pic:pic>
              </a:graphicData>
            </a:graphic>
          </wp:inline>
        </w:drawing>
      </w:r>
      <w:r w:rsidRPr="005F0A67">
        <w:rPr>
          <w:rFonts w:asciiTheme="majorBidi" w:eastAsia="Times New Roman" w:hAnsiTheme="majorBidi" w:cstheme="majorBidi"/>
          <w:noProof/>
          <w:sz w:val="24"/>
          <w:szCs w:val="24"/>
          <w:lang w:val="en-CA" w:eastAsia="en-GB"/>
        </w:rPr>
        <w:drawing>
          <wp:inline distT="0" distB="0" distL="0" distR="0" wp14:anchorId="4BF086FF" wp14:editId="42B9564B">
            <wp:extent cx="114300" cy="123825"/>
            <wp:effectExtent l="0" t="0" r="0" b="9525"/>
            <wp:docPr id="212647584"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Rot="1" noChangeAspect="1" noEditPoints="1" noChangeArrowheads="1" noCrop="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14300" cy="123825"/>
                    </a:xfrm>
                    <a:prstGeom prst="rect">
                      <a:avLst/>
                    </a:prstGeom>
                    <a:noFill/>
                    <a:ln>
                      <a:noFill/>
                    </a:ln>
                  </pic:spPr>
                </pic:pic>
              </a:graphicData>
            </a:graphic>
          </wp:inline>
        </w:drawing>
      </w:r>
      <w:r w:rsidRPr="005F0A67">
        <w:rPr>
          <w:rFonts w:asciiTheme="majorBidi" w:eastAsia="Times New Roman" w:hAnsiTheme="majorBidi" w:cstheme="majorBidi"/>
          <w:spacing w:val="80"/>
          <w:sz w:val="20"/>
          <w:szCs w:val="20"/>
          <w:lang w:val="en-CA" w:eastAsia="en-GB"/>
        </w:rPr>
        <w:t xml:space="preserve"> </w:t>
      </w:r>
      <w:r w:rsidRPr="005F0A67">
        <w:rPr>
          <w:rFonts w:asciiTheme="majorBidi" w:eastAsia="Times New Roman" w:hAnsiTheme="majorBidi" w:cstheme="majorBidi"/>
          <w:color w:val="202020"/>
          <w:sz w:val="14"/>
          <w:szCs w:val="14"/>
          <w:lang w:val="en-CA" w:eastAsia="en-GB"/>
        </w:rPr>
        <w:t>Other</w:t>
      </w:r>
    </w:p>
    <w:p w14:paraId="79CE4BC8" w14:textId="77777777" w:rsidR="005F0A67" w:rsidRPr="005F0A67" w:rsidRDefault="005F0A67" w:rsidP="005F0A67">
      <w:pPr>
        <w:tabs>
          <w:tab w:val="clear" w:pos="567"/>
          <w:tab w:val="clear" w:pos="1134"/>
          <w:tab w:val="clear" w:pos="1701"/>
          <w:tab w:val="clear" w:pos="2268"/>
        </w:tabs>
        <w:spacing w:line="360" w:lineRule="auto"/>
        <w:jc w:val="left"/>
        <w:rPr>
          <w:rFonts w:asciiTheme="majorBidi" w:eastAsia="Times New Roman" w:hAnsiTheme="majorBidi" w:cstheme="majorBidi"/>
          <w:sz w:val="14"/>
          <w:szCs w:val="14"/>
          <w:lang w:val="en-CA" w:eastAsia="en-GB"/>
        </w:rPr>
      </w:pPr>
    </w:p>
    <w:p w14:paraId="7A3E2B58" w14:textId="77777777" w:rsidR="005F0A67" w:rsidRPr="005F0A67" w:rsidRDefault="005F0A67" w:rsidP="005F0A67">
      <w:pPr>
        <w:pBdr>
          <w:bottom w:val="single" w:sz="2" w:space="6" w:color="D9D9D9"/>
        </w:pBdr>
        <w:tabs>
          <w:tab w:val="clear" w:pos="567"/>
          <w:tab w:val="clear" w:pos="1134"/>
          <w:tab w:val="clear" w:pos="1701"/>
          <w:tab w:val="clear" w:pos="2268"/>
        </w:tabs>
        <w:spacing w:before="400" w:after="60"/>
        <w:ind w:left="432" w:hanging="432"/>
        <w:jc w:val="left"/>
        <w:outlineLvl w:val="0"/>
        <w:rPr>
          <w:rFonts w:asciiTheme="majorBidi" w:eastAsia="Arial" w:hAnsiTheme="majorBidi" w:cstheme="majorBidi"/>
          <w:b/>
          <w:bCs/>
          <w:color w:val="242424"/>
          <w:w w:val="90"/>
          <w:sz w:val="28"/>
          <w:szCs w:val="28"/>
          <w:lang w:val="en-CA" w:eastAsia="en-GB"/>
        </w:rPr>
      </w:pPr>
      <w:bookmarkStart w:id="280" w:name="_Toc234579634"/>
      <w:r w:rsidRPr="005F0A67">
        <w:rPr>
          <w:rFonts w:asciiTheme="majorBidi" w:eastAsia="Arial" w:hAnsiTheme="majorBidi" w:cstheme="majorBidi"/>
          <w:b/>
          <w:bCs/>
          <w:color w:val="242424"/>
          <w:w w:val="90"/>
          <w:sz w:val="28"/>
          <w:szCs w:val="28"/>
          <w:lang w:val="en-CA" w:eastAsia="en-GB"/>
        </w:rPr>
        <w:t>DSI Use and Exposure</w:t>
      </w:r>
      <w:bookmarkEnd w:id="280"/>
    </w:p>
    <w:p w14:paraId="3E11BA31" w14:textId="77777777" w:rsidR="005F0A67" w:rsidRPr="005F0A67" w:rsidRDefault="005F0A67" w:rsidP="005F0A67">
      <w:pPr>
        <w:widowControl w:val="0"/>
        <w:tabs>
          <w:tab w:val="clear" w:pos="567"/>
          <w:tab w:val="clear" w:pos="1134"/>
          <w:tab w:val="clear" w:pos="1701"/>
          <w:tab w:val="clear" w:pos="2268"/>
        </w:tabs>
        <w:spacing w:before="135" w:line="297" w:lineRule="auto"/>
        <w:ind w:left="515" w:right="484"/>
        <w:jc w:val="left"/>
        <w:rPr>
          <w:rFonts w:asciiTheme="majorBidi" w:eastAsia="Arial" w:hAnsiTheme="majorBidi" w:cstheme="majorBidi"/>
          <w:sz w:val="17"/>
          <w:szCs w:val="17"/>
          <w:lang w:val="en-US"/>
        </w:rPr>
      </w:pPr>
      <w:r w:rsidRPr="005F0A67">
        <w:rPr>
          <w:rFonts w:asciiTheme="majorBidi" w:eastAsia="Arial" w:hAnsiTheme="majorBidi" w:cstheme="majorBidi"/>
          <w:color w:val="242424"/>
          <w:spacing w:val="-4"/>
          <w:sz w:val="17"/>
          <w:szCs w:val="17"/>
          <w:lang w:val="en-US"/>
        </w:rPr>
        <w:t>These questions assess how your organization uses digital sequence information and how central DSI is to your operations,</w:t>
      </w:r>
      <w:r w:rsidRPr="005F0A67">
        <w:rPr>
          <w:rFonts w:asciiTheme="majorBidi" w:eastAsia="Arial" w:hAnsiTheme="majorBidi" w:cstheme="majorBidi"/>
          <w:color w:val="242424"/>
          <w:spacing w:val="40"/>
          <w:sz w:val="17"/>
          <w:szCs w:val="17"/>
          <w:lang w:val="en-US"/>
        </w:rPr>
        <w:t xml:space="preserve"> </w:t>
      </w:r>
      <w:r w:rsidRPr="005F0A67">
        <w:rPr>
          <w:rFonts w:asciiTheme="majorBidi" w:eastAsia="Arial" w:hAnsiTheme="majorBidi" w:cstheme="majorBidi"/>
          <w:color w:val="242424"/>
          <w:sz w:val="17"/>
          <w:szCs w:val="17"/>
          <w:lang w:val="en-US"/>
        </w:rPr>
        <w:t>helping</w:t>
      </w:r>
      <w:r w:rsidRPr="005F0A67">
        <w:rPr>
          <w:rFonts w:asciiTheme="majorBidi" w:eastAsia="Arial" w:hAnsiTheme="majorBidi" w:cstheme="majorBidi"/>
          <w:color w:val="242424"/>
          <w:spacing w:val="-9"/>
          <w:sz w:val="17"/>
          <w:szCs w:val="17"/>
          <w:lang w:val="en-US"/>
        </w:rPr>
        <w:t xml:space="preserve"> </w:t>
      </w:r>
      <w:r w:rsidRPr="005F0A67">
        <w:rPr>
          <w:rFonts w:asciiTheme="majorBidi" w:eastAsia="Arial" w:hAnsiTheme="majorBidi" w:cstheme="majorBidi"/>
          <w:color w:val="242424"/>
          <w:sz w:val="17"/>
          <w:szCs w:val="17"/>
          <w:lang w:val="en-US"/>
        </w:rPr>
        <w:t>us</w:t>
      </w:r>
      <w:r w:rsidRPr="005F0A67">
        <w:rPr>
          <w:rFonts w:asciiTheme="majorBidi" w:eastAsia="Arial" w:hAnsiTheme="majorBidi" w:cstheme="majorBidi"/>
          <w:color w:val="242424"/>
          <w:spacing w:val="-9"/>
          <w:sz w:val="17"/>
          <w:szCs w:val="17"/>
          <w:lang w:val="en-US"/>
        </w:rPr>
        <w:t xml:space="preserve"> </w:t>
      </w:r>
      <w:r w:rsidRPr="005F0A67">
        <w:rPr>
          <w:rFonts w:asciiTheme="majorBidi" w:eastAsia="Arial" w:hAnsiTheme="majorBidi" w:cstheme="majorBidi"/>
          <w:color w:val="242424"/>
          <w:sz w:val="17"/>
          <w:szCs w:val="17"/>
          <w:lang w:val="en-US"/>
        </w:rPr>
        <w:t>identify</w:t>
      </w:r>
      <w:r w:rsidRPr="005F0A67">
        <w:rPr>
          <w:rFonts w:asciiTheme="majorBidi" w:eastAsia="Arial" w:hAnsiTheme="majorBidi" w:cstheme="majorBidi"/>
          <w:color w:val="242424"/>
          <w:spacing w:val="-9"/>
          <w:sz w:val="17"/>
          <w:szCs w:val="17"/>
          <w:lang w:val="en-US"/>
        </w:rPr>
        <w:t xml:space="preserve"> </w:t>
      </w:r>
      <w:r w:rsidRPr="005F0A67">
        <w:rPr>
          <w:rFonts w:asciiTheme="majorBidi" w:eastAsia="Arial" w:hAnsiTheme="majorBidi" w:cstheme="majorBidi"/>
          <w:color w:val="242424"/>
          <w:sz w:val="17"/>
          <w:szCs w:val="17"/>
          <w:lang w:val="en-US"/>
        </w:rPr>
        <w:t>which</w:t>
      </w:r>
      <w:r w:rsidRPr="005F0A67">
        <w:rPr>
          <w:rFonts w:asciiTheme="majorBidi" w:eastAsia="Arial" w:hAnsiTheme="majorBidi" w:cstheme="majorBidi"/>
          <w:color w:val="242424"/>
          <w:spacing w:val="-9"/>
          <w:sz w:val="17"/>
          <w:szCs w:val="17"/>
          <w:lang w:val="en-US"/>
        </w:rPr>
        <w:t xml:space="preserve"> </w:t>
      </w:r>
      <w:r w:rsidRPr="005F0A67">
        <w:rPr>
          <w:rFonts w:asciiTheme="majorBidi" w:eastAsia="Arial" w:hAnsiTheme="majorBidi" w:cstheme="majorBidi"/>
          <w:color w:val="242424"/>
          <w:sz w:val="17"/>
          <w:szCs w:val="17"/>
          <w:lang w:val="en-US"/>
        </w:rPr>
        <w:t>firms</w:t>
      </w:r>
      <w:r w:rsidRPr="005F0A67">
        <w:rPr>
          <w:rFonts w:asciiTheme="majorBidi" w:eastAsia="Arial" w:hAnsiTheme="majorBidi" w:cstheme="majorBidi"/>
          <w:color w:val="242424"/>
          <w:spacing w:val="-9"/>
          <w:sz w:val="17"/>
          <w:szCs w:val="17"/>
          <w:lang w:val="en-US"/>
        </w:rPr>
        <w:t xml:space="preserve"> </w:t>
      </w:r>
      <w:r w:rsidRPr="005F0A67">
        <w:rPr>
          <w:rFonts w:asciiTheme="majorBidi" w:eastAsia="Arial" w:hAnsiTheme="majorBidi" w:cstheme="majorBidi"/>
          <w:color w:val="242424"/>
          <w:sz w:val="17"/>
          <w:szCs w:val="17"/>
          <w:lang w:val="en-US"/>
        </w:rPr>
        <w:t>would</w:t>
      </w:r>
      <w:r w:rsidRPr="005F0A67">
        <w:rPr>
          <w:rFonts w:asciiTheme="majorBidi" w:eastAsia="Arial" w:hAnsiTheme="majorBidi" w:cstheme="majorBidi"/>
          <w:color w:val="242424"/>
          <w:spacing w:val="-9"/>
          <w:sz w:val="17"/>
          <w:szCs w:val="17"/>
          <w:lang w:val="en-US"/>
        </w:rPr>
        <w:t xml:space="preserve"> </w:t>
      </w:r>
      <w:r w:rsidRPr="005F0A67">
        <w:rPr>
          <w:rFonts w:asciiTheme="majorBidi" w:eastAsia="Arial" w:hAnsiTheme="majorBidi" w:cstheme="majorBidi"/>
          <w:color w:val="242424"/>
          <w:sz w:val="17"/>
          <w:szCs w:val="17"/>
          <w:lang w:val="en-US"/>
        </w:rPr>
        <w:t>be</w:t>
      </w:r>
      <w:r w:rsidRPr="005F0A67">
        <w:rPr>
          <w:rFonts w:asciiTheme="majorBidi" w:eastAsia="Arial" w:hAnsiTheme="majorBidi" w:cstheme="majorBidi"/>
          <w:color w:val="242424"/>
          <w:spacing w:val="-9"/>
          <w:sz w:val="17"/>
          <w:szCs w:val="17"/>
          <w:lang w:val="en-US"/>
        </w:rPr>
        <w:t xml:space="preserve"> </w:t>
      </w:r>
      <w:r w:rsidRPr="005F0A67">
        <w:rPr>
          <w:rFonts w:asciiTheme="majorBidi" w:eastAsia="Arial" w:hAnsiTheme="majorBidi" w:cstheme="majorBidi"/>
          <w:color w:val="242424"/>
          <w:sz w:val="17"/>
          <w:szCs w:val="17"/>
          <w:lang w:val="en-US"/>
        </w:rPr>
        <w:t>most</w:t>
      </w:r>
      <w:r w:rsidRPr="005F0A67">
        <w:rPr>
          <w:rFonts w:asciiTheme="majorBidi" w:eastAsia="Arial" w:hAnsiTheme="majorBidi" w:cstheme="majorBidi"/>
          <w:color w:val="242424"/>
          <w:spacing w:val="-9"/>
          <w:sz w:val="17"/>
          <w:szCs w:val="17"/>
          <w:lang w:val="en-US"/>
        </w:rPr>
        <w:t xml:space="preserve"> </w:t>
      </w:r>
      <w:r w:rsidRPr="005F0A67">
        <w:rPr>
          <w:rFonts w:asciiTheme="majorBidi" w:eastAsia="Arial" w:hAnsiTheme="majorBidi" w:cstheme="majorBidi"/>
          <w:color w:val="242424"/>
          <w:sz w:val="17"/>
          <w:szCs w:val="17"/>
          <w:lang w:val="en-US"/>
        </w:rPr>
        <w:t>affected</w:t>
      </w:r>
      <w:r w:rsidRPr="005F0A67">
        <w:rPr>
          <w:rFonts w:asciiTheme="majorBidi" w:eastAsia="Arial" w:hAnsiTheme="majorBidi" w:cstheme="majorBidi"/>
          <w:color w:val="242424"/>
          <w:spacing w:val="-9"/>
          <w:sz w:val="17"/>
          <w:szCs w:val="17"/>
          <w:lang w:val="en-US"/>
        </w:rPr>
        <w:t xml:space="preserve"> </w:t>
      </w:r>
      <w:r w:rsidRPr="005F0A67">
        <w:rPr>
          <w:rFonts w:asciiTheme="majorBidi" w:eastAsia="Arial" w:hAnsiTheme="majorBidi" w:cstheme="majorBidi"/>
          <w:color w:val="242424"/>
          <w:sz w:val="17"/>
          <w:szCs w:val="17"/>
          <w:lang w:val="en-US"/>
        </w:rPr>
        <w:t>by</w:t>
      </w:r>
      <w:r w:rsidRPr="005F0A67">
        <w:rPr>
          <w:rFonts w:asciiTheme="majorBidi" w:eastAsia="Arial" w:hAnsiTheme="majorBidi" w:cstheme="majorBidi"/>
          <w:color w:val="242424"/>
          <w:spacing w:val="-9"/>
          <w:sz w:val="17"/>
          <w:szCs w:val="17"/>
          <w:lang w:val="en-US"/>
        </w:rPr>
        <w:t xml:space="preserve"> </w:t>
      </w:r>
      <w:r w:rsidRPr="005F0A67">
        <w:rPr>
          <w:rFonts w:asciiTheme="majorBidi" w:eastAsia="Arial" w:hAnsiTheme="majorBidi" w:cstheme="majorBidi"/>
          <w:color w:val="242424"/>
          <w:sz w:val="17"/>
          <w:szCs w:val="17"/>
          <w:lang w:val="en-US"/>
        </w:rPr>
        <w:t>the</w:t>
      </w:r>
      <w:r w:rsidRPr="005F0A67">
        <w:rPr>
          <w:rFonts w:asciiTheme="majorBidi" w:eastAsia="Arial" w:hAnsiTheme="majorBidi" w:cstheme="majorBidi"/>
          <w:color w:val="242424"/>
          <w:spacing w:val="-9"/>
          <w:sz w:val="17"/>
          <w:szCs w:val="17"/>
          <w:lang w:val="en-US"/>
        </w:rPr>
        <w:t xml:space="preserve"> </w:t>
      </w:r>
      <w:r w:rsidRPr="005F0A67">
        <w:rPr>
          <w:rFonts w:asciiTheme="majorBidi" w:eastAsia="Arial" w:hAnsiTheme="majorBidi" w:cstheme="majorBidi"/>
          <w:color w:val="242424"/>
          <w:sz w:val="17"/>
          <w:szCs w:val="17"/>
          <w:lang w:val="en-US"/>
        </w:rPr>
        <w:t>Cali</w:t>
      </w:r>
      <w:r w:rsidRPr="005F0A67">
        <w:rPr>
          <w:rFonts w:asciiTheme="majorBidi" w:eastAsia="Arial" w:hAnsiTheme="majorBidi" w:cstheme="majorBidi"/>
          <w:color w:val="242424"/>
          <w:spacing w:val="-9"/>
          <w:sz w:val="17"/>
          <w:szCs w:val="17"/>
          <w:lang w:val="en-US"/>
        </w:rPr>
        <w:t xml:space="preserve"> </w:t>
      </w:r>
      <w:r w:rsidRPr="005F0A67">
        <w:rPr>
          <w:rFonts w:asciiTheme="majorBidi" w:eastAsia="Arial" w:hAnsiTheme="majorBidi" w:cstheme="majorBidi"/>
          <w:color w:val="242424"/>
          <w:sz w:val="17"/>
          <w:szCs w:val="17"/>
          <w:lang w:val="en-US"/>
        </w:rPr>
        <w:t>Fund</w:t>
      </w:r>
      <w:r w:rsidRPr="005F0A67">
        <w:rPr>
          <w:rFonts w:asciiTheme="majorBidi" w:eastAsia="Arial" w:hAnsiTheme="majorBidi" w:cstheme="majorBidi"/>
          <w:color w:val="242424"/>
          <w:spacing w:val="-9"/>
          <w:sz w:val="17"/>
          <w:szCs w:val="17"/>
          <w:lang w:val="en-US"/>
        </w:rPr>
        <w:t xml:space="preserve"> </w:t>
      </w:r>
      <w:r w:rsidRPr="005F0A67">
        <w:rPr>
          <w:rFonts w:asciiTheme="majorBidi" w:eastAsia="Arial" w:hAnsiTheme="majorBidi" w:cstheme="majorBidi"/>
          <w:color w:val="242424"/>
          <w:sz w:val="17"/>
          <w:szCs w:val="17"/>
          <w:lang w:val="en-US"/>
        </w:rPr>
        <w:t>mechanism.</w:t>
      </w:r>
    </w:p>
    <w:p w14:paraId="4920C0F1" w14:textId="77777777" w:rsidR="005F0A67" w:rsidRPr="005F0A67" w:rsidRDefault="005F0A67" w:rsidP="003A387A">
      <w:pPr>
        <w:widowControl w:val="0"/>
        <w:numPr>
          <w:ilvl w:val="0"/>
          <w:numId w:val="44"/>
        </w:numPr>
        <w:tabs>
          <w:tab w:val="clear" w:pos="567"/>
          <w:tab w:val="clear" w:pos="1134"/>
          <w:tab w:val="clear" w:pos="1701"/>
          <w:tab w:val="clear" w:pos="2268"/>
          <w:tab w:val="left" w:pos="703"/>
        </w:tabs>
        <w:autoSpaceDE w:val="0"/>
        <w:autoSpaceDN w:val="0"/>
        <w:ind w:left="703" w:hanging="279"/>
        <w:jc w:val="left"/>
        <w:rPr>
          <w:rFonts w:asciiTheme="majorBidi" w:eastAsia="Georgia" w:hAnsiTheme="majorBidi" w:cstheme="majorBidi"/>
          <w:b/>
          <w:bCs/>
          <w:color w:val="1A1A1A"/>
          <w:sz w:val="17"/>
          <w:szCs w:val="17"/>
          <w:lang w:eastAsia="en-GB"/>
        </w:rPr>
      </w:pPr>
      <w:r w:rsidRPr="005F0A67">
        <w:rPr>
          <w:rFonts w:asciiTheme="majorBidi" w:eastAsia="Georgia" w:hAnsiTheme="majorBidi" w:cstheme="majorBidi"/>
          <w:color w:val="242424"/>
          <w:sz w:val="17"/>
          <w:szCs w:val="17"/>
          <w:lang w:eastAsia="en-GB"/>
        </w:rPr>
        <w:t>Does</w:t>
      </w:r>
      <w:r w:rsidRPr="005F0A67">
        <w:rPr>
          <w:rFonts w:asciiTheme="majorBidi" w:eastAsia="Georgia" w:hAnsiTheme="majorBidi" w:cstheme="majorBidi"/>
          <w:color w:val="242424"/>
          <w:spacing w:val="-9"/>
          <w:sz w:val="17"/>
          <w:szCs w:val="17"/>
          <w:lang w:eastAsia="en-GB"/>
        </w:rPr>
        <w:t xml:space="preserve"> </w:t>
      </w:r>
      <w:r w:rsidRPr="005F0A67">
        <w:rPr>
          <w:rFonts w:asciiTheme="majorBidi" w:eastAsia="Georgia" w:hAnsiTheme="majorBidi" w:cstheme="majorBidi"/>
          <w:color w:val="242424"/>
          <w:sz w:val="17"/>
          <w:szCs w:val="17"/>
          <w:lang w:eastAsia="en-GB"/>
        </w:rPr>
        <w:t>your</w:t>
      </w:r>
      <w:r w:rsidRPr="005F0A67">
        <w:rPr>
          <w:rFonts w:asciiTheme="majorBidi" w:eastAsia="Georgia" w:hAnsiTheme="majorBidi" w:cstheme="majorBidi"/>
          <w:color w:val="242424"/>
          <w:spacing w:val="-8"/>
          <w:sz w:val="17"/>
          <w:szCs w:val="17"/>
          <w:lang w:eastAsia="en-GB"/>
        </w:rPr>
        <w:t xml:space="preserve"> </w:t>
      </w:r>
      <w:r w:rsidRPr="005F0A67">
        <w:rPr>
          <w:rFonts w:asciiTheme="majorBidi" w:eastAsia="Georgia" w:hAnsiTheme="majorBidi" w:cstheme="majorBidi"/>
          <w:color w:val="242424"/>
          <w:sz w:val="17"/>
          <w:szCs w:val="17"/>
          <w:lang w:eastAsia="en-GB"/>
        </w:rPr>
        <w:t>organisation</w:t>
      </w:r>
      <w:r w:rsidRPr="005F0A67">
        <w:rPr>
          <w:rFonts w:asciiTheme="majorBidi" w:eastAsia="Georgia" w:hAnsiTheme="majorBidi" w:cstheme="majorBidi"/>
          <w:color w:val="242424"/>
          <w:spacing w:val="-8"/>
          <w:sz w:val="17"/>
          <w:szCs w:val="17"/>
          <w:lang w:eastAsia="en-GB"/>
        </w:rPr>
        <w:t xml:space="preserve"> </w:t>
      </w:r>
      <w:r w:rsidRPr="005F0A67">
        <w:rPr>
          <w:rFonts w:asciiTheme="majorBidi" w:eastAsia="Georgia" w:hAnsiTheme="majorBidi" w:cstheme="majorBidi"/>
          <w:color w:val="242424"/>
          <w:sz w:val="17"/>
          <w:szCs w:val="17"/>
          <w:lang w:eastAsia="en-GB"/>
        </w:rPr>
        <w:t>use</w:t>
      </w:r>
      <w:r w:rsidRPr="005F0A67">
        <w:rPr>
          <w:rFonts w:asciiTheme="majorBidi" w:eastAsia="Georgia" w:hAnsiTheme="majorBidi" w:cstheme="majorBidi"/>
          <w:color w:val="242424"/>
          <w:spacing w:val="-8"/>
          <w:sz w:val="17"/>
          <w:szCs w:val="17"/>
          <w:lang w:eastAsia="en-GB"/>
        </w:rPr>
        <w:t xml:space="preserve"> </w:t>
      </w:r>
      <w:r w:rsidRPr="005F0A67">
        <w:rPr>
          <w:rFonts w:asciiTheme="majorBidi" w:eastAsia="Georgia" w:hAnsiTheme="majorBidi" w:cstheme="majorBidi"/>
          <w:color w:val="242424"/>
          <w:sz w:val="17"/>
          <w:szCs w:val="17"/>
          <w:lang w:eastAsia="en-GB"/>
        </w:rPr>
        <w:t>DSI</w:t>
      </w:r>
      <w:r w:rsidRPr="005F0A67">
        <w:rPr>
          <w:rFonts w:asciiTheme="majorBidi" w:eastAsia="Georgia" w:hAnsiTheme="majorBidi" w:cstheme="majorBidi"/>
          <w:color w:val="242424"/>
          <w:spacing w:val="-9"/>
          <w:sz w:val="17"/>
          <w:szCs w:val="17"/>
          <w:lang w:eastAsia="en-GB"/>
        </w:rPr>
        <w:t xml:space="preserve"> </w:t>
      </w:r>
      <w:r w:rsidRPr="005F0A67">
        <w:rPr>
          <w:rFonts w:asciiTheme="majorBidi" w:eastAsia="Georgia" w:hAnsiTheme="majorBidi" w:cstheme="majorBidi"/>
          <w:b/>
          <w:bCs/>
          <w:color w:val="242424"/>
          <w:sz w:val="17"/>
          <w:szCs w:val="17"/>
          <w:lang w:eastAsia="en-GB"/>
        </w:rPr>
        <w:t>directly</w:t>
      </w:r>
      <w:r w:rsidRPr="005F0A67">
        <w:rPr>
          <w:rFonts w:asciiTheme="majorBidi" w:eastAsia="Georgia" w:hAnsiTheme="majorBidi" w:cstheme="majorBidi"/>
          <w:b/>
          <w:bCs/>
          <w:color w:val="242424"/>
          <w:spacing w:val="-8"/>
          <w:sz w:val="17"/>
          <w:szCs w:val="17"/>
          <w:lang w:eastAsia="en-GB"/>
        </w:rPr>
        <w:t xml:space="preserve"> </w:t>
      </w:r>
      <w:r w:rsidRPr="005F0A67">
        <w:rPr>
          <w:rFonts w:asciiTheme="majorBidi" w:eastAsia="Georgia" w:hAnsiTheme="majorBidi" w:cstheme="majorBidi"/>
          <w:color w:val="242424"/>
          <w:sz w:val="17"/>
          <w:szCs w:val="17"/>
          <w:lang w:eastAsia="en-GB"/>
        </w:rPr>
        <w:t>and/or</w:t>
      </w:r>
      <w:r w:rsidRPr="005F0A67">
        <w:rPr>
          <w:rFonts w:asciiTheme="majorBidi" w:eastAsia="Georgia" w:hAnsiTheme="majorBidi" w:cstheme="majorBidi"/>
          <w:color w:val="242424"/>
          <w:spacing w:val="-8"/>
          <w:sz w:val="17"/>
          <w:szCs w:val="17"/>
          <w:lang w:eastAsia="en-GB"/>
        </w:rPr>
        <w:t xml:space="preserve"> </w:t>
      </w:r>
      <w:r w:rsidRPr="005F0A67">
        <w:rPr>
          <w:rFonts w:asciiTheme="majorBidi" w:eastAsia="Georgia" w:hAnsiTheme="majorBidi" w:cstheme="majorBidi"/>
          <w:b/>
          <w:bCs/>
          <w:color w:val="242424"/>
          <w:spacing w:val="-2"/>
          <w:sz w:val="17"/>
          <w:szCs w:val="17"/>
          <w:lang w:eastAsia="en-GB"/>
        </w:rPr>
        <w:t>indirectly?</w:t>
      </w:r>
    </w:p>
    <w:p w14:paraId="0896C0E9" w14:textId="77777777" w:rsidR="005F0A67" w:rsidRPr="005F0A67" w:rsidRDefault="005F0A67" w:rsidP="005F0A67">
      <w:pPr>
        <w:widowControl w:val="0"/>
        <w:tabs>
          <w:tab w:val="clear" w:pos="567"/>
          <w:tab w:val="clear" w:pos="1134"/>
          <w:tab w:val="clear" w:pos="1701"/>
          <w:tab w:val="clear" w:pos="2268"/>
        </w:tabs>
        <w:spacing w:before="123"/>
        <w:jc w:val="left"/>
        <w:rPr>
          <w:rFonts w:asciiTheme="majorBidi" w:eastAsia="Arial" w:hAnsiTheme="majorBidi" w:cstheme="majorBidi"/>
          <w:b/>
          <w:bCs/>
          <w:sz w:val="14"/>
          <w:szCs w:val="14"/>
          <w:lang w:val="en-US"/>
        </w:rPr>
      </w:pPr>
    </w:p>
    <w:p w14:paraId="1A735894" w14:textId="77777777" w:rsidR="005F0A67" w:rsidRPr="005F0A67" w:rsidRDefault="005F0A67" w:rsidP="005F0A67">
      <w:pPr>
        <w:widowControl w:val="0"/>
        <w:tabs>
          <w:tab w:val="clear" w:pos="567"/>
          <w:tab w:val="clear" w:pos="1134"/>
          <w:tab w:val="clear" w:pos="1701"/>
          <w:tab w:val="clear" w:pos="2268"/>
        </w:tabs>
        <w:spacing w:line="600" w:lineRule="auto"/>
        <w:ind w:left="725" w:right="7228"/>
        <w:jc w:val="left"/>
        <w:rPr>
          <w:rFonts w:asciiTheme="majorBidi" w:eastAsia="Arial" w:hAnsiTheme="majorBidi" w:cstheme="majorBidi"/>
          <w:sz w:val="14"/>
          <w:szCs w:val="14"/>
          <w:lang w:val="en-US"/>
        </w:rPr>
      </w:pPr>
      <w:r w:rsidRPr="005F0A67">
        <w:rPr>
          <w:rFonts w:asciiTheme="majorBidi" w:eastAsia="Arial" w:hAnsiTheme="majorBidi" w:cstheme="majorBidi"/>
          <w:noProof/>
          <w:position w:val="-4"/>
          <w:sz w:val="14"/>
          <w:szCs w:val="14"/>
          <w:lang w:val="en-US"/>
        </w:rPr>
        <w:drawing>
          <wp:inline distT="0" distB="0" distL="0" distR="0" wp14:anchorId="016BB791" wp14:editId="1C6DEBED">
            <wp:extent cx="127000" cy="127000"/>
            <wp:effectExtent l="0" t="0" r="0" b="0"/>
            <wp:docPr id="43" name="Image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Image 43"/>
                    <pic:cNvPicPr/>
                  </pic:nvPicPr>
                  <pic:blipFill>
                    <a:blip r:embed="rId39" cstate="print"/>
                    <a:stretch>
                      <a:fillRect/>
                    </a:stretch>
                  </pic:blipFill>
                  <pic:spPr>
                    <a:xfrm>
                      <a:off x="0" y="0"/>
                      <a:ext cx="127000" cy="127000"/>
                    </a:xfrm>
                    <a:prstGeom prst="rect">
                      <a:avLst/>
                    </a:prstGeom>
                  </pic:spPr>
                </pic:pic>
              </a:graphicData>
            </a:graphic>
          </wp:inline>
        </w:drawing>
      </w:r>
      <w:r w:rsidRPr="005F0A67">
        <w:rPr>
          <w:rFonts w:asciiTheme="majorBidi" w:eastAsia="Arial" w:hAnsiTheme="majorBidi" w:cstheme="majorBidi"/>
          <w:spacing w:val="41"/>
          <w:sz w:val="20"/>
          <w:szCs w:val="20"/>
          <w:lang w:val="en-US"/>
        </w:rPr>
        <w:t xml:space="preserve"> </w:t>
      </w:r>
      <w:r w:rsidRPr="005F0A67">
        <w:rPr>
          <w:rFonts w:asciiTheme="majorBidi" w:eastAsia="Arial" w:hAnsiTheme="majorBidi" w:cstheme="majorBidi"/>
          <w:color w:val="242424"/>
          <w:spacing w:val="-2"/>
          <w:sz w:val="14"/>
          <w:szCs w:val="14"/>
          <w:lang w:val="en-US"/>
        </w:rPr>
        <w:t>Yes</w:t>
      </w:r>
      <w:r w:rsidRPr="005F0A67">
        <w:rPr>
          <w:rFonts w:asciiTheme="majorBidi" w:eastAsia="Arial" w:hAnsiTheme="majorBidi" w:cstheme="majorBidi"/>
          <w:color w:val="242424"/>
          <w:spacing w:val="40"/>
          <w:sz w:val="14"/>
          <w:szCs w:val="14"/>
          <w:lang w:val="en-US"/>
        </w:rPr>
        <w:t xml:space="preserve"> </w:t>
      </w:r>
      <w:r w:rsidRPr="005F0A67">
        <w:rPr>
          <w:rFonts w:asciiTheme="majorBidi" w:eastAsia="Arial" w:hAnsiTheme="majorBidi" w:cstheme="majorBidi"/>
          <w:noProof/>
          <w:color w:val="242424"/>
          <w:position w:val="-4"/>
          <w:sz w:val="14"/>
          <w:szCs w:val="14"/>
          <w:lang w:val="en-US"/>
        </w:rPr>
        <w:drawing>
          <wp:inline distT="0" distB="0" distL="0" distR="0" wp14:anchorId="4000AA0E" wp14:editId="7488C0F3">
            <wp:extent cx="127000" cy="127000"/>
            <wp:effectExtent l="0" t="0" r="0" b="0"/>
            <wp:docPr id="44" name="Image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pic:cNvPicPr/>
                  </pic:nvPicPr>
                  <pic:blipFill>
                    <a:blip r:embed="rId42" cstate="print"/>
                    <a:stretch>
                      <a:fillRect/>
                    </a:stretch>
                  </pic:blipFill>
                  <pic:spPr>
                    <a:xfrm>
                      <a:off x="0" y="0"/>
                      <a:ext cx="127000" cy="127000"/>
                    </a:xfrm>
                    <a:prstGeom prst="rect">
                      <a:avLst/>
                    </a:prstGeom>
                  </pic:spPr>
                </pic:pic>
              </a:graphicData>
            </a:graphic>
          </wp:inline>
        </w:drawing>
      </w:r>
      <w:r w:rsidRPr="005F0A67">
        <w:rPr>
          <w:rFonts w:asciiTheme="majorBidi" w:eastAsia="Arial" w:hAnsiTheme="majorBidi" w:cstheme="majorBidi"/>
          <w:color w:val="242424"/>
          <w:spacing w:val="80"/>
          <w:sz w:val="14"/>
          <w:szCs w:val="14"/>
          <w:lang w:val="en-US"/>
        </w:rPr>
        <w:t xml:space="preserve"> </w:t>
      </w:r>
      <w:r w:rsidRPr="005F0A67">
        <w:rPr>
          <w:rFonts w:asciiTheme="majorBidi" w:eastAsia="Arial" w:hAnsiTheme="majorBidi" w:cstheme="majorBidi"/>
          <w:color w:val="242424"/>
          <w:sz w:val="14"/>
          <w:szCs w:val="14"/>
          <w:lang w:val="en-US"/>
        </w:rPr>
        <w:t>No</w:t>
      </w:r>
    </w:p>
    <w:p w14:paraId="5619E681" w14:textId="77777777" w:rsidR="005F0A67" w:rsidRPr="005F0A67" w:rsidRDefault="005F0A67" w:rsidP="005F0A67">
      <w:pPr>
        <w:widowControl w:val="0"/>
        <w:tabs>
          <w:tab w:val="clear" w:pos="567"/>
          <w:tab w:val="clear" w:pos="1134"/>
          <w:tab w:val="clear" w:pos="1701"/>
          <w:tab w:val="clear" w:pos="2268"/>
        </w:tabs>
        <w:ind w:left="725"/>
        <w:jc w:val="left"/>
        <w:rPr>
          <w:rFonts w:asciiTheme="majorBidi" w:eastAsia="Arial" w:hAnsiTheme="majorBidi" w:cstheme="majorBidi"/>
          <w:sz w:val="14"/>
          <w:szCs w:val="14"/>
          <w:lang w:val="en-US"/>
        </w:rPr>
      </w:pPr>
      <w:r w:rsidRPr="005F0A67">
        <w:rPr>
          <w:rFonts w:asciiTheme="majorBidi" w:eastAsia="Arial" w:hAnsiTheme="majorBidi" w:cstheme="majorBidi"/>
          <w:noProof/>
          <w:position w:val="-4"/>
          <w:sz w:val="14"/>
          <w:szCs w:val="14"/>
          <w:lang w:val="en-US"/>
        </w:rPr>
        <w:drawing>
          <wp:inline distT="0" distB="0" distL="0" distR="0" wp14:anchorId="3D5F14FA" wp14:editId="03B4877A">
            <wp:extent cx="127000" cy="127000"/>
            <wp:effectExtent l="0" t="0" r="0" b="0"/>
            <wp:docPr id="45" name="Image 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 name="Image 45"/>
                    <pic:cNvPicPr/>
                  </pic:nvPicPr>
                  <pic:blipFill>
                    <a:blip r:embed="rId43" cstate="print"/>
                    <a:stretch>
                      <a:fillRect/>
                    </a:stretch>
                  </pic:blipFill>
                  <pic:spPr>
                    <a:xfrm>
                      <a:off x="0" y="0"/>
                      <a:ext cx="127000" cy="127000"/>
                    </a:xfrm>
                    <a:prstGeom prst="rect">
                      <a:avLst/>
                    </a:prstGeom>
                  </pic:spPr>
                </pic:pic>
              </a:graphicData>
            </a:graphic>
          </wp:inline>
        </w:drawing>
      </w:r>
      <w:r w:rsidRPr="005F0A67">
        <w:rPr>
          <w:rFonts w:asciiTheme="majorBidi" w:eastAsia="Arial" w:hAnsiTheme="majorBidi" w:cstheme="majorBidi"/>
          <w:spacing w:val="80"/>
          <w:w w:val="105"/>
          <w:sz w:val="20"/>
          <w:szCs w:val="20"/>
          <w:lang w:val="en-US"/>
        </w:rPr>
        <w:t xml:space="preserve"> </w:t>
      </w:r>
      <w:r w:rsidRPr="005F0A67">
        <w:rPr>
          <w:rFonts w:asciiTheme="majorBidi" w:eastAsia="Arial" w:hAnsiTheme="majorBidi" w:cstheme="majorBidi"/>
          <w:color w:val="242424"/>
          <w:spacing w:val="-2"/>
          <w:w w:val="105"/>
          <w:sz w:val="14"/>
          <w:szCs w:val="14"/>
          <w:lang w:val="en-US"/>
        </w:rPr>
        <w:t xml:space="preserve">Don't </w:t>
      </w:r>
      <w:r w:rsidRPr="005F0A67">
        <w:rPr>
          <w:rFonts w:asciiTheme="majorBidi" w:eastAsia="Arial" w:hAnsiTheme="majorBidi" w:cstheme="majorBidi"/>
          <w:color w:val="242424"/>
          <w:w w:val="105"/>
          <w:sz w:val="14"/>
          <w:szCs w:val="14"/>
          <w:lang w:val="en-US"/>
        </w:rPr>
        <w:t>know</w:t>
      </w:r>
    </w:p>
    <w:p w14:paraId="3AACBA4E" w14:textId="77777777" w:rsidR="005F0A67" w:rsidRPr="005F0A67" w:rsidRDefault="005F0A67" w:rsidP="005F0A67">
      <w:pPr>
        <w:widowControl w:val="0"/>
        <w:tabs>
          <w:tab w:val="clear" w:pos="567"/>
          <w:tab w:val="clear" w:pos="1134"/>
          <w:tab w:val="clear" w:pos="1701"/>
          <w:tab w:val="clear" w:pos="2268"/>
        </w:tabs>
        <w:spacing w:before="49"/>
        <w:jc w:val="left"/>
        <w:rPr>
          <w:rFonts w:asciiTheme="majorBidi" w:eastAsia="Arial" w:hAnsiTheme="majorBidi" w:cstheme="majorBidi"/>
          <w:sz w:val="17"/>
          <w:szCs w:val="17"/>
          <w:lang w:val="en-US"/>
        </w:rPr>
      </w:pPr>
    </w:p>
    <w:p w14:paraId="0F741B34" w14:textId="77777777" w:rsidR="005F0A67" w:rsidRPr="005F0A67" w:rsidRDefault="005F0A67" w:rsidP="003A387A">
      <w:pPr>
        <w:widowControl w:val="0"/>
        <w:numPr>
          <w:ilvl w:val="0"/>
          <w:numId w:val="44"/>
        </w:numPr>
        <w:tabs>
          <w:tab w:val="clear" w:pos="567"/>
          <w:tab w:val="clear" w:pos="1134"/>
          <w:tab w:val="clear" w:pos="1701"/>
          <w:tab w:val="clear" w:pos="2268"/>
          <w:tab w:val="left" w:pos="703"/>
          <w:tab w:val="left" w:pos="705"/>
        </w:tabs>
        <w:autoSpaceDE w:val="0"/>
        <w:autoSpaceDN w:val="0"/>
        <w:spacing w:line="271" w:lineRule="auto"/>
        <w:ind w:right="1328" w:hanging="281"/>
        <w:jc w:val="left"/>
        <w:rPr>
          <w:rFonts w:asciiTheme="majorBidi" w:eastAsia="Georgia" w:hAnsiTheme="majorBidi" w:cstheme="majorBidi"/>
          <w:color w:val="1A1A1A"/>
          <w:sz w:val="17"/>
          <w:szCs w:val="17"/>
          <w:lang w:val="en-CA" w:eastAsia="en-GB"/>
        </w:rPr>
      </w:pPr>
      <w:r w:rsidRPr="005F0A67">
        <w:rPr>
          <w:rFonts w:asciiTheme="majorBidi" w:eastAsia="Georgia" w:hAnsiTheme="majorBidi" w:cstheme="majorBidi"/>
          <w:color w:val="242424"/>
          <w:sz w:val="17"/>
          <w:szCs w:val="17"/>
          <w:lang w:val="en-CA" w:eastAsia="en-GB"/>
        </w:rPr>
        <w:t>In</w:t>
      </w:r>
      <w:r w:rsidRPr="005F0A67">
        <w:rPr>
          <w:rFonts w:asciiTheme="majorBidi" w:eastAsia="Georgia" w:hAnsiTheme="majorBidi" w:cstheme="majorBidi"/>
          <w:color w:val="242424"/>
          <w:spacing w:val="-6"/>
          <w:sz w:val="17"/>
          <w:szCs w:val="17"/>
          <w:lang w:val="en-CA" w:eastAsia="en-GB"/>
        </w:rPr>
        <w:t xml:space="preserve"> </w:t>
      </w:r>
      <w:r w:rsidRPr="005F0A67">
        <w:rPr>
          <w:rFonts w:asciiTheme="majorBidi" w:eastAsia="Georgia" w:hAnsiTheme="majorBidi" w:cstheme="majorBidi"/>
          <w:color w:val="242424"/>
          <w:sz w:val="17"/>
          <w:szCs w:val="17"/>
          <w:lang w:val="en-CA" w:eastAsia="en-GB"/>
        </w:rPr>
        <w:t>the</w:t>
      </w:r>
      <w:r w:rsidRPr="005F0A67">
        <w:rPr>
          <w:rFonts w:asciiTheme="majorBidi" w:eastAsia="Georgia" w:hAnsiTheme="majorBidi" w:cstheme="majorBidi"/>
          <w:color w:val="242424"/>
          <w:spacing w:val="-6"/>
          <w:sz w:val="17"/>
          <w:szCs w:val="17"/>
          <w:lang w:val="en-CA" w:eastAsia="en-GB"/>
        </w:rPr>
        <w:t xml:space="preserve"> </w:t>
      </w:r>
      <w:r w:rsidRPr="005F0A67">
        <w:rPr>
          <w:rFonts w:asciiTheme="majorBidi" w:eastAsia="Georgia" w:hAnsiTheme="majorBidi" w:cstheme="majorBidi"/>
          <w:color w:val="242424"/>
          <w:sz w:val="17"/>
          <w:szCs w:val="17"/>
          <w:lang w:val="en-CA" w:eastAsia="en-GB"/>
        </w:rPr>
        <w:t>previous</w:t>
      </w:r>
      <w:r w:rsidRPr="005F0A67">
        <w:rPr>
          <w:rFonts w:asciiTheme="majorBidi" w:eastAsia="Georgia" w:hAnsiTheme="majorBidi" w:cstheme="majorBidi"/>
          <w:color w:val="242424"/>
          <w:spacing w:val="-6"/>
          <w:sz w:val="17"/>
          <w:szCs w:val="17"/>
          <w:lang w:val="en-CA" w:eastAsia="en-GB"/>
        </w:rPr>
        <w:t xml:space="preserve"> </w:t>
      </w:r>
      <w:r w:rsidRPr="005F0A67">
        <w:rPr>
          <w:rFonts w:asciiTheme="majorBidi" w:eastAsia="Georgia" w:hAnsiTheme="majorBidi" w:cstheme="majorBidi"/>
          <w:color w:val="242424"/>
          <w:sz w:val="17"/>
          <w:szCs w:val="17"/>
          <w:lang w:val="en-CA" w:eastAsia="en-GB"/>
        </w:rPr>
        <w:t>question,</w:t>
      </w:r>
      <w:r w:rsidRPr="005F0A67">
        <w:rPr>
          <w:rFonts w:asciiTheme="majorBidi" w:eastAsia="Georgia" w:hAnsiTheme="majorBidi" w:cstheme="majorBidi"/>
          <w:color w:val="242424"/>
          <w:spacing w:val="-6"/>
          <w:sz w:val="17"/>
          <w:szCs w:val="17"/>
          <w:lang w:val="en-CA" w:eastAsia="en-GB"/>
        </w:rPr>
        <w:t xml:space="preserve"> </w:t>
      </w:r>
      <w:r w:rsidRPr="005F0A67">
        <w:rPr>
          <w:rFonts w:asciiTheme="majorBidi" w:eastAsia="Georgia" w:hAnsiTheme="majorBidi" w:cstheme="majorBidi"/>
          <w:color w:val="242424"/>
          <w:sz w:val="17"/>
          <w:szCs w:val="17"/>
          <w:lang w:val="en-CA" w:eastAsia="en-GB"/>
        </w:rPr>
        <w:t>you</w:t>
      </w:r>
      <w:r w:rsidRPr="005F0A67">
        <w:rPr>
          <w:rFonts w:asciiTheme="majorBidi" w:eastAsia="Georgia" w:hAnsiTheme="majorBidi" w:cstheme="majorBidi"/>
          <w:color w:val="242424"/>
          <w:spacing w:val="-6"/>
          <w:sz w:val="17"/>
          <w:szCs w:val="17"/>
          <w:lang w:val="en-CA" w:eastAsia="en-GB"/>
        </w:rPr>
        <w:t xml:space="preserve"> </w:t>
      </w:r>
      <w:r w:rsidRPr="005F0A67">
        <w:rPr>
          <w:rFonts w:asciiTheme="majorBidi" w:eastAsia="Georgia" w:hAnsiTheme="majorBidi" w:cstheme="majorBidi"/>
          <w:color w:val="242424"/>
          <w:sz w:val="17"/>
          <w:szCs w:val="17"/>
          <w:lang w:val="en-CA" w:eastAsia="en-GB"/>
        </w:rPr>
        <w:t>answered</w:t>
      </w:r>
      <w:r w:rsidRPr="005F0A67">
        <w:rPr>
          <w:rFonts w:asciiTheme="majorBidi" w:eastAsia="Georgia" w:hAnsiTheme="majorBidi" w:cstheme="majorBidi"/>
          <w:color w:val="242424"/>
          <w:spacing w:val="-6"/>
          <w:sz w:val="17"/>
          <w:szCs w:val="17"/>
          <w:lang w:val="en-CA" w:eastAsia="en-GB"/>
        </w:rPr>
        <w:t xml:space="preserve"> </w:t>
      </w:r>
      <w:r w:rsidRPr="005F0A67">
        <w:rPr>
          <w:rFonts w:asciiTheme="majorBidi" w:eastAsia="Georgia" w:hAnsiTheme="majorBidi" w:cstheme="majorBidi"/>
          <w:color w:val="242424"/>
          <w:sz w:val="17"/>
          <w:szCs w:val="17"/>
          <w:lang w:val="en-CA" w:eastAsia="en-GB"/>
        </w:rPr>
        <w:t>that</w:t>
      </w:r>
      <w:r w:rsidRPr="005F0A67">
        <w:rPr>
          <w:rFonts w:asciiTheme="majorBidi" w:eastAsia="Georgia" w:hAnsiTheme="majorBidi" w:cstheme="majorBidi"/>
          <w:color w:val="242424"/>
          <w:spacing w:val="-6"/>
          <w:sz w:val="17"/>
          <w:szCs w:val="17"/>
          <w:lang w:val="en-CA" w:eastAsia="en-GB"/>
        </w:rPr>
        <w:t xml:space="preserve"> </w:t>
      </w:r>
      <w:r w:rsidRPr="005F0A67">
        <w:rPr>
          <w:rFonts w:asciiTheme="majorBidi" w:eastAsia="Georgia" w:hAnsiTheme="majorBidi" w:cstheme="majorBidi"/>
          <w:color w:val="242424"/>
          <w:sz w:val="17"/>
          <w:szCs w:val="17"/>
          <w:lang w:val="en-CA" w:eastAsia="en-GB"/>
        </w:rPr>
        <w:t>your</w:t>
      </w:r>
      <w:r w:rsidRPr="005F0A67">
        <w:rPr>
          <w:rFonts w:asciiTheme="majorBidi" w:eastAsia="Georgia" w:hAnsiTheme="majorBidi" w:cstheme="majorBidi"/>
          <w:color w:val="242424"/>
          <w:spacing w:val="-6"/>
          <w:sz w:val="17"/>
          <w:szCs w:val="17"/>
          <w:lang w:val="en-CA" w:eastAsia="en-GB"/>
        </w:rPr>
        <w:t xml:space="preserve"> </w:t>
      </w:r>
      <w:r w:rsidRPr="005F0A67">
        <w:rPr>
          <w:rFonts w:asciiTheme="majorBidi" w:eastAsia="Georgia" w:hAnsiTheme="majorBidi" w:cstheme="majorBidi"/>
          <w:color w:val="242424"/>
          <w:sz w:val="17"/>
          <w:szCs w:val="17"/>
          <w:lang w:val="en-CA" w:eastAsia="en-GB"/>
        </w:rPr>
        <w:t>organisation</w:t>
      </w:r>
      <w:r w:rsidRPr="005F0A67">
        <w:rPr>
          <w:rFonts w:asciiTheme="majorBidi" w:eastAsia="Georgia" w:hAnsiTheme="majorBidi" w:cstheme="majorBidi"/>
          <w:color w:val="242424"/>
          <w:spacing w:val="-6"/>
          <w:sz w:val="17"/>
          <w:szCs w:val="17"/>
          <w:lang w:val="en-CA" w:eastAsia="en-GB"/>
        </w:rPr>
        <w:t xml:space="preserve"> </w:t>
      </w:r>
      <w:r w:rsidRPr="005F0A67">
        <w:rPr>
          <w:rFonts w:asciiTheme="majorBidi" w:eastAsia="Georgia" w:hAnsiTheme="majorBidi" w:cstheme="majorBidi"/>
          <w:color w:val="242424"/>
          <w:sz w:val="17"/>
          <w:szCs w:val="17"/>
          <w:lang w:val="en-CA" w:eastAsia="en-GB"/>
        </w:rPr>
        <w:t>uses</w:t>
      </w:r>
      <w:r w:rsidRPr="005F0A67">
        <w:rPr>
          <w:rFonts w:asciiTheme="majorBidi" w:eastAsia="Georgia" w:hAnsiTheme="majorBidi" w:cstheme="majorBidi"/>
          <w:color w:val="242424"/>
          <w:spacing w:val="-6"/>
          <w:sz w:val="17"/>
          <w:szCs w:val="17"/>
          <w:lang w:val="en-CA" w:eastAsia="en-GB"/>
        </w:rPr>
        <w:t xml:space="preserve"> </w:t>
      </w:r>
      <w:r w:rsidRPr="005F0A67">
        <w:rPr>
          <w:rFonts w:asciiTheme="majorBidi" w:eastAsia="Georgia" w:hAnsiTheme="majorBidi" w:cstheme="majorBidi"/>
          <w:color w:val="242424"/>
          <w:sz w:val="17"/>
          <w:szCs w:val="17"/>
          <w:lang w:val="en-CA" w:eastAsia="en-GB"/>
        </w:rPr>
        <w:t>DSI</w:t>
      </w:r>
      <w:r w:rsidRPr="005F0A67">
        <w:rPr>
          <w:rFonts w:asciiTheme="majorBidi" w:eastAsia="Georgia" w:hAnsiTheme="majorBidi" w:cstheme="majorBidi"/>
          <w:color w:val="242424"/>
          <w:spacing w:val="-6"/>
          <w:sz w:val="17"/>
          <w:szCs w:val="17"/>
          <w:lang w:val="en-CA" w:eastAsia="en-GB"/>
        </w:rPr>
        <w:t xml:space="preserve"> </w:t>
      </w:r>
      <w:r w:rsidRPr="005F0A67">
        <w:rPr>
          <w:rFonts w:asciiTheme="majorBidi" w:eastAsia="Georgia" w:hAnsiTheme="majorBidi" w:cstheme="majorBidi"/>
          <w:color w:val="242424"/>
          <w:sz w:val="17"/>
          <w:szCs w:val="17"/>
          <w:lang w:val="en-CA" w:eastAsia="en-GB"/>
        </w:rPr>
        <w:t>directly</w:t>
      </w:r>
      <w:r w:rsidRPr="005F0A67">
        <w:rPr>
          <w:rFonts w:asciiTheme="majorBidi" w:eastAsia="Georgia" w:hAnsiTheme="majorBidi" w:cstheme="majorBidi"/>
          <w:color w:val="242424"/>
          <w:spacing w:val="-6"/>
          <w:sz w:val="17"/>
          <w:szCs w:val="17"/>
          <w:lang w:val="en-CA" w:eastAsia="en-GB"/>
        </w:rPr>
        <w:t xml:space="preserve"> </w:t>
      </w:r>
      <w:r w:rsidRPr="005F0A67">
        <w:rPr>
          <w:rFonts w:asciiTheme="majorBidi" w:eastAsia="Georgia" w:hAnsiTheme="majorBidi" w:cstheme="majorBidi"/>
          <w:color w:val="242424"/>
          <w:sz w:val="17"/>
          <w:szCs w:val="17"/>
          <w:lang w:val="en-CA" w:eastAsia="en-GB"/>
        </w:rPr>
        <w:t xml:space="preserve">and/or indirectly. </w:t>
      </w:r>
      <w:r w:rsidRPr="005F0A67">
        <w:rPr>
          <w:rFonts w:asciiTheme="majorBidi" w:eastAsia="Georgia" w:hAnsiTheme="majorBidi" w:cstheme="majorBidi"/>
          <w:b/>
          <w:bCs/>
          <w:color w:val="242424"/>
          <w:sz w:val="17"/>
          <w:szCs w:val="17"/>
          <w:lang w:val="en-CA" w:eastAsia="en-GB"/>
        </w:rPr>
        <w:t>How critical is DSI to your organisation’s operations</w:t>
      </w:r>
      <w:r w:rsidRPr="005F0A67">
        <w:rPr>
          <w:rFonts w:asciiTheme="majorBidi" w:eastAsia="Georgia" w:hAnsiTheme="majorBidi" w:cstheme="majorBidi"/>
          <w:color w:val="242424"/>
          <w:sz w:val="17"/>
          <w:szCs w:val="17"/>
          <w:lang w:val="en-CA" w:eastAsia="en-GB"/>
        </w:rPr>
        <w:t xml:space="preserve">? </w:t>
      </w:r>
      <w:r w:rsidRPr="005F0A67">
        <w:rPr>
          <w:rFonts w:asciiTheme="majorBidi" w:eastAsia="Georgia" w:hAnsiTheme="majorBidi" w:cstheme="majorBidi"/>
          <w:color w:val="AE1515"/>
          <w:sz w:val="17"/>
          <w:szCs w:val="17"/>
          <w:lang w:val="en-CA" w:eastAsia="en-GB"/>
        </w:rPr>
        <w:t>*</w:t>
      </w:r>
    </w:p>
    <w:p w14:paraId="74445DB3" w14:textId="77777777" w:rsidR="005F0A67" w:rsidRPr="005F0A67" w:rsidRDefault="005F0A67" w:rsidP="003A387A">
      <w:pPr>
        <w:widowControl w:val="0"/>
        <w:numPr>
          <w:ilvl w:val="1"/>
          <w:numId w:val="44"/>
        </w:numPr>
        <w:tabs>
          <w:tab w:val="clear" w:pos="567"/>
          <w:tab w:val="clear" w:pos="1134"/>
          <w:tab w:val="clear" w:pos="1701"/>
          <w:tab w:val="clear" w:pos="2268"/>
          <w:tab w:val="left" w:pos="704"/>
        </w:tabs>
        <w:autoSpaceDE w:val="0"/>
        <w:autoSpaceDN w:val="0"/>
        <w:spacing w:before="86"/>
        <w:ind w:left="704"/>
        <w:jc w:val="left"/>
        <w:rPr>
          <w:rFonts w:asciiTheme="majorBidi" w:eastAsia="Georgia" w:hAnsiTheme="majorBidi" w:cstheme="majorBidi"/>
          <w:color w:val="1A1A1A"/>
          <w:sz w:val="14"/>
          <w:szCs w:val="14"/>
          <w:lang w:eastAsia="en-GB"/>
        </w:rPr>
      </w:pPr>
      <w:r w:rsidRPr="005F0A67">
        <w:rPr>
          <w:rFonts w:asciiTheme="majorBidi" w:eastAsia="Georgia" w:hAnsiTheme="majorBidi" w:cstheme="majorBidi"/>
          <w:b/>
          <w:bCs/>
          <w:color w:val="242424"/>
          <w:spacing w:val="-2"/>
          <w:sz w:val="14"/>
          <w:szCs w:val="14"/>
          <w:lang w:eastAsia="en-GB"/>
        </w:rPr>
        <w:t xml:space="preserve">Essential: </w:t>
      </w:r>
      <w:r w:rsidRPr="005F0A67">
        <w:rPr>
          <w:rFonts w:asciiTheme="majorBidi" w:eastAsia="Georgia" w:hAnsiTheme="majorBidi" w:cstheme="majorBidi"/>
          <w:color w:val="242424"/>
          <w:spacing w:val="-2"/>
          <w:sz w:val="14"/>
          <w:szCs w:val="14"/>
          <w:lang w:eastAsia="en-GB"/>
        </w:rPr>
        <w:t>DSI is central to our core activities</w:t>
      </w:r>
      <w:r w:rsidRPr="005F0A67">
        <w:rPr>
          <w:rFonts w:asciiTheme="majorBidi" w:eastAsia="Georgia" w:hAnsiTheme="majorBidi" w:cstheme="majorBidi"/>
          <w:color w:val="242424"/>
          <w:spacing w:val="-1"/>
          <w:sz w:val="14"/>
          <w:szCs w:val="14"/>
          <w:lang w:eastAsia="en-GB"/>
        </w:rPr>
        <w:t xml:space="preserve"> </w:t>
      </w:r>
      <w:r w:rsidRPr="005F0A67">
        <w:rPr>
          <w:rFonts w:asciiTheme="majorBidi" w:eastAsia="Georgia" w:hAnsiTheme="majorBidi" w:cstheme="majorBidi"/>
          <w:color w:val="242424"/>
          <w:spacing w:val="-2"/>
          <w:sz w:val="14"/>
          <w:szCs w:val="14"/>
          <w:lang w:eastAsia="en-GB"/>
        </w:rPr>
        <w:t>and products/services.</w:t>
      </w:r>
    </w:p>
    <w:p w14:paraId="7DCB84A0" w14:textId="77777777" w:rsidR="005F0A67" w:rsidRPr="005F0A67" w:rsidRDefault="005F0A67" w:rsidP="003A387A">
      <w:pPr>
        <w:widowControl w:val="0"/>
        <w:numPr>
          <w:ilvl w:val="1"/>
          <w:numId w:val="44"/>
        </w:numPr>
        <w:tabs>
          <w:tab w:val="clear" w:pos="567"/>
          <w:tab w:val="clear" w:pos="1134"/>
          <w:tab w:val="clear" w:pos="1701"/>
          <w:tab w:val="clear" w:pos="2268"/>
          <w:tab w:val="left" w:pos="704"/>
        </w:tabs>
        <w:autoSpaceDE w:val="0"/>
        <w:autoSpaceDN w:val="0"/>
        <w:spacing w:before="39"/>
        <w:ind w:left="704"/>
        <w:jc w:val="left"/>
        <w:rPr>
          <w:rFonts w:asciiTheme="majorBidi" w:eastAsia="Georgia" w:hAnsiTheme="majorBidi" w:cstheme="majorBidi"/>
          <w:color w:val="1A1A1A"/>
          <w:sz w:val="14"/>
          <w:szCs w:val="14"/>
          <w:lang w:val="en-CA" w:eastAsia="en-GB"/>
        </w:rPr>
      </w:pPr>
      <w:r w:rsidRPr="005F0A67">
        <w:rPr>
          <w:rFonts w:asciiTheme="majorBidi" w:eastAsia="Georgia" w:hAnsiTheme="majorBidi" w:cstheme="majorBidi"/>
          <w:b/>
          <w:bCs/>
          <w:color w:val="242424"/>
          <w:sz w:val="14"/>
          <w:szCs w:val="14"/>
          <w:lang w:val="en-CA" w:eastAsia="en-GB"/>
        </w:rPr>
        <w:t>High</w:t>
      </w:r>
      <w:r w:rsidRPr="005F0A67">
        <w:rPr>
          <w:rFonts w:asciiTheme="majorBidi" w:eastAsia="Georgia" w:hAnsiTheme="majorBidi" w:cstheme="majorBidi"/>
          <w:b/>
          <w:bCs/>
          <w:color w:val="242424"/>
          <w:spacing w:val="-1"/>
          <w:sz w:val="14"/>
          <w:szCs w:val="14"/>
          <w:lang w:val="en-CA" w:eastAsia="en-GB"/>
        </w:rPr>
        <w:t xml:space="preserve"> </w:t>
      </w:r>
      <w:r w:rsidRPr="005F0A67">
        <w:rPr>
          <w:rFonts w:asciiTheme="majorBidi" w:eastAsia="Georgia" w:hAnsiTheme="majorBidi" w:cstheme="majorBidi"/>
          <w:b/>
          <w:bCs/>
          <w:color w:val="242424"/>
          <w:sz w:val="14"/>
          <w:szCs w:val="14"/>
          <w:lang w:val="en-CA" w:eastAsia="en-GB"/>
        </w:rPr>
        <w:t>importance:</w:t>
      </w:r>
      <w:r w:rsidRPr="005F0A67">
        <w:rPr>
          <w:rFonts w:asciiTheme="majorBidi" w:eastAsia="Georgia" w:hAnsiTheme="majorBidi" w:cstheme="majorBidi"/>
          <w:b/>
          <w:bCs/>
          <w:color w:val="242424"/>
          <w:spacing w:val="-1"/>
          <w:sz w:val="14"/>
          <w:szCs w:val="14"/>
          <w:lang w:val="en-CA" w:eastAsia="en-GB"/>
        </w:rPr>
        <w:t xml:space="preserve"> </w:t>
      </w:r>
      <w:r w:rsidRPr="005F0A67">
        <w:rPr>
          <w:rFonts w:asciiTheme="majorBidi" w:eastAsia="Georgia" w:hAnsiTheme="majorBidi" w:cstheme="majorBidi"/>
          <w:color w:val="242424"/>
          <w:sz w:val="14"/>
          <w:szCs w:val="14"/>
          <w:lang w:val="en-CA" w:eastAsia="en-GB"/>
        </w:rPr>
        <w:t>DSI</w:t>
      </w:r>
      <w:r w:rsidRPr="005F0A67">
        <w:rPr>
          <w:rFonts w:asciiTheme="majorBidi" w:eastAsia="Georgia" w:hAnsiTheme="majorBidi" w:cstheme="majorBidi"/>
          <w:color w:val="242424"/>
          <w:spacing w:val="-1"/>
          <w:sz w:val="14"/>
          <w:szCs w:val="14"/>
          <w:lang w:val="en-CA" w:eastAsia="en-GB"/>
        </w:rPr>
        <w:t xml:space="preserve"> </w:t>
      </w:r>
      <w:r w:rsidRPr="005F0A67">
        <w:rPr>
          <w:rFonts w:asciiTheme="majorBidi" w:eastAsia="Georgia" w:hAnsiTheme="majorBidi" w:cstheme="majorBidi"/>
          <w:color w:val="242424"/>
          <w:sz w:val="14"/>
          <w:szCs w:val="14"/>
          <w:lang w:val="en-CA" w:eastAsia="en-GB"/>
        </w:rPr>
        <w:t>is</w:t>
      </w:r>
      <w:r w:rsidRPr="005F0A67">
        <w:rPr>
          <w:rFonts w:asciiTheme="majorBidi" w:eastAsia="Georgia" w:hAnsiTheme="majorBidi" w:cstheme="majorBidi"/>
          <w:color w:val="242424"/>
          <w:spacing w:val="-1"/>
          <w:sz w:val="14"/>
          <w:szCs w:val="14"/>
          <w:lang w:val="en-CA" w:eastAsia="en-GB"/>
        </w:rPr>
        <w:t xml:space="preserve"> </w:t>
      </w:r>
      <w:r w:rsidRPr="005F0A67">
        <w:rPr>
          <w:rFonts w:asciiTheme="majorBidi" w:eastAsia="Georgia" w:hAnsiTheme="majorBidi" w:cstheme="majorBidi"/>
          <w:color w:val="242424"/>
          <w:sz w:val="14"/>
          <w:szCs w:val="14"/>
          <w:lang w:val="en-CA" w:eastAsia="en-GB"/>
        </w:rPr>
        <w:t>frequently</w:t>
      </w:r>
      <w:r w:rsidRPr="005F0A67">
        <w:rPr>
          <w:rFonts w:asciiTheme="majorBidi" w:eastAsia="Georgia" w:hAnsiTheme="majorBidi" w:cstheme="majorBidi"/>
          <w:color w:val="242424"/>
          <w:spacing w:val="-1"/>
          <w:sz w:val="14"/>
          <w:szCs w:val="14"/>
          <w:lang w:val="en-CA" w:eastAsia="en-GB"/>
        </w:rPr>
        <w:t xml:space="preserve"> </w:t>
      </w:r>
      <w:r w:rsidRPr="005F0A67">
        <w:rPr>
          <w:rFonts w:asciiTheme="majorBidi" w:eastAsia="Georgia" w:hAnsiTheme="majorBidi" w:cstheme="majorBidi"/>
          <w:color w:val="242424"/>
          <w:sz w:val="14"/>
          <w:szCs w:val="14"/>
          <w:lang w:val="en-CA" w:eastAsia="en-GB"/>
        </w:rPr>
        <w:t>used</w:t>
      </w:r>
      <w:r w:rsidRPr="005F0A67">
        <w:rPr>
          <w:rFonts w:asciiTheme="majorBidi" w:eastAsia="Georgia" w:hAnsiTheme="majorBidi" w:cstheme="majorBidi"/>
          <w:color w:val="242424"/>
          <w:spacing w:val="-1"/>
          <w:sz w:val="14"/>
          <w:szCs w:val="14"/>
          <w:lang w:val="en-CA" w:eastAsia="en-GB"/>
        </w:rPr>
        <w:t xml:space="preserve"> </w:t>
      </w:r>
      <w:r w:rsidRPr="005F0A67">
        <w:rPr>
          <w:rFonts w:asciiTheme="majorBidi" w:eastAsia="Georgia" w:hAnsiTheme="majorBidi" w:cstheme="majorBidi"/>
          <w:color w:val="242424"/>
          <w:sz w:val="14"/>
          <w:szCs w:val="14"/>
          <w:lang w:val="en-CA" w:eastAsia="en-GB"/>
        </w:rPr>
        <w:t>and</w:t>
      </w:r>
      <w:r w:rsidRPr="005F0A67">
        <w:rPr>
          <w:rFonts w:asciiTheme="majorBidi" w:eastAsia="Georgia" w:hAnsiTheme="majorBidi" w:cstheme="majorBidi"/>
          <w:color w:val="242424"/>
          <w:spacing w:val="-1"/>
          <w:sz w:val="14"/>
          <w:szCs w:val="14"/>
          <w:lang w:val="en-CA" w:eastAsia="en-GB"/>
        </w:rPr>
        <w:t xml:space="preserve"> </w:t>
      </w:r>
      <w:r w:rsidRPr="005F0A67">
        <w:rPr>
          <w:rFonts w:asciiTheme="majorBidi" w:eastAsia="Georgia" w:hAnsiTheme="majorBidi" w:cstheme="majorBidi"/>
          <w:color w:val="242424"/>
          <w:sz w:val="14"/>
          <w:szCs w:val="14"/>
          <w:lang w:val="en-CA" w:eastAsia="en-GB"/>
        </w:rPr>
        <w:t>important,</w:t>
      </w:r>
      <w:r w:rsidRPr="005F0A67">
        <w:rPr>
          <w:rFonts w:asciiTheme="majorBidi" w:eastAsia="Georgia" w:hAnsiTheme="majorBidi" w:cstheme="majorBidi"/>
          <w:color w:val="242424"/>
          <w:spacing w:val="-1"/>
          <w:sz w:val="14"/>
          <w:szCs w:val="14"/>
          <w:lang w:val="en-CA" w:eastAsia="en-GB"/>
        </w:rPr>
        <w:t xml:space="preserve"> </w:t>
      </w:r>
      <w:r w:rsidRPr="005F0A67">
        <w:rPr>
          <w:rFonts w:asciiTheme="majorBidi" w:eastAsia="Georgia" w:hAnsiTheme="majorBidi" w:cstheme="majorBidi"/>
          <w:color w:val="242424"/>
          <w:sz w:val="14"/>
          <w:szCs w:val="14"/>
          <w:lang w:val="en-CA" w:eastAsia="en-GB"/>
        </w:rPr>
        <w:t>but</w:t>
      </w:r>
      <w:r w:rsidRPr="005F0A67">
        <w:rPr>
          <w:rFonts w:asciiTheme="majorBidi" w:eastAsia="Georgia" w:hAnsiTheme="majorBidi" w:cstheme="majorBidi"/>
          <w:color w:val="242424"/>
          <w:spacing w:val="-1"/>
          <w:sz w:val="14"/>
          <w:szCs w:val="14"/>
          <w:lang w:val="en-CA" w:eastAsia="en-GB"/>
        </w:rPr>
        <w:t xml:space="preserve"> </w:t>
      </w:r>
      <w:r w:rsidRPr="005F0A67">
        <w:rPr>
          <w:rFonts w:asciiTheme="majorBidi" w:eastAsia="Georgia" w:hAnsiTheme="majorBidi" w:cstheme="majorBidi"/>
          <w:color w:val="242424"/>
          <w:sz w:val="14"/>
          <w:szCs w:val="14"/>
          <w:lang w:val="en-CA" w:eastAsia="en-GB"/>
        </w:rPr>
        <w:t>not</w:t>
      </w:r>
      <w:r w:rsidRPr="005F0A67">
        <w:rPr>
          <w:rFonts w:asciiTheme="majorBidi" w:eastAsia="Georgia" w:hAnsiTheme="majorBidi" w:cstheme="majorBidi"/>
          <w:color w:val="242424"/>
          <w:spacing w:val="-1"/>
          <w:sz w:val="14"/>
          <w:szCs w:val="14"/>
          <w:lang w:val="en-CA" w:eastAsia="en-GB"/>
        </w:rPr>
        <w:t xml:space="preserve"> </w:t>
      </w:r>
      <w:r w:rsidRPr="005F0A67">
        <w:rPr>
          <w:rFonts w:asciiTheme="majorBidi" w:eastAsia="Georgia" w:hAnsiTheme="majorBidi" w:cstheme="majorBidi"/>
          <w:color w:val="242424"/>
          <w:sz w:val="14"/>
          <w:szCs w:val="14"/>
          <w:lang w:val="en-CA" w:eastAsia="en-GB"/>
        </w:rPr>
        <w:t>central</w:t>
      </w:r>
      <w:r w:rsidRPr="005F0A67">
        <w:rPr>
          <w:rFonts w:asciiTheme="majorBidi" w:eastAsia="Georgia" w:hAnsiTheme="majorBidi" w:cstheme="majorBidi"/>
          <w:color w:val="242424"/>
          <w:spacing w:val="-1"/>
          <w:sz w:val="14"/>
          <w:szCs w:val="14"/>
          <w:lang w:val="en-CA" w:eastAsia="en-GB"/>
        </w:rPr>
        <w:t xml:space="preserve"> </w:t>
      </w:r>
      <w:r w:rsidRPr="005F0A67">
        <w:rPr>
          <w:rFonts w:asciiTheme="majorBidi" w:eastAsia="Georgia" w:hAnsiTheme="majorBidi" w:cstheme="majorBidi"/>
          <w:color w:val="242424"/>
          <w:sz w:val="14"/>
          <w:szCs w:val="14"/>
          <w:lang w:val="en-CA" w:eastAsia="en-GB"/>
        </w:rPr>
        <w:t>to</w:t>
      </w:r>
      <w:r w:rsidRPr="005F0A67">
        <w:rPr>
          <w:rFonts w:asciiTheme="majorBidi" w:eastAsia="Georgia" w:hAnsiTheme="majorBidi" w:cstheme="majorBidi"/>
          <w:color w:val="242424"/>
          <w:spacing w:val="-1"/>
          <w:sz w:val="14"/>
          <w:szCs w:val="14"/>
          <w:lang w:val="en-CA" w:eastAsia="en-GB"/>
        </w:rPr>
        <w:t xml:space="preserve"> </w:t>
      </w:r>
      <w:r w:rsidRPr="005F0A67">
        <w:rPr>
          <w:rFonts w:asciiTheme="majorBidi" w:eastAsia="Georgia" w:hAnsiTheme="majorBidi" w:cstheme="majorBidi"/>
          <w:color w:val="242424"/>
          <w:sz w:val="14"/>
          <w:szCs w:val="14"/>
          <w:lang w:val="en-CA" w:eastAsia="en-GB"/>
        </w:rPr>
        <w:t>all core</w:t>
      </w:r>
      <w:r w:rsidRPr="005F0A67">
        <w:rPr>
          <w:rFonts w:asciiTheme="majorBidi" w:eastAsia="Georgia" w:hAnsiTheme="majorBidi" w:cstheme="majorBidi"/>
          <w:color w:val="242424"/>
          <w:spacing w:val="-1"/>
          <w:sz w:val="14"/>
          <w:szCs w:val="14"/>
          <w:lang w:val="en-CA" w:eastAsia="en-GB"/>
        </w:rPr>
        <w:t xml:space="preserve"> </w:t>
      </w:r>
      <w:r w:rsidRPr="005F0A67">
        <w:rPr>
          <w:rFonts w:asciiTheme="majorBidi" w:eastAsia="Georgia" w:hAnsiTheme="majorBidi" w:cstheme="majorBidi"/>
          <w:color w:val="242424"/>
          <w:spacing w:val="-2"/>
          <w:sz w:val="14"/>
          <w:szCs w:val="14"/>
          <w:lang w:val="en-CA" w:eastAsia="en-GB"/>
        </w:rPr>
        <w:t>activities.</w:t>
      </w:r>
    </w:p>
    <w:p w14:paraId="03ABDDD9" w14:textId="77777777" w:rsidR="005F0A67" w:rsidRPr="005F0A67" w:rsidRDefault="005F0A67" w:rsidP="003A387A">
      <w:pPr>
        <w:widowControl w:val="0"/>
        <w:numPr>
          <w:ilvl w:val="1"/>
          <w:numId w:val="44"/>
        </w:numPr>
        <w:tabs>
          <w:tab w:val="clear" w:pos="567"/>
          <w:tab w:val="clear" w:pos="1134"/>
          <w:tab w:val="clear" w:pos="1701"/>
          <w:tab w:val="clear" w:pos="2268"/>
          <w:tab w:val="left" w:pos="705"/>
        </w:tabs>
        <w:autoSpaceDE w:val="0"/>
        <w:autoSpaceDN w:val="0"/>
        <w:spacing w:before="39" w:line="297" w:lineRule="auto"/>
        <w:ind w:right="1085"/>
        <w:jc w:val="left"/>
        <w:rPr>
          <w:rFonts w:asciiTheme="majorBidi" w:eastAsia="Georgia" w:hAnsiTheme="majorBidi" w:cstheme="majorBidi"/>
          <w:color w:val="1A1A1A"/>
          <w:sz w:val="14"/>
          <w:szCs w:val="14"/>
          <w:lang w:val="en-CA" w:eastAsia="en-GB"/>
        </w:rPr>
      </w:pPr>
      <w:r w:rsidRPr="005F0A67">
        <w:rPr>
          <w:rFonts w:asciiTheme="majorBidi" w:eastAsia="Georgia" w:hAnsiTheme="majorBidi" w:cstheme="majorBidi"/>
          <w:b/>
          <w:bCs/>
          <w:color w:val="242424"/>
          <w:sz w:val="14"/>
          <w:szCs w:val="14"/>
          <w:lang w:val="en-CA" w:eastAsia="en-GB"/>
        </w:rPr>
        <w:t>Moderate</w:t>
      </w:r>
      <w:r w:rsidRPr="005F0A67">
        <w:rPr>
          <w:rFonts w:asciiTheme="majorBidi" w:eastAsia="Georgia" w:hAnsiTheme="majorBidi" w:cstheme="majorBidi"/>
          <w:b/>
          <w:bCs/>
          <w:color w:val="242424"/>
          <w:spacing w:val="-6"/>
          <w:sz w:val="14"/>
          <w:szCs w:val="14"/>
          <w:lang w:val="en-CA" w:eastAsia="en-GB"/>
        </w:rPr>
        <w:t xml:space="preserve"> </w:t>
      </w:r>
      <w:r w:rsidRPr="005F0A67">
        <w:rPr>
          <w:rFonts w:asciiTheme="majorBidi" w:eastAsia="Georgia" w:hAnsiTheme="majorBidi" w:cstheme="majorBidi"/>
          <w:b/>
          <w:bCs/>
          <w:color w:val="242424"/>
          <w:sz w:val="14"/>
          <w:szCs w:val="14"/>
          <w:lang w:val="en-CA" w:eastAsia="en-GB"/>
        </w:rPr>
        <w:t>importance:</w:t>
      </w:r>
      <w:r w:rsidRPr="005F0A67">
        <w:rPr>
          <w:rFonts w:asciiTheme="majorBidi" w:eastAsia="Georgia" w:hAnsiTheme="majorBidi" w:cstheme="majorBidi"/>
          <w:b/>
          <w:bCs/>
          <w:color w:val="242424"/>
          <w:spacing w:val="-6"/>
          <w:sz w:val="14"/>
          <w:szCs w:val="14"/>
          <w:lang w:val="en-CA" w:eastAsia="en-GB"/>
        </w:rPr>
        <w:t xml:space="preserve"> </w:t>
      </w:r>
      <w:r w:rsidRPr="005F0A67">
        <w:rPr>
          <w:rFonts w:asciiTheme="majorBidi" w:eastAsia="Georgia" w:hAnsiTheme="majorBidi" w:cstheme="majorBidi"/>
          <w:color w:val="242424"/>
          <w:sz w:val="14"/>
          <w:szCs w:val="14"/>
          <w:lang w:val="en-CA" w:eastAsia="en-GB"/>
        </w:rPr>
        <w:t>DSI</w:t>
      </w:r>
      <w:r w:rsidRPr="005F0A67">
        <w:rPr>
          <w:rFonts w:asciiTheme="majorBidi" w:eastAsia="Georgia" w:hAnsiTheme="majorBidi" w:cstheme="majorBidi"/>
          <w:color w:val="242424"/>
          <w:spacing w:val="-6"/>
          <w:sz w:val="14"/>
          <w:szCs w:val="14"/>
          <w:lang w:val="en-CA" w:eastAsia="en-GB"/>
        </w:rPr>
        <w:t xml:space="preserve"> </w:t>
      </w:r>
      <w:r w:rsidRPr="005F0A67">
        <w:rPr>
          <w:rFonts w:asciiTheme="majorBidi" w:eastAsia="Georgia" w:hAnsiTheme="majorBidi" w:cstheme="majorBidi"/>
          <w:color w:val="242424"/>
          <w:sz w:val="14"/>
          <w:szCs w:val="14"/>
          <w:lang w:val="en-CA" w:eastAsia="en-GB"/>
        </w:rPr>
        <w:t>is</w:t>
      </w:r>
      <w:r w:rsidRPr="005F0A67">
        <w:rPr>
          <w:rFonts w:asciiTheme="majorBidi" w:eastAsia="Georgia" w:hAnsiTheme="majorBidi" w:cstheme="majorBidi"/>
          <w:color w:val="242424"/>
          <w:spacing w:val="-6"/>
          <w:sz w:val="14"/>
          <w:szCs w:val="14"/>
          <w:lang w:val="en-CA" w:eastAsia="en-GB"/>
        </w:rPr>
        <w:t xml:space="preserve"> </w:t>
      </w:r>
      <w:r w:rsidRPr="005F0A67">
        <w:rPr>
          <w:rFonts w:asciiTheme="majorBidi" w:eastAsia="Georgia" w:hAnsiTheme="majorBidi" w:cstheme="majorBidi"/>
          <w:color w:val="242424"/>
          <w:sz w:val="14"/>
          <w:szCs w:val="14"/>
          <w:lang w:val="en-CA" w:eastAsia="en-GB"/>
        </w:rPr>
        <w:t>used</w:t>
      </w:r>
      <w:r w:rsidRPr="005F0A67">
        <w:rPr>
          <w:rFonts w:asciiTheme="majorBidi" w:eastAsia="Georgia" w:hAnsiTheme="majorBidi" w:cstheme="majorBidi"/>
          <w:color w:val="242424"/>
          <w:spacing w:val="-6"/>
          <w:sz w:val="14"/>
          <w:szCs w:val="14"/>
          <w:lang w:val="en-CA" w:eastAsia="en-GB"/>
        </w:rPr>
        <w:t xml:space="preserve"> </w:t>
      </w:r>
      <w:r w:rsidRPr="005F0A67">
        <w:rPr>
          <w:rFonts w:asciiTheme="majorBidi" w:eastAsia="Georgia" w:hAnsiTheme="majorBidi" w:cstheme="majorBidi"/>
          <w:color w:val="242424"/>
          <w:sz w:val="14"/>
          <w:szCs w:val="14"/>
          <w:lang w:val="en-CA" w:eastAsia="en-GB"/>
        </w:rPr>
        <w:t>regularly</w:t>
      </w:r>
      <w:r w:rsidRPr="005F0A67">
        <w:rPr>
          <w:rFonts w:asciiTheme="majorBidi" w:eastAsia="Georgia" w:hAnsiTheme="majorBidi" w:cstheme="majorBidi"/>
          <w:color w:val="242424"/>
          <w:spacing w:val="-6"/>
          <w:sz w:val="14"/>
          <w:szCs w:val="14"/>
          <w:lang w:val="en-CA" w:eastAsia="en-GB"/>
        </w:rPr>
        <w:t xml:space="preserve"> </w:t>
      </w:r>
      <w:r w:rsidRPr="005F0A67">
        <w:rPr>
          <w:rFonts w:asciiTheme="majorBidi" w:eastAsia="Georgia" w:hAnsiTheme="majorBidi" w:cstheme="majorBidi"/>
          <w:color w:val="242424"/>
          <w:sz w:val="14"/>
          <w:szCs w:val="14"/>
          <w:lang w:val="en-CA" w:eastAsia="en-GB"/>
        </w:rPr>
        <w:t>in</w:t>
      </w:r>
      <w:r w:rsidRPr="005F0A67">
        <w:rPr>
          <w:rFonts w:asciiTheme="majorBidi" w:eastAsia="Georgia" w:hAnsiTheme="majorBidi" w:cstheme="majorBidi"/>
          <w:color w:val="242424"/>
          <w:spacing w:val="-6"/>
          <w:sz w:val="14"/>
          <w:szCs w:val="14"/>
          <w:lang w:val="en-CA" w:eastAsia="en-GB"/>
        </w:rPr>
        <w:t xml:space="preserve"> </w:t>
      </w:r>
      <w:r w:rsidRPr="005F0A67">
        <w:rPr>
          <w:rFonts w:asciiTheme="majorBidi" w:eastAsia="Georgia" w:hAnsiTheme="majorBidi" w:cstheme="majorBidi"/>
          <w:color w:val="242424"/>
          <w:sz w:val="14"/>
          <w:szCs w:val="14"/>
          <w:lang w:val="en-CA" w:eastAsia="en-GB"/>
        </w:rPr>
        <w:t>specific</w:t>
      </w:r>
      <w:r w:rsidRPr="005F0A67">
        <w:rPr>
          <w:rFonts w:asciiTheme="majorBidi" w:eastAsia="Georgia" w:hAnsiTheme="majorBidi" w:cstheme="majorBidi"/>
          <w:color w:val="242424"/>
          <w:spacing w:val="-6"/>
          <w:sz w:val="14"/>
          <w:szCs w:val="14"/>
          <w:lang w:val="en-CA" w:eastAsia="en-GB"/>
        </w:rPr>
        <w:t xml:space="preserve"> </w:t>
      </w:r>
      <w:r w:rsidRPr="005F0A67">
        <w:rPr>
          <w:rFonts w:asciiTheme="majorBidi" w:eastAsia="Georgia" w:hAnsiTheme="majorBidi" w:cstheme="majorBidi"/>
          <w:color w:val="242424"/>
          <w:sz w:val="14"/>
          <w:szCs w:val="14"/>
          <w:lang w:val="en-CA" w:eastAsia="en-GB"/>
        </w:rPr>
        <w:t>activities</w:t>
      </w:r>
      <w:r w:rsidRPr="005F0A67">
        <w:rPr>
          <w:rFonts w:asciiTheme="majorBidi" w:eastAsia="Georgia" w:hAnsiTheme="majorBidi" w:cstheme="majorBidi"/>
          <w:color w:val="242424"/>
          <w:spacing w:val="-6"/>
          <w:sz w:val="14"/>
          <w:szCs w:val="14"/>
          <w:lang w:val="en-CA" w:eastAsia="en-GB"/>
        </w:rPr>
        <w:t xml:space="preserve"> </w:t>
      </w:r>
      <w:r w:rsidRPr="005F0A67">
        <w:rPr>
          <w:rFonts w:asciiTheme="majorBidi" w:eastAsia="Georgia" w:hAnsiTheme="majorBidi" w:cstheme="majorBidi"/>
          <w:color w:val="242424"/>
          <w:sz w:val="14"/>
          <w:szCs w:val="14"/>
          <w:lang w:val="en-CA" w:eastAsia="en-GB"/>
        </w:rPr>
        <w:t>(e.g.</w:t>
      </w:r>
      <w:r w:rsidRPr="005F0A67">
        <w:rPr>
          <w:rFonts w:asciiTheme="majorBidi" w:eastAsia="Georgia" w:hAnsiTheme="majorBidi" w:cstheme="majorBidi"/>
          <w:color w:val="242424"/>
          <w:spacing w:val="-6"/>
          <w:sz w:val="14"/>
          <w:szCs w:val="14"/>
          <w:lang w:val="en-CA" w:eastAsia="en-GB"/>
        </w:rPr>
        <w:t xml:space="preserve"> </w:t>
      </w:r>
      <w:r w:rsidRPr="005F0A67">
        <w:rPr>
          <w:rFonts w:asciiTheme="majorBidi" w:eastAsia="Georgia" w:hAnsiTheme="majorBidi" w:cstheme="majorBidi"/>
          <w:color w:val="242424"/>
          <w:sz w:val="14"/>
          <w:szCs w:val="14"/>
          <w:lang w:val="en-CA" w:eastAsia="en-GB"/>
        </w:rPr>
        <w:t>R&amp;D,</w:t>
      </w:r>
      <w:r w:rsidRPr="005F0A67">
        <w:rPr>
          <w:rFonts w:asciiTheme="majorBidi" w:eastAsia="Georgia" w:hAnsiTheme="majorBidi" w:cstheme="majorBidi"/>
          <w:color w:val="242424"/>
          <w:spacing w:val="-6"/>
          <w:sz w:val="14"/>
          <w:szCs w:val="14"/>
          <w:lang w:val="en-CA" w:eastAsia="en-GB"/>
        </w:rPr>
        <w:t xml:space="preserve"> </w:t>
      </w:r>
      <w:r w:rsidRPr="005F0A67">
        <w:rPr>
          <w:rFonts w:asciiTheme="majorBidi" w:eastAsia="Georgia" w:hAnsiTheme="majorBidi" w:cstheme="majorBidi"/>
          <w:color w:val="242424"/>
          <w:sz w:val="14"/>
          <w:szCs w:val="14"/>
          <w:lang w:val="en-CA" w:eastAsia="en-GB"/>
        </w:rPr>
        <w:t>product</w:t>
      </w:r>
      <w:r w:rsidRPr="005F0A67">
        <w:rPr>
          <w:rFonts w:asciiTheme="majorBidi" w:eastAsia="Georgia" w:hAnsiTheme="majorBidi" w:cstheme="majorBidi"/>
          <w:color w:val="242424"/>
          <w:spacing w:val="-6"/>
          <w:sz w:val="14"/>
          <w:szCs w:val="14"/>
          <w:lang w:val="en-CA" w:eastAsia="en-GB"/>
        </w:rPr>
        <w:t xml:space="preserve"> </w:t>
      </w:r>
      <w:r w:rsidRPr="005F0A67">
        <w:rPr>
          <w:rFonts w:asciiTheme="majorBidi" w:eastAsia="Georgia" w:hAnsiTheme="majorBidi" w:cstheme="majorBidi"/>
          <w:color w:val="242424"/>
          <w:sz w:val="14"/>
          <w:szCs w:val="14"/>
          <w:lang w:val="en-CA" w:eastAsia="en-GB"/>
        </w:rPr>
        <w:t>development) but</w:t>
      </w:r>
      <w:r w:rsidRPr="005F0A67">
        <w:rPr>
          <w:rFonts w:asciiTheme="majorBidi" w:eastAsia="Georgia" w:hAnsiTheme="majorBidi" w:cstheme="majorBidi"/>
          <w:color w:val="242424"/>
          <w:spacing w:val="-6"/>
          <w:sz w:val="14"/>
          <w:szCs w:val="14"/>
          <w:lang w:val="en-CA" w:eastAsia="en-GB"/>
        </w:rPr>
        <w:t xml:space="preserve"> </w:t>
      </w:r>
      <w:r w:rsidRPr="005F0A67">
        <w:rPr>
          <w:rFonts w:asciiTheme="majorBidi" w:eastAsia="Georgia" w:hAnsiTheme="majorBidi" w:cstheme="majorBidi"/>
          <w:color w:val="242424"/>
          <w:sz w:val="14"/>
          <w:szCs w:val="14"/>
          <w:lang w:val="en-CA" w:eastAsia="en-GB"/>
        </w:rPr>
        <w:t>is</w:t>
      </w:r>
      <w:r w:rsidRPr="005F0A67">
        <w:rPr>
          <w:rFonts w:asciiTheme="majorBidi" w:eastAsia="Georgia" w:hAnsiTheme="majorBidi" w:cstheme="majorBidi"/>
          <w:color w:val="242424"/>
          <w:spacing w:val="-6"/>
          <w:sz w:val="14"/>
          <w:szCs w:val="14"/>
          <w:lang w:val="en-CA" w:eastAsia="en-GB"/>
        </w:rPr>
        <w:t xml:space="preserve"> </w:t>
      </w:r>
      <w:r w:rsidRPr="005F0A67">
        <w:rPr>
          <w:rFonts w:asciiTheme="majorBidi" w:eastAsia="Georgia" w:hAnsiTheme="majorBidi" w:cstheme="majorBidi"/>
          <w:color w:val="242424"/>
          <w:sz w:val="14"/>
          <w:szCs w:val="14"/>
          <w:lang w:val="en-CA" w:eastAsia="en-GB"/>
        </w:rPr>
        <w:t>not</w:t>
      </w:r>
      <w:r w:rsidRPr="005F0A67">
        <w:rPr>
          <w:rFonts w:asciiTheme="majorBidi" w:eastAsia="Georgia" w:hAnsiTheme="majorBidi" w:cstheme="majorBidi"/>
          <w:color w:val="242424"/>
          <w:spacing w:val="40"/>
          <w:sz w:val="14"/>
          <w:szCs w:val="14"/>
          <w:lang w:val="en-CA" w:eastAsia="en-GB"/>
        </w:rPr>
        <w:t xml:space="preserve"> </w:t>
      </w:r>
      <w:r w:rsidRPr="005F0A67">
        <w:rPr>
          <w:rFonts w:asciiTheme="majorBidi" w:eastAsia="Georgia" w:hAnsiTheme="majorBidi" w:cstheme="majorBidi"/>
          <w:color w:val="242424"/>
          <w:sz w:val="14"/>
          <w:szCs w:val="14"/>
          <w:lang w:val="en-CA" w:eastAsia="en-GB"/>
        </w:rPr>
        <w:t>core to most operations.</w:t>
      </w:r>
    </w:p>
    <w:p w14:paraId="736A7AB6" w14:textId="77777777" w:rsidR="005F0A67" w:rsidRPr="005F0A67" w:rsidRDefault="005F0A67" w:rsidP="003A387A">
      <w:pPr>
        <w:widowControl w:val="0"/>
        <w:numPr>
          <w:ilvl w:val="1"/>
          <w:numId w:val="44"/>
        </w:numPr>
        <w:tabs>
          <w:tab w:val="clear" w:pos="567"/>
          <w:tab w:val="clear" w:pos="1134"/>
          <w:tab w:val="clear" w:pos="1701"/>
          <w:tab w:val="clear" w:pos="2268"/>
          <w:tab w:val="left" w:pos="704"/>
        </w:tabs>
        <w:autoSpaceDE w:val="0"/>
        <w:autoSpaceDN w:val="0"/>
        <w:spacing w:before="1"/>
        <w:ind w:left="704"/>
        <w:jc w:val="left"/>
        <w:rPr>
          <w:rFonts w:asciiTheme="majorBidi" w:eastAsia="Georgia" w:hAnsiTheme="majorBidi" w:cstheme="majorBidi"/>
          <w:color w:val="1A1A1A"/>
          <w:sz w:val="14"/>
          <w:szCs w:val="14"/>
          <w:lang w:eastAsia="en-GB"/>
        </w:rPr>
      </w:pPr>
      <w:r w:rsidRPr="005F0A67">
        <w:rPr>
          <w:rFonts w:asciiTheme="majorBidi" w:eastAsia="Georgia" w:hAnsiTheme="majorBidi" w:cstheme="majorBidi"/>
          <w:b/>
          <w:bCs/>
          <w:color w:val="242424"/>
          <w:spacing w:val="-2"/>
          <w:sz w:val="14"/>
          <w:szCs w:val="14"/>
          <w:lang w:eastAsia="en-GB"/>
        </w:rPr>
        <w:t>Limited importance:</w:t>
      </w:r>
      <w:r w:rsidRPr="005F0A67">
        <w:rPr>
          <w:rFonts w:asciiTheme="majorBidi" w:eastAsia="Georgia" w:hAnsiTheme="majorBidi" w:cstheme="majorBidi"/>
          <w:b/>
          <w:bCs/>
          <w:color w:val="242424"/>
          <w:spacing w:val="-1"/>
          <w:sz w:val="14"/>
          <w:szCs w:val="14"/>
          <w:lang w:eastAsia="en-GB"/>
        </w:rPr>
        <w:t xml:space="preserve"> </w:t>
      </w:r>
      <w:r w:rsidRPr="005F0A67">
        <w:rPr>
          <w:rFonts w:asciiTheme="majorBidi" w:eastAsia="Georgia" w:hAnsiTheme="majorBidi" w:cstheme="majorBidi"/>
          <w:color w:val="242424"/>
          <w:spacing w:val="-2"/>
          <w:sz w:val="14"/>
          <w:szCs w:val="14"/>
          <w:lang w:eastAsia="en-GB"/>
        </w:rPr>
        <w:t>DSI</w:t>
      </w:r>
      <w:r w:rsidRPr="005F0A67">
        <w:rPr>
          <w:rFonts w:asciiTheme="majorBidi" w:eastAsia="Georgia" w:hAnsiTheme="majorBidi" w:cstheme="majorBidi"/>
          <w:color w:val="242424"/>
          <w:spacing w:val="-1"/>
          <w:sz w:val="14"/>
          <w:szCs w:val="14"/>
          <w:lang w:eastAsia="en-GB"/>
        </w:rPr>
        <w:t xml:space="preserve"> </w:t>
      </w:r>
      <w:r w:rsidRPr="005F0A67">
        <w:rPr>
          <w:rFonts w:asciiTheme="majorBidi" w:eastAsia="Georgia" w:hAnsiTheme="majorBidi" w:cstheme="majorBidi"/>
          <w:color w:val="242424"/>
          <w:spacing w:val="-2"/>
          <w:sz w:val="14"/>
          <w:szCs w:val="14"/>
          <w:lang w:eastAsia="en-GB"/>
        </w:rPr>
        <w:t>is</w:t>
      </w:r>
      <w:r w:rsidRPr="005F0A67">
        <w:rPr>
          <w:rFonts w:asciiTheme="majorBidi" w:eastAsia="Georgia" w:hAnsiTheme="majorBidi" w:cstheme="majorBidi"/>
          <w:color w:val="242424"/>
          <w:spacing w:val="-1"/>
          <w:sz w:val="14"/>
          <w:szCs w:val="14"/>
          <w:lang w:eastAsia="en-GB"/>
        </w:rPr>
        <w:t xml:space="preserve"> </w:t>
      </w:r>
      <w:r w:rsidRPr="005F0A67">
        <w:rPr>
          <w:rFonts w:asciiTheme="majorBidi" w:eastAsia="Georgia" w:hAnsiTheme="majorBidi" w:cstheme="majorBidi"/>
          <w:color w:val="242424"/>
          <w:spacing w:val="-2"/>
          <w:sz w:val="14"/>
          <w:szCs w:val="14"/>
          <w:lang w:eastAsia="en-GB"/>
        </w:rPr>
        <w:t>used</w:t>
      </w:r>
      <w:r w:rsidRPr="005F0A67">
        <w:rPr>
          <w:rFonts w:asciiTheme="majorBidi" w:eastAsia="Georgia" w:hAnsiTheme="majorBidi" w:cstheme="majorBidi"/>
          <w:color w:val="242424"/>
          <w:spacing w:val="-1"/>
          <w:sz w:val="14"/>
          <w:szCs w:val="14"/>
          <w:lang w:eastAsia="en-GB"/>
        </w:rPr>
        <w:t xml:space="preserve"> </w:t>
      </w:r>
      <w:r w:rsidRPr="005F0A67">
        <w:rPr>
          <w:rFonts w:asciiTheme="majorBidi" w:eastAsia="Georgia" w:hAnsiTheme="majorBidi" w:cstheme="majorBidi"/>
          <w:color w:val="242424"/>
          <w:spacing w:val="-2"/>
          <w:sz w:val="14"/>
          <w:szCs w:val="14"/>
          <w:lang w:eastAsia="en-GB"/>
        </w:rPr>
        <w:t>occasionally</w:t>
      </w:r>
      <w:r w:rsidRPr="005F0A67">
        <w:rPr>
          <w:rFonts w:asciiTheme="majorBidi" w:eastAsia="Georgia" w:hAnsiTheme="majorBidi" w:cstheme="majorBidi"/>
          <w:color w:val="242424"/>
          <w:spacing w:val="-1"/>
          <w:sz w:val="14"/>
          <w:szCs w:val="14"/>
          <w:lang w:eastAsia="en-GB"/>
        </w:rPr>
        <w:t xml:space="preserve"> </w:t>
      </w:r>
      <w:r w:rsidRPr="005F0A67">
        <w:rPr>
          <w:rFonts w:asciiTheme="majorBidi" w:eastAsia="Georgia" w:hAnsiTheme="majorBidi" w:cstheme="majorBidi"/>
          <w:color w:val="242424"/>
          <w:spacing w:val="-2"/>
          <w:sz w:val="14"/>
          <w:szCs w:val="14"/>
          <w:lang w:eastAsia="en-GB"/>
        </w:rPr>
        <w:t>or</w:t>
      </w:r>
      <w:r w:rsidRPr="005F0A67">
        <w:rPr>
          <w:rFonts w:asciiTheme="majorBidi" w:eastAsia="Georgia" w:hAnsiTheme="majorBidi" w:cstheme="majorBidi"/>
          <w:color w:val="242424"/>
          <w:spacing w:val="-1"/>
          <w:sz w:val="14"/>
          <w:szCs w:val="14"/>
          <w:lang w:eastAsia="en-GB"/>
        </w:rPr>
        <w:t xml:space="preserve"> </w:t>
      </w:r>
      <w:r w:rsidRPr="005F0A67">
        <w:rPr>
          <w:rFonts w:asciiTheme="majorBidi" w:eastAsia="Georgia" w:hAnsiTheme="majorBidi" w:cstheme="majorBidi"/>
          <w:color w:val="242424"/>
          <w:spacing w:val="-2"/>
          <w:sz w:val="14"/>
          <w:szCs w:val="14"/>
          <w:lang w:eastAsia="en-GB"/>
        </w:rPr>
        <w:t>indirectly.</w:t>
      </w:r>
    </w:p>
    <w:p w14:paraId="56F290C0" w14:textId="77777777" w:rsidR="005F0A67" w:rsidRPr="005F0A67" w:rsidRDefault="005F0A67" w:rsidP="003A387A">
      <w:pPr>
        <w:widowControl w:val="0"/>
        <w:numPr>
          <w:ilvl w:val="1"/>
          <w:numId w:val="44"/>
        </w:numPr>
        <w:tabs>
          <w:tab w:val="clear" w:pos="567"/>
          <w:tab w:val="clear" w:pos="1134"/>
          <w:tab w:val="clear" w:pos="1701"/>
          <w:tab w:val="clear" w:pos="2268"/>
          <w:tab w:val="left" w:pos="704"/>
        </w:tabs>
        <w:autoSpaceDE w:val="0"/>
        <w:autoSpaceDN w:val="0"/>
        <w:spacing w:before="39"/>
        <w:ind w:left="704"/>
        <w:jc w:val="left"/>
        <w:rPr>
          <w:rFonts w:asciiTheme="majorBidi" w:eastAsia="Georgia" w:hAnsiTheme="majorBidi" w:cstheme="majorBidi"/>
          <w:color w:val="1A1A1A"/>
          <w:sz w:val="14"/>
          <w:szCs w:val="14"/>
          <w:lang w:eastAsia="en-GB"/>
        </w:rPr>
      </w:pPr>
      <w:r w:rsidRPr="005F0A67">
        <w:rPr>
          <w:rFonts w:asciiTheme="majorBidi" w:eastAsia="Georgia" w:hAnsiTheme="majorBidi" w:cstheme="majorBidi"/>
          <w:b/>
          <w:bCs/>
          <w:color w:val="242424"/>
          <w:sz w:val="14"/>
          <w:szCs w:val="14"/>
          <w:lang w:eastAsia="en-GB"/>
        </w:rPr>
        <w:t>Not</w:t>
      </w:r>
      <w:r w:rsidRPr="005F0A67">
        <w:rPr>
          <w:rFonts w:asciiTheme="majorBidi" w:eastAsia="Georgia" w:hAnsiTheme="majorBidi" w:cstheme="majorBidi"/>
          <w:b/>
          <w:bCs/>
          <w:color w:val="242424"/>
          <w:spacing w:val="-1"/>
          <w:sz w:val="14"/>
          <w:szCs w:val="14"/>
          <w:lang w:eastAsia="en-GB"/>
        </w:rPr>
        <w:t xml:space="preserve"> </w:t>
      </w:r>
      <w:r w:rsidRPr="005F0A67">
        <w:rPr>
          <w:rFonts w:asciiTheme="majorBidi" w:eastAsia="Georgia" w:hAnsiTheme="majorBidi" w:cstheme="majorBidi"/>
          <w:b/>
          <w:bCs/>
          <w:color w:val="242424"/>
          <w:sz w:val="14"/>
          <w:szCs w:val="14"/>
          <w:lang w:eastAsia="en-GB"/>
        </w:rPr>
        <w:t>important:</w:t>
      </w:r>
      <w:r w:rsidRPr="005F0A67">
        <w:rPr>
          <w:rFonts w:asciiTheme="majorBidi" w:eastAsia="Georgia" w:hAnsiTheme="majorBidi" w:cstheme="majorBidi"/>
          <w:b/>
          <w:bCs/>
          <w:color w:val="242424"/>
          <w:spacing w:val="-1"/>
          <w:sz w:val="14"/>
          <w:szCs w:val="14"/>
          <w:lang w:eastAsia="en-GB"/>
        </w:rPr>
        <w:t xml:space="preserve"> </w:t>
      </w:r>
      <w:r w:rsidRPr="005F0A67">
        <w:rPr>
          <w:rFonts w:asciiTheme="majorBidi" w:eastAsia="Georgia" w:hAnsiTheme="majorBidi" w:cstheme="majorBidi"/>
          <w:color w:val="242424"/>
          <w:sz w:val="14"/>
          <w:szCs w:val="14"/>
          <w:lang w:eastAsia="en-GB"/>
        </w:rPr>
        <w:t>Our</w:t>
      </w:r>
      <w:r w:rsidRPr="005F0A67">
        <w:rPr>
          <w:rFonts w:asciiTheme="majorBidi" w:eastAsia="Georgia" w:hAnsiTheme="majorBidi" w:cstheme="majorBidi"/>
          <w:color w:val="242424"/>
          <w:spacing w:val="-1"/>
          <w:sz w:val="14"/>
          <w:szCs w:val="14"/>
          <w:lang w:eastAsia="en-GB"/>
        </w:rPr>
        <w:t xml:space="preserve"> </w:t>
      </w:r>
      <w:r w:rsidRPr="005F0A67">
        <w:rPr>
          <w:rFonts w:asciiTheme="majorBidi" w:eastAsia="Georgia" w:hAnsiTheme="majorBidi" w:cstheme="majorBidi"/>
          <w:color w:val="242424"/>
          <w:sz w:val="14"/>
          <w:szCs w:val="14"/>
          <w:lang w:eastAsia="en-GB"/>
        </w:rPr>
        <w:t>organisation does</w:t>
      </w:r>
      <w:r w:rsidRPr="005F0A67">
        <w:rPr>
          <w:rFonts w:asciiTheme="majorBidi" w:eastAsia="Georgia" w:hAnsiTheme="majorBidi" w:cstheme="majorBidi"/>
          <w:color w:val="242424"/>
          <w:spacing w:val="-1"/>
          <w:sz w:val="14"/>
          <w:szCs w:val="14"/>
          <w:lang w:eastAsia="en-GB"/>
        </w:rPr>
        <w:t xml:space="preserve"> </w:t>
      </w:r>
      <w:r w:rsidRPr="005F0A67">
        <w:rPr>
          <w:rFonts w:asciiTheme="majorBidi" w:eastAsia="Georgia" w:hAnsiTheme="majorBidi" w:cstheme="majorBidi"/>
          <w:color w:val="242424"/>
          <w:sz w:val="14"/>
          <w:szCs w:val="14"/>
          <w:lang w:eastAsia="en-GB"/>
        </w:rPr>
        <w:t>not</w:t>
      </w:r>
      <w:r w:rsidRPr="005F0A67">
        <w:rPr>
          <w:rFonts w:asciiTheme="majorBidi" w:eastAsia="Georgia" w:hAnsiTheme="majorBidi" w:cstheme="majorBidi"/>
          <w:color w:val="242424"/>
          <w:spacing w:val="-1"/>
          <w:sz w:val="14"/>
          <w:szCs w:val="14"/>
          <w:lang w:eastAsia="en-GB"/>
        </w:rPr>
        <w:t xml:space="preserve"> </w:t>
      </w:r>
      <w:r w:rsidRPr="005F0A67">
        <w:rPr>
          <w:rFonts w:asciiTheme="majorBidi" w:eastAsia="Georgia" w:hAnsiTheme="majorBidi" w:cstheme="majorBidi"/>
          <w:color w:val="242424"/>
          <w:sz w:val="14"/>
          <w:szCs w:val="14"/>
          <w:lang w:eastAsia="en-GB"/>
        </w:rPr>
        <w:t>use DSI</w:t>
      </w:r>
      <w:r w:rsidRPr="005F0A67">
        <w:rPr>
          <w:rFonts w:asciiTheme="majorBidi" w:eastAsia="Georgia" w:hAnsiTheme="majorBidi" w:cstheme="majorBidi"/>
          <w:color w:val="242424"/>
          <w:spacing w:val="-1"/>
          <w:sz w:val="14"/>
          <w:szCs w:val="14"/>
          <w:lang w:eastAsia="en-GB"/>
        </w:rPr>
        <w:t xml:space="preserve"> </w:t>
      </w:r>
      <w:r w:rsidRPr="005F0A67">
        <w:rPr>
          <w:rFonts w:asciiTheme="majorBidi" w:eastAsia="Georgia" w:hAnsiTheme="majorBidi" w:cstheme="majorBidi"/>
          <w:color w:val="242424"/>
          <w:sz w:val="14"/>
          <w:szCs w:val="14"/>
          <w:lang w:eastAsia="en-GB"/>
        </w:rPr>
        <w:t>for</w:t>
      </w:r>
      <w:r w:rsidRPr="005F0A67">
        <w:rPr>
          <w:rFonts w:asciiTheme="majorBidi" w:eastAsia="Georgia" w:hAnsiTheme="majorBidi" w:cstheme="majorBidi"/>
          <w:color w:val="242424"/>
          <w:spacing w:val="-1"/>
          <w:sz w:val="14"/>
          <w:szCs w:val="14"/>
          <w:lang w:eastAsia="en-GB"/>
        </w:rPr>
        <w:t xml:space="preserve"> </w:t>
      </w:r>
      <w:r w:rsidRPr="005F0A67">
        <w:rPr>
          <w:rFonts w:asciiTheme="majorBidi" w:eastAsia="Georgia" w:hAnsiTheme="majorBidi" w:cstheme="majorBidi"/>
          <w:color w:val="242424"/>
          <w:sz w:val="14"/>
          <w:szCs w:val="14"/>
          <w:lang w:eastAsia="en-GB"/>
        </w:rPr>
        <w:t xml:space="preserve">this </w:t>
      </w:r>
      <w:r w:rsidRPr="005F0A67">
        <w:rPr>
          <w:rFonts w:asciiTheme="majorBidi" w:eastAsia="Georgia" w:hAnsiTheme="majorBidi" w:cstheme="majorBidi"/>
          <w:color w:val="242424"/>
          <w:spacing w:val="-2"/>
          <w:sz w:val="14"/>
          <w:szCs w:val="14"/>
          <w:lang w:eastAsia="en-GB"/>
        </w:rPr>
        <w:t>category</w:t>
      </w:r>
    </w:p>
    <w:p w14:paraId="32A800AC" w14:textId="77777777" w:rsidR="005F0A67" w:rsidRPr="005F0A67" w:rsidRDefault="005F0A67" w:rsidP="003A387A">
      <w:pPr>
        <w:widowControl w:val="0"/>
        <w:numPr>
          <w:ilvl w:val="1"/>
          <w:numId w:val="44"/>
        </w:numPr>
        <w:tabs>
          <w:tab w:val="clear" w:pos="567"/>
          <w:tab w:val="clear" w:pos="1134"/>
          <w:tab w:val="clear" w:pos="1701"/>
          <w:tab w:val="clear" w:pos="2268"/>
          <w:tab w:val="left" w:pos="704"/>
        </w:tabs>
        <w:autoSpaceDE w:val="0"/>
        <w:autoSpaceDN w:val="0"/>
        <w:spacing w:before="39"/>
        <w:ind w:left="704"/>
        <w:jc w:val="left"/>
        <w:rPr>
          <w:rFonts w:asciiTheme="majorBidi" w:eastAsia="Georgia" w:hAnsiTheme="majorBidi" w:cstheme="majorBidi"/>
          <w:color w:val="1A1A1A"/>
          <w:sz w:val="14"/>
          <w:szCs w:val="14"/>
          <w:lang w:val="en-CA" w:eastAsia="en-GB"/>
        </w:rPr>
      </w:pPr>
      <w:r w:rsidRPr="005F0A67">
        <w:rPr>
          <w:rFonts w:asciiTheme="majorBidi" w:eastAsia="Georgia" w:hAnsiTheme="majorBidi" w:cstheme="majorBidi"/>
          <w:color w:val="242424"/>
          <w:sz w:val="14"/>
          <w:szCs w:val="14"/>
          <w:lang w:val="en-CA" w:eastAsia="en-GB"/>
        </w:rPr>
        <w:t>Don't know</w:t>
      </w:r>
    </w:p>
    <w:p w14:paraId="722EA80A" w14:textId="77777777" w:rsidR="005F0A67" w:rsidRPr="005F0A67" w:rsidRDefault="005F0A67" w:rsidP="005F0A67">
      <w:pPr>
        <w:widowControl w:val="0"/>
        <w:tabs>
          <w:tab w:val="clear" w:pos="567"/>
          <w:tab w:val="clear" w:pos="1134"/>
          <w:tab w:val="clear" w:pos="1701"/>
          <w:tab w:val="clear" w:pos="2268"/>
        </w:tabs>
        <w:spacing w:before="9"/>
        <w:jc w:val="left"/>
        <w:rPr>
          <w:rFonts w:asciiTheme="majorBidi" w:eastAsia="Arial" w:hAnsiTheme="majorBidi" w:cstheme="majorBidi"/>
          <w:b/>
          <w:bCs/>
          <w:sz w:val="20"/>
          <w:szCs w:val="20"/>
          <w:lang w:val="en-US"/>
        </w:rPr>
        <w:sectPr w:rsidR="005F0A67" w:rsidRPr="005F0A67" w:rsidSect="005F0A67">
          <w:pgSz w:w="11900" w:h="16840"/>
          <w:pgMar w:top="1000" w:right="1700" w:bottom="280" w:left="1700" w:header="720" w:footer="720" w:gutter="0"/>
          <w:cols w:space="720"/>
        </w:sectPr>
      </w:pPr>
      <w:r w:rsidRPr="005F0A67">
        <w:rPr>
          <w:rFonts w:asciiTheme="majorBidi" w:eastAsia="Arial" w:hAnsiTheme="majorBidi" w:cstheme="majorBidi"/>
          <w:b/>
          <w:bCs/>
          <w:sz w:val="20"/>
          <w:szCs w:val="20"/>
          <w:lang w:val="en-US"/>
        </w:rPr>
        <w:t xml:space="preserve"> </w:t>
      </w:r>
    </w:p>
    <w:p w14:paraId="02F17482" w14:textId="77777777" w:rsidR="005F0A67" w:rsidRPr="005F0A67" w:rsidRDefault="005F0A67" w:rsidP="005F0A67">
      <w:pPr>
        <w:widowControl w:val="0"/>
        <w:tabs>
          <w:tab w:val="clear" w:pos="567"/>
          <w:tab w:val="clear" w:pos="1134"/>
          <w:tab w:val="clear" w:pos="1701"/>
          <w:tab w:val="clear" w:pos="2268"/>
        </w:tabs>
        <w:spacing w:before="120"/>
        <w:ind w:left="3016" w:firstLine="206"/>
        <w:jc w:val="left"/>
        <w:rPr>
          <w:rFonts w:asciiTheme="majorBidi" w:eastAsia="Arial" w:hAnsiTheme="majorBidi" w:cstheme="majorBidi"/>
          <w:sz w:val="14"/>
          <w:szCs w:val="14"/>
          <w:lang w:val="en-US"/>
        </w:rPr>
      </w:pPr>
      <w:r w:rsidRPr="005F0A67">
        <w:rPr>
          <w:rFonts w:asciiTheme="majorBidi" w:eastAsia="Arial" w:hAnsiTheme="majorBidi" w:cstheme="majorBidi"/>
          <w:noProof/>
          <w:sz w:val="14"/>
          <w:szCs w:val="14"/>
          <w:lang w:val="en-US"/>
        </w:rPr>
        <mc:AlternateContent>
          <mc:Choice Requires="wps">
            <w:drawing>
              <wp:anchor distT="0" distB="0" distL="0" distR="0" simplePos="0" relativeHeight="251658256" behindDoc="0" locked="0" layoutInCell="1" allowOverlap="1" wp14:anchorId="3FBDFFD4" wp14:editId="770C3DCE">
                <wp:simplePos x="0" y="0"/>
                <wp:positionH relativeFrom="page">
                  <wp:posOffset>2397521</wp:posOffset>
                </wp:positionH>
                <wp:positionV relativeFrom="paragraph">
                  <wp:posOffset>127308</wp:posOffset>
                </wp:positionV>
                <wp:extent cx="335915" cy="118745"/>
                <wp:effectExtent l="0" t="0" r="0" b="0"/>
                <wp:wrapNone/>
                <wp:docPr id="46" name="Text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5915" cy="118745"/>
                        </a:xfrm>
                        <a:prstGeom prst="rect">
                          <a:avLst/>
                        </a:prstGeom>
                      </wps:spPr>
                      <wps:txbx>
                        <w:txbxContent>
                          <w:p w14:paraId="2F647EE7" w14:textId="77777777" w:rsidR="005F0A67" w:rsidRDefault="005F0A67" w:rsidP="005F0A67">
                            <w:pPr>
                              <w:pStyle w:val="BodyText"/>
                              <w:spacing w:before="19"/>
                            </w:pPr>
                            <w:r>
                              <w:rPr>
                                <w:color w:val="242424"/>
                                <w:spacing w:val="-2"/>
                                <w:w w:val="90"/>
                              </w:rPr>
                              <w:t>Essential</w:t>
                            </w:r>
                          </w:p>
                        </w:txbxContent>
                      </wps:txbx>
                      <wps:bodyPr wrap="square" lIns="0" tIns="0" rIns="0" bIns="0" rtlCol="0">
                        <a:noAutofit/>
                      </wps:bodyPr>
                    </wps:wsp>
                  </a:graphicData>
                </a:graphic>
              </wp:anchor>
            </w:drawing>
          </mc:Choice>
          <mc:Fallback>
            <w:pict>
              <v:shape w14:anchorId="3FBDFFD4" id="Textbox 46" o:spid="_x0000_s1028" type="#_x0000_t202" style="position:absolute;left:0;text-align:left;margin-left:188.8pt;margin-top:10pt;width:26.45pt;height:9.35pt;z-index:2516582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" filled="f" stroked="f">
                <v:textbox inset="0,0,0,0">
                  <w:txbxContent>
                    <w:p w14:paraId="2F647EE7" w14:textId="77777777" w:rsidR="005F0A67" w:rsidRDefault="005F0A67" w:rsidP="005F0A67">
                      <w:pPr>
                        <w:pStyle w:val="BodyText"/>
                        <w:spacing w:before="19"/>
                      </w:pPr>
                      <w:r>
                        <w:rPr>
                          <w:color w:val="242424"/>
                          <w:spacing w:val="-2"/>
                          <w:w w:val="90"/>
                        </w:rPr>
                        <w:t>Essential</w:t>
                      </w:r>
                    </w:p>
                  </w:txbxContent>
                </v:textbox>
                <w10:wrap anchorx="page"/>
              </v:shape>
            </w:pict>
          </mc:Fallback>
        </mc:AlternateContent>
      </w:r>
      <w:r w:rsidRPr="005F0A67">
        <w:rPr>
          <w:rFonts w:asciiTheme="majorBidi" w:eastAsia="Arial" w:hAnsiTheme="majorBidi" w:cstheme="majorBidi"/>
          <w:color w:val="242424"/>
          <w:spacing w:val="-4"/>
          <w:sz w:val="14"/>
          <w:szCs w:val="14"/>
          <w:lang w:val="en-US"/>
        </w:rPr>
        <w:t>High</w:t>
      </w:r>
      <w:r w:rsidRPr="005F0A67">
        <w:rPr>
          <w:rFonts w:asciiTheme="majorBidi" w:eastAsia="Arial" w:hAnsiTheme="majorBidi" w:cstheme="majorBidi"/>
          <w:color w:val="242424"/>
          <w:spacing w:val="40"/>
          <w:sz w:val="14"/>
          <w:szCs w:val="14"/>
          <w:lang w:val="en-US"/>
        </w:rPr>
        <w:t xml:space="preserve"> </w:t>
      </w:r>
      <w:r w:rsidRPr="005F0A67">
        <w:rPr>
          <w:rFonts w:asciiTheme="majorBidi" w:eastAsia="Arial" w:hAnsiTheme="majorBidi" w:cstheme="majorBidi"/>
          <w:color w:val="242424"/>
          <w:spacing w:val="-2"/>
          <w:sz w:val="14"/>
          <w:szCs w:val="14"/>
          <w:lang w:val="en-US"/>
        </w:rPr>
        <w:t>importance</w:t>
      </w:r>
    </w:p>
    <w:p w14:paraId="040F4FDC" w14:textId="77777777" w:rsidR="005F0A67" w:rsidRPr="005F0A67" w:rsidRDefault="005F0A67" w:rsidP="005F0A67">
      <w:pPr>
        <w:widowControl w:val="0"/>
        <w:tabs>
          <w:tab w:val="clear" w:pos="567"/>
          <w:tab w:val="clear" w:pos="1134"/>
          <w:tab w:val="clear" w:pos="1701"/>
          <w:tab w:val="clear" w:pos="2268"/>
        </w:tabs>
        <w:spacing w:before="120"/>
        <w:ind w:left="282" w:firstLine="52"/>
        <w:jc w:val="left"/>
        <w:rPr>
          <w:rFonts w:asciiTheme="majorBidi" w:eastAsia="Arial" w:hAnsiTheme="majorBidi" w:cstheme="majorBidi"/>
          <w:sz w:val="14"/>
          <w:szCs w:val="14"/>
          <w:lang w:val="en-US"/>
        </w:rPr>
      </w:pPr>
      <w:r w:rsidRPr="005F0A67">
        <w:rPr>
          <w:rFonts w:asciiTheme="majorBidi" w:eastAsia="Arial" w:hAnsiTheme="majorBidi" w:cstheme="majorBidi"/>
          <w:sz w:val="14"/>
          <w:szCs w:val="14"/>
          <w:lang w:val="en-US"/>
        </w:rPr>
        <w:br w:type="column"/>
      </w:r>
      <w:r w:rsidRPr="005F0A67">
        <w:rPr>
          <w:rFonts w:asciiTheme="majorBidi" w:eastAsia="Arial" w:hAnsiTheme="majorBidi" w:cstheme="majorBidi"/>
          <w:color w:val="242424"/>
          <w:spacing w:val="-2"/>
          <w:sz w:val="14"/>
          <w:szCs w:val="14"/>
          <w:lang w:val="en-US"/>
        </w:rPr>
        <w:t>Moderate</w:t>
      </w:r>
      <w:r w:rsidRPr="005F0A67">
        <w:rPr>
          <w:rFonts w:asciiTheme="majorBidi" w:eastAsia="Arial" w:hAnsiTheme="majorBidi" w:cstheme="majorBidi"/>
          <w:color w:val="242424"/>
          <w:spacing w:val="40"/>
          <w:sz w:val="14"/>
          <w:szCs w:val="14"/>
          <w:lang w:val="en-US"/>
        </w:rPr>
        <w:t xml:space="preserve"> </w:t>
      </w:r>
      <w:r w:rsidRPr="005F0A67">
        <w:rPr>
          <w:rFonts w:asciiTheme="majorBidi" w:eastAsia="Arial" w:hAnsiTheme="majorBidi" w:cstheme="majorBidi"/>
          <w:color w:val="242424"/>
          <w:spacing w:val="-2"/>
          <w:sz w:val="14"/>
          <w:szCs w:val="14"/>
          <w:lang w:val="en-US"/>
        </w:rPr>
        <w:t>importance</w:t>
      </w:r>
    </w:p>
    <w:p w14:paraId="5A7759FA" w14:textId="77777777" w:rsidR="005F0A67" w:rsidRPr="005F0A67" w:rsidRDefault="005F0A67" w:rsidP="005F0A67">
      <w:pPr>
        <w:widowControl w:val="0"/>
        <w:tabs>
          <w:tab w:val="clear" w:pos="567"/>
          <w:tab w:val="clear" w:pos="1134"/>
          <w:tab w:val="clear" w:pos="1701"/>
          <w:tab w:val="clear" w:pos="2268"/>
        </w:tabs>
        <w:spacing w:before="120"/>
        <w:ind w:left="282" w:firstLine="125"/>
        <w:jc w:val="left"/>
        <w:rPr>
          <w:rFonts w:asciiTheme="majorBidi" w:eastAsia="Arial" w:hAnsiTheme="majorBidi" w:cstheme="majorBidi"/>
          <w:sz w:val="14"/>
          <w:szCs w:val="14"/>
          <w:lang w:val="en-US"/>
        </w:rPr>
      </w:pPr>
      <w:r w:rsidRPr="005F0A67">
        <w:rPr>
          <w:rFonts w:asciiTheme="majorBidi" w:eastAsia="Arial" w:hAnsiTheme="majorBidi" w:cstheme="majorBidi"/>
          <w:sz w:val="14"/>
          <w:szCs w:val="14"/>
          <w:lang w:val="en-US"/>
        </w:rPr>
        <w:br w:type="column"/>
      </w:r>
      <w:r w:rsidRPr="005F0A67">
        <w:rPr>
          <w:rFonts w:asciiTheme="majorBidi" w:eastAsia="Arial" w:hAnsiTheme="majorBidi" w:cstheme="majorBidi"/>
          <w:color w:val="242424"/>
          <w:spacing w:val="-2"/>
          <w:sz w:val="14"/>
          <w:szCs w:val="14"/>
          <w:lang w:val="en-US"/>
        </w:rPr>
        <w:t>Limited</w:t>
      </w:r>
      <w:r w:rsidRPr="005F0A67">
        <w:rPr>
          <w:rFonts w:asciiTheme="majorBidi" w:eastAsia="Arial" w:hAnsiTheme="majorBidi" w:cstheme="majorBidi"/>
          <w:color w:val="242424"/>
          <w:spacing w:val="40"/>
          <w:sz w:val="14"/>
          <w:szCs w:val="14"/>
          <w:lang w:val="en-US"/>
        </w:rPr>
        <w:t xml:space="preserve"> </w:t>
      </w:r>
      <w:r w:rsidRPr="005F0A67">
        <w:rPr>
          <w:rFonts w:asciiTheme="majorBidi" w:eastAsia="Arial" w:hAnsiTheme="majorBidi" w:cstheme="majorBidi"/>
          <w:color w:val="242424"/>
          <w:spacing w:val="-2"/>
          <w:sz w:val="14"/>
          <w:szCs w:val="14"/>
          <w:lang w:val="en-US"/>
        </w:rPr>
        <w:t>importance</w:t>
      </w:r>
    </w:p>
    <w:p w14:paraId="2FC3BF5A" w14:textId="77777777" w:rsidR="005F0A67" w:rsidRPr="005F0A67" w:rsidRDefault="005F0A67" w:rsidP="005F0A67">
      <w:pPr>
        <w:widowControl w:val="0"/>
        <w:tabs>
          <w:tab w:val="clear" w:pos="567"/>
          <w:tab w:val="clear" w:pos="1134"/>
          <w:tab w:val="clear" w:pos="1701"/>
          <w:tab w:val="clear" w:pos="2268"/>
        </w:tabs>
        <w:spacing w:before="59"/>
        <w:jc w:val="left"/>
        <w:rPr>
          <w:rFonts w:asciiTheme="majorBidi" w:eastAsia="Arial" w:hAnsiTheme="majorBidi" w:cstheme="majorBidi"/>
          <w:sz w:val="14"/>
          <w:szCs w:val="14"/>
          <w:lang w:val="en-US"/>
        </w:rPr>
      </w:pPr>
      <w:r w:rsidRPr="005F0A67">
        <w:rPr>
          <w:rFonts w:asciiTheme="majorBidi" w:eastAsia="Arial" w:hAnsiTheme="majorBidi" w:cstheme="majorBidi"/>
          <w:sz w:val="14"/>
          <w:szCs w:val="14"/>
          <w:lang w:val="en-US"/>
        </w:rPr>
        <w:br w:type="column"/>
      </w:r>
    </w:p>
    <w:p w14:paraId="606462E0" w14:textId="1590D717" w:rsidR="005F0A67" w:rsidRPr="005F0A67" w:rsidRDefault="005F0A67" w:rsidP="00B009ED">
      <w:pPr>
        <w:widowControl w:val="0"/>
        <w:tabs>
          <w:tab w:val="clear" w:pos="567"/>
          <w:tab w:val="clear" w:pos="1134"/>
          <w:tab w:val="clear" w:pos="1701"/>
          <w:tab w:val="clear" w:pos="2268"/>
          <w:tab w:val="left" w:pos="1315"/>
        </w:tabs>
        <w:ind w:left="191"/>
        <w:jc w:val="left"/>
        <w:rPr>
          <w:rFonts w:asciiTheme="majorBidi" w:eastAsia="Arial" w:hAnsiTheme="majorBidi" w:cstheme="majorBidi"/>
          <w:sz w:val="14"/>
          <w:szCs w:val="14"/>
          <w:lang w:val="en-US"/>
        </w:rPr>
        <w:sectPr w:rsidR="005F0A67" w:rsidRPr="005F0A67" w:rsidSect="005F0A67">
          <w:type w:val="continuous"/>
          <w:pgSz w:w="11900" w:h="16840"/>
          <w:pgMar w:top="1360" w:right="1700" w:bottom="280" w:left="1700" w:header="720" w:footer="720" w:gutter="0"/>
          <w:cols w:num="4" w:space="720" w:equalWidth="0">
            <w:col w:w="3724" w:space="40"/>
            <w:col w:w="991" w:space="39"/>
            <w:col w:w="991" w:space="39"/>
            <w:col w:w="2676"/>
          </w:cols>
        </w:sectPr>
      </w:pPr>
      <w:r w:rsidRPr="005F0A67">
        <w:rPr>
          <w:rFonts w:asciiTheme="majorBidi" w:eastAsia="Arial" w:hAnsiTheme="majorBidi" w:cstheme="majorBidi"/>
          <w:color w:val="242424"/>
          <w:w w:val="105"/>
          <w:sz w:val="14"/>
          <w:szCs w:val="14"/>
          <w:lang w:val="en-US"/>
        </w:rPr>
        <w:t>Not</w:t>
      </w:r>
      <w:r w:rsidRPr="005F0A67">
        <w:rPr>
          <w:rFonts w:asciiTheme="majorBidi" w:eastAsia="Arial" w:hAnsiTheme="majorBidi" w:cstheme="majorBidi"/>
          <w:color w:val="242424"/>
          <w:spacing w:val="1"/>
          <w:w w:val="105"/>
          <w:sz w:val="14"/>
          <w:szCs w:val="14"/>
          <w:lang w:val="en-US"/>
        </w:rPr>
        <w:t xml:space="preserve"> </w:t>
      </w:r>
      <w:r w:rsidRPr="005F0A67">
        <w:rPr>
          <w:rFonts w:asciiTheme="majorBidi" w:eastAsia="Arial" w:hAnsiTheme="majorBidi" w:cstheme="majorBidi"/>
          <w:color w:val="242424"/>
          <w:spacing w:val="-2"/>
          <w:w w:val="105"/>
          <w:sz w:val="14"/>
          <w:szCs w:val="14"/>
          <w:lang w:val="en-US"/>
        </w:rPr>
        <w:t>important</w:t>
      </w:r>
      <w:r w:rsidRPr="005F0A67">
        <w:rPr>
          <w:rFonts w:asciiTheme="majorBidi" w:eastAsia="Arial" w:hAnsiTheme="majorBidi" w:cstheme="majorBidi"/>
          <w:color w:val="242424"/>
          <w:sz w:val="14"/>
          <w:szCs w:val="14"/>
          <w:lang w:val="en-US"/>
        </w:rPr>
        <w:tab/>
      </w:r>
      <w:r w:rsidRPr="005F0A67">
        <w:rPr>
          <w:rFonts w:asciiTheme="majorBidi" w:eastAsia="Arial" w:hAnsiTheme="majorBidi" w:cstheme="majorBidi"/>
          <w:color w:val="242424"/>
          <w:spacing w:val="-2"/>
          <w:w w:val="105"/>
          <w:sz w:val="14"/>
          <w:szCs w:val="14"/>
          <w:lang w:val="en-US"/>
        </w:rPr>
        <w:t>Don't</w:t>
      </w:r>
      <w:r w:rsidRPr="005F0A67">
        <w:rPr>
          <w:rFonts w:asciiTheme="majorBidi" w:eastAsia="Arial" w:hAnsiTheme="majorBidi" w:cstheme="majorBidi"/>
          <w:color w:val="242424"/>
          <w:spacing w:val="-1"/>
          <w:w w:val="105"/>
          <w:sz w:val="14"/>
          <w:szCs w:val="14"/>
          <w:lang w:val="en-US"/>
        </w:rPr>
        <w:t xml:space="preserve"> </w:t>
      </w:r>
      <w:r w:rsidRPr="005F0A67">
        <w:rPr>
          <w:rFonts w:asciiTheme="majorBidi" w:eastAsia="Arial" w:hAnsiTheme="majorBidi" w:cstheme="majorBidi"/>
          <w:color w:val="242424"/>
          <w:spacing w:val="-4"/>
          <w:w w:val="105"/>
          <w:sz w:val="14"/>
          <w:szCs w:val="14"/>
          <w:lang w:val="en-US"/>
        </w:rPr>
        <w:t>kno</w:t>
      </w:r>
      <w:r w:rsidR="00B009ED">
        <w:rPr>
          <w:rFonts w:asciiTheme="majorBidi" w:eastAsia="Arial" w:hAnsiTheme="majorBidi" w:cstheme="majorBidi"/>
          <w:color w:val="242424"/>
          <w:spacing w:val="-4"/>
          <w:w w:val="105"/>
          <w:sz w:val="14"/>
          <w:szCs w:val="14"/>
          <w:lang w:val="en-US"/>
        </w:rPr>
        <w:t>w</w:t>
      </w:r>
    </w:p>
    <w:p w14:paraId="063203B8" w14:textId="77777777" w:rsidR="005F0A67" w:rsidRPr="005F0A67" w:rsidRDefault="005F0A67" w:rsidP="005F0A67">
      <w:pPr>
        <w:widowControl w:val="0"/>
        <w:tabs>
          <w:tab w:val="clear" w:pos="567"/>
          <w:tab w:val="clear" w:pos="1134"/>
          <w:tab w:val="clear" w:pos="1701"/>
          <w:tab w:val="clear" w:pos="2268"/>
        </w:tabs>
        <w:spacing w:before="117"/>
        <w:jc w:val="left"/>
        <w:rPr>
          <w:rFonts w:asciiTheme="majorBidi" w:eastAsia="Arial" w:hAnsiTheme="majorBidi" w:cstheme="majorBidi"/>
          <w:sz w:val="14"/>
          <w:szCs w:val="14"/>
          <w:lang w:val="en-US"/>
        </w:rPr>
      </w:pPr>
    </w:p>
    <w:p w14:paraId="47C5633D" w14:textId="77777777" w:rsidR="005F0A67" w:rsidRPr="005F0A67" w:rsidRDefault="005F0A67" w:rsidP="005F0A67">
      <w:pPr>
        <w:widowControl w:val="0"/>
        <w:tabs>
          <w:tab w:val="clear" w:pos="567"/>
          <w:tab w:val="clear" w:pos="1134"/>
          <w:tab w:val="clear" w:pos="1701"/>
          <w:tab w:val="clear" w:pos="2268"/>
        </w:tabs>
        <w:ind w:left="825"/>
        <w:jc w:val="left"/>
        <w:rPr>
          <w:rFonts w:asciiTheme="majorBidi" w:eastAsia="Arial" w:hAnsiTheme="majorBidi" w:cstheme="majorBidi"/>
          <w:sz w:val="14"/>
          <w:szCs w:val="14"/>
          <w:lang w:val="en-US"/>
        </w:rPr>
      </w:pPr>
      <w:r w:rsidRPr="005F0A67">
        <w:rPr>
          <w:rFonts w:asciiTheme="majorBidi" w:eastAsia="Arial" w:hAnsiTheme="majorBidi" w:cstheme="majorBidi"/>
          <w:noProof/>
          <w:sz w:val="14"/>
          <w:szCs w:val="14"/>
          <w:lang w:val="en-US"/>
        </w:rPr>
        <w:drawing>
          <wp:anchor distT="0" distB="0" distL="0" distR="0" simplePos="0" relativeHeight="251658244" behindDoc="0" locked="0" layoutInCell="1" allowOverlap="1" wp14:anchorId="2BAC0737" wp14:editId="019D9ABB">
            <wp:simplePos x="0" y="0"/>
            <wp:positionH relativeFrom="page">
              <wp:posOffset>2505075</wp:posOffset>
            </wp:positionH>
            <wp:positionV relativeFrom="paragraph">
              <wp:posOffset>7366</wp:posOffset>
            </wp:positionV>
            <wp:extent cx="127000" cy="127000"/>
            <wp:effectExtent l="0" t="0" r="0" b="0"/>
            <wp:wrapNone/>
            <wp:docPr id="47" name="Image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 name="Image 47"/>
                    <pic:cNvPicPr/>
                  </pic:nvPicPr>
                  <pic:blipFill>
                    <a:blip r:embed="rId39" cstate="print"/>
                    <a:stretch>
                      <a:fillRect/>
                    </a:stretch>
                  </pic:blipFill>
                  <pic:spPr>
                    <a:xfrm>
                      <a:off x="0" y="0"/>
                      <a:ext cx="127000" cy="127000"/>
                    </a:xfrm>
                    <a:prstGeom prst="rect">
                      <a:avLst/>
                    </a:prstGeom>
                  </pic:spPr>
                </pic:pic>
              </a:graphicData>
            </a:graphic>
          </wp:anchor>
        </w:drawing>
      </w:r>
      <w:r w:rsidRPr="005F0A67">
        <w:rPr>
          <w:rFonts w:asciiTheme="majorBidi" w:eastAsia="Arial" w:hAnsiTheme="majorBidi" w:cstheme="majorBidi"/>
          <w:noProof/>
          <w:sz w:val="14"/>
          <w:szCs w:val="14"/>
          <w:lang w:val="en-US"/>
        </w:rPr>
        <w:drawing>
          <wp:anchor distT="0" distB="0" distL="0" distR="0" simplePos="0" relativeHeight="251658245" behindDoc="0" locked="0" layoutInCell="1" allowOverlap="1" wp14:anchorId="1645B1EE" wp14:editId="0AC7C192">
            <wp:simplePos x="0" y="0"/>
            <wp:positionH relativeFrom="page">
              <wp:posOffset>3813175</wp:posOffset>
            </wp:positionH>
            <wp:positionV relativeFrom="paragraph">
              <wp:posOffset>7366</wp:posOffset>
            </wp:positionV>
            <wp:extent cx="127000" cy="127000"/>
            <wp:effectExtent l="0" t="0" r="0" b="0"/>
            <wp:wrapNone/>
            <wp:docPr id="48" name="Image 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Image 48"/>
                    <pic:cNvPicPr/>
                  </pic:nvPicPr>
                  <pic:blipFill>
                    <a:blip r:embed="rId44" cstate="print"/>
                    <a:stretch>
                      <a:fillRect/>
                    </a:stretch>
                  </pic:blipFill>
                  <pic:spPr>
                    <a:xfrm>
                      <a:off x="0" y="0"/>
                      <a:ext cx="127000" cy="127000"/>
                    </a:xfrm>
                    <a:prstGeom prst="rect">
                      <a:avLst/>
                    </a:prstGeom>
                  </pic:spPr>
                </pic:pic>
              </a:graphicData>
            </a:graphic>
          </wp:anchor>
        </w:drawing>
      </w:r>
      <w:r w:rsidRPr="005F0A67">
        <w:rPr>
          <w:rFonts w:asciiTheme="majorBidi" w:eastAsia="Arial" w:hAnsiTheme="majorBidi" w:cstheme="majorBidi"/>
          <w:noProof/>
          <w:sz w:val="14"/>
          <w:szCs w:val="14"/>
          <w:lang w:val="en-US"/>
        </w:rPr>
        <w:drawing>
          <wp:anchor distT="0" distB="0" distL="0" distR="0" simplePos="0" relativeHeight="251658246" behindDoc="0" locked="0" layoutInCell="1" allowOverlap="1" wp14:anchorId="2C59AF4E" wp14:editId="07A71A72">
            <wp:simplePos x="0" y="0"/>
            <wp:positionH relativeFrom="page">
              <wp:posOffset>3159125</wp:posOffset>
            </wp:positionH>
            <wp:positionV relativeFrom="paragraph">
              <wp:posOffset>7366</wp:posOffset>
            </wp:positionV>
            <wp:extent cx="127000" cy="127000"/>
            <wp:effectExtent l="0" t="0" r="0" b="0"/>
            <wp:wrapNone/>
            <wp:docPr id="49" name="Image 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 name="Image 49"/>
                    <pic:cNvPicPr/>
                  </pic:nvPicPr>
                  <pic:blipFill>
                    <a:blip r:embed="rId39" cstate="print"/>
                    <a:stretch>
                      <a:fillRect/>
                    </a:stretch>
                  </pic:blipFill>
                  <pic:spPr>
                    <a:xfrm>
                      <a:off x="0" y="0"/>
                      <a:ext cx="127000" cy="127000"/>
                    </a:xfrm>
                    <a:prstGeom prst="rect">
                      <a:avLst/>
                    </a:prstGeom>
                  </pic:spPr>
                </pic:pic>
              </a:graphicData>
            </a:graphic>
          </wp:anchor>
        </w:drawing>
      </w:r>
      <w:r w:rsidRPr="005F0A67">
        <w:rPr>
          <w:rFonts w:asciiTheme="majorBidi" w:eastAsia="Arial" w:hAnsiTheme="majorBidi" w:cstheme="majorBidi"/>
          <w:noProof/>
          <w:sz w:val="14"/>
          <w:szCs w:val="14"/>
          <w:lang w:val="en-US"/>
        </w:rPr>
        <w:drawing>
          <wp:anchor distT="0" distB="0" distL="0" distR="0" simplePos="0" relativeHeight="251658247" behindDoc="0" locked="0" layoutInCell="1" allowOverlap="1" wp14:anchorId="30AE2DBE" wp14:editId="251D9533">
            <wp:simplePos x="0" y="0"/>
            <wp:positionH relativeFrom="page">
              <wp:posOffset>4467225</wp:posOffset>
            </wp:positionH>
            <wp:positionV relativeFrom="paragraph">
              <wp:posOffset>7366</wp:posOffset>
            </wp:positionV>
            <wp:extent cx="127000" cy="127000"/>
            <wp:effectExtent l="0" t="0" r="0" b="0"/>
            <wp:wrapNone/>
            <wp:docPr id="50" name="Image 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 name="Image 50"/>
                    <pic:cNvPicPr/>
                  </pic:nvPicPr>
                  <pic:blipFill>
                    <a:blip r:embed="rId39" cstate="print"/>
                    <a:stretch>
                      <a:fillRect/>
                    </a:stretch>
                  </pic:blipFill>
                  <pic:spPr>
                    <a:xfrm>
                      <a:off x="0" y="0"/>
                      <a:ext cx="127000" cy="127000"/>
                    </a:xfrm>
                    <a:prstGeom prst="rect">
                      <a:avLst/>
                    </a:prstGeom>
                  </pic:spPr>
                </pic:pic>
              </a:graphicData>
            </a:graphic>
          </wp:anchor>
        </w:drawing>
      </w:r>
      <w:r w:rsidRPr="005F0A67">
        <w:rPr>
          <w:rFonts w:asciiTheme="majorBidi" w:eastAsia="Arial" w:hAnsiTheme="majorBidi" w:cstheme="majorBidi"/>
          <w:noProof/>
          <w:sz w:val="14"/>
          <w:szCs w:val="14"/>
          <w:lang w:val="en-US"/>
        </w:rPr>
        <w:drawing>
          <wp:anchor distT="0" distB="0" distL="0" distR="0" simplePos="0" relativeHeight="251658248" behindDoc="0" locked="0" layoutInCell="1" allowOverlap="1" wp14:anchorId="7AF18613" wp14:editId="1EB18678">
            <wp:simplePos x="0" y="0"/>
            <wp:positionH relativeFrom="page">
              <wp:posOffset>5121275</wp:posOffset>
            </wp:positionH>
            <wp:positionV relativeFrom="paragraph">
              <wp:posOffset>7366</wp:posOffset>
            </wp:positionV>
            <wp:extent cx="127000" cy="127000"/>
            <wp:effectExtent l="0" t="0" r="0" b="0"/>
            <wp:wrapNone/>
            <wp:docPr id="51" name="Image 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 name="Image 51"/>
                    <pic:cNvPicPr/>
                  </pic:nvPicPr>
                  <pic:blipFill>
                    <a:blip r:embed="rId39" cstate="print"/>
                    <a:stretch>
                      <a:fillRect/>
                    </a:stretch>
                  </pic:blipFill>
                  <pic:spPr>
                    <a:xfrm>
                      <a:off x="0" y="0"/>
                      <a:ext cx="127000" cy="127000"/>
                    </a:xfrm>
                    <a:prstGeom prst="rect">
                      <a:avLst/>
                    </a:prstGeom>
                  </pic:spPr>
                </pic:pic>
              </a:graphicData>
            </a:graphic>
          </wp:anchor>
        </w:drawing>
      </w:r>
      <w:r w:rsidRPr="005F0A67">
        <w:rPr>
          <w:rFonts w:asciiTheme="majorBidi" w:eastAsia="Arial" w:hAnsiTheme="majorBidi" w:cstheme="majorBidi"/>
          <w:noProof/>
          <w:sz w:val="14"/>
          <w:szCs w:val="14"/>
          <w:lang w:val="en-US"/>
        </w:rPr>
        <w:drawing>
          <wp:anchor distT="0" distB="0" distL="0" distR="0" simplePos="0" relativeHeight="251658250" behindDoc="0" locked="0" layoutInCell="1" allowOverlap="1" wp14:anchorId="1B8079B2" wp14:editId="2AC95BCF">
            <wp:simplePos x="0" y="0"/>
            <wp:positionH relativeFrom="page">
              <wp:posOffset>5775325</wp:posOffset>
            </wp:positionH>
            <wp:positionV relativeFrom="paragraph">
              <wp:posOffset>7366</wp:posOffset>
            </wp:positionV>
            <wp:extent cx="127000" cy="127000"/>
            <wp:effectExtent l="0" t="0" r="0" b="0"/>
            <wp:wrapNone/>
            <wp:docPr id="52" name="Image 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 name="Image 52"/>
                    <pic:cNvPicPr/>
                  </pic:nvPicPr>
                  <pic:blipFill>
                    <a:blip r:embed="rId45" cstate="print"/>
                    <a:stretch>
                      <a:fillRect/>
                    </a:stretch>
                  </pic:blipFill>
                  <pic:spPr>
                    <a:xfrm>
                      <a:off x="0" y="0"/>
                      <a:ext cx="127000" cy="127000"/>
                    </a:xfrm>
                    <a:prstGeom prst="rect">
                      <a:avLst/>
                    </a:prstGeom>
                  </pic:spPr>
                </pic:pic>
              </a:graphicData>
            </a:graphic>
          </wp:anchor>
        </w:drawing>
      </w:r>
      <w:r w:rsidRPr="005F0A67">
        <w:rPr>
          <w:rFonts w:asciiTheme="majorBidi" w:eastAsia="Arial" w:hAnsiTheme="majorBidi" w:cstheme="majorBidi"/>
          <w:color w:val="242424"/>
          <w:spacing w:val="-2"/>
          <w:sz w:val="14"/>
          <w:szCs w:val="14"/>
          <w:lang w:val="en-US"/>
        </w:rPr>
        <w:t>Direct</w:t>
      </w:r>
      <w:r w:rsidRPr="005F0A67">
        <w:rPr>
          <w:rFonts w:asciiTheme="majorBidi" w:eastAsia="Arial" w:hAnsiTheme="majorBidi" w:cstheme="majorBidi"/>
          <w:color w:val="242424"/>
          <w:spacing w:val="-6"/>
          <w:sz w:val="14"/>
          <w:szCs w:val="14"/>
          <w:lang w:val="en-US"/>
        </w:rPr>
        <w:t xml:space="preserve"> </w:t>
      </w:r>
      <w:r w:rsidRPr="005F0A67">
        <w:rPr>
          <w:rFonts w:asciiTheme="majorBidi" w:eastAsia="Arial" w:hAnsiTheme="majorBidi" w:cstheme="majorBidi"/>
          <w:color w:val="242424"/>
          <w:spacing w:val="-2"/>
          <w:sz w:val="14"/>
          <w:szCs w:val="14"/>
          <w:lang w:val="en-US"/>
        </w:rPr>
        <w:t>DSI</w:t>
      </w:r>
      <w:r w:rsidRPr="005F0A67">
        <w:rPr>
          <w:rFonts w:asciiTheme="majorBidi" w:eastAsia="Arial" w:hAnsiTheme="majorBidi" w:cstheme="majorBidi"/>
          <w:color w:val="242424"/>
          <w:spacing w:val="-6"/>
          <w:sz w:val="14"/>
          <w:szCs w:val="14"/>
          <w:lang w:val="en-US"/>
        </w:rPr>
        <w:t xml:space="preserve"> </w:t>
      </w:r>
      <w:r w:rsidRPr="005F0A67">
        <w:rPr>
          <w:rFonts w:asciiTheme="majorBidi" w:eastAsia="Arial" w:hAnsiTheme="majorBidi" w:cstheme="majorBidi"/>
          <w:color w:val="242424"/>
          <w:spacing w:val="-5"/>
          <w:sz w:val="14"/>
          <w:szCs w:val="14"/>
          <w:lang w:val="en-US"/>
        </w:rPr>
        <w:t>use</w:t>
      </w:r>
    </w:p>
    <w:p w14:paraId="7A7CFA3E" w14:textId="77777777" w:rsidR="005F0A67" w:rsidRPr="005F0A67" w:rsidRDefault="005F0A67" w:rsidP="005F0A67">
      <w:pPr>
        <w:widowControl w:val="0"/>
        <w:tabs>
          <w:tab w:val="clear" w:pos="567"/>
          <w:tab w:val="clear" w:pos="1134"/>
          <w:tab w:val="clear" w:pos="1701"/>
          <w:tab w:val="clear" w:pos="2268"/>
        </w:tabs>
        <w:jc w:val="left"/>
        <w:rPr>
          <w:rFonts w:asciiTheme="majorBidi" w:eastAsia="Arial" w:hAnsiTheme="majorBidi" w:cstheme="majorBidi"/>
          <w:sz w:val="14"/>
          <w:szCs w:val="14"/>
          <w:lang w:val="en-US"/>
        </w:rPr>
      </w:pPr>
    </w:p>
    <w:p w14:paraId="2799099F" w14:textId="77777777" w:rsidR="005F0A67" w:rsidRPr="005F0A67" w:rsidRDefault="005F0A67" w:rsidP="005F0A67">
      <w:pPr>
        <w:widowControl w:val="0"/>
        <w:tabs>
          <w:tab w:val="clear" w:pos="567"/>
          <w:tab w:val="clear" w:pos="1134"/>
          <w:tab w:val="clear" w:pos="1701"/>
          <w:tab w:val="clear" w:pos="2268"/>
        </w:tabs>
        <w:spacing w:before="7"/>
        <w:jc w:val="left"/>
        <w:rPr>
          <w:rFonts w:asciiTheme="majorBidi" w:eastAsia="Arial" w:hAnsiTheme="majorBidi" w:cstheme="majorBidi"/>
          <w:sz w:val="14"/>
          <w:szCs w:val="14"/>
          <w:lang w:val="en-US"/>
        </w:rPr>
      </w:pPr>
    </w:p>
    <w:p w14:paraId="3512DE39" w14:textId="77777777" w:rsidR="005F0A67" w:rsidRPr="005F0A67" w:rsidRDefault="005F0A67" w:rsidP="005F0A67">
      <w:pPr>
        <w:widowControl w:val="0"/>
        <w:tabs>
          <w:tab w:val="clear" w:pos="567"/>
          <w:tab w:val="clear" w:pos="1134"/>
          <w:tab w:val="clear" w:pos="1701"/>
          <w:tab w:val="clear" w:pos="2268"/>
        </w:tabs>
        <w:ind w:left="825" w:right="6703"/>
        <w:jc w:val="left"/>
        <w:rPr>
          <w:rFonts w:asciiTheme="majorBidi" w:eastAsia="Arial" w:hAnsiTheme="majorBidi" w:cstheme="majorBidi"/>
          <w:sz w:val="14"/>
          <w:szCs w:val="14"/>
          <w:lang w:val="en-US"/>
        </w:rPr>
      </w:pPr>
      <w:r w:rsidRPr="005F0A67">
        <w:rPr>
          <w:rFonts w:asciiTheme="majorBidi" w:eastAsia="Arial" w:hAnsiTheme="majorBidi" w:cstheme="majorBidi"/>
          <w:noProof/>
          <w:sz w:val="14"/>
          <w:szCs w:val="14"/>
          <w:lang w:val="en-US"/>
        </w:rPr>
        <w:drawing>
          <wp:anchor distT="0" distB="0" distL="0" distR="0" simplePos="0" relativeHeight="251658249" behindDoc="0" locked="0" layoutInCell="1" allowOverlap="1" wp14:anchorId="09D3EC3E" wp14:editId="221ACA69">
            <wp:simplePos x="0" y="0"/>
            <wp:positionH relativeFrom="page">
              <wp:posOffset>2505075</wp:posOffset>
            </wp:positionH>
            <wp:positionV relativeFrom="paragraph">
              <wp:posOffset>159792</wp:posOffset>
            </wp:positionV>
            <wp:extent cx="127000" cy="127000"/>
            <wp:effectExtent l="0" t="0" r="0" b="0"/>
            <wp:wrapNone/>
            <wp:docPr id="53" name="Image 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 name="Image 53"/>
                    <pic:cNvPicPr/>
                  </pic:nvPicPr>
                  <pic:blipFill>
                    <a:blip r:embed="rId37" cstate="print"/>
                    <a:stretch>
                      <a:fillRect/>
                    </a:stretch>
                  </pic:blipFill>
                  <pic:spPr>
                    <a:xfrm>
                      <a:off x="0" y="0"/>
                      <a:ext cx="127000" cy="127000"/>
                    </a:xfrm>
                    <a:prstGeom prst="rect">
                      <a:avLst/>
                    </a:prstGeom>
                  </pic:spPr>
                </pic:pic>
              </a:graphicData>
            </a:graphic>
          </wp:anchor>
        </w:drawing>
      </w:r>
      <w:r w:rsidRPr="005F0A67">
        <w:rPr>
          <w:rFonts w:asciiTheme="majorBidi" w:eastAsia="Arial" w:hAnsiTheme="majorBidi" w:cstheme="majorBidi"/>
          <w:noProof/>
          <w:sz w:val="14"/>
          <w:szCs w:val="14"/>
          <w:lang w:val="en-US"/>
        </w:rPr>
        <w:drawing>
          <wp:anchor distT="0" distB="0" distL="0" distR="0" simplePos="0" relativeHeight="251658251" behindDoc="0" locked="0" layoutInCell="1" allowOverlap="1" wp14:anchorId="78D3E759" wp14:editId="745F2CED">
            <wp:simplePos x="0" y="0"/>
            <wp:positionH relativeFrom="page">
              <wp:posOffset>3159125</wp:posOffset>
            </wp:positionH>
            <wp:positionV relativeFrom="paragraph">
              <wp:posOffset>159792</wp:posOffset>
            </wp:positionV>
            <wp:extent cx="127000" cy="127000"/>
            <wp:effectExtent l="0" t="0" r="0" b="0"/>
            <wp:wrapNone/>
            <wp:docPr id="54" name="Image 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4" name="Image 54"/>
                    <pic:cNvPicPr/>
                  </pic:nvPicPr>
                  <pic:blipFill>
                    <a:blip r:embed="rId46" cstate="print"/>
                    <a:stretch>
                      <a:fillRect/>
                    </a:stretch>
                  </pic:blipFill>
                  <pic:spPr>
                    <a:xfrm>
                      <a:off x="0" y="0"/>
                      <a:ext cx="127000" cy="127000"/>
                    </a:xfrm>
                    <a:prstGeom prst="rect">
                      <a:avLst/>
                    </a:prstGeom>
                  </pic:spPr>
                </pic:pic>
              </a:graphicData>
            </a:graphic>
          </wp:anchor>
        </w:drawing>
      </w:r>
      <w:r w:rsidRPr="005F0A67">
        <w:rPr>
          <w:rFonts w:asciiTheme="majorBidi" w:eastAsia="Arial" w:hAnsiTheme="majorBidi" w:cstheme="majorBidi"/>
          <w:noProof/>
          <w:sz w:val="14"/>
          <w:szCs w:val="14"/>
          <w:lang w:val="en-US"/>
        </w:rPr>
        <w:drawing>
          <wp:anchor distT="0" distB="0" distL="0" distR="0" simplePos="0" relativeHeight="251658252" behindDoc="0" locked="0" layoutInCell="1" allowOverlap="1" wp14:anchorId="024B7A03" wp14:editId="24946696">
            <wp:simplePos x="0" y="0"/>
            <wp:positionH relativeFrom="page">
              <wp:posOffset>3813175</wp:posOffset>
            </wp:positionH>
            <wp:positionV relativeFrom="paragraph">
              <wp:posOffset>159792</wp:posOffset>
            </wp:positionV>
            <wp:extent cx="127000" cy="127000"/>
            <wp:effectExtent l="0" t="0" r="0" b="0"/>
            <wp:wrapNone/>
            <wp:docPr id="55" name="Image 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 name="Image 55"/>
                    <pic:cNvPicPr/>
                  </pic:nvPicPr>
                  <pic:blipFill>
                    <a:blip r:embed="rId47" cstate="print"/>
                    <a:stretch>
                      <a:fillRect/>
                    </a:stretch>
                  </pic:blipFill>
                  <pic:spPr>
                    <a:xfrm>
                      <a:off x="0" y="0"/>
                      <a:ext cx="127000" cy="127000"/>
                    </a:xfrm>
                    <a:prstGeom prst="rect">
                      <a:avLst/>
                    </a:prstGeom>
                  </pic:spPr>
                </pic:pic>
              </a:graphicData>
            </a:graphic>
          </wp:anchor>
        </w:drawing>
      </w:r>
      <w:r w:rsidRPr="005F0A67">
        <w:rPr>
          <w:rFonts w:asciiTheme="majorBidi" w:eastAsia="Arial" w:hAnsiTheme="majorBidi" w:cstheme="majorBidi"/>
          <w:noProof/>
          <w:sz w:val="14"/>
          <w:szCs w:val="14"/>
          <w:lang w:val="en-US"/>
        </w:rPr>
        <w:drawing>
          <wp:anchor distT="0" distB="0" distL="0" distR="0" simplePos="0" relativeHeight="251658253" behindDoc="0" locked="0" layoutInCell="1" allowOverlap="1" wp14:anchorId="6C304363" wp14:editId="129614F8">
            <wp:simplePos x="0" y="0"/>
            <wp:positionH relativeFrom="page">
              <wp:posOffset>4467225</wp:posOffset>
            </wp:positionH>
            <wp:positionV relativeFrom="paragraph">
              <wp:posOffset>159792</wp:posOffset>
            </wp:positionV>
            <wp:extent cx="127000" cy="127000"/>
            <wp:effectExtent l="0" t="0" r="0" b="0"/>
            <wp:wrapNone/>
            <wp:docPr id="56" name="Image 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 name="Image 56"/>
                    <pic:cNvPicPr/>
                  </pic:nvPicPr>
                  <pic:blipFill>
                    <a:blip r:embed="rId46" cstate="print"/>
                    <a:stretch>
                      <a:fillRect/>
                    </a:stretch>
                  </pic:blipFill>
                  <pic:spPr>
                    <a:xfrm>
                      <a:off x="0" y="0"/>
                      <a:ext cx="127000" cy="127000"/>
                    </a:xfrm>
                    <a:prstGeom prst="rect">
                      <a:avLst/>
                    </a:prstGeom>
                  </pic:spPr>
                </pic:pic>
              </a:graphicData>
            </a:graphic>
          </wp:anchor>
        </w:drawing>
      </w:r>
      <w:r w:rsidRPr="005F0A67">
        <w:rPr>
          <w:rFonts w:asciiTheme="majorBidi" w:eastAsia="Arial" w:hAnsiTheme="majorBidi" w:cstheme="majorBidi"/>
          <w:noProof/>
          <w:sz w:val="14"/>
          <w:szCs w:val="14"/>
          <w:lang w:val="en-US"/>
        </w:rPr>
        <w:drawing>
          <wp:anchor distT="0" distB="0" distL="0" distR="0" simplePos="0" relativeHeight="251658254" behindDoc="0" locked="0" layoutInCell="1" allowOverlap="1" wp14:anchorId="22AF2611" wp14:editId="345427F4">
            <wp:simplePos x="0" y="0"/>
            <wp:positionH relativeFrom="page">
              <wp:posOffset>5775325</wp:posOffset>
            </wp:positionH>
            <wp:positionV relativeFrom="paragraph">
              <wp:posOffset>159792</wp:posOffset>
            </wp:positionV>
            <wp:extent cx="127000" cy="127000"/>
            <wp:effectExtent l="0" t="0" r="0" b="0"/>
            <wp:wrapNone/>
            <wp:docPr id="57" name="Image 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7" name="Image 57"/>
                    <pic:cNvPicPr/>
                  </pic:nvPicPr>
                  <pic:blipFill>
                    <a:blip r:embed="rId48" cstate="print"/>
                    <a:stretch>
                      <a:fillRect/>
                    </a:stretch>
                  </pic:blipFill>
                  <pic:spPr>
                    <a:xfrm>
                      <a:off x="0" y="0"/>
                      <a:ext cx="127000" cy="127000"/>
                    </a:xfrm>
                    <a:prstGeom prst="rect">
                      <a:avLst/>
                    </a:prstGeom>
                  </pic:spPr>
                </pic:pic>
              </a:graphicData>
            </a:graphic>
          </wp:anchor>
        </w:drawing>
      </w:r>
      <w:r w:rsidRPr="005F0A67">
        <w:rPr>
          <w:rFonts w:asciiTheme="majorBidi" w:eastAsia="Arial" w:hAnsiTheme="majorBidi" w:cstheme="majorBidi"/>
          <w:noProof/>
          <w:sz w:val="14"/>
          <w:szCs w:val="14"/>
          <w:lang w:val="en-US"/>
        </w:rPr>
        <w:drawing>
          <wp:anchor distT="0" distB="0" distL="0" distR="0" simplePos="0" relativeHeight="251658255" behindDoc="0" locked="0" layoutInCell="1" allowOverlap="1" wp14:anchorId="1B8D83F3" wp14:editId="1F0BBF9F">
            <wp:simplePos x="0" y="0"/>
            <wp:positionH relativeFrom="page">
              <wp:posOffset>5121275</wp:posOffset>
            </wp:positionH>
            <wp:positionV relativeFrom="paragraph">
              <wp:posOffset>159792</wp:posOffset>
            </wp:positionV>
            <wp:extent cx="127000" cy="127000"/>
            <wp:effectExtent l="0" t="0" r="0" b="0"/>
            <wp:wrapNone/>
            <wp:docPr id="58" name="Image 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8" name="Image 58"/>
                    <pic:cNvPicPr/>
                  </pic:nvPicPr>
                  <pic:blipFill>
                    <a:blip r:embed="rId37" cstate="print"/>
                    <a:stretch>
                      <a:fillRect/>
                    </a:stretch>
                  </pic:blipFill>
                  <pic:spPr>
                    <a:xfrm>
                      <a:off x="0" y="0"/>
                      <a:ext cx="127000" cy="127000"/>
                    </a:xfrm>
                    <a:prstGeom prst="rect">
                      <a:avLst/>
                    </a:prstGeom>
                  </pic:spPr>
                </pic:pic>
              </a:graphicData>
            </a:graphic>
          </wp:anchor>
        </w:drawing>
      </w:r>
      <w:r w:rsidRPr="005F0A67">
        <w:rPr>
          <w:rFonts w:asciiTheme="majorBidi" w:eastAsia="Arial" w:hAnsiTheme="majorBidi" w:cstheme="majorBidi"/>
          <w:color w:val="242424"/>
          <w:spacing w:val="-2"/>
          <w:sz w:val="14"/>
          <w:szCs w:val="14"/>
          <w:lang w:val="en-US"/>
        </w:rPr>
        <w:t>Indirect</w:t>
      </w:r>
      <w:r w:rsidRPr="005F0A67">
        <w:rPr>
          <w:rFonts w:asciiTheme="majorBidi" w:eastAsia="Arial" w:hAnsiTheme="majorBidi" w:cstheme="majorBidi"/>
          <w:color w:val="242424"/>
          <w:spacing w:val="-8"/>
          <w:sz w:val="14"/>
          <w:szCs w:val="14"/>
          <w:lang w:val="en-US"/>
        </w:rPr>
        <w:t xml:space="preserve"> </w:t>
      </w:r>
      <w:r w:rsidRPr="005F0A67">
        <w:rPr>
          <w:rFonts w:asciiTheme="majorBidi" w:eastAsia="Arial" w:hAnsiTheme="majorBidi" w:cstheme="majorBidi"/>
          <w:color w:val="242424"/>
          <w:spacing w:val="-2"/>
          <w:sz w:val="14"/>
          <w:szCs w:val="14"/>
          <w:lang w:val="en-US"/>
        </w:rPr>
        <w:t>DSI</w:t>
      </w:r>
      <w:r w:rsidRPr="005F0A67">
        <w:rPr>
          <w:rFonts w:asciiTheme="majorBidi" w:eastAsia="Arial" w:hAnsiTheme="majorBidi" w:cstheme="majorBidi"/>
          <w:color w:val="242424"/>
          <w:spacing w:val="-8"/>
          <w:sz w:val="14"/>
          <w:szCs w:val="14"/>
          <w:lang w:val="en-US"/>
        </w:rPr>
        <w:t xml:space="preserve"> </w:t>
      </w:r>
      <w:r w:rsidRPr="005F0A67">
        <w:rPr>
          <w:rFonts w:asciiTheme="majorBidi" w:eastAsia="Arial" w:hAnsiTheme="majorBidi" w:cstheme="majorBidi"/>
          <w:color w:val="242424"/>
          <w:spacing w:val="-2"/>
          <w:sz w:val="14"/>
          <w:szCs w:val="14"/>
          <w:lang w:val="en-US"/>
        </w:rPr>
        <w:t>use</w:t>
      </w:r>
      <w:r w:rsidRPr="005F0A67">
        <w:rPr>
          <w:rFonts w:asciiTheme="majorBidi" w:eastAsia="Arial" w:hAnsiTheme="majorBidi" w:cstheme="majorBidi"/>
          <w:color w:val="242424"/>
          <w:spacing w:val="40"/>
          <w:sz w:val="14"/>
          <w:szCs w:val="14"/>
          <w:lang w:val="en-US"/>
        </w:rPr>
        <w:t xml:space="preserve"> </w:t>
      </w:r>
      <w:r w:rsidRPr="005F0A67">
        <w:rPr>
          <w:rFonts w:asciiTheme="majorBidi" w:eastAsia="Arial" w:hAnsiTheme="majorBidi" w:cstheme="majorBidi"/>
          <w:color w:val="242424"/>
          <w:sz w:val="14"/>
          <w:szCs w:val="14"/>
          <w:lang w:val="en-US"/>
        </w:rPr>
        <w:t>(used</w:t>
      </w:r>
      <w:r w:rsidRPr="005F0A67">
        <w:rPr>
          <w:rFonts w:asciiTheme="majorBidi" w:eastAsia="Arial" w:hAnsiTheme="majorBidi" w:cstheme="majorBidi"/>
          <w:color w:val="242424"/>
          <w:spacing w:val="-4"/>
          <w:sz w:val="14"/>
          <w:szCs w:val="14"/>
          <w:lang w:val="en-US"/>
        </w:rPr>
        <w:t xml:space="preserve"> </w:t>
      </w:r>
      <w:r w:rsidRPr="005F0A67">
        <w:rPr>
          <w:rFonts w:asciiTheme="majorBidi" w:eastAsia="Arial" w:hAnsiTheme="majorBidi" w:cstheme="majorBidi"/>
          <w:color w:val="242424"/>
          <w:sz w:val="14"/>
          <w:szCs w:val="14"/>
          <w:lang w:val="en-US"/>
        </w:rPr>
        <w:t>in</w:t>
      </w:r>
      <w:r w:rsidRPr="005F0A67">
        <w:rPr>
          <w:rFonts w:asciiTheme="majorBidi" w:eastAsia="Arial" w:hAnsiTheme="majorBidi" w:cstheme="majorBidi"/>
          <w:color w:val="242424"/>
          <w:spacing w:val="40"/>
          <w:sz w:val="14"/>
          <w:szCs w:val="14"/>
          <w:lang w:val="en-US"/>
        </w:rPr>
        <w:t xml:space="preserve"> </w:t>
      </w:r>
      <w:r w:rsidRPr="005F0A67">
        <w:rPr>
          <w:rFonts w:asciiTheme="majorBidi" w:eastAsia="Arial" w:hAnsiTheme="majorBidi" w:cstheme="majorBidi"/>
          <w:color w:val="242424"/>
          <w:spacing w:val="-2"/>
          <w:sz w:val="14"/>
          <w:szCs w:val="14"/>
          <w:lang w:val="en-US"/>
        </w:rPr>
        <w:t>products/</w:t>
      </w:r>
      <w:proofErr w:type="spellStart"/>
      <w:r w:rsidRPr="005F0A67">
        <w:rPr>
          <w:rFonts w:asciiTheme="majorBidi" w:eastAsia="Arial" w:hAnsiTheme="majorBidi" w:cstheme="majorBidi"/>
          <w:color w:val="242424"/>
          <w:spacing w:val="-2"/>
          <w:sz w:val="14"/>
          <w:szCs w:val="14"/>
          <w:lang w:val="en-US"/>
        </w:rPr>
        <w:t>servic</w:t>
      </w:r>
      <w:proofErr w:type="spellEnd"/>
      <w:r w:rsidRPr="005F0A67">
        <w:rPr>
          <w:rFonts w:asciiTheme="majorBidi" w:eastAsia="Arial" w:hAnsiTheme="majorBidi" w:cstheme="majorBidi"/>
          <w:color w:val="242424"/>
          <w:spacing w:val="-2"/>
          <w:sz w:val="14"/>
          <w:szCs w:val="14"/>
          <w:lang w:val="en-US"/>
        </w:rPr>
        <w:t>-</w:t>
      </w:r>
      <w:r w:rsidRPr="005F0A67">
        <w:rPr>
          <w:rFonts w:asciiTheme="majorBidi" w:eastAsia="Arial" w:hAnsiTheme="majorBidi" w:cstheme="majorBidi"/>
          <w:color w:val="242424"/>
          <w:sz w:val="14"/>
          <w:szCs w:val="14"/>
          <w:lang w:val="en-US"/>
        </w:rPr>
        <w:t>es</w:t>
      </w:r>
      <w:r w:rsidRPr="005F0A67">
        <w:rPr>
          <w:rFonts w:asciiTheme="majorBidi" w:eastAsia="Arial" w:hAnsiTheme="majorBidi" w:cstheme="majorBidi"/>
          <w:color w:val="242424"/>
          <w:spacing w:val="-4"/>
          <w:sz w:val="14"/>
          <w:szCs w:val="14"/>
          <w:lang w:val="en-US"/>
        </w:rPr>
        <w:t xml:space="preserve"> </w:t>
      </w:r>
      <w:r w:rsidRPr="005F0A67">
        <w:rPr>
          <w:rFonts w:asciiTheme="majorBidi" w:eastAsia="Arial" w:hAnsiTheme="majorBidi" w:cstheme="majorBidi"/>
          <w:color w:val="242424"/>
          <w:sz w:val="14"/>
          <w:szCs w:val="14"/>
          <w:lang w:val="en-US"/>
        </w:rPr>
        <w:t>purchased)</w:t>
      </w:r>
    </w:p>
    <w:p w14:paraId="2FE3F2CC" w14:textId="77777777" w:rsidR="005F0A67" w:rsidRPr="005F0A67" w:rsidRDefault="005F0A67" w:rsidP="003A387A">
      <w:pPr>
        <w:numPr>
          <w:ilvl w:val="0"/>
          <w:numId w:val="44"/>
        </w:numPr>
        <w:tabs>
          <w:tab w:val="clear" w:pos="567"/>
          <w:tab w:val="clear" w:pos="1134"/>
          <w:tab w:val="clear" w:pos="1701"/>
          <w:tab w:val="clear" w:pos="2268"/>
          <w:tab w:val="num" w:pos="360"/>
          <w:tab w:val="left" w:pos="703"/>
          <w:tab w:val="left" w:pos="705"/>
        </w:tabs>
        <w:spacing w:before="320" w:after="160" w:line="271" w:lineRule="auto"/>
        <w:ind w:left="360" w:right="974" w:hanging="281"/>
        <w:jc w:val="left"/>
        <w:outlineLvl w:val="2"/>
        <w:rPr>
          <w:rFonts w:asciiTheme="majorBidi" w:eastAsia="Arial" w:hAnsiTheme="majorBidi" w:cstheme="majorBidi"/>
          <w:b/>
          <w:bCs/>
          <w:color w:val="7F7F7F"/>
          <w:sz w:val="23"/>
          <w:szCs w:val="23"/>
          <w:lang w:val="en-CA" w:eastAsia="en-GB"/>
        </w:rPr>
      </w:pPr>
      <w:bookmarkStart w:id="281" w:name="_Toc234579635"/>
      <w:r w:rsidRPr="005F0A67">
        <w:rPr>
          <w:rFonts w:asciiTheme="majorBidi" w:eastAsia="Georgia" w:hAnsiTheme="majorBidi" w:cstheme="majorBidi"/>
          <w:color w:val="242424"/>
          <w:sz w:val="17"/>
          <w:szCs w:val="17"/>
          <w:lang w:val="en-CA" w:eastAsia="en-GB"/>
        </w:rPr>
        <w:t>Which of the following roles and activities does your organisation perform in the DSI value chain? Select your primary activity.</w:t>
      </w:r>
      <w:r w:rsidRPr="005F0A67">
        <w:rPr>
          <w:rFonts w:asciiTheme="majorBidi" w:eastAsia="Arial" w:hAnsiTheme="majorBidi" w:cstheme="majorBidi"/>
          <w:b/>
          <w:bCs/>
          <w:color w:val="242424"/>
          <w:sz w:val="23"/>
          <w:szCs w:val="23"/>
          <w:lang w:val="en-CA" w:eastAsia="en-GB"/>
        </w:rPr>
        <w:t xml:space="preserve"> </w:t>
      </w:r>
      <w:r w:rsidRPr="005F0A67">
        <w:rPr>
          <w:rFonts w:asciiTheme="majorBidi" w:eastAsia="Arial" w:hAnsiTheme="majorBidi" w:cstheme="majorBidi"/>
          <w:b/>
          <w:bCs/>
          <w:color w:val="AE1515"/>
          <w:sz w:val="23"/>
          <w:szCs w:val="23"/>
          <w:lang w:val="en-CA" w:eastAsia="en-GB"/>
        </w:rPr>
        <w:t>*</w:t>
      </w:r>
      <w:bookmarkEnd w:id="281"/>
    </w:p>
    <w:p w14:paraId="56E63787" w14:textId="77777777" w:rsidR="005F0A67" w:rsidRPr="005F0A67" w:rsidRDefault="005F0A67" w:rsidP="005F0A67">
      <w:pPr>
        <w:widowControl w:val="0"/>
        <w:tabs>
          <w:tab w:val="clear" w:pos="567"/>
          <w:tab w:val="clear" w:pos="1134"/>
          <w:tab w:val="clear" w:pos="1701"/>
          <w:tab w:val="clear" w:pos="2268"/>
        </w:tabs>
        <w:spacing w:before="96"/>
        <w:jc w:val="left"/>
        <w:rPr>
          <w:rFonts w:asciiTheme="majorBidi" w:eastAsia="Arial" w:hAnsiTheme="majorBidi" w:cstheme="majorBidi"/>
          <w:sz w:val="14"/>
          <w:szCs w:val="14"/>
          <w:lang w:val="en-US"/>
        </w:rPr>
      </w:pPr>
    </w:p>
    <w:p w14:paraId="58ED1174" w14:textId="77777777" w:rsidR="005F0A67" w:rsidRPr="005F0A67" w:rsidRDefault="005F0A67" w:rsidP="005F0A67">
      <w:pPr>
        <w:widowControl w:val="0"/>
        <w:tabs>
          <w:tab w:val="clear" w:pos="567"/>
          <w:tab w:val="clear" w:pos="1134"/>
          <w:tab w:val="clear" w:pos="1701"/>
          <w:tab w:val="clear" w:pos="2268"/>
        </w:tabs>
        <w:spacing w:before="1" w:line="600" w:lineRule="auto"/>
        <w:ind w:left="725" w:right="5656"/>
        <w:jc w:val="left"/>
        <w:rPr>
          <w:rFonts w:asciiTheme="majorBidi" w:eastAsia="Arial" w:hAnsiTheme="majorBidi" w:cstheme="majorBidi"/>
          <w:sz w:val="14"/>
          <w:szCs w:val="14"/>
          <w:lang w:val="en-US"/>
        </w:rPr>
      </w:pPr>
      <w:r w:rsidRPr="005F0A67">
        <w:rPr>
          <w:rFonts w:asciiTheme="majorBidi" w:eastAsia="Arial" w:hAnsiTheme="majorBidi" w:cstheme="majorBidi"/>
          <w:noProof/>
          <w:position w:val="-4"/>
          <w:sz w:val="14"/>
          <w:szCs w:val="14"/>
          <w:lang w:val="en-US"/>
        </w:rPr>
        <w:drawing>
          <wp:inline distT="0" distB="0" distL="0" distR="0" wp14:anchorId="20C2EF09" wp14:editId="7158EF8D">
            <wp:extent cx="127000" cy="127000"/>
            <wp:effectExtent l="0" t="0" r="0" b="0"/>
            <wp:docPr id="59" name="Image 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 name="Image 59"/>
                    <pic:cNvPicPr/>
                  </pic:nvPicPr>
                  <pic:blipFill>
                    <a:blip r:embed="rId42" cstate="print"/>
                    <a:stretch>
                      <a:fillRect/>
                    </a:stretch>
                  </pic:blipFill>
                  <pic:spPr>
                    <a:xfrm>
                      <a:off x="0" y="0"/>
                      <a:ext cx="127000" cy="127000"/>
                    </a:xfrm>
                    <a:prstGeom prst="rect">
                      <a:avLst/>
                    </a:prstGeom>
                  </pic:spPr>
                </pic:pic>
              </a:graphicData>
            </a:graphic>
          </wp:inline>
        </w:drawing>
      </w:r>
      <w:r w:rsidRPr="005F0A67">
        <w:rPr>
          <w:rFonts w:asciiTheme="majorBidi" w:eastAsia="Arial" w:hAnsiTheme="majorBidi" w:cstheme="majorBidi"/>
          <w:spacing w:val="41"/>
          <w:sz w:val="20"/>
          <w:szCs w:val="20"/>
          <w:lang w:val="en-US"/>
        </w:rPr>
        <w:t xml:space="preserve"> </w:t>
      </w:r>
      <w:r w:rsidRPr="005F0A67">
        <w:rPr>
          <w:rFonts w:asciiTheme="majorBidi" w:eastAsia="Arial" w:hAnsiTheme="majorBidi" w:cstheme="majorBidi"/>
          <w:color w:val="242424"/>
          <w:sz w:val="14"/>
          <w:szCs w:val="14"/>
          <w:lang w:val="en-US"/>
        </w:rPr>
        <w:t>Generating</w:t>
      </w:r>
      <w:r w:rsidRPr="005F0A67">
        <w:rPr>
          <w:rFonts w:asciiTheme="majorBidi" w:eastAsia="Arial" w:hAnsiTheme="majorBidi" w:cstheme="majorBidi"/>
          <w:color w:val="242424"/>
          <w:spacing w:val="-10"/>
          <w:sz w:val="14"/>
          <w:szCs w:val="14"/>
          <w:lang w:val="en-US"/>
        </w:rPr>
        <w:t xml:space="preserve"> </w:t>
      </w:r>
      <w:r w:rsidRPr="005F0A67">
        <w:rPr>
          <w:rFonts w:asciiTheme="majorBidi" w:eastAsia="Arial" w:hAnsiTheme="majorBidi" w:cstheme="majorBidi"/>
          <w:color w:val="242424"/>
          <w:sz w:val="14"/>
          <w:szCs w:val="14"/>
          <w:lang w:val="en-US"/>
        </w:rPr>
        <w:t>DSI</w:t>
      </w:r>
      <w:r w:rsidRPr="005F0A67">
        <w:rPr>
          <w:rFonts w:asciiTheme="majorBidi" w:eastAsia="Arial" w:hAnsiTheme="majorBidi" w:cstheme="majorBidi"/>
          <w:color w:val="242424"/>
          <w:spacing w:val="-10"/>
          <w:sz w:val="14"/>
          <w:szCs w:val="14"/>
          <w:lang w:val="en-US"/>
        </w:rPr>
        <w:t xml:space="preserve"> </w:t>
      </w:r>
      <w:r w:rsidRPr="005F0A67">
        <w:rPr>
          <w:rFonts w:asciiTheme="majorBidi" w:eastAsia="Arial" w:hAnsiTheme="majorBidi" w:cstheme="majorBidi"/>
          <w:color w:val="242424"/>
          <w:sz w:val="14"/>
          <w:szCs w:val="14"/>
          <w:lang w:val="en-US"/>
        </w:rPr>
        <w:t>(sequencing)</w:t>
      </w:r>
      <w:r w:rsidRPr="005F0A67">
        <w:rPr>
          <w:rFonts w:asciiTheme="majorBidi" w:eastAsia="Arial" w:hAnsiTheme="majorBidi" w:cstheme="majorBidi"/>
          <w:color w:val="242424"/>
          <w:spacing w:val="40"/>
          <w:sz w:val="14"/>
          <w:szCs w:val="14"/>
          <w:lang w:val="en-US"/>
        </w:rPr>
        <w:t xml:space="preserve"> </w:t>
      </w:r>
      <w:r w:rsidRPr="005F0A67">
        <w:rPr>
          <w:rFonts w:asciiTheme="majorBidi" w:eastAsia="Arial" w:hAnsiTheme="majorBidi" w:cstheme="majorBidi"/>
          <w:noProof/>
          <w:color w:val="242424"/>
          <w:position w:val="-4"/>
          <w:sz w:val="14"/>
          <w:szCs w:val="14"/>
          <w:lang w:val="en-US"/>
        </w:rPr>
        <w:drawing>
          <wp:inline distT="0" distB="0" distL="0" distR="0" wp14:anchorId="7BEAF8C4" wp14:editId="005683D9">
            <wp:extent cx="127000" cy="127000"/>
            <wp:effectExtent l="0" t="0" r="0" b="0"/>
            <wp:docPr id="60" name="Image 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0" name="Image 60"/>
                    <pic:cNvPicPr/>
                  </pic:nvPicPr>
                  <pic:blipFill>
                    <a:blip r:embed="rId49" cstate="print"/>
                    <a:stretch>
                      <a:fillRect/>
                    </a:stretch>
                  </pic:blipFill>
                  <pic:spPr>
                    <a:xfrm>
                      <a:off x="0" y="0"/>
                      <a:ext cx="127000" cy="127000"/>
                    </a:xfrm>
                    <a:prstGeom prst="rect">
                      <a:avLst/>
                    </a:prstGeom>
                  </pic:spPr>
                </pic:pic>
              </a:graphicData>
            </a:graphic>
          </wp:inline>
        </w:drawing>
      </w:r>
      <w:r w:rsidRPr="005F0A67">
        <w:rPr>
          <w:rFonts w:asciiTheme="majorBidi" w:eastAsia="Arial" w:hAnsiTheme="majorBidi" w:cstheme="majorBidi"/>
          <w:color w:val="242424"/>
          <w:spacing w:val="80"/>
          <w:w w:val="105"/>
          <w:sz w:val="14"/>
          <w:szCs w:val="14"/>
          <w:lang w:val="en-US"/>
        </w:rPr>
        <w:t xml:space="preserve"> </w:t>
      </w:r>
      <w:r w:rsidRPr="005F0A67">
        <w:rPr>
          <w:rFonts w:asciiTheme="majorBidi" w:eastAsia="Arial" w:hAnsiTheme="majorBidi" w:cstheme="majorBidi"/>
          <w:color w:val="242424"/>
          <w:w w:val="105"/>
          <w:sz w:val="14"/>
          <w:szCs w:val="14"/>
          <w:lang w:val="en-US"/>
        </w:rPr>
        <w:t xml:space="preserve">Analytics </w:t>
      </w:r>
      <w:r w:rsidRPr="005F0A67">
        <w:rPr>
          <w:rFonts w:asciiTheme="majorBidi" w:eastAsia="Arial" w:hAnsiTheme="majorBidi" w:cstheme="majorBidi"/>
          <w:color w:val="242424"/>
          <w:w w:val="110"/>
          <w:sz w:val="14"/>
          <w:szCs w:val="14"/>
          <w:lang w:val="en-US"/>
        </w:rPr>
        <w:t xml:space="preserve">/ </w:t>
      </w:r>
      <w:r w:rsidRPr="005F0A67">
        <w:rPr>
          <w:rFonts w:asciiTheme="majorBidi" w:eastAsia="Arial" w:hAnsiTheme="majorBidi" w:cstheme="majorBidi"/>
          <w:color w:val="242424"/>
          <w:w w:val="105"/>
          <w:sz w:val="14"/>
          <w:szCs w:val="14"/>
          <w:lang w:val="en-US"/>
        </w:rPr>
        <w:t xml:space="preserve">bioinformatics </w:t>
      </w:r>
      <w:r w:rsidRPr="005F0A67">
        <w:rPr>
          <w:rFonts w:asciiTheme="majorBidi" w:eastAsia="Arial" w:hAnsiTheme="majorBidi" w:cstheme="majorBidi"/>
          <w:noProof/>
          <w:color w:val="242424"/>
          <w:position w:val="-4"/>
          <w:sz w:val="14"/>
          <w:szCs w:val="14"/>
          <w:lang w:val="en-US"/>
        </w:rPr>
        <w:drawing>
          <wp:inline distT="0" distB="0" distL="0" distR="0" wp14:anchorId="120CCD10" wp14:editId="10239F41">
            <wp:extent cx="127000" cy="127000"/>
            <wp:effectExtent l="0" t="0" r="0" b="0"/>
            <wp:docPr id="61" name="Image 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 name="Image 61"/>
                    <pic:cNvPicPr/>
                  </pic:nvPicPr>
                  <pic:blipFill>
                    <a:blip r:embed="rId39" cstate="print"/>
                    <a:stretch>
                      <a:fillRect/>
                    </a:stretch>
                  </pic:blipFill>
                  <pic:spPr>
                    <a:xfrm>
                      <a:off x="0" y="0"/>
                      <a:ext cx="127000" cy="127000"/>
                    </a:xfrm>
                    <a:prstGeom prst="rect">
                      <a:avLst/>
                    </a:prstGeom>
                  </pic:spPr>
                </pic:pic>
              </a:graphicData>
            </a:graphic>
          </wp:inline>
        </w:drawing>
      </w:r>
      <w:r w:rsidRPr="005F0A67">
        <w:rPr>
          <w:rFonts w:asciiTheme="majorBidi" w:eastAsia="Arial" w:hAnsiTheme="majorBidi" w:cstheme="majorBidi"/>
          <w:color w:val="242424"/>
          <w:spacing w:val="80"/>
          <w:w w:val="105"/>
          <w:sz w:val="14"/>
          <w:szCs w:val="14"/>
          <w:lang w:val="en-US"/>
        </w:rPr>
        <w:t xml:space="preserve"> </w:t>
      </w:r>
      <w:r w:rsidRPr="005F0A67">
        <w:rPr>
          <w:rFonts w:asciiTheme="majorBidi" w:eastAsia="Arial" w:hAnsiTheme="majorBidi" w:cstheme="majorBidi"/>
          <w:color w:val="242424"/>
          <w:w w:val="105"/>
          <w:sz w:val="14"/>
          <w:szCs w:val="14"/>
          <w:lang w:val="en-US"/>
        </w:rPr>
        <w:t xml:space="preserve">Storage </w:t>
      </w:r>
      <w:r w:rsidRPr="005F0A67">
        <w:rPr>
          <w:rFonts w:asciiTheme="majorBidi" w:eastAsia="Arial" w:hAnsiTheme="majorBidi" w:cstheme="majorBidi"/>
          <w:color w:val="242424"/>
          <w:w w:val="110"/>
          <w:sz w:val="14"/>
          <w:szCs w:val="14"/>
          <w:lang w:val="en-US"/>
        </w:rPr>
        <w:t xml:space="preserve">/ </w:t>
      </w:r>
      <w:r w:rsidRPr="005F0A67">
        <w:rPr>
          <w:rFonts w:asciiTheme="majorBidi" w:eastAsia="Arial" w:hAnsiTheme="majorBidi" w:cstheme="majorBidi"/>
          <w:color w:val="242424"/>
          <w:w w:val="105"/>
          <w:sz w:val="14"/>
          <w:szCs w:val="14"/>
          <w:lang w:val="en-US"/>
        </w:rPr>
        <w:t>distribution</w:t>
      </w:r>
    </w:p>
    <w:p w14:paraId="19C3800F" w14:textId="77777777" w:rsidR="005F0A67" w:rsidRPr="005F0A67" w:rsidRDefault="005F0A67" w:rsidP="005F0A67">
      <w:pPr>
        <w:widowControl w:val="0"/>
        <w:tabs>
          <w:tab w:val="clear" w:pos="567"/>
          <w:tab w:val="clear" w:pos="1134"/>
          <w:tab w:val="clear" w:pos="1701"/>
          <w:tab w:val="clear" w:pos="2268"/>
        </w:tabs>
        <w:ind w:left="725"/>
        <w:jc w:val="left"/>
        <w:rPr>
          <w:rFonts w:asciiTheme="majorBidi" w:eastAsia="Arial" w:hAnsiTheme="majorBidi" w:cstheme="majorBidi"/>
          <w:sz w:val="14"/>
          <w:szCs w:val="14"/>
          <w:lang w:val="en-US"/>
        </w:rPr>
      </w:pPr>
      <w:r w:rsidRPr="005F0A67">
        <w:rPr>
          <w:rFonts w:asciiTheme="majorBidi" w:eastAsia="Arial" w:hAnsiTheme="majorBidi" w:cstheme="majorBidi"/>
          <w:noProof/>
          <w:position w:val="-4"/>
          <w:sz w:val="14"/>
          <w:szCs w:val="14"/>
          <w:lang w:val="en-US"/>
        </w:rPr>
        <w:drawing>
          <wp:inline distT="0" distB="0" distL="0" distR="0" wp14:anchorId="41A14A8D" wp14:editId="63B5C943">
            <wp:extent cx="127000" cy="127000"/>
            <wp:effectExtent l="0" t="0" r="0" b="0"/>
            <wp:docPr id="62" name="Image 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 name="Image 62"/>
                    <pic:cNvPicPr/>
                  </pic:nvPicPr>
                  <pic:blipFill>
                    <a:blip r:embed="rId49" cstate="print"/>
                    <a:stretch>
                      <a:fillRect/>
                    </a:stretch>
                  </pic:blipFill>
                  <pic:spPr>
                    <a:xfrm>
                      <a:off x="0" y="0"/>
                      <a:ext cx="127000" cy="127000"/>
                    </a:xfrm>
                    <a:prstGeom prst="rect">
                      <a:avLst/>
                    </a:prstGeom>
                  </pic:spPr>
                </pic:pic>
              </a:graphicData>
            </a:graphic>
          </wp:inline>
        </w:drawing>
      </w:r>
      <w:r w:rsidRPr="005F0A67">
        <w:rPr>
          <w:rFonts w:asciiTheme="majorBidi" w:eastAsia="Arial" w:hAnsiTheme="majorBidi" w:cstheme="majorBidi"/>
          <w:spacing w:val="80"/>
          <w:sz w:val="20"/>
          <w:szCs w:val="20"/>
          <w:lang w:val="en-US"/>
        </w:rPr>
        <w:t xml:space="preserve"> </w:t>
      </w:r>
      <w:r w:rsidRPr="005F0A67">
        <w:rPr>
          <w:rFonts w:asciiTheme="majorBidi" w:eastAsia="Arial" w:hAnsiTheme="majorBidi" w:cstheme="majorBidi"/>
          <w:color w:val="242424"/>
          <w:sz w:val="14"/>
          <w:szCs w:val="14"/>
          <w:lang w:val="en-US"/>
        </w:rPr>
        <w:t>Using DSI in research &amp; development</w:t>
      </w:r>
    </w:p>
    <w:p w14:paraId="7C148F05" w14:textId="77777777" w:rsidR="005F0A67" w:rsidRPr="005F0A67" w:rsidRDefault="005F0A67" w:rsidP="005F0A67">
      <w:pPr>
        <w:widowControl w:val="0"/>
        <w:tabs>
          <w:tab w:val="clear" w:pos="567"/>
          <w:tab w:val="clear" w:pos="1134"/>
          <w:tab w:val="clear" w:pos="1701"/>
          <w:tab w:val="clear" w:pos="2268"/>
        </w:tabs>
        <w:spacing w:before="139"/>
        <w:jc w:val="left"/>
        <w:rPr>
          <w:rFonts w:asciiTheme="majorBidi" w:eastAsia="Arial" w:hAnsiTheme="majorBidi" w:cstheme="majorBidi"/>
          <w:sz w:val="14"/>
          <w:szCs w:val="14"/>
          <w:lang w:val="en-US"/>
        </w:rPr>
      </w:pPr>
    </w:p>
    <w:p w14:paraId="3BBFAF46" w14:textId="034F9CE1" w:rsidR="005F0A67" w:rsidRPr="005F0A67" w:rsidRDefault="005F0A67" w:rsidP="005F0A67">
      <w:pPr>
        <w:widowControl w:val="0"/>
        <w:tabs>
          <w:tab w:val="clear" w:pos="567"/>
          <w:tab w:val="clear" w:pos="1134"/>
          <w:tab w:val="clear" w:pos="1701"/>
          <w:tab w:val="clear" w:pos="2268"/>
        </w:tabs>
        <w:spacing w:line="600" w:lineRule="auto"/>
        <w:ind w:left="725" w:right="4144"/>
        <w:jc w:val="left"/>
        <w:rPr>
          <w:rFonts w:asciiTheme="majorBidi" w:eastAsia="Arial" w:hAnsiTheme="majorBidi" w:cstheme="majorBidi"/>
          <w:spacing w:val="80"/>
          <w:sz w:val="20"/>
          <w:szCs w:val="20"/>
          <w:lang w:val="en-US"/>
        </w:rPr>
      </w:pPr>
      <w:r w:rsidRPr="005F0A67">
        <w:rPr>
          <w:rFonts w:asciiTheme="majorBidi" w:eastAsia="Arial" w:hAnsiTheme="majorBidi" w:cstheme="majorBidi"/>
          <w:noProof/>
          <w:sz w:val="14"/>
          <w:szCs w:val="14"/>
          <w:lang w:val="en-US"/>
        </w:rPr>
        <w:drawing>
          <wp:inline distT="0" distB="0" distL="0" distR="0" wp14:anchorId="6577B4F5" wp14:editId="2EFEE2CD">
            <wp:extent cx="114300" cy="123825"/>
            <wp:effectExtent l="0" t="0" r="0" b="9525"/>
            <wp:docPr id="429679076"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Rot="1" noChangeAspect="1" noEditPoints="1" noChangeArrowheads="1" noCrop="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14300" cy="123825"/>
                    </a:xfrm>
                    <a:prstGeom prst="rect">
                      <a:avLst/>
                    </a:prstGeom>
                    <a:noFill/>
                    <a:ln>
                      <a:noFill/>
                    </a:ln>
                  </pic:spPr>
                </pic:pic>
              </a:graphicData>
            </a:graphic>
          </wp:inline>
        </w:drawing>
      </w:r>
      <w:r w:rsidRPr="005F0A67">
        <w:rPr>
          <w:rFonts w:asciiTheme="majorBidi" w:eastAsia="Arial" w:hAnsiTheme="majorBidi" w:cstheme="majorBidi"/>
          <w:noProof/>
          <w:sz w:val="14"/>
          <w:szCs w:val="14"/>
          <w:lang w:val="en-US"/>
        </w:rPr>
        <w:drawing>
          <wp:inline distT="0" distB="0" distL="0" distR="0" wp14:anchorId="3C66106B" wp14:editId="2BA2C814">
            <wp:extent cx="114300" cy="114300"/>
            <wp:effectExtent l="0" t="0" r="0" b="0"/>
            <wp:docPr id="78983938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Rot="1" noChangeAspect="1" noEditPoints="1" noChangeArrowheads="1" noCrop="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5F0A67">
        <w:rPr>
          <w:rFonts w:asciiTheme="majorBidi" w:eastAsia="Arial" w:hAnsiTheme="majorBidi" w:cstheme="majorBidi"/>
          <w:spacing w:val="80"/>
          <w:sz w:val="20"/>
          <w:szCs w:val="20"/>
          <w:lang w:val="en-US"/>
        </w:rPr>
        <w:t xml:space="preserve"> </w:t>
      </w:r>
      <w:r w:rsidRPr="005F0A67">
        <w:rPr>
          <w:rFonts w:asciiTheme="majorBidi" w:eastAsia="Arial" w:hAnsiTheme="majorBidi" w:cstheme="majorBidi"/>
          <w:color w:val="242424"/>
          <w:sz w:val="14"/>
          <w:szCs w:val="14"/>
          <w:lang w:val="en-US"/>
        </w:rPr>
        <w:t>Using</w:t>
      </w:r>
      <w:r w:rsidRPr="005F0A67">
        <w:rPr>
          <w:rFonts w:asciiTheme="majorBidi" w:eastAsia="Arial" w:hAnsiTheme="majorBidi" w:cstheme="majorBidi"/>
          <w:color w:val="242424"/>
          <w:spacing w:val="-2"/>
          <w:sz w:val="14"/>
          <w:szCs w:val="14"/>
          <w:lang w:val="en-US"/>
        </w:rPr>
        <w:t xml:space="preserve"> </w:t>
      </w:r>
      <w:r w:rsidRPr="005F0A67">
        <w:rPr>
          <w:rFonts w:asciiTheme="majorBidi" w:eastAsia="Arial" w:hAnsiTheme="majorBidi" w:cstheme="majorBidi"/>
          <w:color w:val="242424"/>
          <w:sz w:val="14"/>
          <w:szCs w:val="14"/>
          <w:lang w:val="en-US"/>
        </w:rPr>
        <w:t>DSI</w:t>
      </w:r>
      <w:r w:rsidRPr="005F0A67">
        <w:rPr>
          <w:rFonts w:asciiTheme="majorBidi" w:eastAsia="Arial" w:hAnsiTheme="majorBidi" w:cstheme="majorBidi"/>
          <w:color w:val="242424"/>
          <w:spacing w:val="-2"/>
          <w:sz w:val="14"/>
          <w:szCs w:val="14"/>
          <w:lang w:val="en-US"/>
        </w:rPr>
        <w:t xml:space="preserve"> </w:t>
      </w:r>
      <w:r w:rsidRPr="005F0A67">
        <w:rPr>
          <w:rFonts w:asciiTheme="majorBidi" w:eastAsia="Arial" w:hAnsiTheme="majorBidi" w:cstheme="majorBidi"/>
          <w:color w:val="242424"/>
          <w:sz w:val="14"/>
          <w:szCs w:val="14"/>
          <w:lang w:val="en-US"/>
        </w:rPr>
        <w:t>in</w:t>
      </w:r>
      <w:r w:rsidRPr="005F0A67">
        <w:rPr>
          <w:rFonts w:asciiTheme="majorBidi" w:eastAsia="Arial" w:hAnsiTheme="majorBidi" w:cstheme="majorBidi"/>
          <w:color w:val="242424"/>
          <w:spacing w:val="-2"/>
          <w:sz w:val="14"/>
          <w:szCs w:val="14"/>
          <w:lang w:val="en-US"/>
        </w:rPr>
        <w:t xml:space="preserve"> </w:t>
      </w:r>
      <w:r w:rsidRPr="005F0A67">
        <w:rPr>
          <w:rFonts w:asciiTheme="majorBidi" w:eastAsia="Arial" w:hAnsiTheme="majorBidi" w:cstheme="majorBidi"/>
          <w:color w:val="242424"/>
          <w:sz w:val="14"/>
          <w:szCs w:val="14"/>
          <w:lang w:val="en-US"/>
        </w:rPr>
        <w:t>product</w:t>
      </w:r>
      <w:r w:rsidRPr="005F0A67">
        <w:rPr>
          <w:rFonts w:asciiTheme="majorBidi" w:eastAsia="Arial" w:hAnsiTheme="majorBidi" w:cstheme="majorBidi"/>
          <w:color w:val="242424"/>
          <w:spacing w:val="-2"/>
          <w:sz w:val="14"/>
          <w:szCs w:val="14"/>
          <w:lang w:val="en-US"/>
        </w:rPr>
        <w:t xml:space="preserve"> </w:t>
      </w:r>
      <w:r w:rsidRPr="005F0A67">
        <w:rPr>
          <w:rFonts w:asciiTheme="majorBidi" w:eastAsia="Arial" w:hAnsiTheme="majorBidi" w:cstheme="majorBidi"/>
          <w:color w:val="242424"/>
          <w:sz w:val="14"/>
          <w:szCs w:val="14"/>
          <w:lang w:val="en-US"/>
        </w:rPr>
        <w:t>development</w:t>
      </w:r>
      <w:r w:rsidRPr="005F0A67">
        <w:rPr>
          <w:rFonts w:asciiTheme="majorBidi" w:eastAsia="Arial" w:hAnsiTheme="majorBidi" w:cstheme="majorBidi"/>
          <w:color w:val="242424"/>
          <w:spacing w:val="-2"/>
          <w:sz w:val="14"/>
          <w:szCs w:val="14"/>
          <w:lang w:val="en-US"/>
        </w:rPr>
        <w:t xml:space="preserve"> </w:t>
      </w:r>
      <w:r w:rsidRPr="005F0A67">
        <w:rPr>
          <w:rFonts w:asciiTheme="majorBidi" w:eastAsia="Arial" w:hAnsiTheme="majorBidi" w:cstheme="majorBidi"/>
          <w:color w:val="242424"/>
          <w:w w:val="110"/>
          <w:sz w:val="14"/>
          <w:szCs w:val="14"/>
          <w:lang w:val="en-US"/>
        </w:rPr>
        <w:t>/</w:t>
      </w:r>
      <w:r w:rsidRPr="005F0A67">
        <w:rPr>
          <w:rFonts w:asciiTheme="majorBidi" w:eastAsia="Arial" w:hAnsiTheme="majorBidi" w:cstheme="majorBidi"/>
          <w:color w:val="242424"/>
          <w:spacing w:val="-6"/>
          <w:w w:val="110"/>
          <w:sz w:val="14"/>
          <w:szCs w:val="14"/>
          <w:lang w:val="en-US"/>
        </w:rPr>
        <w:t xml:space="preserve"> </w:t>
      </w:r>
      <w:r w:rsidRPr="005F0A67">
        <w:rPr>
          <w:rFonts w:asciiTheme="majorBidi" w:eastAsia="Arial" w:hAnsiTheme="majorBidi" w:cstheme="majorBidi"/>
          <w:color w:val="242424"/>
          <w:sz w:val="14"/>
          <w:szCs w:val="14"/>
          <w:lang w:val="en-US"/>
        </w:rPr>
        <w:t>manufacturing</w:t>
      </w:r>
      <w:r w:rsidRPr="005F0A67">
        <w:rPr>
          <w:rFonts w:asciiTheme="majorBidi" w:eastAsia="Arial" w:hAnsiTheme="majorBidi" w:cstheme="majorBidi"/>
          <w:color w:val="242424"/>
          <w:spacing w:val="40"/>
          <w:sz w:val="14"/>
          <w:szCs w:val="14"/>
          <w:lang w:val="en-US"/>
        </w:rPr>
        <w:t xml:space="preserve"> </w:t>
      </w:r>
      <w:r w:rsidRPr="005F0A67">
        <w:rPr>
          <w:rFonts w:asciiTheme="majorBidi" w:eastAsia="Arial" w:hAnsiTheme="majorBidi" w:cstheme="majorBidi"/>
          <w:noProof/>
          <w:color w:val="242424"/>
          <w:position w:val="-4"/>
          <w:sz w:val="14"/>
          <w:szCs w:val="14"/>
          <w:lang w:val="en-US"/>
        </w:rPr>
        <w:drawing>
          <wp:inline distT="0" distB="0" distL="0" distR="0" wp14:anchorId="4FF6EAAD" wp14:editId="4E95D8CC">
            <wp:extent cx="127000" cy="127000"/>
            <wp:effectExtent l="0" t="0" r="0" b="0"/>
            <wp:docPr id="64" name="Image 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 name="Image 64"/>
                    <pic:cNvPicPr/>
                  </pic:nvPicPr>
                  <pic:blipFill>
                    <a:blip r:embed="rId39" cstate="print"/>
                    <a:stretch>
                      <a:fillRect/>
                    </a:stretch>
                  </pic:blipFill>
                  <pic:spPr>
                    <a:xfrm>
                      <a:off x="0" y="0"/>
                      <a:ext cx="127000" cy="127000"/>
                    </a:xfrm>
                    <a:prstGeom prst="rect">
                      <a:avLst/>
                    </a:prstGeom>
                  </pic:spPr>
                </pic:pic>
              </a:graphicData>
            </a:graphic>
          </wp:inline>
        </w:drawing>
      </w:r>
      <w:r w:rsidRPr="005F0A67">
        <w:rPr>
          <w:rFonts w:asciiTheme="majorBidi" w:eastAsia="Arial" w:hAnsiTheme="majorBidi" w:cstheme="majorBidi"/>
          <w:color w:val="242424"/>
          <w:spacing w:val="80"/>
          <w:sz w:val="14"/>
          <w:szCs w:val="14"/>
          <w:lang w:val="en-US"/>
        </w:rPr>
        <w:t xml:space="preserve"> </w:t>
      </w:r>
      <w:r w:rsidRPr="005F0A67">
        <w:rPr>
          <w:rFonts w:asciiTheme="majorBidi" w:eastAsia="Arial" w:hAnsiTheme="majorBidi" w:cstheme="majorBidi"/>
          <w:color w:val="242424"/>
          <w:sz w:val="14"/>
          <w:szCs w:val="14"/>
          <w:lang w:val="en-US"/>
        </w:rPr>
        <w:t>Providing downstream services based on DSI</w:t>
      </w:r>
    </w:p>
    <w:p w14:paraId="43B3DF08" w14:textId="77777777" w:rsidR="005F0A67" w:rsidRPr="005F0A67" w:rsidRDefault="005F0A67" w:rsidP="005F0A67">
      <w:pPr>
        <w:widowControl w:val="0"/>
        <w:tabs>
          <w:tab w:val="clear" w:pos="567"/>
          <w:tab w:val="clear" w:pos="1134"/>
          <w:tab w:val="clear" w:pos="1701"/>
          <w:tab w:val="clear" w:pos="2268"/>
        </w:tabs>
        <w:spacing w:line="600" w:lineRule="auto"/>
        <w:ind w:left="725" w:right="4144"/>
        <w:jc w:val="left"/>
        <w:rPr>
          <w:rFonts w:asciiTheme="majorBidi" w:eastAsia="Arial" w:hAnsiTheme="majorBidi" w:cstheme="majorBidi"/>
          <w:sz w:val="14"/>
          <w:szCs w:val="14"/>
          <w:lang w:val="en-US"/>
        </w:rPr>
      </w:pPr>
      <w:r w:rsidRPr="005F0A67">
        <w:rPr>
          <w:rFonts w:asciiTheme="majorBidi" w:eastAsia="Arial" w:hAnsiTheme="majorBidi" w:cstheme="majorBidi"/>
          <w:color w:val="202020"/>
          <w:sz w:val="14"/>
          <w:szCs w:val="14"/>
          <w:lang w:val="en-US"/>
        </w:rPr>
        <w:t>Other</w:t>
      </w:r>
    </w:p>
    <w:p w14:paraId="667FFE23" w14:textId="77777777" w:rsidR="005F0A67" w:rsidRPr="005F0A67" w:rsidRDefault="005F0A67" w:rsidP="003A387A">
      <w:pPr>
        <w:numPr>
          <w:ilvl w:val="0"/>
          <w:numId w:val="44"/>
        </w:numPr>
        <w:tabs>
          <w:tab w:val="clear" w:pos="567"/>
          <w:tab w:val="clear" w:pos="1134"/>
          <w:tab w:val="clear" w:pos="1701"/>
          <w:tab w:val="clear" w:pos="2268"/>
          <w:tab w:val="num" w:pos="360"/>
          <w:tab w:val="left" w:pos="703"/>
          <w:tab w:val="left" w:pos="705"/>
        </w:tabs>
        <w:spacing w:before="97" w:after="160" w:line="271" w:lineRule="auto"/>
        <w:ind w:left="360" w:right="974" w:hanging="281"/>
        <w:jc w:val="left"/>
        <w:outlineLvl w:val="2"/>
        <w:rPr>
          <w:rFonts w:asciiTheme="majorBidi" w:eastAsia="Arial" w:hAnsiTheme="majorBidi" w:cstheme="majorBidi"/>
          <w:b/>
          <w:bCs/>
          <w:color w:val="7F7F7F"/>
          <w:sz w:val="23"/>
          <w:szCs w:val="23"/>
          <w:lang w:val="en-CA" w:eastAsia="en-GB"/>
        </w:rPr>
      </w:pPr>
      <w:bookmarkStart w:id="282" w:name="_Toc234579636"/>
      <w:r w:rsidRPr="005F0A67">
        <w:rPr>
          <w:rFonts w:asciiTheme="majorBidi" w:eastAsia="Georgia" w:hAnsiTheme="majorBidi" w:cstheme="majorBidi"/>
          <w:color w:val="242424"/>
          <w:sz w:val="17"/>
          <w:szCs w:val="17"/>
          <w:lang w:val="en-CA" w:eastAsia="en-GB"/>
        </w:rPr>
        <w:t>Which of the following roles and activities does your organisation perform in the DSI value chain? Select all your secondary activities.</w:t>
      </w:r>
      <w:r w:rsidRPr="005F0A67">
        <w:rPr>
          <w:rFonts w:asciiTheme="majorBidi" w:eastAsia="Arial" w:hAnsiTheme="majorBidi" w:cstheme="majorBidi"/>
          <w:b/>
          <w:bCs/>
          <w:color w:val="242424"/>
          <w:sz w:val="23"/>
          <w:szCs w:val="23"/>
          <w:lang w:val="en-CA" w:eastAsia="en-GB"/>
        </w:rPr>
        <w:t xml:space="preserve"> </w:t>
      </w:r>
      <w:r w:rsidRPr="005F0A67">
        <w:rPr>
          <w:rFonts w:asciiTheme="majorBidi" w:eastAsia="Arial" w:hAnsiTheme="majorBidi" w:cstheme="majorBidi"/>
          <w:b/>
          <w:bCs/>
          <w:color w:val="AE1515"/>
          <w:sz w:val="23"/>
          <w:szCs w:val="23"/>
          <w:lang w:val="en-CA" w:eastAsia="en-GB"/>
        </w:rPr>
        <w:t>*</w:t>
      </w:r>
      <w:bookmarkEnd w:id="282"/>
    </w:p>
    <w:p w14:paraId="57456273" w14:textId="77777777" w:rsidR="005F0A67" w:rsidRPr="005F0A67" w:rsidRDefault="005F0A67" w:rsidP="005F0A67">
      <w:pPr>
        <w:widowControl w:val="0"/>
        <w:tabs>
          <w:tab w:val="clear" w:pos="567"/>
          <w:tab w:val="clear" w:pos="1134"/>
          <w:tab w:val="clear" w:pos="1701"/>
          <w:tab w:val="clear" w:pos="2268"/>
        </w:tabs>
        <w:spacing w:before="96"/>
        <w:jc w:val="left"/>
        <w:rPr>
          <w:rFonts w:asciiTheme="majorBidi" w:eastAsia="Arial" w:hAnsiTheme="majorBidi" w:cstheme="majorBidi"/>
          <w:sz w:val="14"/>
          <w:szCs w:val="14"/>
          <w:lang w:val="en-US"/>
        </w:rPr>
      </w:pPr>
    </w:p>
    <w:p w14:paraId="1BDEB889" w14:textId="77777777" w:rsidR="005F0A67" w:rsidRPr="005F0A67" w:rsidRDefault="005F0A67" w:rsidP="005F0A67">
      <w:pPr>
        <w:widowControl w:val="0"/>
        <w:tabs>
          <w:tab w:val="clear" w:pos="567"/>
          <w:tab w:val="clear" w:pos="1134"/>
          <w:tab w:val="clear" w:pos="1701"/>
          <w:tab w:val="clear" w:pos="2268"/>
        </w:tabs>
        <w:spacing w:before="1" w:line="600" w:lineRule="auto"/>
        <w:ind w:left="725" w:right="5656"/>
        <w:jc w:val="left"/>
        <w:rPr>
          <w:rFonts w:asciiTheme="majorBidi" w:eastAsia="Arial" w:hAnsiTheme="majorBidi" w:cstheme="majorBidi"/>
          <w:sz w:val="14"/>
          <w:szCs w:val="14"/>
          <w:lang w:val="en-US"/>
        </w:rPr>
      </w:pPr>
      <w:r w:rsidRPr="005F0A67">
        <w:rPr>
          <w:rFonts w:asciiTheme="majorBidi" w:eastAsia="Arial" w:hAnsiTheme="majorBidi" w:cstheme="majorBidi"/>
          <w:noProof/>
          <w:position w:val="-4"/>
          <w:sz w:val="14"/>
          <w:szCs w:val="14"/>
          <w:lang w:val="en-US"/>
        </w:rPr>
        <w:drawing>
          <wp:inline distT="0" distB="0" distL="0" distR="0" wp14:anchorId="65AADDCD" wp14:editId="670BFD8D">
            <wp:extent cx="127000" cy="127000"/>
            <wp:effectExtent l="0" t="0" r="0" b="0"/>
            <wp:docPr id="66" name="Image 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 name="Image 66"/>
                    <pic:cNvPicPr/>
                  </pic:nvPicPr>
                  <pic:blipFill>
                    <a:blip r:embed="rId41" cstate="print"/>
                    <a:stretch>
                      <a:fillRect/>
                    </a:stretch>
                  </pic:blipFill>
                  <pic:spPr>
                    <a:xfrm>
                      <a:off x="0" y="0"/>
                      <a:ext cx="127000" cy="127000"/>
                    </a:xfrm>
                    <a:prstGeom prst="rect">
                      <a:avLst/>
                    </a:prstGeom>
                  </pic:spPr>
                </pic:pic>
              </a:graphicData>
            </a:graphic>
          </wp:inline>
        </w:drawing>
      </w:r>
      <w:r w:rsidRPr="005F0A67">
        <w:rPr>
          <w:rFonts w:asciiTheme="majorBidi" w:eastAsia="Arial" w:hAnsiTheme="majorBidi" w:cstheme="majorBidi"/>
          <w:spacing w:val="41"/>
          <w:sz w:val="20"/>
          <w:szCs w:val="20"/>
          <w:lang w:val="en-US"/>
        </w:rPr>
        <w:t xml:space="preserve"> </w:t>
      </w:r>
      <w:r w:rsidRPr="005F0A67">
        <w:rPr>
          <w:rFonts w:asciiTheme="majorBidi" w:eastAsia="Arial" w:hAnsiTheme="majorBidi" w:cstheme="majorBidi"/>
          <w:color w:val="242424"/>
          <w:sz w:val="14"/>
          <w:szCs w:val="14"/>
          <w:lang w:val="en-US"/>
        </w:rPr>
        <w:t>Generating</w:t>
      </w:r>
      <w:r w:rsidRPr="005F0A67">
        <w:rPr>
          <w:rFonts w:asciiTheme="majorBidi" w:eastAsia="Arial" w:hAnsiTheme="majorBidi" w:cstheme="majorBidi"/>
          <w:color w:val="242424"/>
          <w:spacing w:val="-10"/>
          <w:sz w:val="14"/>
          <w:szCs w:val="14"/>
          <w:lang w:val="en-US"/>
        </w:rPr>
        <w:t xml:space="preserve"> </w:t>
      </w:r>
      <w:r w:rsidRPr="005F0A67">
        <w:rPr>
          <w:rFonts w:asciiTheme="majorBidi" w:eastAsia="Arial" w:hAnsiTheme="majorBidi" w:cstheme="majorBidi"/>
          <w:color w:val="242424"/>
          <w:sz w:val="14"/>
          <w:szCs w:val="14"/>
          <w:lang w:val="en-US"/>
        </w:rPr>
        <w:t>DSI</w:t>
      </w:r>
      <w:r w:rsidRPr="005F0A67">
        <w:rPr>
          <w:rFonts w:asciiTheme="majorBidi" w:eastAsia="Arial" w:hAnsiTheme="majorBidi" w:cstheme="majorBidi"/>
          <w:color w:val="242424"/>
          <w:spacing w:val="-10"/>
          <w:sz w:val="14"/>
          <w:szCs w:val="14"/>
          <w:lang w:val="en-US"/>
        </w:rPr>
        <w:t xml:space="preserve"> </w:t>
      </w:r>
      <w:r w:rsidRPr="005F0A67">
        <w:rPr>
          <w:rFonts w:asciiTheme="majorBidi" w:eastAsia="Arial" w:hAnsiTheme="majorBidi" w:cstheme="majorBidi"/>
          <w:color w:val="242424"/>
          <w:sz w:val="14"/>
          <w:szCs w:val="14"/>
          <w:lang w:val="en-US"/>
        </w:rPr>
        <w:t>(sequencing)</w:t>
      </w:r>
      <w:r w:rsidRPr="005F0A67">
        <w:rPr>
          <w:rFonts w:asciiTheme="majorBidi" w:eastAsia="Arial" w:hAnsiTheme="majorBidi" w:cstheme="majorBidi"/>
          <w:color w:val="242424"/>
          <w:spacing w:val="40"/>
          <w:sz w:val="14"/>
          <w:szCs w:val="14"/>
          <w:lang w:val="en-US"/>
        </w:rPr>
        <w:t xml:space="preserve"> </w:t>
      </w:r>
      <w:r w:rsidRPr="005F0A67">
        <w:rPr>
          <w:rFonts w:asciiTheme="majorBidi" w:eastAsia="Arial" w:hAnsiTheme="majorBidi" w:cstheme="majorBidi"/>
          <w:noProof/>
          <w:color w:val="242424"/>
          <w:position w:val="-4"/>
          <w:sz w:val="14"/>
          <w:szCs w:val="14"/>
          <w:lang w:val="en-US"/>
        </w:rPr>
        <w:drawing>
          <wp:inline distT="0" distB="0" distL="0" distR="0" wp14:anchorId="520B02A2" wp14:editId="0B70D6B9">
            <wp:extent cx="127000" cy="127000"/>
            <wp:effectExtent l="0" t="0" r="0" b="0"/>
            <wp:docPr id="67" name="Image 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 name="Image 67"/>
                    <pic:cNvPicPr/>
                  </pic:nvPicPr>
                  <pic:blipFill>
                    <a:blip r:embed="rId40" cstate="print"/>
                    <a:stretch>
                      <a:fillRect/>
                    </a:stretch>
                  </pic:blipFill>
                  <pic:spPr>
                    <a:xfrm>
                      <a:off x="0" y="0"/>
                      <a:ext cx="127000" cy="127000"/>
                    </a:xfrm>
                    <a:prstGeom prst="rect">
                      <a:avLst/>
                    </a:prstGeom>
                  </pic:spPr>
                </pic:pic>
              </a:graphicData>
            </a:graphic>
          </wp:inline>
        </w:drawing>
      </w:r>
      <w:r w:rsidRPr="005F0A67">
        <w:rPr>
          <w:rFonts w:asciiTheme="majorBidi" w:eastAsia="Arial" w:hAnsiTheme="majorBidi" w:cstheme="majorBidi"/>
          <w:color w:val="242424"/>
          <w:spacing w:val="80"/>
          <w:w w:val="105"/>
          <w:sz w:val="14"/>
          <w:szCs w:val="14"/>
          <w:lang w:val="en-US"/>
        </w:rPr>
        <w:t xml:space="preserve"> </w:t>
      </w:r>
      <w:r w:rsidRPr="005F0A67">
        <w:rPr>
          <w:rFonts w:asciiTheme="majorBidi" w:eastAsia="Arial" w:hAnsiTheme="majorBidi" w:cstheme="majorBidi"/>
          <w:color w:val="242424"/>
          <w:w w:val="105"/>
          <w:sz w:val="14"/>
          <w:szCs w:val="14"/>
          <w:lang w:val="en-US"/>
        </w:rPr>
        <w:t xml:space="preserve">Analytics </w:t>
      </w:r>
      <w:r w:rsidRPr="005F0A67">
        <w:rPr>
          <w:rFonts w:asciiTheme="majorBidi" w:eastAsia="Arial" w:hAnsiTheme="majorBidi" w:cstheme="majorBidi"/>
          <w:color w:val="242424"/>
          <w:w w:val="110"/>
          <w:sz w:val="14"/>
          <w:szCs w:val="14"/>
          <w:lang w:val="en-US"/>
        </w:rPr>
        <w:t xml:space="preserve">/ </w:t>
      </w:r>
      <w:r w:rsidRPr="005F0A67">
        <w:rPr>
          <w:rFonts w:asciiTheme="majorBidi" w:eastAsia="Arial" w:hAnsiTheme="majorBidi" w:cstheme="majorBidi"/>
          <w:color w:val="242424"/>
          <w:w w:val="105"/>
          <w:sz w:val="14"/>
          <w:szCs w:val="14"/>
          <w:lang w:val="en-US"/>
        </w:rPr>
        <w:t xml:space="preserve">bioinformatics </w:t>
      </w:r>
      <w:r w:rsidRPr="005F0A67">
        <w:rPr>
          <w:rFonts w:asciiTheme="majorBidi" w:eastAsia="Arial" w:hAnsiTheme="majorBidi" w:cstheme="majorBidi"/>
          <w:noProof/>
          <w:color w:val="242424"/>
          <w:position w:val="-4"/>
          <w:sz w:val="14"/>
          <w:szCs w:val="14"/>
          <w:lang w:val="en-US"/>
        </w:rPr>
        <w:drawing>
          <wp:inline distT="0" distB="0" distL="0" distR="0" wp14:anchorId="02EA30D5" wp14:editId="6D6002A4">
            <wp:extent cx="127000" cy="127000"/>
            <wp:effectExtent l="0" t="0" r="0" b="0"/>
            <wp:docPr id="68" name="Image 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8" name="Image 68"/>
                    <pic:cNvPicPr/>
                  </pic:nvPicPr>
                  <pic:blipFill>
                    <a:blip r:embed="rId41" cstate="print"/>
                    <a:stretch>
                      <a:fillRect/>
                    </a:stretch>
                  </pic:blipFill>
                  <pic:spPr>
                    <a:xfrm>
                      <a:off x="0" y="0"/>
                      <a:ext cx="127000" cy="127000"/>
                    </a:xfrm>
                    <a:prstGeom prst="rect">
                      <a:avLst/>
                    </a:prstGeom>
                  </pic:spPr>
                </pic:pic>
              </a:graphicData>
            </a:graphic>
          </wp:inline>
        </w:drawing>
      </w:r>
      <w:r w:rsidRPr="005F0A67">
        <w:rPr>
          <w:rFonts w:asciiTheme="majorBidi" w:eastAsia="Arial" w:hAnsiTheme="majorBidi" w:cstheme="majorBidi"/>
          <w:color w:val="242424"/>
          <w:spacing w:val="80"/>
          <w:w w:val="105"/>
          <w:sz w:val="14"/>
          <w:szCs w:val="14"/>
          <w:lang w:val="en-US"/>
        </w:rPr>
        <w:t xml:space="preserve"> </w:t>
      </w:r>
      <w:r w:rsidRPr="005F0A67">
        <w:rPr>
          <w:rFonts w:asciiTheme="majorBidi" w:eastAsia="Arial" w:hAnsiTheme="majorBidi" w:cstheme="majorBidi"/>
          <w:color w:val="242424"/>
          <w:w w:val="105"/>
          <w:sz w:val="14"/>
          <w:szCs w:val="14"/>
          <w:lang w:val="en-US"/>
        </w:rPr>
        <w:t xml:space="preserve">Storage </w:t>
      </w:r>
      <w:r w:rsidRPr="005F0A67">
        <w:rPr>
          <w:rFonts w:asciiTheme="majorBidi" w:eastAsia="Arial" w:hAnsiTheme="majorBidi" w:cstheme="majorBidi"/>
          <w:color w:val="242424"/>
          <w:w w:val="110"/>
          <w:sz w:val="14"/>
          <w:szCs w:val="14"/>
          <w:lang w:val="en-US"/>
        </w:rPr>
        <w:t xml:space="preserve">/ </w:t>
      </w:r>
      <w:r w:rsidRPr="005F0A67">
        <w:rPr>
          <w:rFonts w:asciiTheme="majorBidi" w:eastAsia="Arial" w:hAnsiTheme="majorBidi" w:cstheme="majorBidi"/>
          <w:color w:val="242424"/>
          <w:w w:val="105"/>
          <w:sz w:val="14"/>
          <w:szCs w:val="14"/>
          <w:lang w:val="en-US"/>
        </w:rPr>
        <w:t>distribution</w:t>
      </w:r>
    </w:p>
    <w:p w14:paraId="4A5A22AE" w14:textId="77777777" w:rsidR="005F0A67" w:rsidRPr="005F0A67" w:rsidRDefault="005F0A67" w:rsidP="005F0A67">
      <w:pPr>
        <w:widowControl w:val="0"/>
        <w:tabs>
          <w:tab w:val="clear" w:pos="567"/>
          <w:tab w:val="clear" w:pos="1134"/>
          <w:tab w:val="clear" w:pos="1701"/>
          <w:tab w:val="clear" w:pos="2268"/>
        </w:tabs>
        <w:ind w:left="725"/>
        <w:jc w:val="left"/>
        <w:rPr>
          <w:rFonts w:asciiTheme="majorBidi" w:eastAsia="Arial" w:hAnsiTheme="majorBidi" w:cstheme="majorBidi"/>
          <w:sz w:val="14"/>
          <w:szCs w:val="14"/>
          <w:lang w:val="en-US"/>
        </w:rPr>
      </w:pPr>
      <w:r w:rsidRPr="005F0A67">
        <w:rPr>
          <w:rFonts w:asciiTheme="majorBidi" w:eastAsia="Arial" w:hAnsiTheme="majorBidi" w:cstheme="majorBidi"/>
          <w:noProof/>
          <w:position w:val="-4"/>
          <w:sz w:val="14"/>
          <w:szCs w:val="14"/>
          <w:lang w:val="en-US"/>
        </w:rPr>
        <w:drawing>
          <wp:inline distT="0" distB="0" distL="0" distR="0" wp14:anchorId="17522E51" wp14:editId="46C790A6">
            <wp:extent cx="127000" cy="127000"/>
            <wp:effectExtent l="0" t="0" r="0" b="0"/>
            <wp:docPr id="69" name="Image 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 name="Image 69"/>
                    <pic:cNvPicPr/>
                  </pic:nvPicPr>
                  <pic:blipFill>
                    <a:blip r:embed="rId41" cstate="print"/>
                    <a:stretch>
                      <a:fillRect/>
                    </a:stretch>
                  </pic:blipFill>
                  <pic:spPr>
                    <a:xfrm>
                      <a:off x="0" y="0"/>
                      <a:ext cx="127000" cy="127000"/>
                    </a:xfrm>
                    <a:prstGeom prst="rect">
                      <a:avLst/>
                    </a:prstGeom>
                  </pic:spPr>
                </pic:pic>
              </a:graphicData>
            </a:graphic>
          </wp:inline>
        </w:drawing>
      </w:r>
      <w:r w:rsidRPr="005F0A67">
        <w:rPr>
          <w:rFonts w:asciiTheme="majorBidi" w:eastAsia="Arial" w:hAnsiTheme="majorBidi" w:cstheme="majorBidi"/>
          <w:spacing w:val="80"/>
          <w:sz w:val="20"/>
          <w:szCs w:val="20"/>
          <w:lang w:val="en-US"/>
        </w:rPr>
        <w:t xml:space="preserve"> </w:t>
      </w:r>
      <w:r w:rsidRPr="005F0A67">
        <w:rPr>
          <w:rFonts w:asciiTheme="majorBidi" w:eastAsia="Arial" w:hAnsiTheme="majorBidi" w:cstheme="majorBidi"/>
          <w:color w:val="242424"/>
          <w:sz w:val="14"/>
          <w:szCs w:val="14"/>
          <w:lang w:val="en-US"/>
        </w:rPr>
        <w:t>Using DSI in research &amp; development</w:t>
      </w:r>
    </w:p>
    <w:p w14:paraId="7EF14EEA" w14:textId="77777777" w:rsidR="005F0A67" w:rsidRPr="005F0A67" w:rsidRDefault="005F0A67" w:rsidP="005F0A67">
      <w:pPr>
        <w:widowControl w:val="0"/>
        <w:tabs>
          <w:tab w:val="clear" w:pos="567"/>
          <w:tab w:val="clear" w:pos="1134"/>
          <w:tab w:val="clear" w:pos="1701"/>
          <w:tab w:val="clear" w:pos="2268"/>
        </w:tabs>
        <w:spacing w:before="138"/>
        <w:jc w:val="left"/>
        <w:rPr>
          <w:rFonts w:asciiTheme="majorBidi" w:eastAsia="Arial" w:hAnsiTheme="majorBidi" w:cstheme="majorBidi"/>
          <w:sz w:val="14"/>
          <w:szCs w:val="14"/>
          <w:lang w:val="en-US"/>
        </w:rPr>
      </w:pPr>
    </w:p>
    <w:p w14:paraId="0A6D61D2" w14:textId="77777777" w:rsidR="005F0A67" w:rsidRPr="005F0A67" w:rsidRDefault="005F0A67" w:rsidP="005F0A67">
      <w:pPr>
        <w:widowControl w:val="0"/>
        <w:tabs>
          <w:tab w:val="clear" w:pos="567"/>
          <w:tab w:val="clear" w:pos="1134"/>
          <w:tab w:val="clear" w:pos="1701"/>
          <w:tab w:val="clear" w:pos="2268"/>
        </w:tabs>
        <w:spacing w:before="1" w:line="600" w:lineRule="auto"/>
        <w:ind w:left="725" w:right="4144"/>
        <w:jc w:val="left"/>
        <w:rPr>
          <w:rFonts w:asciiTheme="majorBidi" w:eastAsia="Arial" w:hAnsiTheme="majorBidi" w:cstheme="majorBidi"/>
          <w:sz w:val="14"/>
          <w:szCs w:val="14"/>
          <w:lang w:val="en-US"/>
        </w:rPr>
      </w:pPr>
      <w:r w:rsidRPr="005F0A67">
        <w:rPr>
          <w:rFonts w:asciiTheme="majorBidi" w:eastAsia="Arial" w:hAnsiTheme="majorBidi" w:cstheme="majorBidi"/>
          <w:noProof/>
          <w:position w:val="-4"/>
          <w:sz w:val="14"/>
          <w:szCs w:val="14"/>
          <w:lang w:val="en-US"/>
        </w:rPr>
        <w:drawing>
          <wp:inline distT="0" distB="0" distL="0" distR="0" wp14:anchorId="7105051F" wp14:editId="68A267C7">
            <wp:extent cx="127000" cy="127000"/>
            <wp:effectExtent l="0" t="0" r="0" b="0"/>
            <wp:docPr id="70" name="Image 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0" name="Image 70"/>
                    <pic:cNvPicPr/>
                  </pic:nvPicPr>
                  <pic:blipFill>
                    <a:blip r:embed="rId40" cstate="print"/>
                    <a:stretch>
                      <a:fillRect/>
                    </a:stretch>
                  </pic:blipFill>
                  <pic:spPr>
                    <a:xfrm>
                      <a:off x="0" y="0"/>
                      <a:ext cx="127000" cy="127000"/>
                    </a:xfrm>
                    <a:prstGeom prst="rect">
                      <a:avLst/>
                    </a:prstGeom>
                  </pic:spPr>
                </pic:pic>
              </a:graphicData>
            </a:graphic>
          </wp:inline>
        </w:drawing>
      </w:r>
      <w:r w:rsidRPr="005F0A67">
        <w:rPr>
          <w:rFonts w:asciiTheme="majorBidi" w:eastAsia="Arial" w:hAnsiTheme="majorBidi" w:cstheme="majorBidi"/>
          <w:spacing w:val="80"/>
          <w:sz w:val="20"/>
          <w:szCs w:val="20"/>
          <w:lang w:val="en-US"/>
        </w:rPr>
        <w:t xml:space="preserve"> </w:t>
      </w:r>
      <w:r w:rsidRPr="005F0A67">
        <w:rPr>
          <w:rFonts w:asciiTheme="majorBidi" w:eastAsia="Arial" w:hAnsiTheme="majorBidi" w:cstheme="majorBidi"/>
          <w:color w:val="242424"/>
          <w:sz w:val="14"/>
          <w:szCs w:val="14"/>
          <w:lang w:val="en-US"/>
        </w:rPr>
        <w:t>Using</w:t>
      </w:r>
      <w:r w:rsidRPr="005F0A67">
        <w:rPr>
          <w:rFonts w:asciiTheme="majorBidi" w:eastAsia="Arial" w:hAnsiTheme="majorBidi" w:cstheme="majorBidi"/>
          <w:color w:val="242424"/>
          <w:spacing w:val="-2"/>
          <w:sz w:val="14"/>
          <w:szCs w:val="14"/>
          <w:lang w:val="en-US"/>
        </w:rPr>
        <w:t xml:space="preserve"> </w:t>
      </w:r>
      <w:r w:rsidRPr="005F0A67">
        <w:rPr>
          <w:rFonts w:asciiTheme="majorBidi" w:eastAsia="Arial" w:hAnsiTheme="majorBidi" w:cstheme="majorBidi"/>
          <w:color w:val="242424"/>
          <w:sz w:val="14"/>
          <w:szCs w:val="14"/>
          <w:lang w:val="en-US"/>
        </w:rPr>
        <w:t>DSI</w:t>
      </w:r>
      <w:r w:rsidRPr="005F0A67">
        <w:rPr>
          <w:rFonts w:asciiTheme="majorBidi" w:eastAsia="Arial" w:hAnsiTheme="majorBidi" w:cstheme="majorBidi"/>
          <w:color w:val="242424"/>
          <w:spacing w:val="-2"/>
          <w:sz w:val="14"/>
          <w:szCs w:val="14"/>
          <w:lang w:val="en-US"/>
        </w:rPr>
        <w:t xml:space="preserve"> </w:t>
      </w:r>
      <w:r w:rsidRPr="005F0A67">
        <w:rPr>
          <w:rFonts w:asciiTheme="majorBidi" w:eastAsia="Arial" w:hAnsiTheme="majorBidi" w:cstheme="majorBidi"/>
          <w:color w:val="242424"/>
          <w:sz w:val="14"/>
          <w:szCs w:val="14"/>
          <w:lang w:val="en-US"/>
        </w:rPr>
        <w:t>in</w:t>
      </w:r>
      <w:r w:rsidRPr="005F0A67">
        <w:rPr>
          <w:rFonts w:asciiTheme="majorBidi" w:eastAsia="Arial" w:hAnsiTheme="majorBidi" w:cstheme="majorBidi"/>
          <w:color w:val="242424"/>
          <w:spacing w:val="-2"/>
          <w:sz w:val="14"/>
          <w:szCs w:val="14"/>
          <w:lang w:val="en-US"/>
        </w:rPr>
        <w:t xml:space="preserve"> </w:t>
      </w:r>
      <w:r w:rsidRPr="005F0A67">
        <w:rPr>
          <w:rFonts w:asciiTheme="majorBidi" w:eastAsia="Arial" w:hAnsiTheme="majorBidi" w:cstheme="majorBidi"/>
          <w:color w:val="242424"/>
          <w:sz w:val="14"/>
          <w:szCs w:val="14"/>
          <w:lang w:val="en-US"/>
        </w:rPr>
        <w:t>product</w:t>
      </w:r>
      <w:r w:rsidRPr="005F0A67">
        <w:rPr>
          <w:rFonts w:asciiTheme="majorBidi" w:eastAsia="Arial" w:hAnsiTheme="majorBidi" w:cstheme="majorBidi"/>
          <w:color w:val="242424"/>
          <w:spacing w:val="-2"/>
          <w:sz w:val="14"/>
          <w:szCs w:val="14"/>
          <w:lang w:val="en-US"/>
        </w:rPr>
        <w:t xml:space="preserve"> </w:t>
      </w:r>
      <w:r w:rsidRPr="005F0A67">
        <w:rPr>
          <w:rFonts w:asciiTheme="majorBidi" w:eastAsia="Arial" w:hAnsiTheme="majorBidi" w:cstheme="majorBidi"/>
          <w:color w:val="242424"/>
          <w:sz w:val="14"/>
          <w:szCs w:val="14"/>
          <w:lang w:val="en-US"/>
        </w:rPr>
        <w:t>development</w:t>
      </w:r>
      <w:r w:rsidRPr="005F0A67">
        <w:rPr>
          <w:rFonts w:asciiTheme="majorBidi" w:eastAsia="Arial" w:hAnsiTheme="majorBidi" w:cstheme="majorBidi"/>
          <w:color w:val="242424"/>
          <w:spacing w:val="-2"/>
          <w:sz w:val="14"/>
          <w:szCs w:val="14"/>
          <w:lang w:val="en-US"/>
        </w:rPr>
        <w:t xml:space="preserve"> </w:t>
      </w:r>
      <w:r w:rsidRPr="005F0A67">
        <w:rPr>
          <w:rFonts w:asciiTheme="majorBidi" w:eastAsia="Arial" w:hAnsiTheme="majorBidi" w:cstheme="majorBidi"/>
          <w:color w:val="242424"/>
          <w:w w:val="110"/>
          <w:sz w:val="14"/>
          <w:szCs w:val="14"/>
          <w:lang w:val="en-US"/>
        </w:rPr>
        <w:t>/</w:t>
      </w:r>
      <w:r w:rsidRPr="005F0A67">
        <w:rPr>
          <w:rFonts w:asciiTheme="majorBidi" w:eastAsia="Arial" w:hAnsiTheme="majorBidi" w:cstheme="majorBidi"/>
          <w:color w:val="242424"/>
          <w:spacing w:val="-6"/>
          <w:w w:val="110"/>
          <w:sz w:val="14"/>
          <w:szCs w:val="14"/>
          <w:lang w:val="en-US"/>
        </w:rPr>
        <w:t xml:space="preserve"> </w:t>
      </w:r>
      <w:r w:rsidRPr="005F0A67">
        <w:rPr>
          <w:rFonts w:asciiTheme="majorBidi" w:eastAsia="Arial" w:hAnsiTheme="majorBidi" w:cstheme="majorBidi"/>
          <w:color w:val="242424"/>
          <w:sz w:val="14"/>
          <w:szCs w:val="14"/>
          <w:lang w:val="en-US"/>
        </w:rPr>
        <w:t>manufacturing</w:t>
      </w:r>
      <w:r w:rsidRPr="005F0A67">
        <w:rPr>
          <w:rFonts w:asciiTheme="majorBidi" w:eastAsia="Arial" w:hAnsiTheme="majorBidi" w:cstheme="majorBidi"/>
          <w:color w:val="242424"/>
          <w:spacing w:val="40"/>
          <w:sz w:val="14"/>
          <w:szCs w:val="14"/>
          <w:lang w:val="en-US"/>
        </w:rPr>
        <w:t xml:space="preserve"> </w:t>
      </w:r>
      <w:r w:rsidRPr="005F0A67">
        <w:rPr>
          <w:rFonts w:asciiTheme="majorBidi" w:eastAsia="Arial" w:hAnsiTheme="majorBidi" w:cstheme="majorBidi"/>
          <w:noProof/>
          <w:color w:val="242424"/>
          <w:position w:val="-4"/>
          <w:sz w:val="14"/>
          <w:szCs w:val="14"/>
          <w:lang w:val="en-US"/>
        </w:rPr>
        <w:drawing>
          <wp:inline distT="0" distB="0" distL="0" distR="0" wp14:anchorId="39741E53" wp14:editId="36BC389C">
            <wp:extent cx="127000" cy="127000"/>
            <wp:effectExtent l="0" t="0" r="0" b="0"/>
            <wp:docPr id="71" name="Image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1" name="Image 71"/>
                    <pic:cNvPicPr/>
                  </pic:nvPicPr>
                  <pic:blipFill>
                    <a:blip r:embed="rId41" cstate="print"/>
                    <a:stretch>
                      <a:fillRect/>
                    </a:stretch>
                  </pic:blipFill>
                  <pic:spPr>
                    <a:xfrm>
                      <a:off x="0" y="0"/>
                      <a:ext cx="127000" cy="127000"/>
                    </a:xfrm>
                    <a:prstGeom prst="rect">
                      <a:avLst/>
                    </a:prstGeom>
                  </pic:spPr>
                </pic:pic>
              </a:graphicData>
            </a:graphic>
          </wp:inline>
        </w:drawing>
      </w:r>
      <w:r w:rsidRPr="005F0A67">
        <w:rPr>
          <w:rFonts w:asciiTheme="majorBidi" w:eastAsia="Arial" w:hAnsiTheme="majorBidi" w:cstheme="majorBidi"/>
          <w:color w:val="242424"/>
          <w:spacing w:val="80"/>
          <w:sz w:val="14"/>
          <w:szCs w:val="14"/>
          <w:lang w:val="en-US"/>
        </w:rPr>
        <w:t xml:space="preserve"> </w:t>
      </w:r>
      <w:r w:rsidRPr="005F0A67">
        <w:rPr>
          <w:rFonts w:asciiTheme="majorBidi" w:eastAsia="Arial" w:hAnsiTheme="majorBidi" w:cstheme="majorBidi"/>
          <w:color w:val="242424"/>
          <w:sz w:val="14"/>
          <w:szCs w:val="14"/>
          <w:lang w:val="en-US"/>
        </w:rPr>
        <w:t>Providing downstream services based on DSI</w:t>
      </w:r>
    </w:p>
    <w:p w14:paraId="214E5DAD" w14:textId="77777777" w:rsidR="005F0A67" w:rsidRPr="005F0A67" w:rsidRDefault="005F0A67" w:rsidP="005F0A67">
      <w:pPr>
        <w:tabs>
          <w:tab w:val="clear" w:pos="567"/>
          <w:tab w:val="clear" w:pos="1134"/>
          <w:tab w:val="clear" w:pos="1701"/>
          <w:tab w:val="clear" w:pos="2268"/>
        </w:tabs>
        <w:spacing w:before="70"/>
        <w:ind w:left="725"/>
        <w:jc w:val="left"/>
        <w:rPr>
          <w:rFonts w:asciiTheme="majorBidi" w:eastAsia="Times New Roman" w:hAnsiTheme="majorBidi" w:cstheme="majorBidi"/>
          <w:sz w:val="14"/>
          <w:szCs w:val="14"/>
          <w:lang w:val="en-CA" w:eastAsia="en-GB"/>
        </w:rPr>
      </w:pPr>
      <w:r w:rsidRPr="005F0A67">
        <w:rPr>
          <w:rFonts w:asciiTheme="majorBidi" w:eastAsia="Times New Roman" w:hAnsiTheme="majorBidi" w:cstheme="majorBidi"/>
          <w:noProof/>
          <w:position w:val="-2"/>
          <w:sz w:val="24"/>
          <w:szCs w:val="24"/>
          <w:lang w:val="en-CA" w:eastAsia="en-GB"/>
        </w:rPr>
        <w:drawing>
          <wp:inline distT="0" distB="0" distL="0" distR="0" wp14:anchorId="6DD48612" wp14:editId="0D2852BC">
            <wp:extent cx="127000" cy="127000"/>
            <wp:effectExtent l="0" t="0" r="0" b="0"/>
            <wp:docPr id="72" name="Image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2" name="Image 72"/>
                    <pic:cNvPicPr/>
                  </pic:nvPicPr>
                  <pic:blipFill>
                    <a:blip r:embed="rId41" cstate="print"/>
                    <a:stretch>
                      <a:fillRect/>
                    </a:stretch>
                  </pic:blipFill>
                  <pic:spPr>
                    <a:xfrm>
                      <a:off x="0" y="0"/>
                      <a:ext cx="127000" cy="127000"/>
                    </a:xfrm>
                    <a:prstGeom prst="rect">
                      <a:avLst/>
                    </a:prstGeom>
                  </pic:spPr>
                </pic:pic>
              </a:graphicData>
            </a:graphic>
          </wp:inline>
        </w:drawing>
      </w:r>
      <w:r w:rsidRPr="005F0A67">
        <w:rPr>
          <w:rFonts w:asciiTheme="majorBidi" w:eastAsia="Times New Roman" w:hAnsiTheme="majorBidi" w:cstheme="majorBidi"/>
          <w:spacing w:val="80"/>
          <w:sz w:val="20"/>
          <w:szCs w:val="20"/>
          <w:lang w:val="en-CA" w:eastAsia="en-GB"/>
        </w:rPr>
        <w:t xml:space="preserve"> </w:t>
      </w:r>
      <w:r w:rsidRPr="005F0A67">
        <w:rPr>
          <w:rFonts w:asciiTheme="majorBidi" w:eastAsia="Times New Roman" w:hAnsiTheme="majorBidi" w:cstheme="majorBidi"/>
          <w:color w:val="202020"/>
          <w:sz w:val="14"/>
          <w:szCs w:val="14"/>
          <w:lang w:val="en-CA" w:eastAsia="en-GB"/>
        </w:rPr>
        <w:t>Other</w:t>
      </w:r>
    </w:p>
    <w:p w14:paraId="566C8C04" w14:textId="77777777" w:rsidR="005F0A67" w:rsidRPr="005F0A67" w:rsidRDefault="005F0A67" w:rsidP="005F0A67">
      <w:pPr>
        <w:widowControl w:val="0"/>
        <w:tabs>
          <w:tab w:val="clear" w:pos="567"/>
          <w:tab w:val="clear" w:pos="1134"/>
          <w:tab w:val="clear" w:pos="1701"/>
          <w:tab w:val="clear" w:pos="2268"/>
        </w:tabs>
        <w:jc w:val="left"/>
        <w:rPr>
          <w:rFonts w:asciiTheme="majorBidi" w:eastAsia="Arial" w:hAnsiTheme="majorBidi" w:cstheme="majorBidi"/>
          <w:sz w:val="17"/>
          <w:szCs w:val="17"/>
          <w:lang w:val="en-US"/>
        </w:rPr>
      </w:pPr>
    </w:p>
    <w:p w14:paraId="1D444AF3" w14:textId="77777777" w:rsidR="005F0A67" w:rsidRPr="005F0A67" w:rsidRDefault="005F0A67" w:rsidP="005F0A67">
      <w:pPr>
        <w:widowControl w:val="0"/>
        <w:tabs>
          <w:tab w:val="clear" w:pos="567"/>
          <w:tab w:val="clear" w:pos="1134"/>
          <w:tab w:val="clear" w:pos="1701"/>
          <w:tab w:val="clear" w:pos="2268"/>
        </w:tabs>
        <w:spacing w:before="173"/>
        <w:jc w:val="left"/>
        <w:rPr>
          <w:rFonts w:asciiTheme="majorBidi" w:eastAsia="Arial" w:hAnsiTheme="majorBidi" w:cstheme="majorBidi"/>
          <w:sz w:val="17"/>
          <w:szCs w:val="17"/>
          <w:lang w:val="en-US"/>
        </w:rPr>
      </w:pPr>
    </w:p>
    <w:p w14:paraId="5FFC096B" w14:textId="77777777" w:rsidR="005F0A67" w:rsidRPr="005F0A67" w:rsidRDefault="005F0A67" w:rsidP="003A387A">
      <w:pPr>
        <w:numPr>
          <w:ilvl w:val="0"/>
          <w:numId w:val="44"/>
        </w:numPr>
        <w:tabs>
          <w:tab w:val="clear" w:pos="567"/>
          <w:tab w:val="clear" w:pos="1134"/>
          <w:tab w:val="clear" w:pos="1701"/>
          <w:tab w:val="clear" w:pos="2268"/>
          <w:tab w:val="num" w:pos="360"/>
          <w:tab w:val="left" w:pos="703"/>
        </w:tabs>
        <w:spacing w:before="1" w:after="160"/>
        <w:ind w:left="703" w:hanging="279"/>
        <w:jc w:val="left"/>
        <w:outlineLvl w:val="2"/>
        <w:rPr>
          <w:rFonts w:asciiTheme="majorBidi" w:eastAsia="Georgia" w:hAnsiTheme="majorBidi" w:cstheme="majorBidi"/>
          <w:color w:val="242424"/>
          <w:sz w:val="17"/>
          <w:szCs w:val="17"/>
          <w:lang w:val="en-CA" w:eastAsia="en-GB"/>
        </w:rPr>
      </w:pPr>
      <w:bookmarkStart w:id="283" w:name="_Toc234579637"/>
      <w:r w:rsidRPr="005F0A67">
        <w:rPr>
          <w:rFonts w:asciiTheme="majorBidi" w:eastAsia="Georgia" w:hAnsiTheme="majorBidi" w:cstheme="majorBidi"/>
          <w:color w:val="242424"/>
          <w:sz w:val="17"/>
          <w:szCs w:val="17"/>
          <w:lang w:val="en-CA" w:eastAsia="en-GB"/>
        </w:rPr>
        <w:t>How difficult would it be to substitute DSI with alternative approaches or technologies? *</w:t>
      </w:r>
      <w:bookmarkEnd w:id="283"/>
    </w:p>
    <w:p w14:paraId="6302301A" w14:textId="77777777" w:rsidR="005F0A67" w:rsidRPr="005F0A67" w:rsidRDefault="005F0A67" w:rsidP="005F0A67">
      <w:pPr>
        <w:widowControl w:val="0"/>
        <w:tabs>
          <w:tab w:val="clear" w:pos="567"/>
          <w:tab w:val="clear" w:pos="1134"/>
          <w:tab w:val="clear" w:pos="1701"/>
          <w:tab w:val="clear" w:pos="2268"/>
        </w:tabs>
        <w:spacing w:before="122"/>
        <w:jc w:val="left"/>
        <w:rPr>
          <w:rFonts w:asciiTheme="majorBidi" w:eastAsia="Arial" w:hAnsiTheme="majorBidi" w:cstheme="majorBidi"/>
          <w:sz w:val="14"/>
          <w:szCs w:val="14"/>
          <w:lang w:val="en-US"/>
        </w:rPr>
      </w:pPr>
    </w:p>
    <w:p w14:paraId="65FC344D" w14:textId="77777777" w:rsidR="005F0A67" w:rsidRPr="005F0A67" w:rsidRDefault="005F0A67" w:rsidP="005F0A67">
      <w:pPr>
        <w:widowControl w:val="0"/>
        <w:tabs>
          <w:tab w:val="clear" w:pos="567"/>
          <w:tab w:val="clear" w:pos="1134"/>
          <w:tab w:val="clear" w:pos="1701"/>
          <w:tab w:val="clear" w:pos="2268"/>
        </w:tabs>
        <w:spacing w:before="1" w:line="600" w:lineRule="auto"/>
        <w:ind w:left="725" w:right="6607"/>
        <w:jc w:val="left"/>
        <w:rPr>
          <w:rFonts w:asciiTheme="majorBidi" w:eastAsia="Arial" w:hAnsiTheme="majorBidi" w:cstheme="majorBidi"/>
          <w:sz w:val="14"/>
          <w:szCs w:val="14"/>
          <w:lang w:val="en-US"/>
        </w:rPr>
      </w:pPr>
      <w:r w:rsidRPr="005F0A67">
        <w:rPr>
          <w:rFonts w:asciiTheme="majorBidi" w:eastAsia="Arial" w:hAnsiTheme="majorBidi" w:cstheme="majorBidi"/>
          <w:noProof/>
          <w:position w:val="-4"/>
          <w:sz w:val="14"/>
          <w:szCs w:val="14"/>
          <w:lang w:val="en-US"/>
        </w:rPr>
        <w:drawing>
          <wp:inline distT="0" distB="0" distL="0" distR="0" wp14:anchorId="5EFAA2E1" wp14:editId="50476E80">
            <wp:extent cx="127000" cy="127000"/>
            <wp:effectExtent l="0" t="0" r="0" b="0"/>
            <wp:docPr id="73" name="Image 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 name="Image 73"/>
                    <pic:cNvPicPr/>
                  </pic:nvPicPr>
                  <pic:blipFill>
                    <a:blip r:embed="rId42" cstate="print"/>
                    <a:stretch>
                      <a:fillRect/>
                    </a:stretch>
                  </pic:blipFill>
                  <pic:spPr>
                    <a:xfrm>
                      <a:off x="0" y="0"/>
                      <a:ext cx="127000" cy="127000"/>
                    </a:xfrm>
                    <a:prstGeom prst="rect">
                      <a:avLst/>
                    </a:prstGeom>
                  </pic:spPr>
                </pic:pic>
              </a:graphicData>
            </a:graphic>
          </wp:inline>
        </w:drawing>
      </w:r>
      <w:r w:rsidRPr="005F0A67">
        <w:rPr>
          <w:rFonts w:asciiTheme="majorBidi" w:eastAsia="Arial" w:hAnsiTheme="majorBidi" w:cstheme="majorBidi"/>
          <w:spacing w:val="80"/>
          <w:sz w:val="20"/>
          <w:szCs w:val="20"/>
          <w:lang w:val="en-US"/>
        </w:rPr>
        <w:t xml:space="preserve"> </w:t>
      </w:r>
      <w:r w:rsidRPr="005F0A67">
        <w:rPr>
          <w:rFonts w:asciiTheme="majorBidi" w:eastAsia="Arial" w:hAnsiTheme="majorBidi" w:cstheme="majorBidi"/>
          <w:color w:val="242424"/>
          <w:sz w:val="14"/>
          <w:szCs w:val="14"/>
          <w:lang w:val="en-US"/>
        </w:rPr>
        <w:t>Impossible</w:t>
      </w:r>
      <w:r w:rsidRPr="005F0A67">
        <w:rPr>
          <w:rFonts w:asciiTheme="majorBidi" w:eastAsia="Arial" w:hAnsiTheme="majorBidi" w:cstheme="majorBidi"/>
          <w:color w:val="242424"/>
          <w:spacing w:val="40"/>
          <w:sz w:val="14"/>
          <w:szCs w:val="14"/>
          <w:lang w:val="en-US"/>
        </w:rPr>
        <w:t xml:space="preserve"> </w:t>
      </w:r>
      <w:r w:rsidRPr="005F0A67">
        <w:rPr>
          <w:rFonts w:asciiTheme="majorBidi" w:eastAsia="Arial" w:hAnsiTheme="majorBidi" w:cstheme="majorBidi"/>
          <w:noProof/>
          <w:color w:val="242424"/>
          <w:position w:val="-4"/>
          <w:sz w:val="14"/>
          <w:szCs w:val="14"/>
          <w:lang w:val="en-US"/>
        </w:rPr>
        <w:drawing>
          <wp:inline distT="0" distB="0" distL="0" distR="0" wp14:anchorId="5F66F964" wp14:editId="0C7A69D1">
            <wp:extent cx="127000" cy="127000"/>
            <wp:effectExtent l="0" t="0" r="0" b="0"/>
            <wp:docPr id="74" name="Image 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4" name="Image 74"/>
                    <pic:cNvPicPr/>
                  </pic:nvPicPr>
                  <pic:blipFill>
                    <a:blip r:embed="rId49" cstate="print"/>
                    <a:stretch>
                      <a:fillRect/>
                    </a:stretch>
                  </pic:blipFill>
                  <pic:spPr>
                    <a:xfrm>
                      <a:off x="0" y="0"/>
                      <a:ext cx="127000" cy="127000"/>
                    </a:xfrm>
                    <a:prstGeom prst="rect">
                      <a:avLst/>
                    </a:prstGeom>
                  </pic:spPr>
                </pic:pic>
              </a:graphicData>
            </a:graphic>
          </wp:inline>
        </w:drawing>
      </w:r>
      <w:r w:rsidRPr="005F0A67">
        <w:rPr>
          <w:rFonts w:asciiTheme="majorBidi" w:eastAsia="Arial" w:hAnsiTheme="majorBidi" w:cstheme="majorBidi"/>
          <w:color w:val="242424"/>
          <w:spacing w:val="80"/>
          <w:sz w:val="14"/>
          <w:szCs w:val="14"/>
          <w:lang w:val="en-US"/>
        </w:rPr>
        <w:t xml:space="preserve"> </w:t>
      </w:r>
      <w:r w:rsidRPr="005F0A67">
        <w:rPr>
          <w:rFonts w:asciiTheme="majorBidi" w:eastAsia="Arial" w:hAnsiTheme="majorBidi" w:cstheme="majorBidi"/>
          <w:color w:val="242424"/>
          <w:sz w:val="14"/>
          <w:szCs w:val="14"/>
          <w:lang w:val="en-US"/>
        </w:rPr>
        <w:t>Very</w:t>
      </w:r>
      <w:r w:rsidRPr="005F0A67">
        <w:rPr>
          <w:rFonts w:asciiTheme="majorBidi" w:eastAsia="Arial" w:hAnsiTheme="majorBidi" w:cstheme="majorBidi"/>
          <w:color w:val="242424"/>
          <w:spacing w:val="-6"/>
          <w:sz w:val="14"/>
          <w:szCs w:val="14"/>
          <w:lang w:val="en-US"/>
        </w:rPr>
        <w:t xml:space="preserve"> </w:t>
      </w:r>
      <w:r w:rsidRPr="005F0A67">
        <w:rPr>
          <w:rFonts w:asciiTheme="majorBidi" w:eastAsia="Arial" w:hAnsiTheme="majorBidi" w:cstheme="majorBidi"/>
          <w:color w:val="242424"/>
          <w:sz w:val="14"/>
          <w:szCs w:val="14"/>
          <w:lang w:val="en-US"/>
        </w:rPr>
        <w:t>difficult</w:t>
      </w:r>
    </w:p>
    <w:p w14:paraId="176F6C88" w14:textId="77777777" w:rsidR="005F0A67" w:rsidRPr="005F0A67" w:rsidRDefault="005F0A67" w:rsidP="005F0A67">
      <w:pPr>
        <w:widowControl w:val="0"/>
        <w:tabs>
          <w:tab w:val="clear" w:pos="567"/>
          <w:tab w:val="clear" w:pos="1134"/>
          <w:tab w:val="clear" w:pos="1701"/>
          <w:tab w:val="clear" w:pos="2268"/>
        </w:tabs>
        <w:spacing w:line="600" w:lineRule="auto"/>
        <w:ind w:left="725" w:right="6200"/>
        <w:jc w:val="left"/>
        <w:rPr>
          <w:rFonts w:asciiTheme="majorBidi" w:eastAsia="Arial" w:hAnsiTheme="majorBidi" w:cstheme="majorBidi"/>
          <w:sz w:val="14"/>
          <w:szCs w:val="14"/>
          <w:lang w:val="en-US"/>
        </w:rPr>
      </w:pPr>
      <w:r w:rsidRPr="005F0A67">
        <w:rPr>
          <w:rFonts w:asciiTheme="majorBidi" w:eastAsia="Arial" w:hAnsiTheme="majorBidi" w:cstheme="majorBidi"/>
          <w:noProof/>
          <w:position w:val="-4"/>
          <w:sz w:val="14"/>
          <w:szCs w:val="14"/>
          <w:lang w:val="en-US"/>
        </w:rPr>
        <w:drawing>
          <wp:inline distT="0" distB="0" distL="0" distR="0" wp14:anchorId="4F3A2D66" wp14:editId="05EC7DEC">
            <wp:extent cx="127000" cy="127000"/>
            <wp:effectExtent l="0" t="0" r="0" b="0"/>
            <wp:docPr id="75" name="Image 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5" name="Image 75"/>
                    <pic:cNvPicPr/>
                  </pic:nvPicPr>
                  <pic:blipFill>
                    <a:blip r:embed="rId39" cstate="print"/>
                    <a:stretch>
                      <a:fillRect/>
                    </a:stretch>
                  </pic:blipFill>
                  <pic:spPr>
                    <a:xfrm>
                      <a:off x="0" y="0"/>
                      <a:ext cx="127000" cy="127000"/>
                    </a:xfrm>
                    <a:prstGeom prst="rect">
                      <a:avLst/>
                    </a:prstGeom>
                  </pic:spPr>
                </pic:pic>
              </a:graphicData>
            </a:graphic>
          </wp:inline>
        </w:drawing>
      </w:r>
      <w:r w:rsidRPr="005F0A67">
        <w:rPr>
          <w:rFonts w:asciiTheme="majorBidi" w:eastAsia="Arial" w:hAnsiTheme="majorBidi" w:cstheme="majorBidi"/>
          <w:spacing w:val="80"/>
          <w:sz w:val="20"/>
          <w:szCs w:val="20"/>
          <w:lang w:val="en-US"/>
        </w:rPr>
        <w:t xml:space="preserve"> </w:t>
      </w:r>
      <w:r w:rsidRPr="005F0A67">
        <w:rPr>
          <w:rFonts w:asciiTheme="majorBidi" w:eastAsia="Arial" w:hAnsiTheme="majorBidi" w:cstheme="majorBidi"/>
          <w:color w:val="242424"/>
          <w:sz w:val="14"/>
          <w:szCs w:val="14"/>
          <w:lang w:val="en-US"/>
        </w:rPr>
        <w:t>Moderately</w:t>
      </w:r>
      <w:r w:rsidRPr="005F0A67">
        <w:rPr>
          <w:rFonts w:asciiTheme="majorBidi" w:eastAsia="Arial" w:hAnsiTheme="majorBidi" w:cstheme="majorBidi"/>
          <w:color w:val="242424"/>
          <w:spacing w:val="-1"/>
          <w:sz w:val="14"/>
          <w:szCs w:val="14"/>
          <w:lang w:val="en-US"/>
        </w:rPr>
        <w:t xml:space="preserve"> </w:t>
      </w:r>
      <w:r w:rsidRPr="005F0A67">
        <w:rPr>
          <w:rFonts w:asciiTheme="majorBidi" w:eastAsia="Arial" w:hAnsiTheme="majorBidi" w:cstheme="majorBidi"/>
          <w:color w:val="242424"/>
          <w:sz w:val="14"/>
          <w:szCs w:val="14"/>
          <w:lang w:val="en-US"/>
        </w:rPr>
        <w:t>difficult</w:t>
      </w:r>
      <w:r w:rsidRPr="005F0A67">
        <w:rPr>
          <w:rFonts w:asciiTheme="majorBidi" w:eastAsia="Arial" w:hAnsiTheme="majorBidi" w:cstheme="majorBidi"/>
          <w:color w:val="242424"/>
          <w:spacing w:val="40"/>
          <w:sz w:val="14"/>
          <w:szCs w:val="14"/>
          <w:lang w:val="en-US"/>
        </w:rPr>
        <w:t xml:space="preserve"> </w:t>
      </w:r>
      <w:r w:rsidRPr="005F0A67">
        <w:rPr>
          <w:rFonts w:asciiTheme="majorBidi" w:eastAsia="Arial" w:hAnsiTheme="majorBidi" w:cstheme="majorBidi"/>
          <w:noProof/>
          <w:color w:val="242424"/>
          <w:position w:val="-4"/>
          <w:sz w:val="14"/>
          <w:szCs w:val="14"/>
          <w:lang w:val="en-US"/>
        </w:rPr>
        <w:drawing>
          <wp:inline distT="0" distB="0" distL="0" distR="0" wp14:anchorId="5CA76E5F" wp14:editId="1E420FBA">
            <wp:extent cx="127000" cy="127000"/>
            <wp:effectExtent l="0" t="0" r="0" b="0"/>
            <wp:docPr id="76" name="Image 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6" name="Image 76"/>
                    <pic:cNvPicPr/>
                  </pic:nvPicPr>
                  <pic:blipFill>
                    <a:blip r:embed="rId49" cstate="print"/>
                    <a:stretch>
                      <a:fillRect/>
                    </a:stretch>
                  </pic:blipFill>
                  <pic:spPr>
                    <a:xfrm>
                      <a:off x="0" y="0"/>
                      <a:ext cx="127000" cy="127000"/>
                    </a:xfrm>
                    <a:prstGeom prst="rect">
                      <a:avLst/>
                    </a:prstGeom>
                  </pic:spPr>
                </pic:pic>
              </a:graphicData>
            </a:graphic>
          </wp:inline>
        </w:drawing>
      </w:r>
      <w:r w:rsidRPr="005F0A67">
        <w:rPr>
          <w:rFonts w:asciiTheme="majorBidi" w:eastAsia="Arial" w:hAnsiTheme="majorBidi" w:cstheme="majorBidi"/>
          <w:color w:val="242424"/>
          <w:spacing w:val="80"/>
          <w:sz w:val="14"/>
          <w:szCs w:val="14"/>
          <w:lang w:val="en-US"/>
        </w:rPr>
        <w:t xml:space="preserve"> </w:t>
      </w:r>
      <w:r w:rsidRPr="005F0A67">
        <w:rPr>
          <w:rFonts w:asciiTheme="majorBidi" w:eastAsia="Arial" w:hAnsiTheme="majorBidi" w:cstheme="majorBidi"/>
          <w:color w:val="242424"/>
          <w:sz w:val="14"/>
          <w:szCs w:val="14"/>
          <w:lang w:val="en-US"/>
        </w:rPr>
        <w:t>Relatively easy</w:t>
      </w:r>
    </w:p>
    <w:p w14:paraId="28A348DE" w14:textId="77777777" w:rsidR="005F0A67" w:rsidRPr="005F0A67" w:rsidRDefault="005F0A67" w:rsidP="005F0A67">
      <w:pPr>
        <w:widowControl w:val="0"/>
        <w:tabs>
          <w:tab w:val="clear" w:pos="567"/>
          <w:tab w:val="clear" w:pos="1134"/>
          <w:tab w:val="clear" w:pos="1701"/>
          <w:tab w:val="clear" w:pos="2268"/>
        </w:tabs>
        <w:ind w:left="725"/>
        <w:jc w:val="left"/>
        <w:rPr>
          <w:rFonts w:asciiTheme="majorBidi" w:eastAsia="Arial" w:hAnsiTheme="majorBidi" w:cstheme="majorBidi"/>
          <w:sz w:val="14"/>
          <w:szCs w:val="14"/>
          <w:lang w:val="en-US"/>
        </w:rPr>
      </w:pPr>
      <w:r w:rsidRPr="005F0A67">
        <w:rPr>
          <w:rFonts w:asciiTheme="majorBidi" w:eastAsia="Arial" w:hAnsiTheme="majorBidi" w:cstheme="majorBidi"/>
          <w:noProof/>
          <w:position w:val="-4"/>
          <w:sz w:val="14"/>
          <w:szCs w:val="14"/>
          <w:lang w:val="en-US"/>
        </w:rPr>
        <w:drawing>
          <wp:inline distT="0" distB="0" distL="0" distR="0" wp14:anchorId="6762048C" wp14:editId="36554E9E">
            <wp:extent cx="127000" cy="127000"/>
            <wp:effectExtent l="0" t="0" r="0" b="0"/>
            <wp:docPr id="77" name="Image 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 name="Image 77"/>
                    <pic:cNvPicPr/>
                  </pic:nvPicPr>
                  <pic:blipFill>
                    <a:blip r:embed="rId49" cstate="print"/>
                    <a:stretch>
                      <a:fillRect/>
                    </a:stretch>
                  </pic:blipFill>
                  <pic:spPr>
                    <a:xfrm>
                      <a:off x="0" y="0"/>
                      <a:ext cx="127000" cy="127000"/>
                    </a:xfrm>
                    <a:prstGeom prst="rect">
                      <a:avLst/>
                    </a:prstGeom>
                  </pic:spPr>
                </pic:pic>
              </a:graphicData>
            </a:graphic>
          </wp:inline>
        </w:drawing>
      </w:r>
      <w:r w:rsidRPr="005F0A67">
        <w:rPr>
          <w:rFonts w:asciiTheme="majorBidi" w:eastAsia="Arial" w:hAnsiTheme="majorBidi" w:cstheme="majorBidi"/>
          <w:spacing w:val="80"/>
          <w:w w:val="105"/>
          <w:sz w:val="20"/>
          <w:szCs w:val="20"/>
          <w:lang w:val="en-US"/>
        </w:rPr>
        <w:t xml:space="preserve"> </w:t>
      </w:r>
      <w:r w:rsidRPr="005F0A67">
        <w:rPr>
          <w:rFonts w:asciiTheme="majorBidi" w:eastAsia="Arial" w:hAnsiTheme="majorBidi" w:cstheme="majorBidi"/>
          <w:color w:val="242424"/>
          <w:spacing w:val="-2"/>
          <w:w w:val="105"/>
          <w:sz w:val="14"/>
          <w:szCs w:val="14"/>
          <w:lang w:val="en-US"/>
        </w:rPr>
        <w:t xml:space="preserve">Don't </w:t>
      </w:r>
      <w:r w:rsidRPr="005F0A67">
        <w:rPr>
          <w:rFonts w:asciiTheme="majorBidi" w:eastAsia="Arial" w:hAnsiTheme="majorBidi" w:cstheme="majorBidi"/>
          <w:color w:val="242424"/>
          <w:w w:val="105"/>
          <w:sz w:val="14"/>
          <w:szCs w:val="14"/>
          <w:lang w:val="en-US"/>
        </w:rPr>
        <w:t>know</w:t>
      </w:r>
    </w:p>
    <w:p w14:paraId="1B2F2D9D" w14:textId="77777777" w:rsidR="005F0A67" w:rsidRPr="005F0A67" w:rsidRDefault="005F0A67" w:rsidP="005F0A67">
      <w:pPr>
        <w:widowControl w:val="0"/>
        <w:tabs>
          <w:tab w:val="clear" w:pos="567"/>
          <w:tab w:val="clear" w:pos="1134"/>
          <w:tab w:val="clear" w:pos="1701"/>
          <w:tab w:val="clear" w:pos="2268"/>
        </w:tabs>
        <w:jc w:val="left"/>
        <w:rPr>
          <w:rFonts w:asciiTheme="majorBidi" w:eastAsia="Arial" w:hAnsiTheme="majorBidi" w:cstheme="majorBidi"/>
          <w:sz w:val="17"/>
          <w:szCs w:val="17"/>
          <w:lang w:val="en-US"/>
        </w:rPr>
      </w:pPr>
    </w:p>
    <w:p w14:paraId="7BF5A604" w14:textId="77777777" w:rsidR="005F0A67" w:rsidRPr="005F0A67" w:rsidRDefault="005F0A67" w:rsidP="005F0A67">
      <w:pPr>
        <w:widowControl w:val="0"/>
        <w:tabs>
          <w:tab w:val="clear" w:pos="567"/>
          <w:tab w:val="clear" w:pos="1134"/>
          <w:tab w:val="clear" w:pos="1701"/>
          <w:tab w:val="clear" w:pos="2268"/>
        </w:tabs>
        <w:spacing w:before="48"/>
        <w:jc w:val="left"/>
        <w:rPr>
          <w:rFonts w:asciiTheme="majorBidi" w:eastAsia="Arial" w:hAnsiTheme="majorBidi" w:cstheme="majorBidi"/>
          <w:sz w:val="17"/>
          <w:szCs w:val="17"/>
          <w:lang w:val="en-US"/>
        </w:rPr>
      </w:pPr>
    </w:p>
    <w:p w14:paraId="19EEDA52" w14:textId="77777777" w:rsidR="005F0A67" w:rsidRPr="005F0A67" w:rsidRDefault="005F0A67" w:rsidP="003A387A">
      <w:pPr>
        <w:widowControl w:val="0"/>
        <w:numPr>
          <w:ilvl w:val="0"/>
          <w:numId w:val="44"/>
        </w:numPr>
        <w:tabs>
          <w:tab w:val="clear" w:pos="567"/>
          <w:tab w:val="clear" w:pos="1134"/>
          <w:tab w:val="clear" w:pos="1701"/>
          <w:tab w:val="clear" w:pos="2268"/>
          <w:tab w:val="left" w:pos="703"/>
        </w:tabs>
        <w:autoSpaceDE w:val="0"/>
        <w:autoSpaceDN w:val="0"/>
        <w:ind w:left="703" w:hanging="279"/>
        <w:jc w:val="left"/>
        <w:rPr>
          <w:rFonts w:asciiTheme="majorBidi" w:eastAsia="Georgia" w:hAnsiTheme="majorBidi" w:cstheme="majorBidi"/>
          <w:color w:val="1A1A1A"/>
          <w:sz w:val="17"/>
          <w:szCs w:val="17"/>
          <w:lang w:eastAsia="en-GB"/>
        </w:rPr>
      </w:pPr>
      <w:r w:rsidRPr="005F0A67">
        <w:rPr>
          <w:rFonts w:asciiTheme="majorBidi" w:eastAsia="Georgia" w:hAnsiTheme="majorBidi" w:cstheme="majorBidi"/>
          <w:color w:val="242424"/>
          <w:sz w:val="17"/>
          <w:szCs w:val="17"/>
          <w:lang w:eastAsia="en-GB"/>
        </w:rPr>
        <w:t>How</w:t>
      </w:r>
      <w:r w:rsidRPr="005F0A67">
        <w:rPr>
          <w:rFonts w:asciiTheme="majorBidi" w:eastAsia="Georgia" w:hAnsiTheme="majorBidi" w:cstheme="majorBidi"/>
          <w:color w:val="242424"/>
          <w:spacing w:val="-8"/>
          <w:sz w:val="17"/>
          <w:szCs w:val="17"/>
          <w:lang w:eastAsia="en-GB"/>
        </w:rPr>
        <w:t xml:space="preserve"> </w:t>
      </w:r>
      <w:r w:rsidRPr="005F0A67">
        <w:rPr>
          <w:rFonts w:asciiTheme="majorBidi" w:eastAsia="Georgia" w:hAnsiTheme="majorBidi" w:cstheme="majorBidi"/>
          <w:color w:val="242424"/>
          <w:sz w:val="17"/>
          <w:szCs w:val="17"/>
          <w:lang w:eastAsia="en-GB"/>
        </w:rPr>
        <w:t>do</w:t>
      </w:r>
      <w:r w:rsidRPr="005F0A67">
        <w:rPr>
          <w:rFonts w:asciiTheme="majorBidi" w:eastAsia="Georgia" w:hAnsiTheme="majorBidi" w:cstheme="majorBidi"/>
          <w:color w:val="242424"/>
          <w:spacing w:val="-7"/>
          <w:sz w:val="17"/>
          <w:szCs w:val="17"/>
          <w:lang w:eastAsia="en-GB"/>
        </w:rPr>
        <w:t xml:space="preserve"> </w:t>
      </w:r>
      <w:r w:rsidRPr="005F0A67">
        <w:rPr>
          <w:rFonts w:asciiTheme="majorBidi" w:eastAsia="Georgia" w:hAnsiTheme="majorBidi" w:cstheme="majorBidi"/>
          <w:color w:val="242424"/>
          <w:sz w:val="17"/>
          <w:szCs w:val="17"/>
          <w:lang w:eastAsia="en-GB"/>
        </w:rPr>
        <w:t>you</w:t>
      </w:r>
      <w:r w:rsidRPr="005F0A67">
        <w:rPr>
          <w:rFonts w:asciiTheme="majorBidi" w:eastAsia="Georgia" w:hAnsiTheme="majorBidi" w:cstheme="majorBidi"/>
          <w:color w:val="242424"/>
          <w:spacing w:val="-7"/>
          <w:sz w:val="17"/>
          <w:szCs w:val="17"/>
          <w:lang w:eastAsia="en-GB"/>
        </w:rPr>
        <w:t xml:space="preserve"> </w:t>
      </w:r>
      <w:r w:rsidRPr="005F0A67">
        <w:rPr>
          <w:rFonts w:asciiTheme="majorBidi" w:eastAsia="Georgia" w:hAnsiTheme="majorBidi" w:cstheme="majorBidi"/>
          <w:color w:val="242424"/>
          <w:sz w:val="17"/>
          <w:szCs w:val="17"/>
          <w:lang w:eastAsia="en-GB"/>
        </w:rPr>
        <w:t>expect</w:t>
      </w:r>
      <w:r w:rsidRPr="005F0A67">
        <w:rPr>
          <w:rFonts w:asciiTheme="majorBidi" w:eastAsia="Georgia" w:hAnsiTheme="majorBidi" w:cstheme="majorBidi"/>
          <w:color w:val="242424"/>
          <w:spacing w:val="-7"/>
          <w:sz w:val="17"/>
          <w:szCs w:val="17"/>
          <w:lang w:eastAsia="en-GB"/>
        </w:rPr>
        <w:t xml:space="preserve"> </w:t>
      </w:r>
      <w:r w:rsidRPr="005F0A67">
        <w:rPr>
          <w:rFonts w:asciiTheme="majorBidi" w:eastAsia="Georgia" w:hAnsiTheme="majorBidi" w:cstheme="majorBidi"/>
          <w:color w:val="242424"/>
          <w:sz w:val="17"/>
          <w:szCs w:val="17"/>
          <w:lang w:eastAsia="en-GB"/>
        </w:rPr>
        <w:t>your</w:t>
      </w:r>
      <w:r w:rsidRPr="005F0A67">
        <w:rPr>
          <w:rFonts w:asciiTheme="majorBidi" w:eastAsia="Georgia" w:hAnsiTheme="majorBidi" w:cstheme="majorBidi"/>
          <w:color w:val="242424"/>
          <w:spacing w:val="-7"/>
          <w:sz w:val="17"/>
          <w:szCs w:val="17"/>
          <w:lang w:eastAsia="en-GB"/>
        </w:rPr>
        <w:t xml:space="preserve"> </w:t>
      </w:r>
      <w:r w:rsidRPr="005F0A67">
        <w:rPr>
          <w:rFonts w:asciiTheme="majorBidi" w:eastAsia="Georgia" w:hAnsiTheme="majorBidi" w:cstheme="majorBidi"/>
          <w:color w:val="242424"/>
          <w:sz w:val="17"/>
          <w:szCs w:val="17"/>
          <w:lang w:eastAsia="en-GB"/>
        </w:rPr>
        <w:t>organisation’s</w:t>
      </w:r>
      <w:r w:rsidRPr="005F0A67">
        <w:rPr>
          <w:rFonts w:asciiTheme="majorBidi" w:eastAsia="Georgia" w:hAnsiTheme="majorBidi" w:cstheme="majorBidi"/>
          <w:color w:val="242424"/>
          <w:spacing w:val="-7"/>
          <w:sz w:val="17"/>
          <w:szCs w:val="17"/>
          <w:lang w:eastAsia="en-GB"/>
        </w:rPr>
        <w:t xml:space="preserve"> </w:t>
      </w:r>
      <w:r w:rsidRPr="005F0A67">
        <w:rPr>
          <w:rFonts w:asciiTheme="majorBidi" w:eastAsia="Georgia" w:hAnsiTheme="majorBidi" w:cstheme="majorBidi"/>
          <w:b/>
          <w:bCs/>
          <w:color w:val="242424"/>
          <w:sz w:val="17"/>
          <w:szCs w:val="17"/>
          <w:lang w:eastAsia="en-GB"/>
        </w:rPr>
        <w:t>use</w:t>
      </w:r>
      <w:r w:rsidRPr="005F0A67">
        <w:rPr>
          <w:rFonts w:asciiTheme="majorBidi" w:eastAsia="Georgia" w:hAnsiTheme="majorBidi" w:cstheme="majorBidi"/>
          <w:b/>
          <w:bCs/>
          <w:color w:val="242424"/>
          <w:spacing w:val="-7"/>
          <w:sz w:val="17"/>
          <w:szCs w:val="17"/>
          <w:lang w:eastAsia="en-GB"/>
        </w:rPr>
        <w:t xml:space="preserve"> </w:t>
      </w:r>
      <w:r w:rsidRPr="005F0A67">
        <w:rPr>
          <w:rFonts w:asciiTheme="majorBidi" w:eastAsia="Georgia" w:hAnsiTheme="majorBidi" w:cstheme="majorBidi"/>
          <w:b/>
          <w:bCs/>
          <w:color w:val="242424"/>
          <w:sz w:val="17"/>
          <w:szCs w:val="17"/>
          <w:lang w:eastAsia="en-GB"/>
        </w:rPr>
        <w:t>of</w:t>
      </w:r>
      <w:r w:rsidRPr="005F0A67">
        <w:rPr>
          <w:rFonts w:asciiTheme="majorBidi" w:eastAsia="Georgia" w:hAnsiTheme="majorBidi" w:cstheme="majorBidi"/>
          <w:b/>
          <w:bCs/>
          <w:color w:val="242424"/>
          <w:spacing w:val="-7"/>
          <w:sz w:val="17"/>
          <w:szCs w:val="17"/>
          <w:lang w:eastAsia="en-GB"/>
        </w:rPr>
        <w:t xml:space="preserve"> </w:t>
      </w:r>
      <w:r w:rsidRPr="005F0A67">
        <w:rPr>
          <w:rFonts w:asciiTheme="majorBidi" w:eastAsia="Georgia" w:hAnsiTheme="majorBidi" w:cstheme="majorBidi"/>
          <w:b/>
          <w:bCs/>
          <w:color w:val="242424"/>
          <w:sz w:val="17"/>
          <w:szCs w:val="17"/>
          <w:lang w:eastAsia="en-GB"/>
        </w:rPr>
        <w:t>DSI</w:t>
      </w:r>
      <w:r w:rsidRPr="005F0A67">
        <w:rPr>
          <w:rFonts w:asciiTheme="majorBidi" w:eastAsia="Georgia" w:hAnsiTheme="majorBidi" w:cstheme="majorBidi"/>
          <w:b/>
          <w:bCs/>
          <w:color w:val="242424"/>
          <w:spacing w:val="-7"/>
          <w:sz w:val="17"/>
          <w:szCs w:val="17"/>
          <w:lang w:eastAsia="en-GB"/>
        </w:rPr>
        <w:t xml:space="preserve"> </w:t>
      </w:r>
      <w:r w:rsidRPr="005F0A67">
        <w:rPr>
          <w:rFonts w:asciiTheme="majorBidi" w:eastAsia="Georgia" w:hAnsiTheme="majorBidi" w:cstheme="majorBidi"/>
          <w:color w:val="242424"/>
          <w:sz w:val="17"/>
          <w:szCs w:val="17"/>
          <w:lang w:eastAsia="en-GB"/>
        </w:rPr>
        <w:t>to</w:t>
      </w:r>
      <w:r w:rsidRPr="005F0A67">
        <w:rPr>
          <w:rFonts w:asciiTheme="majorBidi" w:eastAsia="Georgia" w:hAnsiTheme="majorBidi" w:cstheme="majorBidi"/>
          <w:color w:val="242424"/>
          <w:spacing w:val="-7"/>
          <w:sz w:val="17"/>
          <w:szCs w:val="17"/>
          <w:lang w:eastAsia="en-GB"/>
        </w:rPr>
        <w:t xml:space="preserve"> </w:t>
      </w:r>
      <w:r w:rsidRPr="005F0A67">
        <w:rPr>
          <w:rFonts w:asciiTheme="majorBidi" w:eastAsia="Georgia" w:hAnsiTheme="majorBidi" w:cstheme="majorBidi"/>
          <w:color w:val="242424"/>
          <w:sz w:val="17"/>
          <w:szCs w:val="17"/>
          <w:lang w:eastAsia="en-GB"/>
        </w:rPr>
        <w:t>change</w:t>
      </w:r>
      <w:r w:rsidRPr="005F0A67">
        <w:rPr>
          <w:rFonts w:asciiTheme="majorBidi" w:eastAsia="Georgia" w:hAnsiTheme="majorBidi" w:cstheme="majorBidi"/>
          <w:color w:val="242424"/>
          <w:spacing w:val="-7"/>
          <w:sz w:val="17"/>
          <w:szCs w:val="17"/>
          <w:lang w:eastAsia="en-GB"/>
        </w:rPr>
        <w:t xml:space="preserve"> </w:t>
      </w:r>
      <w:r w:rsidRPr="005F0A67">
        <w:rPr>
          <w:rFonts w:asciiTheme="majorBidi" w:eastAsia="Georgia" w:hAnsiTheme="majorBidi" w:cstheme="majorBidi"/>
          <w:color w:val="242424"/>
          <w:sz w:val="17"/>
          <w:szCs w:val="17"/>
          <w:lang w:eastAsia="en-GB"/>
        </w:rPr>
        <w:t>over</w:t>
      </w:r>
      <w:r w:rsidRPr="005F0A67">
        <w:rPr>
          <w:rFonts w:asciiTheme="majorBidi" w:eastAsia="Georgia" w:hAnsiTheme="majorBidi" w:cstheme="majorBidi"/>
          <w:color w:val="242424"/>
          <w:spacing w:val="-7"/>
          <w:sz w:val="17"/>
          <w:szCs w:val="17"/>
          <w:lang w:eastAsia="en-GB"/>
        </w:rPr>
        <w:t xml:space="preserve"> </w:t>
      </w:r>
      <w:r w:rsidRPr="005F0A67">
        <w:rPr>
          <w:rFonts w:asciiTheme="majorBidi" w:eastAsia="Georgia" w:hAnsiTheme="majorBidi" w:cstheme="majorBidi"/>
          <w:color w:val="242424"/>
          <w:sz w:val="17"/>
          <w:szCs w:val="17"/>
          <w:lang w:eastAsia="en-GB"/>
        </w:rPr>
        <w:t>the</w:t>
      </w:r>
      <w:r w:rsidRPr="005F0A67">
        <w:rPr>
          <w:rFonts w:asciiTheme="majorBidi" w:eastAsia="Georgia" w:hAnsiTheme="majorBidi" w:cstheme="majorBidi"/>
          <w:color w:val="242424"/>
          <w:spacing w:val="-7"/>
          <w:sz w:val="17"/>
          <w:szCs w:val="17"/>
          <w:lang w:eastAsia="en-GB"/>
        </w:rPr>
        <w:t xml:space="preserve"> </w:t>
      </w:r>
      <w:r w:rsidRPr="005F0A67">
        <w:rPr>
          <w:rFonts w:asciiTheme="majorBidi" w:eastAsia="Georgia" w:hAnsiTheme="majorBidi" w:cstheme="majorBidi"/>
          <w:b/>
          <w:bCs/>
          <w:color w:val="242424"/>
          <w:sz w:val="17"/>
          <w:szCs w:val="17"/>
          <w:lang w:eastAsia="en-GB"/>
        </w:rPr>
        <w:t>next</w:t>
      </w:r>
      <w:r w:rsidRPr="005F0A67">
        <w:rPr>
          <w:rFonts w:asciiTheme="majorBidi" w:eastAsia="Georgia" w:hAnsiTheme="majorBidi" w:cstheme="majorBidi"/>
          <w:b/>
          <w:bCs/>
          <w:color w:val="242424"/>
          <w:spacing w:val="-7"/>
          <w:sz w:val="17"/>
          <w:szCs w:val="17"/>
          <w:lang w:eastAsia="en-GB"/>
        </w:rPr>
        <w:t xml:space="preserve"> </w:t>
      </w:r>
      <w:r w:rsidRPr="005F0A67">
        <w:rPr>
          <w:rFonts w:asciiTheme="majorBidi" w:eastAsia="Georgia" w:hAnsiTheme="majorBidi" w:cstheme="majorBidi"/>
          <w:b/>
          <w:bCs/>
          <w:color w:val="242424"/>
          <w:sz w:val="17"/>
          <w:szCs w:val="17"/>
          <w:lang w:eastAsia="en-GB"/>
        </w:rPr>
        <w:t>5–10</w:t>
      </w:r>
      <w:r w:rsidRPr="005F0A67">
        <w:rPr>
          <w:rFonts w:asciiTheme="majorBidi" w:eastAsia="Georgia" w:hAnsiTheme="majorBidi" w:cstheme="majorBidi"/>
          <w:b/>
          <w:bCs/>
          <w:color w:val="242424"/>
          <w:spacing w:val="-7"/>
          <w:sz w:val="17"/>
          <w:szCs w:val="17"/>
          <w:lang w:eastAsia="en-GB"/>
        </w:rPr>
        <w:t xml:space="preserve"> </w:t>
      </w:r>
      <w:r w:rsidRPr="005F0A67">
        <w:rPr>
          <w:rFonts w:asciiTheme="majorBidi" w:eastAsia="Georgia" w:hAnsiTheme="majorBidi" w:cstheme="majorBidi"/>
          <w:b/>
          <w:bCs/>
          <w:color w:val="242424"/>
          <w:sz w:val="17"/>
          <w:szCs w:val="17"/>
          <w:lang w:eastAsia="en-GB"/>
        </w:rPr>
        <w:t>years</w:t>
      </w:r>
      <w:r w:rsidRPr="005F0A67">
        <w:rPr>
          <w:rFonts w:asciiTheme="majorBidi" w:eastAsia="Georgia" w:hAnsiTheme="majorBidi" w:cstheme="majorBidi"/>
          <w:color w:val="242424"/>
          <w:sz w:val="17"/>
          <w:szCs w:val="17"/>
          <w:lang w:eastAsia="en-GB"/>
        </w:rPr>
        <w:t>?</w:t>
      </w:r>
      <w:r w:rsidRPr="005F0A67">
        <w:rPr>
          <w:rFonts w:asciiTheme="majorBidi" w:eastAsia="Georgia" w:hAnsiTheme="majorBidi" w:cstheme="majorBidi"/>
          <w:color w:val="242424"/>
          <w:spacing w:val="-7"/>
          <w:sz w:val="17"/>
          <w:szCs w:val="17"/>
          <w:lang w:eastAsia="en-GB"/>
        </w:rPr>
        <w:t xml:space="preserve"> </w:t>
      </w:r>
      <w:r w:rsidRPr="005F0A67">
        <w:rPr>
          <w:rFonts w:asciiTheme="majorBidi" w:eastAsia="Georgia" w:hAnsiTheme="majorBidi" w:cstheme="majorBidi"/>
          <w:color w:val="AE1515"/>
          <w:spacing w:val="-10"/>
          <w:sz w:val="17"/>
          <w:szCs w:val="17"/>
          <w:lang w:eastAsia="en-GB"/>
        </w:rPr>
        <w:t>*</w:t>
      </w:r>
    </w:p>
    <w:p w14:paraId="7B3A40CB" w14:textId="77777777" w:rsidR="005F0A67" w:rsidRPr="005F0A67" w:rsidRDefault="005F0A67" w:rsidP="005F0A67">
      <w:pPr>
        <w:widowControl w:val="0"/>
        <w:tabs>
          <w:tab w:val="clear" w:pos="567"/>
          <w:tab w:val="clear" w:pos="1134"/>
          <w:tab w:val="clear" w:pos="1701"/>
          <w:tab w:val="clear" w:pos="2268"/>
        </w:tabs>
        <w:spacing w:before="123"/>
        <w:jc w:val="left"/>
        <w:rPr>
          <w:rFonts w:asciiTheme="majorBidi" w:eastAsia="Arial" w:hAnsiTheme="majorBidi" w:cstheme="majorBidi"/>
          <w:sz w:val="14"/>
          <w:szCs w:val="14"/>
          <w:lang w:val="en-US"/>
        </w:rPr>
      </w:pPr>
    </w:p>
    <w:p w14:paraId="04D4B71E" w14:textId="77777777" w:rsidR="005F0A67" w:rsidRPr="005F0A67" w:rsidRDefault="005F0A67" w:rsidP="005F0A67">
      <w:pPr>
        <w:widowControl w:val="0"/>
        <w:tabs>
          <w:tab w:val="clear" w:pos="567"/>
          <w:tab w:val="clear" w:pos="1134"/>
          <w:tab w:val="clear" w:pos="1701"/>
          <w:tab w:val="clear" w:pos="2268"/>
        </w:tabs>
        <w:spacing w:line="600" w:lineRule="auto"/>
        <w:ind w:left="725" w:right="6157"/>
        <w:rPr>
          <w:rFonts w:asciiTheme="majorBidi" w:eastAsia="Arial" w:hAnsiTheme="majorBidi" w:cstheme="majorBidi"/>
          <w:sz w:val="14"/>
          <w:szCs w:val="14"/>
          <w:lang w:val="en-US"/>
        </w:rPr>
      </w:pPr>
      <w:r w:rsidRPr="005F0A67">
        <w:rPr>
          <w:rFonts w:asciiTheme="majorBidi" w:eastAsia="Arial" w:hAnsiTheme="majorBidi" w:cstheme="majorBidi"/>
          <w:noProof/>
          <w:position w:val="-4"/>
          <w:sz w:val="14"/>
          <w:szCs w:val="14"/>
          <w:lang w:val="en-US"/>
        </w:rPr>
        <w:drawing>
          <wp:inline distT="0" distB="0" distL="0" distR="0" wp14:anchorId="01B5E27D" wp14:editId="39BE75C8">
            <wp:extent cx="127000" cy="127000"/>
            <wp:effectExtent l="0" t="0" r="0" b="0"/>
            <wp:docPr id="78" name="Image 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8" name="Image 78"/>
                    <pic:cNvPicPr/>
                  </pic:nvPicPr>
                  <pic:blipFill>
                    <a:blip r:embed="rId42" cstate="print"/>
                    <a:stretch>
                      <a:fillRect/>
                    </a:stretch>
                  </pic:blipFill>
                  <pic:spPr>
                    <a:xfrm>
                      <a:off x="0" y="0"/>
                      <a:ext cx="127000" cy="127000"/>
                    </a:xfrm>
                    <a:prstGeom prst="rect">
                      <a:avLst/>
                    </a:prstGeom>
                  </pic:spPr>
                </pic:pic>
              </a:graphicData>
            </a:graphic>
          </wp:inline>
        </w:drawing>
      </w:r>
      <w:r w:rsidRPr="005F0A67">
        <w:rPr>
          <w:rFonts w:asciiTheme="majorBidi" w:eastAsia="Arial" w:hAnsiTheme="majorBidi" w:cstheme="majorBidi"/>
          <w:spacing w:val="38"/>
          <w:sz w:val="20"/>
          <w:szCs w:val="20"/>
          <w:lang w:val="en-US"/>
        </w:rPr>
        <w:t xml:space="preserve"> </w:t>
      </w:r>
      <w:r w:rsidRPr="005F0A67">
        <w:rPr>
          <w:rFonts w:asciiTheme="majorBidi" w:eastAsia="Arial" w:hAnsiTheme="majorBidi" w:cstheme="majorBidi"/>
          <w:color w:val="242424"/>
          <w:sz w:val="14"/>
          <w:szCs w:val="14"/>
          <w:lang w:val="en-US"/>
        </w:rPr>
        <w:t>Increase</w:t>
      </w:r>
      <w:r w:rsidRPr="005F0A67">
        <w:rPr>
          <w:rFonts w:asciiTheme="majorBidi" w:eastAsia="Arial" w:hAnsiTheme="majorBidi" w:cstheme="majorBidi"/>
          <w:color w:val="242424"/>
          <w:spacing w:val="-10"/>
          <w:sz w:val="14"/>
          <w:szCs w:val="14"/>
          <w:lang w:val="en-US"/>
        </w:rPr>
        <w:t xml:space="preserve"> </w:t>
      </w:r>
      <w:r w:rsidRPr="005F0A67">
        <w:rPr>
          <w:rFonts w:asciiTheme="majorBidi" w:eastAsia="Arial" w:hAnsiTheme="majorBidi" w:cstheme="majorBidi"/>
          <w:color w:val="242424"/>
          <w:sz w:val="14"/>
          <w:szCs w:val="14"/>
          <w:lang w:val="en-US"/>
        </w:rPr>
        <w:t>significantly</w:t>
      </w:r>
      <w:r w:rsidRPr="005F0A67">
        <w:rPr>
          <w:rFonts w:asciiTheme="majorBidi" w:eastAsia="Arial" w:hAnsiTheme="majorBidi" w:cstheme="majorBidi"/>
          <w:color w:val="242424"/>
          <w:spacing w:val="40"/>
          <w:sz w:val="14"/>
          <w:szCs w:val="14"/>
          <w:lang w:val="en-US"/>
        </w:rPr>
        <w:t xml:space="preserve"> </w:t>
      </w:r>
      <w:r w:rsidRPr="005F0A67">
        <w:rPr>
          <w:rFonts w:asciiTheme="majorBidi" w:eastAsia="Arial" w:hAnsiTheme="majorBidi" w:cstheme="majorBidi"/>
          <w:noProof/>
          <w:color w:val="242424"/>
          <w:position w:val="-4"/>
          <w:sz w:val="14"/>
          <w:szCs w:val="14"/>
          <w:lang w:val="en-US"/>
        </w:rPr>
        <w:drawing>
          <wp:inline distT="0" distB="0" distL="0" distR="0" wp14:anchorId="5AB93F1E" wp14:editId="0FB73AFE">
            <wp:extent cx="127000" cy="127000"/>
            <wp:effectExtent l="0" t="0" r="0" b="0"/>
            <wp:docPr id="79" name="Image 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 name="Image 79"/>
                    <pic:cNvPicPr/>
                  </pic:nvPicPr>
                  <pic:blipFill>
                    <a:blip r:embed="rId49" cstate="print"/>
                    <a:stretch>
                      <a:fillRect/>
                    </a:stretch>
                  </pic:blipFill>
                  <pic:spPr>
                    <a:xfrm>
                      <a:off x="0" y="0"/>
                      <a:ext cx="127000" cy="127000"/>
                    </a:xfrm>
                    <a:prstGeom prst="rect">
                      <a:avLst/>
                    </a:prstGeom>
                  </pic:spPr>
                </pic:pic>
              </a:graphicData>
            </a:graphic>
          </wp:inline>
        </w:drawing>
      </w:r>
      <w:r w:rsidRPr="005F0A67">
        <w:rPr>
          <w:rFonts w:asciiTheme="majorBidi" w:eastAsia="Arial" w:hAnsiTheme="majorBidi" w:cstheme="majorBidi"/>
          <w:color w:val="242424"/>
          <w:spacing w:val="40"/>
          <w:sz w:val="14"/>
          <w:szCs w:val="14"/>
          <w:lang w:val="en-US"/>
        </w:rPr>
        <w:t xml:space="preserve"> </w:t>
      </w:r>
      <w:r w:rsidRPr="005F0A67">
        <w:rPr>
          <w:rFonts w:asciiTheme="majorBidi" w:eastAsia="Arial" w:hAnsiTheme="majorBidi" w:cstheme="majorBidi"/>
          <w:color w:val="242424"/>
          <w:sz w:val="14"/>
          <w:szCs w:val="14"/>
          <w:lang w:val="en-US"/>
        </w:rPr>
        <w:t>Increase</w:t>
      </w:r>
      <w:r w:rsidRPr="005F0A67">
        <w:rPr>
          <w:rFonts w:asciiTheme="majorBidi" w:eastAsia="Arial" w:hAnsiTheme="majorBidi" w:cstheme="majorBidi"/>
          <w:color w:val="242424"/>
          <w:spacing w:val="-7"/>
          <w:sz w:val="14"/>
          <w:szCs w:val="14"/>
          <w:lang w:val="en-US"/>
        </w:rPr>
        <w:t xml:space="preserve"> </w:t>
      </w:r>
      <w:r w:rsidRPr="005F0A67">
        <w:rPr>
          <w:rFonts w:asciiTheme="majorBidi" w:eastAsia="Arial" w:hAnsiTheme="majorBidi" w:cstheme="majorBidi"/>
          <w:color w:val="242424"/>
          <w:sz w:val="14"/>
          <w:szCs w:val="14"/>
          <w:lang w:val="en-US"/>
        </w:rPr>
        <w:t>moderately</w:t>
      </w:r>
      <w:r w:rsidRPr="005F0A67">
        <w:rPr>
          <w:rFonts w:asciiTheme="majorBidi" w:eastAsia="Arial" w:hAnsiTheme="majorBidi" w:cstheme="majorBidi"/>
          <w:color w:val="242424"/>
          <w:spacing w:val="40"/>
          <w:sz w:val="14"/>
          <w:szCs w:val="14"/>
          <w:lang w:val="en-US"/>
        </w:rPr>
        <w:t xml:space="preserve"> </w:t>
      </w:r>
      <w:r w:rsidRPr="005F0A67">
        <w:rPr>
          <w:rFonts w:asciiTheme="majorBidi" w:eastAsia="Arial" w:hAnsiTheme="majorBidi" w:cstheme="majorBidi"/>
          <w:noProof/>
          <w:color w:val="242424"/>
          <w:position w:val="-4"/>
          <w:sz w:val="14"/>
          <w:szCs w:val="14"/>
          <w:lang w:val="en-US"/>
        </w:rPr>
        <w:lastRenderedPageBreak/>
        <w:drawing>
          <wp:inline distT="0" distB="0" distL="0" distR="0" wp14:anchorId="035ED4A1" wp14:editId="680FDA5C">
            <wp:extent cx="127000" cy="127000"/>
            <wp:effectExtent l="0" t="0" r="0" b="0"/>
            <wp:docPr id="80" name="Image 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0" name="Image 80"/>
                    <pic:cNvPicPr/>
                  </pic:nvPicPr>
                  <pic:blipFill>
                    <a:blip r:embed="rId39" cstate="print"/>
                    <a:stretch>
                      <a:fillRect/>
                    </a:stretch>
                  </pic:blipFill>
                  <pic:spPr>
                    <a:xfrm>
                      <a:off x="0" y="0"/>
                      <a:ext cx="127000" cy="127000"/>
                    </a:xfrm>
                    <a:prstGeom prst="rect">
                      <a:avLst/>
                    </a:prstGeom>
                  </pic:spPr>
                </pic:pic>
              </a:graphicData>
            </a:graphic>
          </wp:inline>
        </w:drawing>
      </w:r>
      <w:r w:rsidRPr="005F0A67">
        <w:rPr>
          <w:rFonts w:asciiTheme="majorBidi" w:eastAsia="Arial" w:hAnsiTheme="majorBidi" w:cstheme="majorBidi"/>
          <w:color w:val="242424"/>
          <w:spacing w:val="80"/>
          <w:sz w:val="14"/>
          <w:szCs w:val="14"/>
          <w:lang w:val="en-US"/>
        </w:rPr>
        <w:t xml:space="preserve"> </w:t>
      </w:r>
      <w:r w:rsidRPr="005F0A67">
        <w:rPr>
          <w:rFonts w:asciiTheme="majorBidi" w:eastAsia="Arial" w:hAnsiTheme="majorBidi" w:cstheme="majorBidi"/>
          <w:color w:val="242424"/>
          <w:sz w:val="14"/>
          <w:szCs w:val="14"/>
          <w:lang w:val="en-US"/>
        </w:rPr>
        <w:t>Stay the same</w:t>
      </w:r>
    </w:p>
    <w:p w14:paraId="6F81A7AD" w14:textId="77777777" w:rsidR="005F0A67" w:rsidRPr="005F0A67" w:rsidRDefault="005F0A67" w:rsidP="005F0A67">
      <w:pPr>
        <w:widowControl w:val="0"/>
        <w:tabs>
          <w:tab w:val="clear" w:pos="567"/>
          <w:tab w:val="clear" w:pos="1134"/>
          <w:tab w:val="clear" w:pos="1701"/>
          <w:tab w:val="clear" w:pos="2268"/>
        </w:tabs>
        <w:spacing w:line="600" w:lineRule="auto"/>
        <w:ind w:left="725" w:right="6103"/>
        <w:rPr>
          <w:rFonts w:asciiTheme="majorBidi" w:eastAsia="Arial" w:hAnsiTheme="majorBidi" w:cstheme="majorBidi"/>
          <w:sz w:val="14"/>
          <w:szCs w:val="14"/>
          <w:lang w:val="en-US"/>
        </w:rPr>
      </w:pPr>
      <w:r w:rsidRPr="005F0A67">
        <w:rPr>
          <w:rFonts w:asciiTheme="majorBidi" w:eastAsia="Arial" w:hAnsiTheme="majorBidi" w:cstheme="majorBidi"/>
          <w:noProof/>
          <w:position w:val="-4"/>
          <w:sz w:val="14"/>
          <w:szCs w:val="14"/>
          <w:lang w:val="en-US"/>
        </w:rPr>
        <w:drawing>
          <wp:inline distT="0" distB="0" distL="0" distR="0" wp14:anchorId="4338EC44" wp14:editId="79CCB54E">
            <wp:extent cx="127000" cy="127000"/>
            <wp:effectExtent l="0" t="0" r="0" b="0"/>
            <wp:docPr id="81" name="Image 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1" name="Image 81"/>
                    <pic:cNvPicPr/>
                  </pic:nvPicPr>
                  <pic:blipFill>
                    <a:blip r:embed="rId49" cstate="print"/>
                    <a:stretch>
                      <a:fillRect/>
                    </a:stretch>
                  </pic:blipFill>
                  <pic:spPr>
                    <a:xfrm>
                      <a:off x="0" y="0"/>
                      <a:ext cx="127000" cy="127000"/>
                    </a:xfrm>
                    <a:prstGeom prst="rect">
                      <a:avLst/>
                    </a:prstGeom>
                  </pic:spPr>
                </pic:pic>
              </a:graphicData>
            </a:graphic>
          </wp:inline>
        </w:drawing>
      </w:r>
      <w:r w:rsidRPr="005F0A67">
        <w:rPr>
          <w:rFonts w:asciiTheme="majorBidi" w:eastAsia="Arial" w:hAnsiTheme="majorBidi" w:cstheme="majorBidi"/>
          <w:spacing w:val="40"/>
          <w:sz w:val="20"/>
          <w:szCs w:val="20"/>
          <w:lang w:val="en-US"/>
        </w:rPr>
        <w:t xml:space="preserve"> </w:t>
      </w:r>
      <w:r w:rsidRPr="005F0A67">
        <w:rPr>
          <w:rFonts w:asciiTheme="majorBidi" w:eastAsia="Arial" w:hAnsiTheme="majorBidi" w:cstheme="majorBidi"/>
          <w:color w:val="242424"/>
          <w:sz w:val="14"/>
          <w:szCs w:val="14"/>
          <w:lang w:val="en-US"/>
        </w:rPr>
        <w:t>Decrease</w:t>
      </w:r>
      <w:r w:rsidRPr="005F0A67">
        <w:rPr>
          <w:rFonts w:asciiTheme="majorBidi" w:eastAsia="Arial" w:hAnsiTheme="majorBidi" w:cstheme="majorBidi"/>
          <w:color w:val="242424"/>
          <w:spacing w:val="-10"/>
          <w:sz w:val="14"/>
          <w:szCs w:val="14"/>
          <w:lang w:val="en-US"/>
        </w:rPr>
        <w:t xml:space="preserve"> </w:t>
      </w:r>
      <w:r w:rsidRPr="005F0A67">
        <w:rPr>
          <w:rFonts w:asciiTheme="majorBidi" w:eastAsia="Arial" w:hAnsiTheme="majorBidi" w:cstheme="majorBidi"/>
          <w:color w:val="242424"/>
          <w:sz w:val="14"/>
          <w:szCs w:val="14"/>
          <w:lang w:val="en-US"/>
        </w:rPr>
        <w:t>moderately</w:t>
      </w:r>
      <w:r w:rsidRPr="005F0A67">
        <w:rPr>
          <w:rFonts w:asciiTheme="majorBidi" w:eastAsia="Arial" w:hAnsiTheme="majorBidi" w:cstheme="majorBidi"/>
          <w:color w:val="242424"/>
          <w:spacing w:val="40"/>
          <w:sz w:val="14"/>
          <w:szCs w:val="14"/>
          <w:lang w:val="en-US"/>
        </w:rPr>
        <w:t xml:space="preserve"> </w:t>
      </w:r>
      <w:r w:rsidRPr="005F0A67">
        <w:rPr>
          <w:rFonts w:asciiTheme="majorBidi" w:eastAsia="Arial" w:hAnsiTheme="majorBidi" w:cstheme="majorBidi"/>
          <w:noProof/>
          <w:color w:val="242424"/>
          <w:position w:val="-4"/>
          <w:sz w:val="14"/>
          <w:szCs w:val="14"/>
          <w:lang w:val="en-US"/>
        </w:rPr>
        <w:drawing>
          <wp:inline distT="0" distB="0" distL="0" distR="0" wp14:anchorId="3D5471EA" wp14:editId="6BA2EC28">
            <wp:extent cx="127000" cy="127000"/>
            <wp:effectExtent l="0" t="0" r="0" b="0"/>
            <wp:docPr id="82" name="Image 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2" name="Image 82"/>
                    <pic:cNvPicPr/>
                  </pic:nvPicPr>
                  <pic:blipFill>
                    <a:blip r:embed="rId37" cstate="print"/>
                    <a:stretch>
                      <a:fillRect/>
                    </a:stretch>
                  </pic:blipFill>
                  <pic:spPr>
                    <a:xfrm>
                      <a:off x="0" y="0"/>
                      <a:ext cx="127000" cy="127000"/>
                    </a:xfrm>
                    <a:prstGeom prst="rect">
                      <a:avLst/>
                    </a:prstGeom>
                  </pic:spPr>
                </pic:pic>
              </a:graphicData>
            </a:graphic>
          </wp:inline>
        </w:drawing>
      </w:r>
      <w:r w:rsidRPr="005F0A67">
        <w:rPr>
          <w:rFonts w:asciiTheme="majorBidi" w:eastAsia="Arial" w:hAnsiTheme="majorBidi" w:cstheme="majorBidi"/>
          <w:color w:val="242424"/>
          <w:spacing w:val="40"/>
          <w:sz w:val="14"/>
          <w:szCs w:val="14"/>
          <w:lang w:val="en-US"/>
        </w:rPr>
        <w:t xml:space="preserve"> </w:t>
      </w:r>
      <w:r w:rsidRPr="005F0A67">
        <w:rPr>
          <w:rFonts w:asciiTheme="majorBidi" w:eastAsia="Arial" w:hAnsiTheme="majorBidi" w:cstheme="majorBidi"/>
          <w:color w:val="242424"/>
          <w:sz w:val="14"/>
          <w:szCs w:val="14"/>
          <w:lang w:val="en-US"/>
        </w:rPr>
        <w:t>Decrease</w:t>
      </w:r>
      <w:r w:rsidRPr="005F0A67">
        <w:rPr>
          <w:rFonts w:asciiTheme="majorBidi" w:eastAsia="Arial" w:hAnsiTheme="majorBidi" w:cstheme="majorBidi"/>
          <w:color w:val="242424"/>
          <w:spacing w:val="-10"/>
          <w:sz w:val="14"/>
          <w:szCs w:val="14"/>
          <w:lang w:val="en-US"/>
        </w:rPr>
        <w:t xml:space="preserve"> </w:t>
      </w:r>
      <w:r w:rsidRPr="005F0A67">
        <w:rPr>
          <w:rFonts w:asciiTheme="majorBidi" w:eastAsia="Arial" w:hAnsiTheme="majorBidi" w:cstheme="majorBidi"/>
          <w:color w:val="242424"/>
          <w:sz w:val="14"/>
          <w:szCs w:val="14"/>
          <w:lang w:val="en-US"/>
        </w:rPr>
        <w:t>significantly</w:t>
      </w:r>
      <w:r w:rsidRPr="005F0A67">
        <w:rPr>
          <w:rFonts w:asciiTheme="majorBidi" w:eastAsia="Arial" w:hAnsiTheme="majorBidi" w:cstheme="majorBidi"/>
          <w:color w:val="242424"/>
          <w:spacing w:val="40"/>
          <w:sz w:val="14"/>
          <w:szCs w:val="14"/>
          <w:lang w:val="en-US"/>
        </w:rPr>
        <w:t xml:space="preserve"> </w:t>
      </w:r>
      <w:r w:rsidRPr="005F0A67">
        <w:rPr>
          <w:rFonts w:asciiTheme="majorBidi" w:eastAsia="Arial" w:hAnsiTheme="majorBidi" w:cstheme="majorBidi"/>
          <w:noProof/>
          <w:color w:val="242424"/>
          <w:position w:val="-4"/>
          <w:sz w:val="14"/>
          <w:szCs w:val="14"/>
          <w:lang w:val="en-US"/>
        </w:rPr>
        <w:drawing>
          <wp:inline distT="0" distB="0" distL="0" distR="0" wp14:anchorId="644AA5AD" wp14:editId="1EC2D476">
            <wp:extent cx="127000" cy="127000"/>
            <wp:effectExtent l="0" t="0" r="0" b="0"/>
            <wp:docPr id="83" name="Image 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3" name="Image 83"/>
                    <pic:cNvPicPr/>
                  </pic:nvPicPr>
                  <pic:blipFill>
                    <a:blip r:embed="rId39" cstate="print"/>
                    <a:stretch>
                      <a:fillRect/>
                    </a:stretch>
                  </pic:blipFill>
                  <pic:spPr>
                    <a:xfrm>
                      <a:off x="0" y="0"/>
                      <a:ext cx="127000" cy="127000"/>
                    </a:xfrm>
                    <a:prstGeom prst="rect">
                      <a:avLst/>
                    </a:prstGeom>
                  </pic:spPr>
                </pic:pic>
              </a:graphicData>
            </a:graphic>
          </wp:inline>
        </w:drawing>
      </w:r>
      <w:r w:rsidRPr="005F0A67">
        <w:rPr>
          <w:rFonts w:asciiTheme="majorBidi" w:eastAsia="Arial" w:hAnsiTheme="majorBidi" w:cstheme="majorBidi"/>
          <w:color w:val="242424"/>
          <w:spacing w:val="80"/>
          <w:sz w:val="14"/>
          <w:szCs w:val="14"/>
          <w:lang w:val="en-US"/>
        </w:rPr>
        <w:t xml:space="preserve"> </w:t>
      </w:r>
      <w:r w:rsidRPr="005F0A67">
        <w:rPr>
          <w:rFonts w:asciiTheme="majorBidi" w:eastAsia="Arial" w:hAnsiTheme="majorBidi" w:cstheme="majorBidi"/>
          <w:color w:val="242424"/>
          <w:sz w:val="14"/>
          <w:szCs w:val="14"/>
          <w:lang w:val="en-US"/>
        </w:rPr>
        <w:t>Don't know</w:t>
      </w:r>
    </w:p>
    <w:p w14:paraId="5C0A9760" w14:textId="77777777" w:rsidR="005F0A67" w:rsidRPr="005F0A67" w:rsidRDefault="005F0A67" w:rsidP="005F0A67">
      <w:pPr>
        <w:pBdr>
          <w:bottom w:val="single" w:sz="2" w:space="6" w:color="D9D9D9"/>
        </w:pBdr>
        <w:tabs>
          <w:tab w:val="clear" w:pos="567"/>
          <w:tab w:val="clear" w:pos="1134"/>
          <w:tab w:val="clear" w:pos="1701"/>
          <w:tab w:val="clear" w:pos="2268"/>
        </w:tabs>
        <w:spacing w:before="400" w:after="60"/>
        <w:ind w:left="432" w:hanging="432"/>
        <w:jc w:val="left"/>
        <w:outlineLvl w:val="0"/>
        <w:rPr>
          <w:rFonts w:asciiTheme="majorBidi" w:eastAsia="Arial" w:hAnsiTheme="majorBidi" w:cstheme="majorBidi"/>
          <w:b/>
          <w:bCs/>
          <w:color w:val="242424"/>
          <w:w w:val="90"/>
          <w:sz w:val="28"/>
          <w:szCs w:val="28"/>
          <w:lang w:val="en-CA" w:eastAsia="en-GB"/>
        </w:rPr>
      </w:pPr>
      <w:bookmarkStart w:id="284" w:name="_Toc234579638"/>
      <w:r w:rsidRPr="005F0A67">
        <w:rPr>
          <w:rFonts w:asciiTheme="majorBidi" w:eastAsia="Arial" w:hAnsiTheme="majorBidi" w:cstheme="majorBidi"/>
          <w:b/>
          <w:bCs/>
          <w:color w:val="242424"/>
          <w:w w:val="90"/>
          <w:sz w:val="28"/>
          <w:szCs w:val="28"/>
          <w:lang w:val="en-CA" w:eastAsia="en-GB"/>
        </w:rPr>
        <w:t>Economic significance of DSI Use</w:t>
      </w:r>
      <w:bookmarkEnd w:id="284"/>
    </w:p>
    <w:p w14:paraId="1D5E1DB6" w14:textId="77777777" w:rsidR="005F0A67" w:rsidRPr="005F0A67" w:rsidRDefault="005F0A67" w:rsidP="005F0A67">
      <w:pPr>
        <w:tabs>
          <w:tab w:val="clear" w:pos="567"/>
          <w:tab w:val="clear" w:pos="1134"/>
          <w:tab w:val="clear" w:pos="1701"/>
          <w:tab w:val="clear" w:pos="2268"/>
        </w:tabs>
        <w:spacing w:before="135" w:line="297" w:lineRule="auto"/>
        <w:ind w:left="515" w:right="484"/>
        <w:jc w:val="left"/>
        <w:rPr>
          <w:rFonts w:asciiTheme="majorBidi" w:eastAsia="Times New Roman" w:hAnsiTheme="majorBidi" w:cstheme="majorBidi"/>
          <w:sz w:val="17"/>
          <w:szCs w:val="17"/>
          <w:lang w:val="en-CA" w:eastAsia="en-GB"/>
        </w:rPr>
      </w:pPr>
      <w:r w:rsidRPr="005F0A67">
        <w:rPr>
          <w:rFonts w:asciiTheme="majorBidi" w:eastAsia="Times New Roman" w:hAnsiTheme="majorBidi" w:cstheme="majorBidi"/>
          <w:color w:val="242424"/>
          <w:spacing w:val="-4"/>
          <w:sz w:val="17"/>
          <w:szCs w:val="17"/>
          <w:lang w:val="en-CA" w:eastAsia="en-GB"/>
        </w:rPr>
        <w:t xml:space="preserve">This section quantifies the </w:t>
      </w:r>
      <w:r w:rsidRPr="005F0A67">
        <w:rPr>
          <w:rFonts w:asciiTheme="majorBidi" w:eastAsia="Times New Roman" w:hAnsiTheme="majorBidi" w:cstheme="majorBidi"/>
          <w:b/>
          <w:bCs/>
          <w:color w:val="242424"/>
          <w:spacing w:val="-4"/>
          <w:sz w:val="17"/>
          <w:szCs w:val="17"/>
          <w:lang w:val="en-CA" w:eastAsia="en-GB"/>
        </w:rPr>
        <w:t xml:space="preserve">financial importance of DSI to your business </w:t>
      </w:r>
      <w:r w:rsidRPr="005F0A67">
        <w:rPr>
          <w:rFonts w:asciiTheme="majorBidi" w:eastAsia="Times New Roman" w:hAnsiTheme="majorBidi" w:cstheme="majorBidi"/>
          <w:color w:val="242424"/>
          <w:spacing w:val="-4"/>
          <w:sz w:val="17"/>
          <w:szCs w:val="17"/>
          <w:lang w:val="en-CA" w:eastAsia="en-GB"/>
        </w:rPr>
        <w:t xml:space="preserve">and explores </w:t>
      </w:r>
      <w:r w:rsidRPr="005F0A67">
        <w:rPr>
          <w:rFonts w:asciiTheme="majorBidi" w:eastAsia="Times New Roman" w:hAnsiTheme="majorBidi" w:cstheme="majorBidi"/>
          <w:b/>
          <w:bCs/>
          <w:color w:val="242424"/>
          <w:spacing w:val="-4"/>
          <w:sz w:val="17"/>
          <w:szCs w:val="17"/>
          <w:lang w:val="en-CA" w:eastAsia="en-GB"/>
        </w:rPr>
        <w:t>how your organisation might re</w:t>
      </w:r>
      <w:r w:rsidRPr="005F0A67">
        <w:rPr>
          <w:rFonts w:asciiTheme="majorBidi" w:eastAsia="Times New Roman" w:hAnsiTheme="majorBidi" w:cstheme="majorBidi"/>
          <w:b/>
          <w:bCs/>
          <w:color w:val="242424"/>
          <w:spacing w:val="-2"/>
          <w:sz w:val="17"/>
          <w:szCs w:val="17"/>
          <w:lang w:val="en-CA" w:eastAsia="en-GB"/>
        </w:rPr>
        <w:t xml:space="preserve">spond to potential cost increases </w:t>
      </w:r>
      <w:r w:rsidRPr="005F0A67">
        <w:rPr>
          <w:rFonts w:asciiTheme="majorBidi" w:eastAsia="Times New Roman" w:hAnsiTheme="majorBidi" w:cstheme="majorBidi"/>
          <w:color w:val="242424"/>
          <w:spacing w:val="-2"/>
          <w:sz w:val="17"/>
          <w:szCs w:val="17"/>
          <w:lang w:val="en-CA" w:eastAsia="en-GB"/>
        </w:rPr>
        <w:t>from Cali Fund contributions.</w:t>
      </w:r>
    </w:p>
    <w:p w14:paraId="3EA68ECF" w14:textId="77777777" w:rsidR="005F0A67" w:rsidRPr="005F0A67" w:rsidRDefault="005F0A67" w:rsidP="005F0A67">
      <w:pPr>
        <w:widowControl w:val="0"/>
        <w:tabs>
          <w:tab w:val="clear" w:pos="567"/>
          <w:tab w:val="clear" w:pos="1134"/>
          <w:tab w:val="clear" w:pos="1701"/>
          <w:tab w:val="clear" w:pos="2268"/>
        </w:tabs>
        <w:spacing w:before="141"/>
        <w:jc w:val="left"/>
        <w:rPr>
          <w:rFonts w:asciiTheme="majorBidi" w:eastAsia="Arial" w:hAnsiTheme="majorBidi" w:cstheme="majorBidi"/>
          <w:sz w:val="17"/>
          <w:szCs w:val="17"/>
          <w:lang w:val="en-US"/>
        </w:rPr>
      </w:pPr>
    </w:p>
    <w:p w14:paraId="16C15DD0" w14:textId="77777777" w:rsidR="005F0A67" w:rsidRPr="005F0A67" w:rsidRDefault="005F0A67" w:rsidP="003A387A">
      <w:pPr>
        <w:widowControl w:val="0"/>
        <w:numPr>
          <w:ilvl w:val="0"/>
          <w:numId w:val="44"/>
        </w:numPr>
        <w:tabs>
          <w:tab w:val="clear" w:pos="567"/>
          <w:tab w:val="clear" w:pos="1134"/>
          <w:tab w:val="clear" w:pos="1701"/>
          <w:tab w:val="clear" w:pos="2268"/>
          <w:tab w:val="left" w:pos="703"/>
          <w:tab w:val="left" w:pos="705"/>
        </w:tabs>
        <w:autoSpaceDE w:val="0"/>
        <w:autoSpaceDN w:val="0"/>
        <w:spacing w:line="271" w:lineRule="auto"/>
        <w:ind w:right="878" w:hanging="281"/>
        <w:jc w:val="left"/>
        <w:rPr>
          <w:rFonts w:asciiTheme="majorBidi" w:eastAsia="Georgia" w:hAnsiTheme="majorBidi" w:cstheme="majorBidi"/>
          <w:color w:val="1A1A1A"/>
          <w:sz w:val="17"/>
          <w:szCs w:val="17"/>
          <w:lang w:val="en-CA" w:eastAsia="en-GB"/>
        </w:rPr>
      </w:pPr>
      <w:r w:rsidRPr="005F0A67">
        <w:rPr>
          <w:rFonts w:asciiTheme="majorBidi" w:eastAsia="Georgia" w:hAnsiTheme="majorBidi" w:cstheme="majorBidi"/>
          <w:color w:val="242424"/>
          <w:sz w:val="17"/>
          <w:szCs w:val="17"/>
          <w:lang w:val="en-CA" w:eastAsia="en-GB"/>
        </w:rPr>
        <w:t>Please</w:t>
      </w:r>
      <w:r w:rsidRPr="005F0A67">
        <w:rPr>
          <w:rFonts w:asciiTheme="majorBidi" w:eastAsia="Georgia" w:hAnsiTheme="majorBidi" w:cstheme="majorBidi"/>
          <w:color w:val="242424"/>
          <w:spacing w:val="-3"/>
          <w:sz w:val="17"/>
          <w:szCs w:val="17"/>
          <w:lang w:val="en-CA" w:eastAsia="en-GB"/>
        </w:rPr>
        <w:t xml:space="preserve"> </w:t>
      </w:r>
      <w:r w:rsidRPr="005F0A67">
        <w:rPr>
          <w:rFonts w:asciiTheme="majorBidi" w:eastAsia="Georgia" w:hAnsiTheme="majorBidi" w:cstheme="majorBidi"/>
          <w:color w:val="242424"/>
          <w:sz w:val="17"/>
          <w:szCs w:val="17"/>
          <w:lang w:val="en-CA" w:eastAsia="en-GB"/>
        </w:rPr>
        <w:t>indicate</w:t>
      </w:r>
      <w:r w:rsidRPr="005F0A67">
        <w:rPr>
          <w:rFonts w:asciiTheme="majorBidi" w:eastAsia="Georgia" w:hAnsiTheme="majorBidi" w:cstheme="majorBidi"/>
          <w:color w:val="242424"/>
          <w:spacing w:val="-3"/>
          <w:sz w:val="17"/>
          <w:szCs w:val="17"/>
          <w:lang w:val="en-CA" w:eastAsia="en-GB"/>
        </w:rPr>
        <w:t xml:space="preserve"> </w:t>
      </w:r>
      <w:r w:rsidRPr="005F0A67">
        <w:rPr>
          <w:rFonts w:asciiTheme="majorBidi" w:eastAsia="Georgia" w:hAnsiTheme="majorBidi" w:cstheme="majorBidi"/>
          <w:color w:val="242424"/>
          <w:sz w:val="17"/>
          <w:szCs w:val="17"/>
          <w:lang w:val="en-CA" w:eastAsia="en-GB"/>
        </w:rPr>
        <w:t>the</w:t>
      </w:r>
      <w:r w:rsidRPr="005F0A67">
        <w:rPr>
          <w:rFonts w:asciiTheme="majorBidi" w:eastAsia="Georgia" w:hAnsiTheme="majorBidi" w:cstheme="majorBidi"/>
          <w:color w:val="242424"/>
          <w:spacing w:val="-3"/>
          <w:sz w:val="17"/>
          <w:szCs w:val="17"/>
          <w:lang w:val="en-CA" w:eastAsia="en-GB"/>
        </w:rPr>
        <w:t xml:space="preserve"> </w:t>
      </w:r>
      <w:r w:rsidRPr="005F0A67">
        <w:rPr>
          <w:rFonts w:asciiTheme="majorBidi" w:eastAsia="Georgia" w:hAnsiTheme="majorBidi" w:cstheme="majorBidi"/>
          <w:color w:val="242424"/>
          <w:sz w:val="17"/>
          <w:szCs w:val="17"/>
          <w:lang w:val="en-CA" w:eastAsia="en-GB"/>
        </w:rPr>
        <w:t>approximate</w:t>
      </w:r>
      <w:r w:rsidRPr="005F0A67">
        <w:rPr>
          <w:rFonts w:asciiTheme="majorBidi" w:eastAsia="Georgia" w:hAnsiTheme="majorBidi" w:cstheme="majorBidi"/>
          <w:color w:val="242424"/>
          <w:spacing w:val="-3"/>
          <w:sz w:val="17"/>
          <w:szCs w:val="17"/>
          <w:lang w:val="en-CA" w:eastAsia="en-GB"/>
        </w:rPr>
        <w:t xml:space="preserve"> </w:t>
      </w:r>
      <w:r w:rsidRPr="005F0A67">
        <w:rPr>
          <w:rFonts w:asciiTheme="majorBidi" w:eastAsia="Georgia" w:hAnsiTheme="majorBidi" w:cstheme="majorBidi"/>
          <w:color w:val="242424"/>
          <w:sz w:val="17"/>
          <w:szCs w:val="17"/>
          <w:lang w:val="en-CA" w:eastAsia="en-GB"/>
        </w:rPr>
        <w:t>share</w:t>
      </w:r>
      <w:r w:rsidRPr="005F0A67">
        <w:rPr>
          <w:rFonts w:asciiTheme="majorBidi" w:eastAsia="Georgia" w:hAnsiTheme="majorBidi" w:cstheme="majorBidi"/>
          <w:color w:val="242424"/>
          <w:spacing w:val="-3"/>
          <w:sz w:val="17"/>
          <w:szCs w:val="17"/>
          <w:lang w:val="en-CA" w:eastAsia="en-GB"/>
        </w:rPr>
        <w:t xml:space="preserve"> </w:t>
      </w:r>
      <w:r w:rsidRPr="005F0A67">
        <w:rPr>
          <w:rFonts w:asciiTheme="majorBidi" w:eastAsia="Georgia" w:hAnsiTheme="majorBidi" w:cstheme="majorBidi"/>
          <w:color w:val="242424"/>
          <w:sz w:val="17"/>
          <w:szCs w:val="17"/>
          <w:lang w:val="en-CA" w:eastAsia="en-GB"/>
        </w:rPr>
        <w:t>corresponding</w:t>
      </w:r>
      <w:r w:rsidRPr="005F0A67">
        <w:rPr>
          <w:rFonts w:asciiTheme="majorBidi" w:eastAsia="Georgia" w:hAnsiTheme="majorBidi" w:cstheme="majorBidi"/>
          <w:color w:val="242424"/>
          <w:spacing w:val="-3"/>
          <w:sz w:val="17"/>
          <w:szCs w:val="17"/>
          <w:lang w:val="en-CA" w:eastAsia="en-GB"/>
        </w:rPr>
        <w:t xml:space="preserve"> </w:t>
      </w:r>
      <w:r w:rsidRPr="005F0A67">
        <w:rPr>
          <w:rFonts w:asciiTheme="majorBidi" w:eastAsia="Georgia" w:hAnsiTheme="majorBidi" w:cstheme="majorBidi"/>
          <w:color w:val="242424"/>
          <w:sz w:val="17"/>
          <w:szCs w:val="17"/>
          <w:lang w:val="en-CA" w:eastAsia="en-GB"/>
        </w:rPr>
        <w:t>to</w:t>
      </w:r>
      <w:r w:rsidRPr="005F0A67">
        <w:rPr>
          <w:rFonts w:asciiTheme="majorBidi" w:eastAsia="Georgia" w:hAnsiTheme="majorBidi" w:cstheme="majorBidi"/>
          <w:color w:val="242424"/>
          <w:spacing w:val="-3"/>
          <w:sz w:val="17"/>
          <w:szCs w:val="17"/>
          <w:lang w:val="en-CA" w:eastAsia="en-GB"/>
        </w:rPr>
        <w:t xml:space="preserve"> </w:t>
      </w:r>
      <w:r w:rsidRPr="005F0A67">
        <w:rPr>
          <w:rFonts w:asciiTheme="majorBidi" w:eastAsia="Georgia" w:hAnsiTheme="majorBidi" w:cstheme="majorBidi"/>
          <w:color w:val="242424"/>
          <w:sz w:val="17"/>
          <w:szCs w:val="17"/>
          <w:lang w:val="en-CA" w:eastAsia="en-GB"/>
        </w:rPr>
        <w:t>each</w:t>
      </w:r>
      <w:r w:rsidRPr="005F0A67">
        <w:rPr>
          <w:rFonts w:asciiTheme="majorBidi" w:eastAsia="Georgia" w:hAnsiTheme="majorBidi" w:cstheme="majorBidi"/>
          <w:color w:val="242424"/>
          <w:spacing w:val="-3"/>
          <w:sz w:val="17"/>
          <w:szCs w:val="17"/>
          <w:lang w:val="en-CA" w:eastAsia="en-GB"/>
        </w:rPr>
        <w:t xml:space="preserve"> </w:t>
      </w:r>
      <w:r w:rsidRPr="005F0A67">
        <w:rPr>
          <w:rFonts w:asciiTheme="majorBidi" w:eastAsia="Georgia" w:hAnsiTheme="majorBidi" w:cstheme="majorBidi"/>
          <w:color w:val="242424"/>
          <w:sz w:val="17"/>
          <w:szCs w:val="17"/>
          <w:lang w:val="en-CA" w:eastAsia="en-GB"/>
        </w:rPr>
        <w:t>of</w:t>
      </w:r>
      <w:r w:rsidRPr="005F0A67">
        <w:rPr>
          <w:rFonts w:asciiTheme="majorBidi" w:eastAsia="Georgia" w:hAnsiTheme="majorBidi" w:cstheme="majorBidi"/>
          <w:color w:val="242424"/>
          <w:spacing w:val="-3"/>
          <w:sz w:val="17"/>
          <w:szCs w:val="17"/>
          <w:lang w:val="en-CA" w:eastAsia="en-GB"/>
        </w:rPr>
        <w:t xml:space="preserve"> </w:t>
      </w:r>
      <w:r w:rsidRPr="005F0A67">
        <w:rPr>
          <w:rFonts w:asciiTheme="majorBidi" w:eastAsia="Georgia" w:hAnsiTheme="majorBidi" w:cstheme="majorBidi"/>
          <w:color w:val="242424"/>
          <w:sz w:val="17"/>
          <w:szCs w:val="17"/>
          <w:lang w:val="en-CA" w:eastAsia="en-GB"/>
        </w:rPr>
        <w:t>the</w:t>
      </w:r>
      <w:r w:rsidRPr="005F0A67">
        <w:rPr>
          <w:rFonts w:asciiTheme="majorBidi" w:eastAsia="Georgia" w:hAnsiTheme="majorBidi" w:cstheme="majorBidi"/>
          <w:color w:val="242424"/>
          <w:spacing w:val="-3"/>
          <w:sz w:val="17"/>
          <w:szCs w:val="17"/>
          <w:lang w:val="en-CA" w:eastAsia="en-GB"/>
        </w:rPr>
        <w:t xml:space="preserve"> </w:t>
      </w:r>
      <w:r w:rsidRPr="005F0A67">
        <w:rPr>
          <w:rFonts w:asciiTheme="majorBidi" w:eastAsia="Georgia" w:hAnsiTheme="majorBidi" w:cstheme="majorBidi"/>
          <w:color w:val="242424"/>
          <w:sz w:val="17"/>
          <w:szCs w:val="17"/>
          <w:lang w:val="en-CA" w:eastAsia="en-GB"/>
        </w:rPr>
        <w:t>following</w:t>
      </w:r>
      <w:r w:rsidRPr="005F0A67">
        <w:rPr>
          <w:rFonts w:asciiTheme="majorBidi" w:eastAsia="Georgia" w:hAnsiTheme="majorBidi" w:cstheme="majorBidi"/>
          <w:color w:val="242424"/>
          <w:spacing w:val="-3"/>
          <w:sz w:val="17"/>
          <w:szCs w:val="17"/>
          <w:lang w:val="en-CA" w:eastAsia="en-GB"/>
        </w:rPr>
        <w:t xml:space="preserve"> </w:t>
      </w:r>
      <w:r w:rsidRPr="005F0A67">
        <w:rPr>
          <w:rFonts w:asciiTheme="majorBidi" w:eastAsia="Georgia" w:hAnsiTheme="majorBidi" w:cstheme="majorBidi"/>
          <w:color w:val="242424"/>
          <w:sz w:val="17"/>
          <w:szCs w:val="17"/>
          <w:lang w:val="en-CA" w:eastAsia="en-GB"/>
        </w:rPr>
        <w:t>indicators</w:t>
      </w:r>
      <w:r w:rsidRPr="005F0A67">
        <w:rPr>
          <w:rFonts w:asciiTheme="majorBidi" w:eastAsia="Georgia" w:hAnsiTheme="majorBidi" w:cstheme="majorBidi"/>
          <w:color w:val="242424"/>
          <w:spacing w:val="-3"/>
          <w:sz w:val="17"/>
          <w:szCs w:val="17"/>
          <w:lang w:val="en-CA" w:eastAsia="en-GB"/>
        </w:rPr>
        <w:t xml:space="preserve"> </w:t>
      </w:r>
      <w:r w:rsidRPr="005F0A67">
        <w:rPr>
          <w:rFonts w:asciiTheme="majorBidi" w:eastAsia="Georgia" w:hAnsiTheme="majorBidi" w:cstheme="majorBidi"/>
          <w:color w:val="242424"/>
          <w:sz w:val="17"/>
          <w:szCs w:val="17"/>
          <w:lang w:val="en-CA" w:eastAsia="en-GB"/>
        </w:rPr>
        <w:t xml:space="preserve">that is associated </w:t>
      </w:r>
      <w:r w:rsidRPr="005F0A67">
        <w:rPr>
          <w:rFonts w:asciiTheme="majorBidi" w:eastAsia="Georgia" w:hAnsiTheme="majorBidi" w:cstheme="majorBidi"/>
          <w:b/>
          <w:bCs/>
          <w:color w:val="242424"/>
          <w:sz w:val="17"/>
          <w:szCs w:val="17"/>
          <w:lang w:val="en-CA" w:eastAsia="en-GB"/>
        </w:rPr>
        <w:t>with the use of DSI</w:t>
      </w:r>
      <w:r w:rsidRPr="005F0A67">
        <w:rPr>
          <w:rFonts w:asciiTheme="majorBidi" w:eastAsia="Georgia" w:hAnsiTheme="majorBidi" w:cstheme="majorBidi"/>
          <w:color w:val="242424"/>
          <w:sz w:val="17"/>
          <w:szCs w:val="17"/>
          <w:lang w:val="en-CA" w:eastAsia="en-GB"/>
        </w:rPr>
        <w:t xml:space="preserve">, either </w:t>
      </w:r>
      <w:r w:rsidRPr="005F0A67">
        <w:rPr>
          <w:rFonts w:asciiTheme="majorBidi" w:eastAsia="Georgia" w:hAnsiTheme="majorBidi" w:cstheme="majorBidi"/>
          <w:b/>
          <w:bCs/>
          <w:color w:val="242424"/>
          <w:sz w:val="17"/>
          <w:szCs w:val="17"/>
          <w:lang w:val="en-CA" w:eastAsia="en-GB"/>
        </w:rPr>
        <w:t>directly or indirectly</w:t>
      </w:r>
      <w:r w:rsidRPr="005F0A67">
        <w:rPr>
          <w:rFonts w:asciiTheme="majorBidi" w:eastAsia="Georgia" w:hAnsiTheme="majorBidi" w:cstheme="majorBidi"/>
          <w:color w:val="242424"/>
          <w:sz w:val="17"/>
          <w:szCs w:val="17"/>
          <w:lang w:val="en-CA" w:eastAsia="en-GB"/>
        </w:rPr>
        <w:t>.</w:t>
      </w:r>
    </w:p>
    <w:p w14:paraId="1338BA66" w14:textId="77777777" w:rsidR="005F0A67" w:rsidRPr="005F0A67" w:rsidRDefault="005F0A67" w:rsidP="005F0A67">
      <w:pPr>
        <w:widowControl w:val="0"/>
        <w:tabs>
          <w:tab w:val="clear" w:pos="567"/>
          <w:tab w:val="clear" w:pos="1134"/>
          <w:tab w:val="clear" w:pos="1701"/>
          <w:tab w:val="clear" w:pos="2268"/>
        </w:tabs>
        <w:jc w:val="left"/>
        <w:rPr>
          <w:rFonts w:asciiTheme="majorBidi" w:eastAsia="Arial" w:hAnsiTheme="majorBidi" w:cstheme="majorBidi"/>
          <w:sz w:val="14"/>
          <w:szCs w:val="14"/>
          <w:lang w:val="en-US"/>
        </w:rPr>
      </w:pPr>
    </w:p>
    <w:p w14:paraId="025399A0" w14:textId="77777777" w:rsidR="005F0A67" w:rsidRPr="005F0A67" w:rsidRDefault="005F0A67" w:rsidP="005F0A67">
      <w:pPr>
        <w:widowControl w:val="0"/>
        <w:tabs>
          <w:tab w:val="clear" w:pos="567"/>
          <w:tab w:val="clear" w:pos="1134"/>
          <w:tab w:val="clear" w:pos="1701"/>
          <w:tab w:val="clear" w:pos="2268"/>
        </w:tabs>
        <w:spacing w:before="4"/>
        <w:jc w:val="left"/>
        <w:rPr>
          <w:rFonts w:asciiTheme="majorBidi" w:eastAsia="Arial" w:hAnsiTheme="majorBidi" w:cstheme="majorBidi"/>
          <w:sz w:val="14"/>
          <w:szCs w:val="14"/>
          <w:lang w:val="en-US"/>
        </w:rPr>
      </w:pPr>
    </w:p>
    <w:p w14:paraId="5C3935F0" w14:textId="77777777" w:rsidR="005F0A67" w:rsidRPr="005F0A67" w:rsidRDefault="005F0A67" w:rsidP="005F0A67">
      <w:pPr>
        <w:widowControl w:val="0"/>
        <w:tabs>
          <w:tab w:val="clear" w:pos="567"/>
          <w:tab w:val="clear" w:pos="1134"/>
          <w:tab w:val="clear" w:pos="1701"/>
          <w:tab w:val="clear" w:pos="2268"/>
          <w:tab w:val="left" w:pos="2962"/>
          <w:tab w:val="left" w:pos="3807"/>
          <w:tab w:val="left" w:pos="4671"/>
          <w:tab w:val="left" w:pos="5597"/>
          <w:tab w:val="left" w:pos="6329"/>
        </w:tabs>
        <w:spacing w:before="1"/>
        <w:ind w:left="2171"/>
        <w:jc w:val="left"/>
        <w:rPr>
          <w:rFonts w:asciiTheme="majorBidi" w:eastAsia="Arial" w:hAnsiTheme="majorBidi" w:cstheme="majorBidi"/>
          <w:position w:val="10"/>
          <w:sz w:val="14"/>
          <w:szCs w:val="14"/>
          <w:lang w:val="en-US"/>
        </w:rPr>
      </w:pPr>
      <w:r w:rsidRPr="005F0A67">
        <w:rPr>
          <w:rFonts w:asciiTheme="majorBidi" w:eastAsia="Arial" w:hAnsiTheme="majorBidi" w:cstheme="majorBidi"/>
          <w:noProof/>
          <w:position w:val="10"/>
          <w:sz w:val="14"/>
          <w:szCs w:val="14"/>
          <w:lang w:val="en-US"/>
        </w:rPr>
        <mc:AlternateContent>
          <mc:Choice Requires="wps">
            <w:drawing>
              <wp:anchor distT="0" distB="0" distL="0" distR="0" simplePos="0" relativeHeight="251658365" behindDoc="1" locked="0" layoutInCell="1" allowOverlap="1" wp14:anchorId="335D7AF3" wp14:editId="24428C14">
                <wp:simplePos x="0" y="0"/>
                <wp:positionH relativeFrom="page">
                  <wp:posOffset>5819179</wp:posOffset>
                </wp:positionH>
                <wp:positionV relativeFrom="paragraph">
                  <wp:posOffset>89582</wp:posOffset>
                </wp:positionV>
                <wp:extent cx="126364" cy="118745"/>
                <wp:effectExtent l="0" t="0" r="0" b="0"/>
                <wp:wrapNone/>
                <wp:docPr id="84" name="Text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6364" cy="118745"/>
                        </a:xfrm>
                        <a:prstGeom prst="rect">
                          <a:avLst/>
                        </a:prstGeom>
                      </wps:spPr>
                      <wps:txbx>
                        <w:txbxContent>
                          <w:p w14:paraId="3D6535BD" w14:textId="77777777" w:rsidR="005F0A67" w:rsidRDefault="005F0A67" w:rsidP="005F0A67">
                            <w:pPr>
                              <w:pStyle w:val="BodyText"/>
                              <w:spacing w:before="19"/>
                            </w:pPr>
                            <w:r>
                              <w:rPr>
                                <w:color w:val="242424"/>
                                <w:spacing w:val="-5"/>
                                <w:w w:val="90"/>
                              </w:rPr>
                              <w:t>say</w:t>
                            </w:r>
                          </w:p>
                        </w:txbxContent>
                      </wps:txbx>
                      <wps:bodyPr wrap="square" lIns="0" tIns="0" rIns="0" bIns="0" rtlCol="0">
                        <a:noAutofit/>
                      </wps:bodyPr>
                    </wps:wsp>
                  </a:graphicData>
                </a:graphic>
              </wp:anchor>
            </w:drawing>
          </mc:Choice>
          <mc:Fallback>
            <w:pict>
              <v:shape w14:anchorId="335D7AF3" id="Textbox 84" o:spid="_x0000_s1029" type="#_x0000_t202" style="position:absolute;left:0;text-align:left;margin-left:458.2pt;margin-top:7.05pt;width:9.95pt;height:9.35pt;z-index:-251658115;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" filled="f" stroked="f">
                <v:textbox inset="0,0,0,0">
                  <w:txbxContent>
                    <w:p w14:paraId="3D6535BD" w14:textId="77777777" w:rsidR="005F0A67" w:rsidRDefault="005F0A67" w:rsidP="005F0A67">
                      <w:pPr>
                        <w:pStyle w:val="BodyText"/>
                        <w:spacing w:before="19"/>
                      </w:pPr>
                      <w:r>
                        <w:rPr>
                          <w:color w:val="242424"/>
                          <w:spacing w:val="-5"/>
                          <w:w w:val="90"/>
                        </w:rPr>
                        <w:t>say</w:t>
                      </w:r>
                    </w:p>
                  </w:txbxContent>
                </v:textbox>
                <w10:wrap anchorx="page"/>
              </v:shape>
            </w:pict>
          </mc:Fallback>
        </mc:AlternateContent>
      </w:r>
      <w:r w:rsidRPr="005F0A67">
        <w:rPr>
          <w:rFonts w:asciiTheme="majorBidi" w:eastAsia="Arial" w:hAnsiTheme="majorBidi" w:cstheme="majorBidi"/>
          <w:color w:val="242424"/>
          <w:spacing w:val="-5"/>
          <w:sz w:val="14"/>
          <w:szCs w:val="14"/>
          <w:lang w:val="en-US"/>
        </w:rPr>
        <w:t>0%</w:t>
      </w:r>
      <w:r w:rsidRPr="005F0A67">
        <w:rPr>
          <w:rFonts w:asciiTheme="majorBidi" w:eastAsia="Arial" w:hAnsiTheme="majorBidi" w:cstheme="majorBidi"/>
          <w:color w:val="242424"/>
          <w:sz w:val="14"/>
          <w:szCs w:val="14"/>
          <w:lang w:val="en-US"/>
        </w:rPr>
        <w:tab/>
      </w:r>
      <w:r w:rsidRPr="005F0A67">
        <w:rPr>
          <w:rFonts w:asciiTheme="majorBidi" w:eastAsia="Arial" w:hAnsiTheme="majorBidi" w:cstheme="majorBidi"/>
          <w:color w:val="242424"/>
          <w:w w:val="90"/>
          <w:sz w:val="14"/>
          <w:szCs w:val="14"/>
          <w:lang w:val="en-US"/>
        </w:rPr>
        <w:t>0–</w:t>
      </w:r>
      <w:r w:rsidRPr="005F0A67">
        <w:rPr>
          <w:rFonts w:asciiTheme="majorBidi" w:eastAsia="Arial" w:hAnsiTheme="majorBidi" w:cstheme="majorBidi"/>
          <w:color w:val="242424"/>
          <w:spacing w:val="-5"/>
          <w:sz w:val="14"/>
          <w:szCs w:val="14"/>
          <w:lang w:val="en-US"/>
        </w:rPr>
        <w:t>5%</w:t>
      </w:r>
      <w:r w:rsidRPr="005F0A67">
        <w:rPr>
          <w:rFonts w:asciiTheme="majorBidi" w:eastAsia="Arial" w:hAnsiTheme="majorBidi" w:cstheme="majorBidi"/>
          <w:color w:val="242424"/>
          <w:sz w:val="14"/>
          <w:szCs w:val="14"/>
          <w:lang w:val="en-US"/>
        </w:rPr>
        <w:tab/>
      </w:r>
      <w:r w:rsidRPr="005F0A67">
        <w:rPr>
          <w:rFonts w:asciiTheme="majorBidi" w:eastAsia="Arial" w:hAnsiTheme="majorBidi" w:cstheme="majorBidi"/>
          <w:color w:val="242424"/>
          <w:w w:val="90"/>
          <w:sz w:val="14"/>
          <w:szCs w:val="14"/>
          <w:lang w:val="en-US"/>
        </w:rPr>
        <w:t>6–</w:t>
      </w:r>
      <w:r w:rsidRPr="005F0A67">
        <w:rPr>
          <w:rFonts w:asciiTheme="majorBidi" w:eastAsia="Arial" w:hAnsiTheme="majorBidi" w:cstheme="majorBidi"/>
          <w:color w:val="242424"/>
          <w:spacing w:val="-5"/>
          <w:sz w:val="14"/>
          <w:szCs w:val="14"/>
          <w:lang w:val="en-US"/>
        </w:rPr>
        <w:t>20%</w:t>
      </w:r>
      <w:r w:rsidRPr="005F0A67">
        <w:rPr>
          <w:rFonts w:asciiTheme="majorBidi" w:eastAsia="Arial" w:hAnsiTheme="majorBidi" w:cstheme="majorBidi"/>
          <w:color w:val="242424"/>
          <w:sz w:val="14"/>
          <w:szCs w:val="14"/>
          <w:lang w:val="en-US"/>
        </w:rPr>
        <w:tab/>
      </w:r>
      <w:r w:rsidRPr="005F0A67">
        <w:rPr>
          <w:rFonts w:asciiTheme="majorBidi" w:eastAsia="Arial" w:hAnsiTheme="majorBidi" w:cstheme="majorBidi"/>
          <w:color w:val="242424"/>
          <w:w w:val="90"/>
          <w:sz w:val="14"/>
          <w:szCs w:val="14"/>
          <w:lang w:val="en-US"/>
        </w:rPr>
        <w:t>21–</w:t>
      </w:r>
      <w:r w:rsidRPr="005F0A67">
        <w:rPr>
          <w:rFonts w:asciiTheme="majorBidi" w:eastAsia="Arial" w:hAnsiTheme="majorBidi" w:cstheme="majorBidi"/>
          <w:color w:val="242424"/>
          <w:spacing w:val="-5"/>
          <w:sz w:val="14"/>
          <w:szCs w:val="14"/>
          <w:lang w:val="en-US"/>
        </w:rPr>
        <w:t>50%</w:t>
      </w:r>
      <w:r w:rsidRPr="005F0A67">
        <w:rPr>
          <w:rFonts w:asciiTheme="majorBidi" w:eastAsia="Arial" w:hAnsiTheme="majorBidi" w:cstheme="majorBidi"/>
          <w:color w:val="242424"/>
          <w:sz w:val="14"/>
          <w:szCs w:val="14"/>
          <w:lang w:val="en-US"/>
        </w:rPr>
        <w:tab/>
      </w:r>
      <w:r w:rsidRPr="005F0A67">
        <w:rPr>
          <w:rFonts w:asciiTheme="majorBidi" w:eastAsia="Arial" w:hAnsiTheme="majorBidi" w:cstheme="majorBidi"/>
          <w:color w:val="242424"/>
          <w:spacing w:val="-4"/>
          <w:sz w:val="14"/>
          <w:szCs w:val="14"/>
          <w:lang w:val="en-US"/>
        </w:rPr>
        <w:t>&gt;50%</w:t>
      </w:r>
      <w:r w:rsidRPr="005F0A67">
        <w:rPr>
          <w:rFonts w:asciiTheme="majorBidi" w:eastAsia="Arial" w:hAnsiTheme="majorBidi" w:cstheme="majorBidi"/>
          <w:color w:val="242424"/>
          <w:sz w:val="14"/>
          <w:szCs w:val="14"/>
          <w:lang w:val="en-US"/>
        </w:rPr>
        <w:tab/>
        <w:t>Don't know</w:t>
      </w:r>
      <w:r w:rsidRPr="005F0A67">
        <w:rPr>
          <w:rFonts w:asciiTheme="majorBidi" w:eastAsia="Arial" w:hAnsiTheme="majorBidi" w:cstheme="majorBidi"/>
          <w:color w:val="242424"/>
          <w:spacing w:val="33"/>
          <w:sz w:val="14"/>
          <w:szCs w:val="14"/>
          <w:lang w:val="en-US"/>
        </w:rPr>
        <w:t xml:space="preserve"> </w:t>
      </w:r>
      <w:r w:rsidRPr="005F0A67">
        <w:rPr>
          <w:rFonts w:asciiTheme="majorBidi" w:eastAsia="Arial" w:hAnsiTheme="majorBidi" w:cstheme="majorBidi"/>
          <w:color w:val="242424"/>
          <w:position w:val="10"/>
          <w:sz w:val="14"/>
          <w:szCs w:val="14"/>
          <w:lang w:val="en-US"/>
        </w:rPr>
        <w:t>Prefer</w:t>
      </w:r>
      <w:r w:rsidRPr="005F0A67">
        <w:rPr>
          <w:rFonts w:asciiTheme="majorBidi" w:eastAsia="Arial" w:hAnsiTheme="majorBidi" w:cstheme="majorBidi"/>
          <w:color w:val="242424"/>
          <w:spacing w:val="1"/>
          <w:position w:val="10"/>
          <w:sz w:val="14"/>
          <w:szCs w:val="14"/>
          <w:lang w:val="en-US"/>
        </w:rPr>
        <w:t xml:space="preserve"> </w:t>
      </w:r>
      <w:r w:rsidRPr="005F0A67">
        <w:rPr>
          <w:rFonts w:asciiTheme="majorBidi" w:eastAsia="Arial" w:hAnsiTheme="majorBidi" w:cstheme="majorBidi"/>
          <w:color w:val="242424"/>
          <w:position w:val="10"/>
          <w:sz w:val="14"/>
          <w:szCs w:val="14"/>
          <w:lang w:val="en-US"/>
        </w:rPr>
        <w:t xml:space="preserve">not </w:t>
      </w:r>
      <w:r w:rsidRPr="005F0A67">
        <w:rPr>
          <w:rFonts w:asciiTheme="majorBidi" w:eastAsia="Arial" w:hAnsiTheme="majorBidi" w:cstheme="majorBidi"/>
          <w:color w:val="242424"/>
          <w:spacing w:val="-5"/>
          <w:position w:val="10"/>
          <w:sz w:val="14"/>
          <w:szCs w:val="14"/>
          <w:lang w:val="en-US"/>
        </w:rPr>
        <w:t>to</w:t>
      </w:r>
    </w:p>
    <w:p w14:paraId="19D7157A" w14:textId="77777777" w:rsidR="005F0A67" w:rsidRPr="005F0A67" w:rsidRDefault="005F0A67" w:rsidP="005F0A67">
      <w:pPr>
        <w:widowControl w:val="0"/>
        <w:tabs>
          <w:tab w:val="clear" w:pos="567"/>
          <w:tab w:val="clear" w:pos="1134"/>
          <w:tab w:val="clear" w:pos="1701"/>
          <w:tab w:val="clear" w:pos="2268"/>
        </w:tabs>
        <w:jc w:val="left"/>
        <w:rPr>
          <w:rFonts w:asciiTheme="majorBidi" w:eastAsia="Arial" w:hAnsiTheme="majorBidi" w:cstheme="majorBidi"/>
          <w:sz w:val="14"/>
          <w:szCs w:val="14"/>
          <w:lang w:val="en-US"/>
        </w:rPr>
      </w:pPr>
    </w:p>
    <w:p w14:paraId="6B5FB944" w14:textId="77777777" w:rsidR="005F0A67" w:rsidRPr="005F0A67" w:rsidRDefault="005F0A67" w:rsidP="005F0A67">
      <w:pPr>
        <w:widowControl w:val="0"/>
        <w:tabs>
          <w:tab w:val="clear" w:pos="567"/>
          <w:tab w:val="clear" w:pos="1134"/>
          <w:tab w:val="clear" w:pos="1701"/>
          <w:tab w:val="clear" w:pos="2268"/>
        </w:tabs>
        <w:spacing w:before="16"/>
        <w:jc w:val="left"/>
        <w:rPr>
          <w:rFonts w:asciiTheme="majorBidi" w:eastAsia="Arial" w:hAnsiTheme="majorBidi" w:cstheme="majorBidi"/>
          <w:sz w:val="14"/>
          <w:szCs w:val="14"/>
          <w:lang w:val="en-US"/>
        </w:rPr>
      </w:pPr>
    </w:p>
    <w:p w14:paraId="52535EA3" w14:textId="77777777" w:rsidR="005F0A67" w:rsidRPr="005F0A67" w:rsidRDefault="005F0A67" w:rsidP="005F0A67">
      <w:pPr>
        <w:widowControl w:val="0"/>
        <w:tabs>
          <w:tab w:val="clear" w:pos="567"/>
          <w:tab w:val="clear" w:pos="1134"/>
          <w:tab w:val="clear" w:pos="1701"/>
          <w:tab w:val="clear" w:pos="2268"/>
        </w:tabs>
        <w:spacing w:before="1"/>
        <w:ind w:left="825" w:right="6842"/>
        <w:jc w:val="left"/>
        <w:rPr>
          <w:rFonts w:asciiTheme="majorBidi" w:eastAsia="Arial" w:hAnsiTheme="majorBidi" w:cstheme="majorBidi"/>
          <w:sz w:val="14"/>
          <w:szCs w:val="14"/>
          <w:lang w:val="en-US"/>
        </w:rPr>
      </w:pPr>
      <w:r w:rsidRPr="005F0A67">
        <w:rPr>
          <w:rFonts w:asciiTheme="majorBidi" w:eastAsia="Arial" w:hAnsiTheme="majorBidi" w:cstheme="majorBidi"/>
          <w:noProof/>
          <w:sz w:val="14"/>
          <w:szCs w:val="14"/>
          <w:lang w:val="en-US"/>
        </w:rPr>
        <w:drawing>
          <wp:anchor distT="0" distB="0" distL="0" distR="0" simplePos="0" relativeHeight="251658257" behindDoc="0" locked="0" layoutInCell="1" allowOverlap="1" wp14:anchorId="28049FE7" wp14:editId="54772314">
            <wp:simplePos x="0" y="0"/>
            <wp:positionH relativeFrom="page">
              <wp:posOffset>2454275</wp:posOffset>
            </wp:positionH>
            <wp:positionV relativeFrom="paragraph">
              <wp:posOffset>58540</wp:posOffset>
            </wp:positionV>
            <wp:extent cx="127000" cy="127000"/>
            <wp:effectExtent l="0" t="0" r="0" b="0"/>
            <wp:wrapNone/>
            <wp:docPr id="85" name="Image 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5" name="Image 85"/>
                    <pic:cNvPicPr/>
                  </pic:nvPicPr>
                  <pic:blipFill>
                    <a:blip r:embed="rId42" cstate="print"/>
                    <a:stretch>
                      <a:fillRect/>
                    </a:stretch>
                  </pic:blipFill>
                  <pic:spPr>
                    <a:xfrm>
                      <a:off x="0" y="0"/>
                      <a:ext cx="127000" cy="127000"/>
                    </a:xfrm>
                    <a:prstGeom prst="rect">
                      <a:avLst/>
                    </a:prstGeom>
                  </pic:spPr>
                </pic:pic>
              </a:graphicData>
            </a:graphic>
          </wp:anchor>
        </w:drawing>
      </w:r>
      <w:r w:rsidRPr="005F0A67">
        <w:rPr>
          <w:rFonts w:asciiTheme="majorBidi" w:eastAsia="Arial" w:hAnsiTheme="majorBidi" w:cstheme="majorBidi"/>
          <w:noProof/>
          <w:sz w:val="14"/>
          <w:szCs w:val="14"/>
          <w:lang w:val="en-US"/>
        </w:rPr>
        <w:drawing>
          <wp:anchor distT="0" distB="0" distL="0" distR="0" simplePos="0" relativeHeight="251658258" behindDoc="0" locked="0" layoutInCell="1" allowOverlap="1" wp14:anchorId="79899F03" wp14:editId="2FA633BF">
            <wp:simplePos x="0" y="0"/>
            <wp:positionH relativeFrom="page">
              <wp:posOffset>3013075</wp:posOffset>
            </wp:positionH>
            <wp:positionV relativeFrom="paragraph">
              <wp:posOffset>58540</wp:posOffset>
            </wp:positionV>
            <wp:extent cx="127000" cy="127000"/>
            <wp:effectExtent l="0" t="0" r="0" b="0"/>
            <wp:wrapNone/>
            <wp:docPr id="86" name="Image 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 name="Image 86"/>
                    <pic:cNvPicPr/>
                  </pic:nvPicPr>
                  <pic:blipFill>
                    <a:blip r:embed="rId48" cstate="print"/>
                    <a:stretch>
                      <a:fillRect/>
                    </a:stretch>
                  </pic:blipFill>
                  <pic:spPr>
                    <a:xfrm>
                      <a:off x="0" y="0"/>
                      <a:ext cx="127000" cy="127000"/>
                    </a:xfrm>
                    <a:prstGeom prst="rect">
                      <a:avLst/>
                    </a:prstGeom>
                  </pic:spPr>
                </pic:pic>
              </a:graphicData>
            </a:graphic>
          </wp:anchor>
        </w:drawing>
      </w:r>
      <w:r w:rsidRPr="005F0A67">
        <w:rPr>
          <w:rFonts w:asciiTheme="majorBidi" w:eastAsia="Arial" w:hAnsiTheme="majorBidi" w:cstheme="majorBidi"/>
          <w:noProof/>
          <w:sz w:val="14"/>
          <w:szCs w:val="14"/>
          <w:lang w:val="en-US"/>
        </w:rPr>
        <w:drawing>
          <wp:anchor distT="0" distB="0" distL="0" distR="0" simplePos="0" relativeHeight="251658259" behindDoc="0" locked="0" layoutInCell="1" allowOverlap="1" wp14:anchorId="161BF165" wp14:editId="49085C59">
            <wp:simplePos x="0" y="0"/>
            <wp:positionH relativeFrom="page">
              <wp:posOffset>3578225</wp:posOffset>
            </wp:positionH>
            <wp:positionV relativeFrom="paragraph">
              <wp:posOffset>58540</wp:posOffset>
            </wp:positionV>
            <wp:extent cx="127000" cy="127000"/>
            <wp:effectExtent l="0" t="0" r="0" b="0"/>
            <wp:wrapNone/>
            <wp:docPr id="87" name="Image 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7" name="Image 87"/>
                    <pic:cNvPicPr/>
                  </pic:nvPicPr>
                  <pic:blipFill>
                    <a:blip r:embed="rId50" cstate="print"/>
                    <a:stretch>
                      <a:fillRect/>
                    </a:stretch>
                  </pic:blipFill>
                  <pic:spPr>
                    <a:xfrm>
                      <a:off x="0" y="0"/>
                      <a:ext cx="127000" cy="127000"/>
                    </a:xfrm>
                    <a:prstGeom prst="rect">
                      <a:avLst/>
                    </a:prstGeom>
                  </pic:spPr>
                </pic:pic>
              </a:graphicData>
            </a:graphic>
          </wp:anchor>
        </w:drawing>
      </w:r>
      <w:r w:rsidRPr="005F0A67">
        <w:rPr>
          <w:rFonts w:asciiTheme="majorBidi" w:eastAsia="Arial" w:hAnsiTheme="majorBidi" w:cstheme="majorBidi"/>
          <w:noProof/>
          <w:sz w:val="14"/>
          <w:szCs w:val="14"/>
          <w:lang w:val="en-US"/>
        </w:rPr>
        <w:drawing>
          <wp:anchor distT="0" distB="0" distL="0" distR="0" simplePos="0" relativeHeight="251658260" behindDoc="0" locked="0" layoutInCell="1" allowOverlap="1" wp14:anchorId="60CBA60F" wp14:editId="7FAE8495">
            <wp:simplePos x="0" y="0"/>
            <wp:positionH relativeFrom="page">
              <wp:posOffset>4137025</wp:posOffset>
            </wp:positionH>
            <wp:positionV relativeFrom="paragraph">
              <wp:posOffset>58540</wp:posOffset>
            </wp:positionV>
            <wp:extent cx="127000" cy="127000"/>
            <wp:effectExtent l="0" t="0" r="0" b="0"/>
            <wp:wrapNone/>
            <wp:docPr id="88" name="Image 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8" name="Image 88"/>
                    <pic:cNvPicPr/>
                  </pic:nvPicPr>
                  <pic:blipFill>
                    <a:blip r:embed="rId47" cstate="print"/>
                    <a:stretch>
                      <a:fillRect/>
                    </a:stretch>
                  </pic:blipFill>
                  <pic:spPr>
                    <a:xfrm>
                      <a:off x="0" y="0"/>
                      <a:ext cx="127000" cy="127000"/>
                    </a:xfrm>
                    <a:prstGeom prst="rect">
                      <a:avLst/>
                    </a:prstGeom>
                  </pic:spPr>
                </pic:pic>
              </a:graphicData>
            </a:graphic>
          </wp:anchor>
        </w:drawing>
      </w:r>
      <w:r w:rsidRPr="005F0A67">
        <w:rPr>
          <w:rFonts w:asciiTheme="majorBidi" w:eastAsia="Arial" w:hAnsiTheme="majorBidi" w:cstheme="majorBidi"/>
          <w:noProof/>
          <w:sz w:val="14"/>
          <w:szCs w:val="14"/>
          <w:lang w:val="en-US"/>
        </w:rPr>
        <w:drawing>
          <wp:anchor distT="0" distB="0" distL="0" distR="0" simplePos="0" relativeHeight="251658261" behindDoc="0" locked="0" layoutInCell="1" allowOverlap="1" wp14:anchorId="652140FC" wp14:editId="47C7034D">
            <wp:simplePos x="0" y="0"/>
            <wp:positionH relativeFrom="page">
              <wp:posOffset>4695825</wp:posOffset>
            </wp:positionH>
            <wp:positionV relativeFrom="paragraph">
              <wp:posOffset>58540</wp:posOffset>
            </wp:positionV>
            <wp:extent cx="127000" cy="127000"/>
            <wp:effectExtent l="0" t="0" r="0" b="0"/>
            <wp:wrapNone/>
            <wp:docPr id="89" name="Image 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9" name="Image 89"/>
                    <pic:cNvPicPr/>
                  </pic:nvPicPr>
                  <pic:blipFill>
                    <a:blip r:embed="rId51" cstate="print"/>
                    <a:stretch>
                      <a:fillRect/>
                    </a:stretch>
                  </pic:blipFill>
                  <pic:spPr>
                    <a:xfrm>
                      <a:off x="0" y="0"/>
                      <a:ext cx="127000" cy="127000"/>
                    </a:xfrm>
                    <a:prstGeom prst="rect">
                      <a:avLst/>
                    </a:prstGeom>
                  </pic:spPr>
                </pic:pic>
              </a:graphicData>
            </a:graphic>
          </wp:anchor>
        </w:drawing>
      </w:r>
      <w:r w:rsidRPr="005F0A67">
        <w:rPr>
          <w:rFonts w:asciiTheme="majorBidi" w:eastAsia="Arial" w:hAnsiTheme="majorBidi" w:cstheme="majorBidi"/>
          <w:noProof/>
          <w:sz w:val="14"/>
          <w:szCs w:val="14"/>
          <w:lang w:val="en-US"/>
        </w:rPr>
        <w:drawing>
          <wp:anchor distT="0" distB="0" distL="0" distR="0" simplePos="0" relativeHeight="251658262" behindDoc="0" locked="0" layoutInCell="1" allowOverlap="1" wp14:anchorId="38D66F33" wp14:editId="1574C348">
            <wp:simplePos x="0" y="0"/>
            <wp:positionH relativeFrom="page">
              <wp:posOffset>5819775</wp:posOffset>
            </wp:positionH>
            <wp:positionV relativeFrom="paragraph">
              <wp:posOffset>58540</wp:posOffset>
            </wp:positionV>
            <wp:extent cx="127000" cy="127000"/>
            <wp:effectExtent l="0" t="0" r="0" b="0"/>
            <wp:wrapNone/>
            <wp:docPr id="90" name="Image 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0" name="Image 90"/>
                    <pic:cNvPicPr/>
                  </pic:nvPicPr>
                  <pic:blipFill>
                    <a:blip r:embed="rId51" cstate="print"/>
                    <a:stretch>
                      <a:fillRect/>
                    </a:stretch>
                  </pic:blipFill>
                  <pic:spPr>
                    <a:xfrm>
                      <a:off x="0" y="0"/>
                      <a:ext cx="127000" cy="127000"/>
                    </a:xfrm>
                    <a:prstGeom prst="rect">
                      <a:avLst/>
                    </a:prstGeom>
                  </pic:spPr>
                </pic:pic>
              </a:graphicData>
            </a:graphic>
          </wp:anchor>
        </w:drawing>
      </w:r>
      <w:r w:rsidRPr="005F0A67">
        <w:rPr>
          <w:rFonts w:asciiTheme="majorBidi" w:eastAsia="Arial" w:hAnsiTheme="majorBidi" w:cstheme="majorBidi"/>
          <w:noProof/>
          <w:sz w:val="14"/>
          <w:szCs w:val="14"/>
          <w:lang w:val="en-US"/>
        </w:rPr>
        <w:drawing>
          <wp:anchor distT="0" distB="0" distL="0" distR="0" simplePos="0" relativeHeight="251658263" behindDoc="0" locked="0" layoutInCell="1" allowOverlap="1" wp14:anchorId="3B746D22" wp14:editId="7C8B923B">
            <wp:simplePos x="0" y="0"/>
            <wp:positionH relativeFrom="page">
              <wp:posOffset>5260974</wp:posOffset>
            </wp:positionH>
            <wp:positionV relativeFrom="paragraph">
              <wp:posOffset>58540</wp:posOffset>
            </wp:positionV>
            <wp:extent cx="127000" cy="127000"/>
            <wp:effectExtent l="0" t="0" r="0" b="0"/>
            <wp:wrapNone/>
            <wp:docPr id="91" name="Image 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1" name="Image 91"/>
                    <pic:cNvPicPr/>
                  </pic:nvPicPr>
                  <pic:blipFill>
                    <a:blip r:embed="rId48" cstate="print"/>
                    <a:stretch>
                      <a:fillRect/>
                    </a:stretch>
                  </pic:blipFill>
                  <pic:spPr>
                    <a:xfrm>
                      <a:off x="0" y="0"/>
                      <a:ext cx="127000" cy="127000"/>
                    </a:xfrm>
                    <a:prstGeom prst="rect">
                      <a:avLst/>
                    </a:prstGeom>
                  </pic:spPr>
                </pic:pic>
              </a:graphicData>
            </a:graphic>
          </wp:anchor>
        </w:drawing>
      </w:r>
      <w:r w:rsidRPr="005F0A67">
        <w:rPr>
          <w:rFonts w:asciiTheme="majorBidi" w:eastAsia="Arial" w:hAnsiTheme="majorBidi" w:cstheme="majorBidi"/>
          <w:color w:val="242424"/>
          <w:sz w:val="14"/>
          <w:szCs w:val="14"/>
          <w:lang w:val="en-US"/>
        </w:rPr>
        <w:t>Share</w:t>
      </w:r>
      <w:r w:rsidRPr="005F0A67">
        <w:rPr>
          <w:rFonts w:asciiTheme="majorBidi" w:eastAsia="Arial" w:hAnsiTheme="majorBidi" w:cstheme="majorBidi"/>
          <w:color w:val="242424"/>
          <w:spacing w:val="-10"/>
          <w:sz w:val="14"/>
          <w:szCs w:val="14"/>
          <w:lang w:val="en-US"/>
        </w:rPr>
        <w:t xml:space="preserve"> </w:t>
      </w:r>
      <w:r w:rsidRPr="005F0A67">
        <w:rPr>
          <w:rFonts w:asciiTheme="majorBidi" w:eastAsia="Arial" w:hAnsiTheme="majorBidi" w:cstheme="majorBidi"/>
          <w:color w:val="242424"/>
          <w:sz w:val="14"/>
          <w:szCs w:val="14"/>
          <w:lang w:val="en-US"/>
        </w:rPr>
        <w:t>of</w:t>
      </w:r>
      <w:r w:rsidRPr="005F0A67">
        <w:rPr>
          <w:rFonts w:asciiTheme="majorBidi" w:eastAsia="Arial" w:hAnsiTheme="majorBidi" w:cstheme="majorBidi"/>
          <w:color w:val="242424"/>
          <w:spacing w:val="-10"/>
          <w:sz w:val="14"/>
          <w:szCs w:val="14"/>
          <w:lang w:val="en-US"/>
        </w:rPr>
        <w:t xml:space="preserve"> </w:t>
      </w:r>
      <w:r w:rsidRPr="005F0A67">
        <w:rPr>
          <w:rFonts w:asciiTheme="majorBidi" w:eastAsia="Arial" w:hAnsiTheme="majorBidi" w:cstheme="majorBidi"/>
          <w:color w:val="242424"/>
          <w:sz w:val="14"/>
          <w:szCs w:val="14"/>
          <w:lang w:val="en-US"/>
        </w:rPr>
        <w:t>total</w:t>
      </w:r>
      <w:r w:rsidRPr="005F0A67">
        <w:rPr>
          <w:rFonts w:asciiTheme="majorBidi" w:eastAsia="Arial" w:hAnsiTheme="majorBidi" w:cstheme="majorBidi"/>
          <w:color w:val="242424"/>
          <w:spacing w:val="40"/>
          <w:sz w:val="14"/>
          <w:szCs w:val="14"/>
          <w:lang w:val="en-US"/>
        </w:rPr>
        <w:t xml:space="preserve"> </w:t>
      </w:r>
      <w:r w:rsidRPr="005F0A67">
        <w:rPr>
          <w:rFonts w:asciiTheme="majorBidi" w:eastAsia="Arial" w:hAnsiTheme="majorBidi" w:cstheme="majorBidi"/>
          <w:color w:val="242424"/>
          <w:spacing w:val="-2"/>
          <w:sz w:val="14"/>
          <w:szCs w:val="14"/>
          <w:lang w:val="en-US"/>
        </w:rPr>
        <w:t>revenue</w:t>
      </w:r>
    </w:p>
    <w:p w14:paraId="636273A5" w14:textId="77777777" w:rsidR="005F0A67" w:rsidRPr="005F0A67" w:rsidRDefault="005F0A67" w:rsidP="005F0A67">
      <w:pPr>
        <w:widowControl w:val="0"/>
        <w:tabs>
          <w:tab w:val="clear" w:pos="567"/>
          <w:tab w:val="clear" w:pos="1134"/>
          <w:tab w:val="clear" w:pos="1701"/>
          <w:tab w:val="clear" w:pos="2268"/>
        </w:tabs>
        <w:jc w:val="left"/>
        <w:rPr>
          <w:rFonts w:asciiTheme="majorBidi" w:eastAsia="Arial" w:hAnsiTheme="majorBidi" w:cstheme="majorBidi"/>
          <w:sz w:val="14"/>
          <w:szCs w:val="14"/>
          <w:lang w:val="en-US"/>
        </w:rPr>
      </w:pPr>
    </w:p>
    <w:p w14:paraId="52FB7860" w14:textId="77777777" w:rsidR="005F0A67" w:rsidRPr="005F0A67" w:rsidRDefault="005F0A67" w:rsidP="005F0A67">
      <w:pPr>
        <w:widowControl w:val="0"/>
        <w:tabs>
          <w:tab w:val="clear" w:pos="567"/>
          <w:tab w:val="clear" w:pos="1134"/>
          <w:tab w:val="clear" w:pos="1701"/>
          <w:tab w:val="clear" w:pos="2268"/>
        </w:tabs>
        <w:spacing w:before="5"/>
        <w:jc w:val="left"/>
        <w:rPr>
          <w:rFonts w:asciiTheme="majorBidi" w:eastAsia="Arial" w:hAnsiTheme="majorBidi" w:cstheme="majorBidi"/>
          <w:sz w:val="14"/>
          <w:szCs w:val="14"/>
          <w:lang w:val="en-US"/>
        </w:rPr>
      </w:pPr>
    </w:p>
    <w:p w14:paraId="1445E93F" w14:textId="77777777" w:rsidR="005F0A67" w:rsidRPr="005F0A67" w:rsidRDefault="005F0A67" w:rsidP="005F0A67">
      <w:pPr>
        <w:widowControl w:val="0"/>
        <w:tabs>
          <w:tab w:val="clear" w:pos="567"/>
          <w:tab w:val="clear" w:pos="1134"/>
          <w:tab w:val="clear" w:pos="1701"/>
          <w:tab w:val="clear" w:pos="2268"/>
        </w:tabs>
        <w:spacing w:before="1"/>
        <w:ind w:left="825" w:right="6841"/>
        <w:jc w:val="left"/>
        <w:rPr>
          <w:rFonts w:asciiTheme="majorBidi" w:eastAsia="Arial" w:hAnsiTheme="majorBidi" w:cstheme="majorBidi"/>
          <w:sz w:val="14"/>
          <w:szCs w:val="14"/>
          <w:lang w:val="en-US"/>
        </w:rPr>
      </w:pPr>
      <w:r w:rsidRPr="005F0A67">
        <w:rPr>
          <w:rFonts w:asciiTheme="majorBidi" w:eastAsia="Arial" w:hAnsiTheme="majorBidi" w:cstheme="majorBidi"/>
          <w:noProof/>
          <w:sz w:val="14"/>
          <w:szCs w:val="14"/>
          <w:lang w:val="en-US"/>
        </w:rPr>
        <w:drawing>
          <wp:anchor distT="0" distB="0" distL="0" distR="0" simplePos="0" relativeHeight="251658264" behindDoc="0" locked="0" layoutInCell="1" allowOverlap="1" wp14:anchorId="1175DC52" wp14:editId="7191E511">
            <wp:simplePos x="0" y="0"/>
            <wp:positionH relativeFrom="page">
              <wp:posOffset>2454275</wp:posOffset>
            </wp:positionH>
            <wp:positionV relativeFrom="paragraph">
              <wp:posOffset>58575</wp:posOffset>
            </wp:positionV>
            <wp:extent cx="127000" cy="127000"/>
            <wp:effectExtent l="0" t="0" r="0" b="0"/>
            <wp:wrapNone/>
            <wp:docPr id="92" name="Image 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2" name="Image 92"/>
                    <pic:cNvPicPr/>
                  </pic:nvPicPr>
                  <pic:blipFill>
                    <a:blip r:embed="rId37" cstate="print"/>
                    <a:stretch>
                      <a:fillRect/>
                    </a:stretch>
                  </pic:blipFill>
                  <pic:spPr>
                    <a:xfrm>
                      <a:off x="0" y="0"/>
                      <a:ext cx="127000" cy="127000"/>
                    </a:xfrm>
                    <a:prstGeom prst="rect">
                      <a:avLst/>
                    </a:prstGeom>
                  </pic:spPr>
                </pic:pic>
              </a:graphicData>
            </a:graphic>
          </wp:anchor>
        </w:drawing>
      </w:r>
      <w:r w:rsidRPr="005F0A67">
        <w:rPr>
          <w:rFonts w:asciiTheme="majorBidi" w:eastAsia="Arial" w:hAnsiTheme="majorBidi" w:cstheme="majorBidi"/>
          <w:noProof/>
          <w:sz w:val="14"/>
          <w:szCs w:val="14"/>
          <w:lang w:val="en-US"/>
        </w:rPr>
        <w:drawing>
          <wp:anchor distT="0" distB="0" distL="0" distR="0" simplePos="0" relativeHeight="251658265" behindDoc="0" locked="0" layoutInCell="1" allowOverlap="1" wp14:anchorId="050DAE9F" wp14:editId="78F0BD89">
            <wp:simplePos x="0" y="0"/>
            <wp:positionH relativeFrom="page">
              <wp:posOffset>3013075</wp:posOffset>
            </wp:positionH>
            <wp:positionV relativeFrom="paragraph">
              <wp:posOffset>58575</wp:posOffset>
            </wp:positionV>
            <wp:extent cx="127000" cy="127000"/>
            <wp:effectExtent l="0" t="0" r="0" b="0"/>
            <wp:wrapNone/>
            <wp:docPr id="93" name="Image 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3" name="Image 93"/>
                    <pic:cNvPicPr/>
                  </pic:nvPicPr>
                  <pic:blipFill>
                    <a:blip r:embed="rId48" cstate="print"/>
                    <a:stretch>
                      <a:fillRect/>
                    </a:stretch>
                  </pic:blipFill>
                  <pic:spPr>
                    <a:xfrm>
                      <a:off x="0" y="0"/>
                      <a:ext cx="127000" cy="127000"/>
                    </a:xfrm>
                    <a:prstGeom prst="rect">
                      <a:avLst/>
                    </a:prstGeom>
                  </pic:spPr>
                </pic:pic>
              </a:graphicData>
            </a:graphic>
          </wp:anchor>
        </w:drawing>
      </w:r>
      <w:r w:rsidRPr="005F0A67">
        <w:rPr>
          <w:rFonts w:asciiTheme="majorBidi" w:eastAsia="Arial" w:hAnsiTheme="majorBidi" w:cstheme="majorBidi"/>
          <w:noProof/>
          <w:sz w:val="14"/>
          <w:szCs w:val="14"/>
          <w:lang w:val="en-US"/>
        </w:rPr>
        <w:drawing>
          <wp:anchor distT="0" distB="0" distL="0" distR="0" simplePos="0" relativeHeight="251658266" behindDoc="0" locked="0" layoutInCell="1" allowOverlap="1" wp14:anchorId="46A41E51" wp14:editId="212BD27C">
            <wp:simplePos x="0" y="0"/>
            <wp:positionH relativeFrom="page">
              <wp:posOffset>3578225</wp:posOffset>
            </wp:positionH>
            <wp:positionV relativeFrom="paragraph">
              <wp:posOffset>58575</wp:posOffset>
            </wp:positionV>
            <wp:extent cx="127000" cy="127000"/>
            <wp:effectExtent l="0" t="0" r="0" b="0"/>
            <wp:wrapNone/>
            <wp:docPr id="94" name="Image 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4" name="Image 94"/>
                    <pic:cNvPicPr/>
                  </pic:nvPicPr>
                  <pic:blipFill>
                    <a:blip r:embed="rId52" cstate="print"/>
                    <a:stretch>
                      <a:fillRect/>
                    </a:stretch>
                  </pic:blipFill>
                  <pic:spPr>
                    <a:xfrm>
                      <a:off x="0" y="0"/>
                      <a:ext cx="127000" cy="127000"/>
                    </a:xfrm>
                    <a:prstGeom prst="rect">
                      <a:avLst/>
                    </a:prstGeom>
                  </pic:spPr>
                </pic:pic>
              </a:graphicData>
            </a:graphic>
          </wp:anchor>
        </w:drawing>
      </w:r>
      <w:r w:rsidRPr="005F0A67">
        <w:rPr>
          <w:rFonts w:asciiTheme="majorBidi" w:eastAsia="Arial" w:hAnsiTheme="majorBidi" w:cstheme="majorBidi"/>
          <w:noProof/>
          <w:sz w:val="14"/>
          <w:szCs w:val="14"/>
          <w:lang w:val="en-US"/>
        </w:rPr>
        <w:drawing>
          <wp:anchor distT="0" distB="0" distL="0" distR="0" simplePos="0" relativeHeight="251658267" behindDoc="0" locked="0" layoutInCell="1" allowOverlap="1" wp14:anchorId="29369658" wp14:editId="2E3289C2">
            <wp:simplePos x="0" y="0"/>
            <wp:positionH relativeFrom="page">
              <wp:posOffset>4137025</wp:posOffset>
            </wp:positionH>
            <wp:positionV relativeFrom="paragraph">
              <wp:posOffset>58575</wp:posOffset>
            </wp:positionV>
            <wp:extent cx="127000" cy="127000"/>
            <wp:effectExtent l="0" t="0" r="0" b="0"/>
            <wp:wrapNone/>
            <wp:docPr id="95" name="Image 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5" name="Image 95"/>
                    <pic:cNvPicPr/>
                  </pic:nvPicPr>
                  <pic:blipFill>
                    <a:blip r:embed="rId47" cstate="print"/>
                    <a:stretch>
                      <a:fillRect/>
                    </a:stretch>
                  </pic:blipFill>
                  <pic:spPr>
                    <a:xfrm>
                      <a:off x="0" y="0"/>
                      <a:ext cx="127000" cy="127000"/>
                    </a:xfrm>
                    <a:prstGeom prst="rect">
                      <a:avLst/>
                    </a:prstGeom>
                  </pic:spPr>
                </pic:pic>
              </a:graphicData>
            </a:graphic>
          </wp:anchor>
        </w:drawing>
      </w:r>
      <w:r w:rsidRPr="005F0A67">
        <w:rPr>
          <w:rFonts w:asciiTheme="majorBidi" w:eastAsia="Arial" w:hAnsiTheme="majorBidi" w:cstheme="majorBidi"/>
          <w:noProof/>
          <w:sz w:val="14"/>
          <w:szCs w:val="14"/>
          <w:lang w:val="en-US"/>
        </w:rPr>
        <w:drawing>
          <wp:anchor distT="0" distB="0" distL="0" distR="0" simplePos="0" relativeHeight="251658268" behindDoc="0" locked="0" layoutInCell="1" allowOverlap="1" wp14:anchorId="63DB9E82" wp14:editId="7B5CC28E">
            <wp:simplePos x="0" y="0"/>
            <wp:positionH relativeFrom="page">
              <wp:posOffset>4695825</wp:posOffset>
            </wp:positionH>
            <wp:positionV relativeFrom="paragraph">
              <wp:posOffset>58575</wp:posOffset>
            </wp:positionV>
            <wp:extent cx="127000" cy="127000"/>
            <wp:effectExtent l="0" t="0" r="0" b="0"/>
            <wp:wrapNone/>
            <wp:docPr id="96" name="Image 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6" name="Image 96"/>
                    <pic:cNvPicPr/>
                  </pic:nvPicPr>
                  <pic:blipFill>
                    <a:blip r:embed="rId46" cstate="print"/>
                    <a:stretch>
                      <a:fillRect/>
                    </a:stretch>
                  </pic:blipFill>
                  <pic:spPr>
                    <a:xfrm>
                      <a:off x="0" y="0"/>
                      <a:ext cx="127000" cy="127000"/>
                    </a:xfrm>
                    <a:prstGeom prst="rect">
                      <a:avLst/>
                    </a:prstGeom>
                  </pic:spPr>
                </pic:pic>
              </a:graphicData>
            </a:graphic>
          </wp:anchor>
        </w:drawing>
      </w:r>
      <w:r w:rsidRPr="005F0A67">
        <w:rPr>
          <w:rFonts w:asciiTheme="majorBidi" w:eastAsia="Arial" w:hAnsiTheme="majorBidi" w:cstheme="majorBidi"/>
          <w:noProof/>
          <w:sz w:val="14"/>
          <w:szCs w:val="14"/>
          <w:lang w:val="en-US"/>
        </w:rPr>
        <w:drawing>
          <wp:anchor distT="0" distB="0" distL="0" distR="0" simplePos="0" relativeHeight="251658269" behindDoc="0" locked="0" layoutInCell="1" allowOverlap="1" wp14:anchorId="30A0BFEB" wp14:editId="21EF5771">
            <wp:simplePos x="0" y="0"/>
            <wp:positionH relativeFrom="page">
              <wp:posOffset>5260974</wp:posOffset>
            </wp:positionH>
            <wp:positionV relativeFrom="paragraph">
              <wp:posOffset>58575</wp:posOffset>
            </wp:positionV>
            <wp:extent cx="127000" cy="127000"/>
            <wp:effectExtent l="0" t="0" r="0" b="0"/>
            <wp:wrapNone/>
            <wp:docPr id="97" name="Image 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7" name="Image 97"/>
                    <pic:cNvPicPr/>
                  </pic:nvPicPr>
                  <pic:blipFill>
                    <a:blip r:embed="rId48" cstate="print"/>
                    <a:stretch>
                      <a:fillRect/>
                    </a:stretch>
                  </pic:blipFill>
                  <pic:spPr>
                    <a:xfrm>
                      <a:off x="0" y="0"/>
                      <a:ext cx="127000" cy="127000"/>
                    </a:xfrm>
                    <a:prstGeom prst="rect">
                      <a:avLst/>
                    </a:prstGeom>
                  </pic:spPr>
                </pic:pic>
              </a:graphicData>
            </a:graphic>
          </wp:anchor>
        </w:drawing>
      </w:r>
      <w:r w:rsidRPr="005F0A67">
        <w:rPr>
          <w:rFonts w:asciiTheme="majorBidi" w:eastAsia="Arial" w:hAnsiTheme="majorBidi" w:cstheme="majorBidi"/>
          <w:noProof/>
          <w:sz w:val="14"/>
          <w:szCs w:val="14"/>
          <w:lang w:val="en-US"/>
        </w:rPr>
        <w:drawing>
          <wp:anchor distT="0" distB="0" distL="0" distR="0" simplePos="0" relativeHeight="251658270" behindDoc="0" locked="0" layoutInCell="1" allowOverlap="1" wp14:anchorId="75FA3EF2" wp14:editId="1C4DD343">
            <wp:simplePos x="0" y="0"/>
            <wp:positionH relativeFrom="page">
              <wp:posOffset>5819775</wp:posOffset>
            </wp:positionH>
            <wp:positionV relativeFrom="paragraph">
              <wp:posOffset>58575</wp:posOffset>
            </wp:positionV>
            <wp:extent cx="127000" cy="127000"/>
            <wp:effectExtent l="0" t="0" r="0" b="0"/>
            <wp:wrapNone/>
            <wp:docPr id="98" name="Image 9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8" name="Image 98"/>
                    <pic:cNvPicPr/>
                  </pic:nvPicPr>
                  <pic:blipFill>
                    <a:blip r:embed="rId46" cstate="print"/>
                    <a:stretch>
                      <a:fillRect/>
                    </a:stretch>
                  </pic:blipFill>
                  <pic:spPr>
                    <a:xfrm>
                      <a:off x="0" y="0"/>
                      <a:ext cx="127000" cy="127000"/>
                    </a:xfrm>
                    <a:prstGeom prst="rect">
                      <a:avLst/>
                    </a:prstGeom>
                  </pic:spPr>
                </pic:pic>
              </a:graphicData>
            </a:graphic>
          </wp:anchor>
        </w:drawing>
      </w:r>
      <w:r w:rsidRPr="005F0A67">
        <w:rPr>
          <w:rFonts w:asciiTheme="majorBidi" w:eastAsia="Arial" w:hAnsiTheme="majorBidi" w:cstheme="majorBidi"/>
          <w:color w:val="242424"/>
          <w:spacing w:val="-4"/>
          <w:w w:val="105"/>
          <w:sz w:val="14"/>
          <w:szCs w:val="14"/>
          <w:lang w:val="en-US"/>
        </w:rPr>
        <w:t>Share</w:t>
      </w:r>
      <w:r w:rsidRPr="005F0A67">
        <w:rPr>
          <w:rFonts w:asciiTheme="majorBidi" w:eastAsia="Arial" w:hAnsiTheme="majorBidi" w:cstheme="majorBidi"/>
          <w:color w:val="242424"/>
          <w:spacing w:val="-7"/>
          <w:w w:val="105"/>
          <w:sz w:val="14"/>
          <w:szCs w:val="14"/>
          <w:lang w:val="en-US"/>
        </w:rPr>
        <w:t xml:space="preserve"> </w:t>
      </w:r>
      <w:r w:rsidRPr="005F0A67">
        <w:rPr>
          <w:rFonts w:asciiTheme="majorBidi" w:eastAsia="Arial" w:hAnsiTheme="majorBidi" w:cstheme="majorBidi"/>
          <w:color w:val="242424"/>
          <w:spacing w:val="-4"/>
          <w:w w:val="105"/>
          <w:sz w:val="14"/>
          <w:szCs w:val="14"/>
          <w:lang w:val="en-US"/>
        </w:rPr>
        <w:t>of</w:t>
      </w:r>
      <w:r w:rsidRPr="005F0A67">
        <w:rPr>
          <w:rFonts w:asciiTheme="majorBidi" w:eastAsia="Arial" w:hAnsiTheme="majorBidi" w:cstheme="majorBidi"/>
          <w:color w:val="242424"/>
          <w:spacing w:val="-6"/>
          <w:w w:val="105"/>
          <w:sz w:val="14"/>
          <w:szCs w:val="14"/>
          <w:lang w:val="en-US"/>
        </w:rPr>
        <w:t xml:space="preserve"> </w:t>
      </w:r>
      <w:r w:rsidRPr="005F0A67">
        <w:rPr>
          <w:rFonts w:asciiTheme="majorBidi" w:eastAsia="Arial" w:hAnsiTheme="majorBidi" w:cstheme="majorBidi"/>
          <w:color w:val="242424"/>
          <w:spacing w:val="-4"/>
          <w:w w:val="105"/>
          <w:sz w:val="14"/>
          <w:szCs w:val="14"/>
          <w:lang w:val="en-US"/>
        </w:rPr>
        <w:t>total</w:t>
      </w:r>
      <w:r w:rsidRPr="005F0A67">
        <w:rPr>
          <w:rFonts w:asciiTheme="majorBidi" w:eastAsia="Arial" w:hAnsiTheme="majorBidi" w:cstheme="majorBidi"/>
          <w:color w:val="242424"/>
          <w:spacing w:val="40"/>
          <w:w w:val="105"/>
          <w:sz w:val="14"/>
          <w:szCs w:val="14"/>
          <w:lang w:val="en-US"/>
        </w:rPr>
        <w:t xml:space="preserve"> </w:t>
      </w:r>
      <w:r w:rsidRPr="005F0A67">
        <w:rPr>
          <w:rFonts w:asciiTheme="majorBidi" w:eastAsia="Arial" w:hAnsiTheme="majorBidi" w:cstheme="majorBidi"/>
          <w:color w:val="242424"/>
          <w:spacing w:val="-2"/>
          <w:w w:val="105"/>
          <w:sz w:val="14"/>
          <w:szCs w:val="14"/>
          <w:lang w:val="en-US"/>
        </w:rPr>
        <w:t>profit</w:t>
      </w:r>
    </w:p>
    <w:p w14:paraId="5911DEB7" w14:textId="77777777" w:rsidR="005F0A67" w:rsidRPr="005F0A67" w:rsidRDefault="005F0A67" w:rsidP="005F0A67">
      <w:pPr>
        <w:widowControl w:val="0"/>
        <w:tabs>
          <w:tab w:val="clear" w:pos="567"/>
          <w:tab w:val="clear" w:pos="1134"/>
          <w:tab w:val="clear" w:pos="1701"/>
          <w:tab w:val="clear" w:pos="2268"/>
        </w:tabs>
        <w:jc w:val="left"/>
        <w:rPr>
          <w:rFonts w:asciiTheme="majorBidi" w:eastAsia="Arial" w:hAnsiTheme="majorBidi" w:cstheme="majorBidi"/>
          <w:sz w:val="14"/>
          <w:szCs w:val="14"/>
          <w:lang w:val="en-US"/>
        </w:rPr>
      </w:pPr>
    </w:p>
    <w:p w14:paraId="1D9A019A" w14:textId="77777777" w:rsidR="005F0A67" w:rsidRPr="005F0A67" w:rsidRDefault="005F0A67" w:rsidP="005F0A67">
      <w:pPr>
        <w:widowControl w:val="0"/>
        <w:tabs>
          <w:tab w:val="clear" w:pos="567"/>
          <w:tab w:val="clear" w:pos="1134"/>
          <w:tab w:val="clear" w:pos="1701"/>
          <w:tab w:val="clear" w:pos="2268"/>
        </w:tabs>
        <w:spacing w:before="5"/>
        <w:jc w:val="left"/>
        <w:rPr>
          <w:rFonts w:asciiTheme="majorBidi" w:eastAsia="Arial" w:hAnsiTheme="majorBidi" w:cstheme="majorBidi"/>
          <w:sz w:val="14"/>
          <w:szCs w:val="14"/>
          <w:lang w:val="en-US"/>
        </w:rPr>
      </w:pPr>
    </w:p>
    <w:p w14:paraId="383C32BC" w14:textId="77777777" w:rsidR="005F0A67" w:rsidRPr="005F0A67" w:rsidRDefault="005F0A67" w:rsidP="005F0A67">
      <w:pPr>
        <w:widowControl w:val="0"/>
        <w:tabs>
          <w:tab w:val="clear" w:pos="567"/>
          <w:tab w:val="clear" w:pos="1134"/>
          <w:tab w:val="clear" w:pos="1701"/>
          <w:tab w:val="clear" w:pos="2268"/>
        </w:tabs>
        <w:spacing w:before="1"/>
        <w:ind w:left="825" w:right="6827"/>
        <w:jc w:val="left"/>
        <w:rPr>
          <w:rFonts w:asciiTheme="majorBidi" w:eastAsia="Arial" w:hAnsiTheme="majorBidi" w:cstheme="majorBidi"/>
          <w:sz w:val="14"/>
          <w:szCs w:val="14"/>
          <w:lang w:val="en-US"/>
        </w:rPr>
      </w:pPr>
      <w:r w:rsidRPr="005F0A67">
        <w:rPr>
          <w:rFonts w:asciiTheme="majorBidi" w:eastAsia="Arial" w:hAnsiTheme="majorBidi" w:cstheme="majorBidi"/>
          <w:noProof/>
          <w:sz w:val="14"/>
          <w:szCs w:val="14"/>
          <w:lang w:val="en-US"/>
        </w:rPr>
        <w:drawing>
          <wp:anchor distT="0" distB="0" distL="0" distR="0" simplePos="0" relativeHeight="251658271" behindDoc="0" locked="0" layoutInCell="1" allowOverlap="1" wp14:anchorId="70AE62DD" wp14:editId="6D13BAF5">
            <wp:simplePos x="0" y="0"/>
            <wp:positionH relativeFrom="page">
              <wp:posOffset>2454275</wp:posOffset>
            </wp:positionH>
            <wp:positionV relativeFrom="paragraph">
              <wp:posOffset>58610</wp:posOffset>
            </wp:positionV>
            <wp:extent cx="127000" cy="127000"/>
            <wp:effectExtent l="0" t="0" r="0" b="0"/>
            <wp:wrapNone/>
            <wp:docPr id="99" name="Image 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9" name="Image 99"/>
                    <pic:cNvPicPr/>
                  </pic:nvPicPr>
                  <pic:blipFill>
                    <a:blip r:embed="rId53" cstate="print"/>
                    <a:stretch>
                      <a:fillRect/>
                    </a:stretch>
                  </pic:blipFill>
                  <pic:spPr>
                    <a:xfrm>
                      <a:off x="0" y="0"/>
                      <a:ext cx="127000" cy="127000"/>
                    </a:xfrm>
                    <a:prstGeom prst="rect">
                      <a:avLst/>
                    </a:prstGeom>
                  </pic:spPr>
                </pic:pic>
              </a:graphicData>
            </a:graphic>
          </wp:anchor>
        </w:drawing>
      </w:r>
      <w:r w:rsidRPr="005F0A67">
        <w:rPr>
          <w:rFonts w:asciiTheme="majorBidi" w:eastAsia="Arial" w:hAnsiTheme="majorBidi" w:cstheme="majorBidi"/>
          <w:noProof/>
          <w:sz w:val="14"/>
          <w:szCs w:val="14"/>
          <w:lang w:val="en-US"/>
        </w:rPr>
        <w:drawing>
          <wp:anchor distT="0" distB="0" distL="0" distR="0" simplePos="0" relativeHeight="251658272" behindDoc="0" locked="0" layoutInCell="1" allowOverlap="1" wp14:anchorId="28F840D1" wp14:editId="56DB567C">
            <wp:simplePos x="0" y="0"/>
            <wp:positionH relativeFrom="page">
              <wp:posOffset>3013075</wp:posOffset>
            </wp:positionH>
            <wp:positionV relativeFrom="paragraph">
              <wp:posOffset>58610</wp:posOffset>
            </wp:positionV>
            <wp:extent cx="127000" cy="127000"/>
            <wp:effectExtent l="0" t="0" r="0" b="0"/>
            <wp:wrapNone/>
            <wp:docPr id="100" name="Image 1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0" name="Image 100"/>
                    <pic:cNvPicPr/>
                  </pic:nvPicPr>
                  <pic:blipFill>
                    <a:blip r:embed="rId45" cstate="print"/>
                    <a:stretch>
                      <a:fillRect/>
                    </a:stretch>
                  </pic:blipFill>
                  <pic:spPr>
                    <a:xfrm>
                      <a:off x="0" y="0"/>
                      <a:ext cx="127000" cy="127000"/>
                    </a:xfrm>
                    <a:prstGeom prst="rect">
                      <a:avLst/>
                    </a:prstGeom>
                  </pic:spPr>
                </pic:pic>
              </a:graphicData>
            </a:graphic>
          </wp:anchor>
        </w:drawing>
      </w:r>
      <w:r w:rsidRPr="005F0A67">
        <w:rPr>
          <w:rFonts w:asciiTheme="majorBidi" w:eastAsia="Arial" w:hAnsiTheme="majorBidi" w:cstheme="majorBidi"/>
          <w:noProof/>
          <w:sz w:val="14"/>
          <w:szCs w:val="14"/>
          <w:lang w:val="en-US"/>
        </w:rPr>
        <w:drawing>
          <wp:anchor distT="0" distB="0" distL="0" distR="0" simplePos="0" relativeHeight="251658273" behindDoc="0" locked="0" layoutInCell="1" allowOverlap="1" wp14:anchorId="3791B49B" wp14:editId="6BCA64D0">
            <wp:simplePos x="0" y="0"/>
            <wp:positionH relativeFrom="page">
              <wp:posOffset>3578225</wp:posOffset>
            </wp:positionH>
            <wp:positionV relativeFrom="paragraph">
              <wp:posOffset>58610</wp:posOffset>
            </wp:positionV>
            <wp:extent cx="127000" cy="127000"/>
            <wp:effectExtent l="0" t="0" r="0" b="0"/>
            <wp:wrapNone/>
            <wp:docPr id="101" name="Image 1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1" name="Image 101"/>
                    <pic:cNvPicPr/>
                  </pic:nvPicPr>
                  <pic:blipFill>
                    <a:blip r:embed="rId53" cstate="print"/>
                    <a:stretch>
                      <a:fillRect/>
                    </a:stretch>
                  </pic:blipFill>
                  <pic:spPr>
                    <a:xfrm>
                      <a:off x="0" y="0"/>
                      <a:ext cx="127000" cy="127000"/>
                    </a:xfrm>
                    <a:prstGeom prst="rect">
                      <a:avLst/>
                    </a:prstGeom>
                  </pic:spPr>
                </pic:pic>
              </a:graphicData>
            </a:graphic>
          </wp:anchor>
        </w:drawing>
      </w:r>
      <w:r w:rsidRPr="005F0A67">
        <w:rPr>
          <w:rFonts w:asciiTheme="majorBidi" w:eastAsia="Arial" w:hAnsiTheme="majorBidi" w:cstheme="majorBidi"/>
          <w:noProof/>
          <w:sz w:val="14"/>
          <w:szCs w:val="14"/>
          <w:lang w:val="en-US"/>
        </w:rPr>
        <w:drawing>
          <wp:anchor distT="0" distB="0" distL="0" distR="0" simplePos="0" relativeHeight="251658274" behindDoc="0" locked="0" layoutInCell="1" allowOverlap="1" wp14:anchorId="4E8A7CD8" wp14:editId="31E438EB">
            <wp:simplePos x="0" y="0"/>
            <wp:positionH relativeFrom="page">
              <wp:posOffset>4137025</wp:posOffset>
            </wp:positionH>
            <wp:positionV relativeFrom="paragraph">
              <wp:posOffset>58610</wp:posOffset>
            </wp:positionV>
            <wp:extent cx="127000" cy="127000"/>
            <wp:effectExtent l="0" t="0" r="0" b="0"/>
            <wp:wrapNone/>
            <wp:docPr id="102" name="Image 1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2" name="Image 102"/>
                    <pic:cNvPicPr/>
                  </pic:nvPicPr>
                  <pic:blipFill>
                    <a:blip r:embed="rId44" cstate="print"/>
                    <a:stretch>
                      <a:fillRect/>
                    </a:stretch>
                  </pic:blipFill>
                  <pic:spPr>
                    <a:xfrm>
                      <a:off x="0" y="0"/>
                      <a:ext cx="127000" cy="127000"/>
                    </a:xfrm>
                    <a:prstGeom prst="rect">
                      <a:avLst/>
                    </a:prstGeom>
                  </pic:spPr>
                </pic:pic>
              </a:graphicData>
            </a:graphic>
          </wp:anchor>
        </w:drawing>
      </w:r>
      <w:r w:rsidRPr="005F0A67">
        <w:rPr>
          <w:rFonts w:asciiTheme="majorBidi" w:eastAsia="Arial" w:hAnsiTheme="majorBidi" w:cstheme="majorBidi"/>
          <w:noProof/>
          <w:sz w:val="14"/>
          <w:szCs w:val="14"/>
          <w:lang w:val="en-US"/>
        </w:rPr>
        <w:drawing>
          <wp:anchor distT="0" distB="0" distL="0" distR="0" simplePos="0" relativeHeight="251658275" behindDoc="0" locked="0" layoutInCell="1" allowOverlap="1" wp14:anchorId="1B687008" wp14:editId="109EA286">
            <wp:simplePos x="0" y="0"/>
            <wp:positionH relativeFrom="page">
              <wp:posOffset>4695825</wp:posOffset>
            </wp:positionH>
            <wp:positionV relativeFrom="paragraph">
              <wp:posOffset>58610</wp:posOffset>
            </wp:positionV>
            <wp:extent cx="127000" cy="127000"/>
            <wp:effectExtent l="0" t="0" r="0" b="0"/>
            <wp:wrapNone/>
            <wp:docPr id="103" name="Image 1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3" name="Image 103"/>
                    <pic:cNvPicPr/>
                  </pic:nvPicPr>
                  <pic:blipFill>
                    <a:blip r:embed="rId53" cstate="print"/>
                    <a:stretch>
                      <a:fillRect/>
                    </a:stretch>
                  </pic:blipFill>
                  <pic:spPr>
                    <a:xfrm>
                      <a:off x="0" y="0"/>
                      <a:ext cx="127000" cy="127000"/>
                    </a:xfrm>
                    <a:prstGeom prst="rect">
                      <a:avLst/>
                    </a:prstGeom>
                  </pic:spPr>
                </pic:pic>
              </a:graphicData>
            </a:graphic>
          </wp:anchor>
        </w:drawing>
      </w:r>
      <w:r w:rsidRPr="005F0A67">
        <w:rPr>
          <w:rFonts w:asciiTheme="majorBidi" w:eastAsia="Arial" w:hAnsiTheme="majorBidi" w:cstheme="majorBidi"/>
          <w:noProof/>
          <w:sz w:val="14"/>
          <w:szCs w:val="14"/>
          <w:lang w:val="en-US"/>
        </w:rPr>
        <w:drawing>
          <wp:anchor distT="0" distB="0" distL="0" distR="0" simplePos="0" relativeHeight="251658276" behindDoc="0" locked="0" layoutInCell="1" allowOverlap="1" wp14:anchorId="30CDAA53" wp14:editId="5D0BFC1B">
            <wp:simplePos x="0" y="0"/>
            <wp:positionH relativeFrom="page">
              <wp:posOffset>5260974</wp:posOffset>
            </wp:positionH>
            <wp:positionV relativeFrom="paragraph">
              <wp:posOffset>58610</wp:posOffset>
            </wp:positionV>
            <wp:extent cx="127000" cy="127000"/>
            <wp:effectExtent l="0" t="0" r="0" b="0"/>
            <wp:wrapNone/>
            <wp:docPr id="104" name="Image 1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4" name="Image 104"/>
                    <pic:cNvPicPr/>
                  </pic:nvPicPr>
                  <pic:blipFill>
                    <a:blip r:embed="rId54" cstate="print"/>
                    <a:stretch>
                      <a:fillRect/>
                    </a:stretch>
                  </pic:blipFill>
                  <pic:spPr>
                    <a:xfrm>
                      <a:off x="0" y="0"/>
                      <a:ext cx="127000" cy="127000"/>
                    </a:xfrm>
                    <a:prstGeom prst="rect">
                      <a:avLst/>
                    </a:prstGeom>
                  </pic:spPr>
                </pic:pic>
              </a:graphicData>
            </a:graphic>
          </wp:anchor>
        </w:drawing>
      </w:r>
      <w:r w:rsidRPr="005F0A67">
        <w:rPr>
          <w:rFonts w:asciiTheme="majorBidi" w:eastAsia="Arial" w:hAnsiTheme="majorBidi" w:cstheme="majorBidi"/>
          <w:noProof/>
          <w:sz w:val="14"/>
          <w:szCs w:val="14"/>
          <w:lang w:val="en-US"/>
        </w:rPr>
        <w:drawing>
          <wp:anchor distT="0" distB="0" distL="0" distR="0" simplePos="0" relativeHeight="251658277" behindDoc="0" locked="0" layoutInCell="1" allowOverlap="1" wp14:anchorId="2FD37C5D" wp14:editId="5F56CC7B">
            <wp:simplePos x="0" y="0"/>
            <wp:positionH relativeFrom="page">
              <wp:posOffset>5819775</wp:posOffset>
            </wp:positionH>
            <wp:positionV relativeFrom="paragraph">
              <wp:posOffset>58610</wp:posOffset>
            </wp:positionV>
            <wp:extent cx="127000" cy="127000"/>
            <wp:effectExtent l="0" t="0" r="0" b="0"/>
            <wp:wrapNone/>
            <wp:docPr id="105" name="Image 1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5" name="Image 105"/>
                    <pic:cNvPicPr/>
                  </pic:nvPicPr>
                  <pic:blipFill>
                    <a:blip r:embed="rId53" cstate="print"/>
                    <a:stretch>
                      <a:fillRect/>
                    </a:stretch>
                  </pic:blipFill>
                  <pic:spPr>
                    <a:xfrm>
                      <a:off x="0" y="0"/>
                      <a:ext cx="127000" cy="127000"/>
                    </a:xfrm>
                    <a:prstGeom prst="rect">
                      <a:avLst/>
                    </a:prstGeom>
                  </pic:spPr>
                </pic:pic>
              </a:graphicData>
            </a:graphic>
          </wp:anchor>
        </w:drawing>
      </w:r>
      <w:r w:rsidRPr="005F0A67">
        <w:rPr>
          <w:rFonts w:asciiTheme="majorBidi" w:eastAsia="Arial" w:hAnsiTheme="majorBidi" w:cstheme="majorBidi"/>
          <w:color w:val="242424"/>
          <w:spacing w:val="-2"/>
          <w:sz w:val="14"/>
          <w:szCs w:val="14"/>
          <w:lang w:val="en-US"/>
        </w:rPr>
        <w:t>Share</w:t>
      </w:r>
      <w:r w:rsidRPr="005F0A67">
        <w:rPr>
          <w:rFonts w:asciiTheme="majorBidi" w:eastAsia="Arial" w:hAnsiTheme="majorBidi" w:cstheme="majorBidi"/>
          <w:color w:val="242424"/>
          <w:spacing w:val="-8"/>
          <w:sz w:val="14"/>
          <w:szCs w:val="14"/>
          <w:lang w:val="en-US"/>
        </w:rPr>
        <w:t xml:space="preserve"> </w:t>
      </w:r>
      <w:r w:rsidRPr="005F0A67">
        <w:rPr>
          <w:rFonts w:asciiTheme="majorBidi" w:eastAsia="Arial" w:hAnsiTheme="majorBidi" w:cstheme="majorBidi"/>
          <w:color w:val="242424"/>
          <w:spacing w:val="-2"/>
          <w:sz w:val="14"/>
          <w:szCs w:val="14"/>
          <w:lang w:val="en-US"/>
        </w:rPr>
        <w:t>of</w:t>
      </w:r>
      <w:r w:rsidRPr="005F0A67">
        <w:rPr>
          <w:rFonts w:asciiTheme="majorBidi" w:eastAsia="Arial" w:hAnsiTheme="majorBidi" w:cstheme="majorBidi"/>
          <w:color w:val="242424"/>
          <w:spacing w:val="-8"/>
          <w:sz w:val="14"/>
          <w:szCs w:val="14"/>
          <w:lang w:val="en-US"/>
        </w:rPr>
        <w:t xml:space="preserve"> </w:t>
      </w:r>
      <w:r w:rsidRPr="005F0A67">
        <w:rPr>
          <w:rFonts w:asciiTheme="majorBidi" w:eastAsia="Arial" w:hAnsiTheme="majorBidi" w:cstheme="majorBidi"/>
          <w:color w:val="242424"/>
          <w:spacing w:val="-2"/>
          <w:sz w:val="14"/>
          <w:szCs w:val="14"/>
          <w:lang w:val="en-US"/>
        </w:rPr>
        <w:t>R&amp;D</w:t>
      </w:r>
      <w:r w:rsidRPr="005F0A67">
        <w:rPr>
          <w:rFonts w:asciiTheme="majorBidi" w:eastAsia="Arial" w:hAnsiTheme="majorBidi" w:cstheme="majorBidi"/>
          <w:color w:val="242424"/>
          <w:spacing w:val="40"/>
          <w:sz w:val="14"/>
          <w:szCs w:val="14"/>
          <w:lang w:val="en-US"/>
        </w:rPr>
        <w:t xml:space="preserve"> </w:t>
      </w:r>
      <w:r w:rsidRPr="005F0A67">
        <w:rPr>
          <w:rFonts w:asciiTheme="majorBidi" w:eastAsia="Arial" w:hAnsiTheme="majorBidi" w:cstheme="majorBidi"/>
          <w:color w:val="242424"/>
          <w:spacing w:val="-2"/>
          <w:sz w:val="14"/>
          <w:szCs w:val="14"/>
          <w:lang w:val="en-US"/>
        </w:rPr>
        <w:t>expenditure</w:t>
      </w:r>
    </w:p>
    <w:p w14:paraId="78731C34" w14:textId="77777777" w:rsidR="005F0A67" w:rsidRPr="005F0A67" w:rsidRDefault="005F0A67" w:rsidP="005F0A67">
      <w:pPr>
        <w:widowControl w:val="0"/>
        <w:tabs>
          <w:tab w:val="clear" w:pos="567"/>
          <w:tab w:val="clear" w:pos="1134"/>
          <w:tab w:val="clear" w:pos="1701"/>
          <w:tab w:val="clear" w:pos="2268"/>
        </w:tabs>
        <w:jc w:val="left"/>
        <w:rPr>
          <w:rFonts w:asciiTheme="majorBidi" w:eastAsia="Arial" w:hAnsiTheme="majorBidi" w:cstheme="majorBidi"/>
          <w:sz w:val="14"/>
          <w:szCs w:val="14"/>
          <w:lang w:val="en-US"/>
        </w:rPr>
      </w:pPr>
    </w:p>
    <w:p w14:paraId="730DE2C9" w14:textId="77777777" w:rsidR="005F0A67" w:rsidRPr="005F0A67" w:rsidRDefault="005F0A67" w:rsidP="005F0A67">
      <w:pPr>
        <w:widowControl w:val="0"/>
        <w:tabs>
          <w:tab w:val="clear" w:pos="567"/>
          <w:tab w:val="clear" w:pos="1134"/>
          <w:tab w:val="clear" w:pos="1701"/>
          <w:tab w:val="clear" w:pos="2268"/>
        </w:tabs>
        <w:spacing w:before="6"/>
        <w:jc w:val="left"/>
        <w:rPr>
          <w:rFonts w:asciiTheme="majorBidi" w:eastAsia="Arial" w:hAnsiTheme="majorBidi" w:cstheme="majorBidi"/>
          <w:sz w:val="14"/>
          <w:szCs w:val="14"/>
          <w:lang w:val="en-US"/>
        </w:rPr>
      </w:pPr>
    </w:p>
    <w:p w14:paraId="76C2286F" w14:textId="77777777" w:rsidR="005F0A67" w:rsidRPr="005F0A67" w:rsidRDefault="005F0A67" w:rsidP="005F0A67">
      <w:pPr>
        <w:widowControl w:val="0"/>
        <w:tabs>
          <w:tab w:val="clear" w:pos="567"/>
          <w:tab w:val="clear" w:pos="1134"/>
          <w:tab w:val="clear" w:pos="1701"/>
          <w:tab w:val="clear" w:pos="2268"/>
        </w:tabs>
        <w:ind w:left="825" w:right="6703"/>
        <w:jc w:val="left"/>
        <w:rPr>
          <w:rFonts w:asciiTheme="majorBidi" w:eastAsia="Arial" w:hAnsiTheme="majorBidi" w:cstheme="majorBidi"/>
          <w:sz w:val="14"/>
          <w:szCs w:val="14"/>
          <w:lang w:val="en-US"/>
        </w:rPr>
      </w:pPr>
      <w:r w:rsidRPr="005F0A67">
        <w:rPr>
          <w:rFonts w:asciiTheme="majorBidi" w:eastAsia="Arial" w:hAnsiTheme="majorBidi" w:cstheme="majorBidi"/>
          <w:noProof/>
          <w:sz w:val="14"/>
          <w:szCs w:val="14"/>
          <w:lang w:val="en-US"/>
        </w:rPr>
        <w:drawing>
          <wp:anchor distT="0" distB="0" distL="0" distR="0" simplePos="0" relativeHeight="251658278" behindDoc="0" locked="0" layoutInCell="1" allowOverlap="1" wp14:anchorId="1FEF7C94" wp14:editId="418AF0D7">
            <wp:simplePos x="0" y="0"/>
            <wp:positionH relativeFrom="page">
              <wp:posOffset>2454275</wp:posOffset>
            </wp:positionH>
            <wp:positionV relativeFrom="paragraph">
              <wp:posOffset>108810</wp:posOffset>
            </wp:positionV>
            <wp:extent cx="127000" cy="127000"/>
            <wp:effectExtent l="0" t="0" r="0" b="0"/>
            <wp:wrapNone/>
            <wp:docPr id="106" name="Image 1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6" name="Image 106"/>
                    <pic:cNvPicPr/>
                  </pic:nvPicPr>
                  <pic:blipFill>
                    <a:blip r:embed="rId37" cstate="print"/>
                    <a:stretch>
                      <a:fillRect/>
                    </a:stretch>
                  </pic:blipFill>
                  <pic:spPr>
                    <a:xfrm>
                      <a:off x="0" y="0"/>
                      <a:ext cx="127000" cy="127000"/>
                    </a:xfrm>
                    <a:prstGeom prst="rect">
                      <a:avLst/>
                    </a:prstGeom>
                  </pic:spPr>
                </pic:pic>
              </a:graphicData>
            </a:graphic>
          </wp:anchor>
        </w:drawing>
      </w:r>
      <w:r w:rsidRPr="005F0A67">
        <w:rPr>
          <w:rFonts w:asciiTheme="majorBidi" w:eastAsia="Arial" w:hAnsiTheme="majorBidi" w:cstheme="majorBidi"/>
          <w:noProof/>
          <w:sz w:val="14"/>
          <w:szCs w:val="14"/>
          <w:lang w:val="en-US"/>
        </w:rPr>
        <w:drawing>
          <wp:anchor distT="0" distB="0" distL="0" distR="0" simplePos="0" relativeHeight="251658279" behindDoc="0" locked="0" layoutInCell="1" allowOverlap="1" wp14:anchorId="0A462EFE" wp14:editId="4185734E">
            <wp:simplePos x="0" y="0"/>
            <wp:positionH relativeFrom="page">
              <wp:posOffset>3013075</wp:posOffset>
            </wp:positionH>
            <wp:positionV relativeFrom="paragraph">
              <wp:posOffset>108810</wp:posOffset>
            </wp:positionV>
            <wp:extent cx="127000" cy="127000"/>
            <wp:effectExtent l="0" t="0" r="0" b="0"/>
            <wp:wrapNone/>
            <wp:docPr id="107" name="Image 1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7" name="Image 107"/>
                    <pic:cNvPicPr/>
                  </pic:nvPicPr>
                  <pic:blipFill>
                    <a:blip r:embed="rId48" cstate="print"/>
                    <a:stretch>
                      <a:fillRect/>
                    </a:stretch>
                  </pic:blipFill>
                  <pic:spPr>
                    <a:xfrm>
                      <a:off x="0" y="0"/>
                      <a:ext cx="127000" cy="127000"/>
                    </a:xfrm>
                    <a:prstGeom prst="rect">
                      <a:avLst/>
                    </a:prstGeom>
                  </pic:spPr>
                </pic:pic>
              </a:graphicData>
            </a:graphic>
          </wp:anchor>
        </w:drawing>
      </w:r>
      <w:r w:rsidRPr="005F0A67">
        <w:rPr>
          <w:rFonts w:asciiTheme="majorBidi" w:eastAsia="Arial" w:hAnsiTheme="majorBidi" w:cstheme="majorBidi"/>
          <w:noProof/>
          <w:sz w:val="14"/>
          <w:szCs w:val="14"/>
          <w:lang w:val="en-US"/>
        </w:rPr>
        <w:drawing>
          <wp:anchor distT="0" distB="0" distL="0" distR="0" simplePos="0" relativeHeight="251658280" behindDoc="0" locked="0" layoutInCell="1" allowOverlap="1" wp14:anchorId="37A5578B" wp14:editId="5D1C5206">
            <wp:simplePos x="0" y="0"/>
            <wp:positionH relativeFrom="page">
              <wp:posOffset>3578225</wp:posOffset>
            </wp:positionH>
            <wp:positionV relativeFrom="paragraph">
              <wp:posOffset>108810</wp:posOffset>
            </wp:positionV>
            <wp:extent cx="127000" cy="127000"/>
            <wp:effectExtent l="0" t="0" r="0" b="0"/>
            <wp:wrapNone/>
            <wp:docPr id="108" name="Image 1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8" name="Image 108"/>
                    <pic:cNvPicPr/>
                  </pic:nvPicPr>
                  <pic:blipFill>
                    <a:blip r:embed="rId52" cstate="print"/>
                    <a:stretch>
                      <a:fillRect/>
                    </a:stretch>
                  </pic:blipFill>
                  <pic:spPr>
                    <a:xfrm>
                      <a:off x="0" y="0"/>
                      <a:ext cx="127000" cy="127000"/>
                    </a:xfrm>
                    <a:prstGeom prst="rect">
                      <a:avLst/>
                    </a:prstGeom>
                  </pic:spPr>
                </pic:pic>
              </a:graphicData>
            </a:graphic>
          </wp:anchor>
        </w:drawing>
      </w:r>
      <w:r w:rsidRPr="005F0A67">
        <w:rPr>
          <w:rFonts w:asciiTheme="majorBidi" w:eastAsia="Arial" w:hAnsiTheme="majorBidi" w:cstheme="majorBidi"/>
          <w:noProof/>
          <w:sz w:val="14"/>
          <w:szCs w:val="14"/>
          <w:lang w:val="en-US"/>
        </w:rPr>
        <w:drawing>
          <wp:anchor distT="0" distB="0" distL="0" distR="0" simplePos="0" relativeHeight="251658281" behindDoc="0" locked="0" layoutInCell="1" allowOverlap="1" wp14:anchorId="2283AAEA" wp14:editId="30409AB7">
            <wp:simplePos x="0" y="0"/>
            <wp:positionH relativeFrom="page">
              <wp:posOffset>4137025</wp:posOffset>
            </wp:positionH>
            <wp:positionV relativeFrom="paragraph">
              <wp:posOffset>108810</wp:posOffset>
            </wp:positionV>
            <wp:extent cx="127000" cy="127000"/>
            <wp:effectExtent l="0" t="0" r="0" b="0"/>
            <wp:wrapNone/>
            <wp:docPr id="109" name="Image 10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9" name="Image 109"/>
                    <pic:cNvPicPr/>
                  </pic:nvPicPr>
                  <pic:blipFill>
                    <a:blip r:embed="rId47" cstate="print"/>
                    <a:stretch>
                      <a:fillRect/>
                    </a:stretch>
                  </pic:blipFill>
                  <pic:spPr>
                    <a:xfrm>
                      <a:off x="0" y="0"/>
                      <a:ext cx="127000" cy="127000"/>
                    </a:xfrm>
                    <a:prstGeom prst="rect">
                      <a:avLst/>
                    </a:prstGeom>
                  </pic:spPr>
                </pic:pic>
              </a:graphicData>
            </a:graphic>
          </wp:anchor>
        </w:drawing>
      </w:r>
      <w:r w:rsidRPr="005F0A67">
        <w:rPr>
          <w:rFonts w:asciiTheme="majorBidi" w:eastAsia="Arial" w:hAnsiTheme="majorBidi" w:cstheme="majorBidi"/>
          <w:noProof/>
          <w:sz w:val="14"/>
          <w:szCs w:val="14"/>
          <w:lang w:val="en-US"/>
        </w:rPr>
        <w:drawing>
          <wp:anchor distT="0" distB="0" distL="0" distR="0" simplePos="0" relativeHeight="251658282" behindDoc="0" locked="0" layoutInCell="1" allowOverlap="1" wp14:anchorId="397C31CD" wp14:editId="6C8F5EB6">
            <wp:simplePos x="0" y="0"/>
            <wp:positionH relativeFrom="page">
              <wp:posOffset>4695825</wp:posOffset>
            </wp:positionH>
            <wp:positionV relativeFrom="paragraph">
              <wp:posOffset>108810</wp:posOffset>
            </wp:positionV>
            <wp:extent cx="127000" cy="127000"/>
            <wp:effectExtent l="0" t="0" r="0" b="0"/>
            <wp:wrapNone/>
            <wp:docPr id="110" name="Image 1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0" name="Image 110"/>
                    <pic:cNvPicPr/>
                  </pic:nvPicPr>
                  <pic:blipFill>
                    <a:blip r:embed="rId46" cstate="print"/>
                    <a:stretch>
                      <a:fillRect/>
                    </a:stretch>
                  </pic:blipFill>
                  <pic:spPr>
                    <a:xfrm>
                      <a:off x="0" y="0"/>
                      <a:ext cx="127000" cy="127000"/>
                    </a:xfrm>
                    <a:prstGeom prst="rect">
                      <a:avLst/>
                    </a:prstGeom>
                  </pic:spPr>
                </pic:pic>
              </a:graphicData>
            </a:graphic>
          </wp:anchor>
        </w:drawing>
      </w:r>
      <w:r w:rsidRPr="005F0A67">
        <w:rPr>
          <w:rFonts w:asciiTheme="majorBidi" w:eastAsia="Arial" w:hAnsiTheme="majorBidi" w:cstheme="majorBidi"/>
          <w:noProof/>
          <w:sz w:val="14"/>
          <w:szCs w:val="14"/>
          <w:lang w:val="en-US"/>
        </w:rPr>
        <w:drawing>
          <wp:anchor distT="0" distB="0" distL="0" distR="0" simplePos="0" relativeHeight="251658283" behindDoc="0" locked="0" layoutInCell="1" allowOverlap="1" wp14:anchorId="533152C5" wp14:editId="264123B6">
            <wp:simplePos x="0" y="0"/>
            <wp:positionH relativeFrom="page">
              <wp:posOffset>5260974</wp:posOffset>
            </wp:positionH>
            <wp:positionV relativeFrom="paragraph">
              <wp:posOffset>108810</wp:posOffset>
            </wp:positionV>
            <wp:extent cx="127000" cy="127000"/>
            <wp:effectExtent l="0" t="0" r="0" b="0"/>
            <wp:wrapNone/>
            <wp:docPr id="111" name="Image 1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1" name="Image 111"/>
                    <pic:cNvPicPr/>
                  </pic:nvPicPr>
                  <pic:blipFill>
                    <a:blip r:embed="rId48" cstate="print"/>
                    <a:stretch>
                      <a:fillRect/>
                    </a:stretch>
                  </pic:blipFill>
                  <pic:spPr>
                    <a:xfrm>
                      <a:off x="0" y="0"/>
                      <a:ext cx="127000" cy="127000"/>
                    </a:xfrm>
                    <a:prstGeom prst="rect">
                      <a:avLst/>
                    </a:prstGeom>
                  </pic:spPr>
                </pic:pic>
              </a:graphicData>
            </a:graphic>
          </wp:anchor>
        </w:drawing>
      </w:r>
      <w:r w:rsidRPr="005F0A67">
        <w:rPr>
          <w:rFonts w:asciiTheme="majorBidi" w:eastAsia="Arial" w:hAnsiTheme="majorBidi" w:cstheme="majorBidi"/>
          <w:noProof/>
          <w:sz w:val="14"/>
          <w:szCs w:val="14"/>
          <w:lang w:val="en-US"/>
        </w:rPr>
        <w:drawing>
          <wp:anchor distT="0" distB="0" distL="0" distR="0" simplePos="0" relativeHeight="251658284" behindDoc="0" locked="0" layoutInCell="1" allowOverlap="1" wp14:anchorId="2C03D649" wp14:editId="2A4067D7">
            <wp:simplePos x="0" y="0"/>
            <wp:positionH relativeFrom="page">
              <wp:posOffset>5819775</wp:posOffset>
            </wp:positionH>
            <wp:positionV relativeFrom="paragraph">
              <wp:posOffset>108810</wp:posOffset>
            </wp:positionV>
            <wp:extent cx="127000" cy="127000"/>
            <wp:effectExtent l="0" t="0" r="0" b="0"/>
            <wp:wrapNone/>
            <wp:docPr id="112" name="Image 1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2" name="Image 112"/>
                    <pic:cNvPicPr/>
                  </pic:nvPicPr>
                  <pic:blipFill>
                    <a:blip r:embed="rId46" cstate="print"/>
                    <a:stretch>
                      <a:fillRect/>
                    </a:stretch>
                  </pic:blipFill>
                  <pic:spPr>
                    <a:xfrm>
                      <a:off x="0" y="0"/>
                      <a:ext cx="127000" cy="127000"/>
                    </a:xfrm>
                    <a:prstGeom prst="rect">
                      <a:avLst/>
                    </a:prstGeom>
                  </pic:spPr>
                </pic:pic>
              </a:graphicData>
            </a:graphic>
          </wp:anchor>
        </w:drawing>
      </w:r>
      <w:r w:rsidRPr="005F0A67">
        <w:rPr>
          <w:rFonts w:asciiTheme="majorBidi" w:eastAsia="Arial" w:hAnsiTheme="majorBidi" w:cstheme="majorBidi"/>
          <w:color w:val="242424"/>
          <w:w w:val="105"/>
          <w:sz w:val="14"/>
          <w:szCs w:val="14"/>
          <w:lang w:val="en-US"/>
        </w:rPr>
        <w:t>Share</w:t>
      </w:r>
      <w:r w:rsidRPr="005F0A67">
        <w:rPr>
          <w:rFonts w:asciiTheme="majorBidi" w:eastAsia="Arial" w:hAnsiTheme="majorBidi" w:cstheme="majorBidi"/>
          <w:color w:val="242424"/>
          <w:spacing w:val="-6"/>
          <w:w w:val="105"/>
          <w:sz w:val="14"/>
          <w:szCs w:val="14"/>
          <w:lang w:val="en-US"/>
        </w:rPr>
        <w:t xml:space="preserve"> </w:t>
      </w:r>
      <w:r w:rsidRPr="005F0A67">
        <w:rPr>
          <w:rFonts w:asciiTheme="majorBidi" w:eastAsia="Arial" w:hAnsiTheme="majorBidi" w:cstheme="majorBidi"/>
          <w:color w:val="242424"/>
          <w:w w:val="105"/>
          <w:sz w:val="14"/>
          <w:szCs w:val="14"/>
          <w:lang w:val="en-US"/>
        </w:rPr>
        <w:t xml:space="preserve">of </w:t>
      </w:r>
      <w:r w:rsidRPr="005F0A67">
        <w:rPr>
          <w:rFonts w:asciiTheme="majorBidi" w:eastAsia="Arial" w:hAnsiTheme="majorBidi" w:cstheme="majorBidi"/>
          <w:color w:val="242424"/>
          <w:spacing w:val="-2"/>
          <w:sz w:val="14"/>
          <w:szCs w:val="14"/>
          <w:lang w:val="en-US"/>
        </w:rPr>
        <w:t>product/service</w:t>
      </w:r>
      <w:r w:rsidRPr="005F0A67">
        <w:rPr>
          <w:rFonts w:asciiTheme="majorBidi" w:eastAsia="Arial" w:hAnsiTheme="majorBidi" w:cstheme="majorBidi"/>
          <w:color w:val="242424"/>
          <w:spacing w:val="40"/>
          <w:w w:val="105"/>
          <w:sz w:val="14"/>
          <w:szCs w:val="14"/>
          <w:lang w:val="en-US"/>
        </w:rPr>
        <w:t xml:space="preserve"> </w:t>
      </w:r>
      <w:r w:rsidRPr="005F0A67">
        <w:rPr>
          <w:rFonts w:asciiTheme="majorBidi" w:eastAsia="Arial" w:hAnsiTheme="majorBidi" w:cstheme="majorBidi"/>
          <w:color w:val="242424"/>
          <w:spacing w:val="-2"/>
          <w:w w:val="105"/>
          <w:sz w:val="14"/>
          <w:szCs w:val="14"/>
          <w:lang w:val="en-US"/>
        </w:rPr>
        <w:t>portfolio</w:t>
      </w:r>
    </w:p>
    <w:p w14:paraId="11962E6D" w14:textId="77777777" w:rsidR="005F0A67" w:rsidRPr="005F0A67" w:rsidRDefault="005F0A67" w:rsidP="005F0A67">
      <w:pPr>
        <w:widowControl w:val="0"/>
        <w:tabs>
          <w:tab w:val="clear" w:pos="567"/>
          <w:tab w:val="clear" w:pos="1134"/>
          <w:tab w:val="clear" w:pos="1701"/>
          <w:tab w:val="clear" w:pos="2268"/>
        </w:tabs>
        <w:spacing w:before="87"/>
        <w:jc w:val="left"/>
        <w:rPr>
          <w:rFonts w:asciiTheme="majorBidi" w:eastAsia="Arial" w:hAnsiTheme="majorBidi" w:cstheme="majorBidi"/>
          <w:sz w:val="17"/>
          <w:szCs w:val="17"/>
          <w:lang w:val="en-US"/>
        </w:rPr>
      </w:pPr>
    </w:p>
    <w:p w14:paraId="497FC811" w14:textId="77777777" w:rsidR="005F0A67" w:rsidRPr="005F0A67" w:rsidRDefault="005F0A67" w:rsidP="003A387A">
      <w:pPr>
        <w:numPr>
          <w:ilvl w:val="0"/>
          <w:numId w:val="44"/>
        </w:numPr>
        <w:tabs>
          <w:tab w:val="clear" w:pos="567"/>
          <w:tab w:val="clear" w:pos="1134"/>
          <w:tab w:val="clear" w:pos="1701"/>
          <w:tab w:val="clear" w:pos="2268"/>
          <w:tab w:val="num" w:pos="360"/>
          <w:tab w:val="left" w:pos="703"/>
        </w:tabs>
        <w:spacing w:before="320" w:after="160"/>
        <w:ind w:left="703" w:hanging="279"/>
        <w:jc w:val="left"/>
        <w:outlineLvl w:val="2"/>
        <w:rPr>
          <w:rFonts w:asciiTheme="majorBidi" w:eastAsia="Arial" w:hAnsiTheme="majorBidi" w:cstheme="majorBidi"/>
          <w:b/>
          <w:bCs/>
          <w:color w:val="7F7F7F"/>
          <w:sz w:val="23"/>
          <w:szCs w:val="23"/>
          <w:lang w:val="en-CA" w:eastAsia="en-GB"/>
        </w:rPr>
      </w:pPr>
      <w:bookmarkStart w:id="285" w:name="_Toc234579639"/>
      <w:r w:rsidRPr="005F0A67">
        <w:rPr>
          <w:rFonts w:asciiTheme="majorBidi" w:eastAsia="Georgia" w:hAnsiTheme="majorBidi" w:cstheme="majorBidi"/>
          <w:color w:val="242424"/>
          <w:sz w:val="17"/>
          <w:szCs w:val="17"/>
          <w:lang w:val="en-CA" w:eastAsia="en-GB"/>
        </w:rPr>
        <w:t>How many patents or IP linked to DSI has your company filed or been granted?</w:t>
      </w:r>
      <w:r w:rsidRPr="005F0A67">
        <w:rPr>
          <w:rFonts w:asciiTheme="majorBidi" w:eastAsia="Arial" w:hAnsiTheme="majorBidi" w:cstheme="majorBidi"/>
          <w:b/>
          <w:bCs/>
          <w:color w:val="242424"/>
          <w:spacing w:val="38"/>
          <w:sz w:val="23"/>
          <w:szCs w:val="23"/>
          <w:lang w:val="en-CA" w:eastAsia="en-GB"/>
        </w:rPr>
        <w:t xml:space="preserve"> </w:t>
      </w:r>
      <w:r w:rsidRPr="005F0A67">
        <w:rPr>
          <w:rFonts w:asciiTheme="majorBidi" w:eastAsia="Arial" w:hAnsiTheme="majorBidi" w:cstheme="majorBidi"/>
          <w:b/>
          <w:bCs/>
          <w:color w:val="AE1515"/>
          <w:spacing w:val="-10"/>
          <w:sz w:val="23"/>
          <w:szCs w:val="23"/>
          <w:lang w:val="en-CA" w:eastAsia="en-GB"/>
        </w:rPr>
        <w:t>*</w:t>
      </w:r>
      <w:bookmarkEnd w:id="285"/>
    </w:p>
    <w:p w14:paraId="462AFE0E" w14:textId="77777777" w:rsidR="005F0A67" w:rsidRPr="005F0A67" w:rsidRDefault="005F0A67" w:rsidP="005F0A67">
      <w:pPr>
        <w:widowControl w:val="0"/>
        <w:tabs>
          <w:tab w:val="clear" w:pos="567"/>
          <w:tab w:val="clear" w:pos="1134"/>
          <w:tab w:val="clear" w:pos="1701"/>
          <w:tab w:val="clear" w:pos="2268"/>
        </w:tabs>
        <w:spacing w:before="112"/>
        <w:ind w:left="705"/>
        <w:jc w:val="left"/>
        <w:rPr>
          <w:rFonts w:asciiTheme="majorBidi" w:eastAsia="Arial" w:hAnsiTheme="majorBidi" w:cstheme="majorBidi"/>
          <w:sz w:val="14"/>
          <w:szCs w:val="14"/>
          <w:lang w:val="en-US"/>
        </w:rPr>
      </w:pPr>
      <w:r w:rsidRPr="005F0A67">
        <w:rPr>
          <w:rFonts w:asciiTheme="majorBidi" w:eastAsia="Arial" w:hAnsiTheme="majorBidi" w:cstheme="majorBidi"/>
          <w:color w:val="242424"/>
          <w:sz w:val="14"/>
          <w:szCs w:val="14"/>
          <w:lang w:val="en-US"/>
        </w:rPr>
        <w:t>For 'Don't know'</w:t>
      </w:r>
      <w:r w:rsidRPr="005F0A67">
        <w:rPr>
          <w:rFonts w:asciiTheme="majorBidi" w:eastAsia="Arial" w:hAnsiTheme="majorBidi" w:cstheme="majorBidi"/>
          <w:color w:val="242424"/>
          <w:spacing w:val="1"/>
          <w:sz w:val="14"/>
          <w:szCs w:val="14"/>
          <w:lang w:val="en-US"/>
        </w:rPr>
        <w:t xml:space="preserve"> </w:t>
      </w:r>
      <w:r w:rsidRPr="005F0A67">
        <w:rPr>
          <w:rFonts w:asciiTheme="majorBidi" w:eastAsia="Arial" w:hAnsiTheme="majorBidi" w:cstheme="majorBidi"/>
          <w:color w:val="242424"/>
          <w:sz w:val="14"/>
          <w:szCs w:val="14"/>
          <w:lang w:val="en-US"/>
        </w:rPr>
        <w:t>or 'Prefer not</w:t>
      </w:r>
      <w:r w:rsidRPr="005F0A67">
        <w:rPr>
          <w:rFonts w:asciiTheme="majorBidi" w:eastAsia="Arial" w:hAnsiTheme="majorBidi" w:cstheme="majorBidi"/>
          <w:color w:val="242424"/>
          <w:spacing w:val="1"/>
          <w:sz w:val="14"/>
          <w:szCs w:val="14"/>
          <w:lang w:val="en-US"/>
        </w:rPr>
        <w:t xml:space="preserve"> </w:t>
      </w:r>
      <w:r w:rsidRPr="005F0A67">
        <w:rPr>
          <w:rFonts w:asciiTheme="majorBidi" w:eastAsia="Arial" w:hAnsiTheme="majorBidi" w:cstheme="majorBidi"/>
          <w:color w:val="242424"/>
          <w:sz w:val="14"/>
          <w:szCs w:val="14"/>
          <w:lang w:val="en-US"/>
        </w:rPr>
        <w:t>to say' type</w:t>
      </w:r>
      <w:r w:rsidRPr="005F0A67">
        <w:rPr>
          <w:rFonts w:asciiTheme="majorBidi" w:eastAsia="Arial" w:hAnsiTheme="majorBidi" w:cstheme="majorBidi"/>
          <w:color w:val="242424"/>
          <w:spacing w:val="1"/>
          <w:sz w:val="14"/>
          <w:szCs w:val="14"/>
          <w:lang w:val="en-US"/>
        </w:rPr>
        <w:t xml:space="preserve"> </w:t>
      </w:r>
      <w:r w:rsidRPr="005F0A67">
        <w:rPr>
          <w:rFonts w:asciiTheme="majorBidi" w:eastAsia="Arial" w:hAnsiTheme="majorBidi" w:cstheme="majorBidi"/>
          <w:color w:val="242424"/>
          <w:spacing w:val="-2"/>
          <w:sz w:val="14"/>
          <w:szCs w:val="14"/>
          <w:lang w:val="en-US"/>
        </w:rPr>
        <w:t>99999</w:t>
      </w:r>
    </w:p>
    <w:p w14:paraId="7A613CAB" w14:textId="77777777" w:rsidR="005F0A67" w:rsidRPr="005F0A67" w:rsidRDefault="005F0A67" w:rsidP="005F0A67">
      <w:pPr>
        <w:widowControl w:val="0"/>
        <w:tabs>
          <w:tab w:val="clear" w:pos="567"/>
          <w:tab w:val="clear" w:pos="1134"/>
          <w:tab w:val="clear" w:pos="1701"/>
          <w:tab w:val="clear" w:pos="2268"/>
        </w:tabs>
        <w:spacing w:before="5"/>
        <w:jc w:val="left"/>
        <w:rPr>
          <w:rFonts w:asciiTheme="majorBidi" w:eastAsia="Arial" w:hAnsiTheme="majorBidi" w:cstheme="majorBidi"/>
          <w:sz w:val="18"/>
          <w:szCs w:val="18"/>
          <w:lang w:val="en-US"/>
        </w:rPr>
      </w:pPr>
      <w:r w:rsidRPr="005F0A67">
        <w:rPr>
          <w:rFonts w:asciiTheme="majorBidi" w:eastAsia="Arial" w:hAnsiTheme="majorBidi" w:cstheme="majorBidi"/>
          <w:noProof/>
          <w:sz w:val="18"/>
          <w:szCs w:val="14"/>
          <w:lang w:val="en-US"/>
        </w:rPr>
        <mc:AlternateContent>
          <mc:Choice Requires="wps">
            <w:drawing>
              <wp:anchor distT="0" distB="0" distL="0" distR="0" simplePos="0" relativeHeight="251658375" behindDoc="1" locked="0" layoutInCell="1" allowOverlap="1" wp14:anchorId="03DC7B3A" wp14:editId="3C700490">
                <wp:simplePos x="0" y="0"/>
                <wp:positionH relativeFrom="page">
                  <wp:posOffset>1536699</wp:posOffset>
                </wp:positionH>
                <wp:positionV relativeFrom="paragraph">
                  <wp:posOffset>149853</wp:posOffset>
                </wp:positionV>
                <wp:extent cx="4597400" cy="247650"/>
                <wp:effectExtent l="0" t="0" r="0" b="0"/>
                <wp:wrapTopAndBottom/>
                <wp:docPr id="113" name="Graphic 1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97400" cy="247650"/>
                        </a:xfrm>
                        <a:custGeom>
                          <a:avLst/>
                          <a:gdLst/>
                          <a:ahLst/>
                          <a:cxnLst/>
                          <a:rect l="l" t="t" r="r" b="b"/>
                          <a:pathLst>
                            <a:path w="4597400" h="247650">
                              <a:moveTo>
                                <a:pt x="0" y="225425"/>
                              </a:moveTo>
                              <a:lnTo>
                                <a:pt x="0" y="22225"/>
                              </a:lnTo>
                              <a:lnTo>
                                <a:pt x="0" y="19273"/>
                              </a:lnTo>
                              <a:lnTo>
                                <a:pt x="563" y="16433"/>
                              </a:lnTo>
                              <a:lnTo>
                                <a:pt x="1691" y="13710"/>
                              </a:lnTo>
                              <a:lnTo>
                                <a:pt x="2819" y="10988"/>
                              </a:lnTo>
                              <a:lnTo>
                                <a:pt x="4425" y="8582"/>
                              </a:lnTo>
                              <a:lnTo>
                                <a:pt x="6509" y="6498"/>
                              </a:lnTo>
                              <a:lnTo>
                                <a:pt x="8593" y="4408"/>
                              </a:lnTo>
                              <a:lnTo>
                                <a:pt x="10997" y="2802"/>
                              </a:lnTo>
                              <a:lnTo>
                                <a:pt x="13719" y="1680"/>
                              </a:lnTo>
                              <a:lnTo>
                                <a:pt x="16442" y="558"/>
                              </a:lnTo>
                              <a:lnTo>
                                <a:pt x="19277" y="0"/>
                              </a:lnTo>
                              <a:lnTo>
                                <a:pt x="22225" y="0"/>
                              </a:lnTo>
                              <a:lnTo>
                                <a:pt x="4575175" y="0"/>
                              </a:lnTo>
                              <a:lnTo>
                                <a:pt x="4578121" y="0"/>
                              </a:lnTo>
                              <a:lnTo>
                                <a:pt x="4580956" y="558"/>
                              </a:lnTo>
                              <a:lnTo>
                                <a:pt x="4583679" y="1680"/>
                              </a:lnTo>
                              <a:lnTo>
                                <a:pt x="4586402" y="2802"/>
                              </a:lnTo>
                              <a:lnTo>
                                <a:pt x="4588806" y="4408"/>
                              </a:lnTo>
                              <a:lnTo>
                                <a:pt x="4590890" y="6498"/>
                              </a:lnTo>
                              <a:lnTo>
                                <a:pt x="4592974" y="8582"/>
                              </a:lnTo>
                              <a:lnTo>
                                <a:pt x="4594580" y="10988"/>
                              </a:lnTo>
                              <a:lnTo>
                                <a:pt x="4595707" y="13710"/>
                              </a:lnTo>
                              <a:lnTo>
                                <a:pt x="4596835" y="16433"/>
                              </a:lnTo>
                              <a:lnTo>
                                <a:pt x="4597399" y="19273"/>
                              </a:lnTo>
                              <a:lnTo>
                                <a:pt x="4597400" y="22225"/>
                              </a:lnTo>
                              <a:lnTo>
                                <a:pt x="4597400" y="225425"/>
                              </a:lnTo>
                              <a:lnTo>
                                <a:pt x="4597399" y="228364"/>
                              </a:lnTo>
                              <a:lnTo>
                                <a:pt x="4596835" y="231192"/>
                              </a:lnTo>
                              <a:lnTo>
                                <a:pt x="4595707" y="233914"/>
                              </a:lnTo>
                              <a:lnTo>
                                <a:pt x="4594580" y="236642"/>
                              </a:lnTo>
                              <a:lnTo>
                                <a:pt x="4583679" y="245944"/>
                              </a:lnTo>
                              <a:lnTo>
                                <a:pt x="4580956" y="247079"/>
                              </a:lnTo>
                              <a:lnTo>
                                <a:pt x="4578121" y="247643"/>
                              </a:lnTo>
                              <a:lnTo>
                                <a:pt x="4575175" y="247650"/>
                              </a:lnTo>
                              <a:lnTo>
                                <a:pt x="22225" y="247650"/>
                              </a:lnTo>
                              <a:lnTo>
                                <a:pt x="19277" y="247643"/>
                              </a:lnTo>
                              <a:lnTo>
                                <a:pt x="16442" y="247079"/>
                              </a:lnTo>
                              <a:lnTo>
                                <a:pt x="13719" y="245944"/>
                              </a:lnTo>
                              <a:lnTo>
                                <a:pt x="10997" y="244815"/>
                              </a:lnTo>
                              <a:lnTo>
                                <a:pt x="0" y="228364"/>
                              </a:lnTo>
                              <a:lnTo>
                                <a:pt x="0" y="225425"/>
                              </a:lnTo>
                              <a:close/>
                            </a:path>
                          </a:pathLst>
                        </a:custGeom>
                        <a:ln w="6349">
                          <a:solidFill>
                            <a:srgbClr val="C7C7C7"/>
                          </a:solidFill>
                          <a:prstDash val="solid"/>
                        </a:ln>
                      </wps:spPr>
                      <wps:bodyPr wrap="square" lIns="0" tIns="0" rIns="0" bIns="0" rtlCol="0">
                        <a:prstTxWarp prst="textNoShape">
                          <a:avLst/>
                        </a:prstTxWarp>
                        <a:noAutofit/>
                      </wps:bodyPr>
                    </wps:wsp>
                  </a:graphicData>
                </a:graphic>
              </wp:anchor>
            </w:drawing>
          </mc:Choice>
          <mc:Fallback>
            <w:pict>
              <v:shape w14:anchorId="642EE658" id="Graphic 113" o:spid="_x0000_s1026" style="position:absolute;margin-left:121pt;margin-top:11.8pt;width:362pt;height:19.5pt;z-index:-251658105;visibility:visible;mso-wrap-style:square;mso-wrap-distance-left:0;mso-wrap-distance-top:0;mso-wrap-distance-right:0;mso-wrap-distance-bottom:0;mso-position-horizontal:absolute;mso-position-horizontal-relative:page;mso-position-vertical:absolute;mso-position-vertical-relative:text;v-text-anchor:top" coordsize="4597400,247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" path="m,225425l,22225,,19273,563,16433,1691,13710,2819,10988,4425,8582,6509,6498,8593,4408,10997,2802,13719,1680,16442,558,19277,r2948,l4575175,r2946,l4580956,558r2723,1122l4586402,2802r2404,1606l4590890,6498r2084,2084l4594580,10988r1127,2722l4596835,16433r564,2840l4597400,22225r,203200l4597399,228364r-564,2828l4595707,233914r-1127,2728l4583679,245944r-2723,1135l4578121,247643r-2946,7l22225,247650r-2948,-7l16442,247079r-2723,-1135l10997,244815,,228364r,-2939xe" filled="f" strokecolor="#c7c7c7" strokeweight=".17636mm">
                <v:path arrowok="t"/>
                <w10:wrap type="topAndBottom" anchorx="page"/>
              </v:shape>
            </w:pict>
          </mc:Fallback>
        </mc:AlternateContent>
      </w:r>
    </w:p>
    <w:p w14:paraId="7F61674D" w14:textId="77777777" w:rsidR="005F0A67" w:rsidRPr="005F0A67" w:rsidRDefault="005F0A67" w:rsidP="005F0A67">
      <w:pPr>
        <w:widowControl w:val="0"/>
        <w:tabs>
          <w:tab w:val="clear" w:pos="567"/>
          <w:tab w:val="clear" w:pos="1134"/>
          <w:tab w:val="clear" w:pos="1701"/>
          <w:tab w:val="clear" w:pos="2268"/>
        </w:tabs>
        <w:spacing w:before="128"/>
        <w:ind w:left="705"/>
        <w:jc w:val="left"/>
        <w:rPr>
          <w:rFonts w:asciiTheme="majorBidi" w:eastAsia="Arial" w:hAnsiTheme="majorBidi" w:cstheme="majorBidi"/>
          <w:sz w:val="14"/>
          <w:szCs w:val="14"/>
          <w:lang w:val="en-US"/>
        </w:rPr>
      </w:pPr>
      <w:r w:rsidRPr="005F0A67">
        <w:rPr>
          <w:rFonts w:asciiTheme="majorBidi" w:eastAsia="Arial" w:hAnsiTheme="majorBidi" w:cstheme="majorBidi"/>
          <w:color w:val="202020"/>
          <w:sz w:val="14"/>
          <w:szCs w:val="14"/>
          <w:lang w:val="en-US"/>
        </w:rPr>
        <w:t>The</w:t>
      </w:r>
      <w:r w:rsidRPr="005F0A67">
        <w:rPr>
          <w:rFonts w:asciiTheme="majorBidi" w:eastAsia="Arial" w:hAnsiTheme="majorBidi" w:cstheme="majorBidi"/>
          <w:color w:val="202020"/>
          <w:spacing w:val="-9"/>
          <w:sz w:val="14"/>
          <w:szCs w:val="14"/>
          <w:lang w:val="en-US"/>
        </w:rPr>
        <w:t xml:space="preserve"> </w:t>
      </w:r>
      <w:r w:rsidRPr="005F0A67">
        <w:rPr>
          <w:rFonts w:asciiTheme="majorBidi" w:eastAsia="Arial" w:hAnsiTheme="majorBidi" w:cstheme="majorBidi"/>
          <w:color w:val="202020"/>
          <w:sz w:val="14"/>
          <w:szCs w:val="14"/>
          <w:lang w:val="en-US"/>
        </w:rPr>
        <w:t>value</w:t>
      </w:r>
      <w:r w:rsidRPr="005F0A67">
        <w:rPr>
          <w:rFonts w:asciiTheme="majorBidi" w:eastAsia="Arial" w:hAnsiTheme="majorBidi" w:cstheme="majorBidi"/>
          <w:color w:val="202020"/>
          <w:spacing w:val="-8"/>
          <w:sz w:val="14"/>
          <w:szCs w:val="14"/>
          <w:lang w:val="en-US"/>
        </w:rPr>
        <w:t xml:space="preserve"> </w:t>
      </w:r>
      <w:r w:rsidRPr="005F0A67">
        <w:rPr>
          <w:rFonts w:asciiTheme="majorBidi" w:eastAsia="Arial" w:hAnsiTheme="majorBidi" w:cstheme="majorBidi"/>
          <w:color w:val="202020"/>
          <w:sz w:val="14"/>
          <w:szCs w:val="14"/>
          <w:lang w:val="en-US"/>
        </w:rPr>
        <w:t>must</w:t>
      </w:r>
      <w:r w:rsidRPr="005F0A67">
        <w:rPr>
          <w:rFonts w:asciiTheme="majorBidi" w:eastAsia="Arial" w:hAnsiTheme="majorBidi" w:cstheme="majorBidi"/>
          <w:color w:val="202020"/>
          <w:spacing w:val="-9"/>
          <w:sz w:val="14"/>
          <w:szCs w:val="14"/>
          <w:lang w:val="en-US"/>
        </w:rPr>
        <w:t xml:space="preserve"> </w:t>
      </w:r>
      <w:r w:rsidRPr="005F0A67">
        <w:rPr>
          <w:rFonts w:asciiTheme="majorBidi" w:eastAsia="Arial" w:hAnsiTheme="majorBidi" w:cstheme="majorBidi"/>
          <w:color w:val="202020"/>
          <w:sz w:val="14"/>
          <w:szCs w:val="14"/>
          <w:lang w:val="en-US"/>
        </w:rPr>
        <w:t>be</w:t>
      </w:r>
      <w:r w:rsidRPr="005F0A67">
        <w:rPr>
          <w:rFonts w:asciiTheme="majorBidi" w:eastAsia="Arial" w:hAnsiTheme="majorBidi" w:cstheme="majorBidi"/>
          <w:color w:val="202020"/>
          <w:spacing w:val="-8"/>
          <w:sz w:val="14"/>
          <w:szCs w:val="14"/>
          <w:lang w:val="en-US"/>
        </w:rPr>
        <w:t xml:space="preserve"> </w:t>
      </w:r>
      <w:r w:rsidRPr="005F0A67">
        <w:rPr>
          <w:rFonts w:asciiTheme="majorBidi" w:eastAsia="Arial" w:hAnsiTheme="majorBidi" w:cstheme="majorBidi"/>
          <w:color w:val="202020"/>
          <w:sz w:val="14"/>
          <w:szCs w:val="14"/>
          <w:lang w:val="en-US"/>
        </w:rPr>
        <w:t>a</w:t>
      </w:r>
      <w:r w:rsidRPr="005F0A67">
        <w:rPr>
          <w:rFonts w:asciiTheme="majorBidi" w:eastAsia="Arial" w:hAnsiTheme="majorBidi" w:cstheme="majorBidi"/>
          <w:color w:val="202020"/>
          <w:spacing w:val="-8"/>
          <w:sz w:val="14"/>
          <w:szCs w:val="14"/>
          <w:lang w:val="en-US"/>
        </w:rPr>
        <w:t xml:space="preserve"> </w:t>
      </w:r>
      <w:r w:rsidRPr="005F0A67">
        <w:rPr>
          <w:rFonts w:asciiTheme="majorBidi" w:eastAsia="Arial" w:hAnsiTheme="majorBidi" w:cstheme="majorBidi"/>
          <w:color w:val="202020"/>
          <w:spacing w:val="-2"/>
          <w:sz w:val="14"/>
          <w:szCs w:val="14"/>
          <w:lang w:val="en-US"/>
        </w:rPr>
        <w:t>number</w:t>
      </w:r>
    </w:p>
    <w:p w14:paraId="56C4E67D" w14:textId="77777777" w:rsidR="005F0A67" w:rsidRPr="005F0A67" w:rsidRDefault="005F0A67" w:rsidP="005F0A67">
      <w:pPr>
        <w:widowControl w:val="0"/>
        <w:tabs>
          <w:tab w:val="clear" w:pos="567"/>
          <w:tab w:val="clear" w:pos="1134"/>
          <w:tab w:val="clear" w:pos="1701"/>
          <w:tab w:val="clear" w:pos="2268"/>
        </w:tabs>
        <w:jc w:val="left"/>
        <w:rPr>
          <w:rFonts w:asciiTheme="majorBidi" w:eastAsia="Arial" w:hAnsiTheme="majorBidi" w:cstheme="majorBidi"/>
          <w:sz w:val="17"/>
          <w:szCs w:val="17"/>
          <w:lang w:val="en-US"/>
        </w:rPr>
      </w:pPr>
    </w:p>
    <w:p w14:paraId="5ACB2A71" w14:textId="77777777" w:rsidR="005F0A67" w:rsidRPr="005F0A67" w:rsidRDefault="005F0A67" w:rsidP="005F0A67">
      <w:pPr>
        <w:widowControl w:val="0"/>
        <w:tabs>
          <w:tab w:val="clear" w:pos="567"/>
          <w:tab w:val="clear" w:pos="1134"/>
          <w:tab w:val="clear" w:pos="1701"/>
          <w:tab w:val="clear" w:pos="2268"/>
        </w:tabs>
        <w:spacing w:before="35"/>
        <w:jc w:val="left"/>
        <w:rPr>
          <w:rFonts w:asciiTheme="majorBidi" w:eastAsia="Arial" w:hAnsiTheme="majorBidi" w:cstheme="majorBidi"/>
          <w:sz w:val="17"/>
          <w:szCs w:val="17"/>
          <w:lang w:val="en-US"/>
        </w:rPr>
      </w:pPr>
    </w:p>
    <w:p w14:paraId="3F281382" w14:textId="77777777" w:rsidR="005F0A67" w:rsidRPr="005F0A67" w:rsidRDefault="005F0A67" w:rsidP="003A387A">
      <w:pPr>
        <w:widowControl w:val="0"/>
        <w:numPr>
          <w:ilvl w:val="0"/>
          <w:numId w:val="44"/>
        </w:numPr>
        <w:tabs>
          <w:tab w:val="clear" w:pos="567"/>
          <w:tab w:val="clear" w:pos="1134"/>
          <w:tab w:val="clear" w:pos="1701"/>
          <w:tab w:val="clear" w:pos="2268"/>
          <w:tab w:val="left" w:pos="703"/>
          <w:tab w:val="left" w:pos="705"/>
        </w:tabs>
        <w:autoSpaceDE w:val="0"/>
        <w:autoSpaceDN w:val="0"/>
        <w:spacing w:line="271" w:lineRule="auto"/>
        <w:ind w:right="1012" w:hanging="281"/>
        <w:jc w:val="left"/>
        <w:rPr>
          <w:rFonts w:asciiTheme="majorBidi" w:eastAsia="Georgia" w:hAnsiTheme="majorBidi" w:cstheme="majorBidi"/>
          <w:color w:val="1A1A1A"/>
          <w:sz w:val="17"/>
          <w:szCs w:val="17"/>
          <w:lang w:val="en-CA" w:eastAsia="en-GB"/>
        </w:rPr>
      </w:pPr>
      <w:r w:rsidRPr="005F0A67">
        <w:rPr>
          <w:rFonts w:asciiTheme="majorBidi" w:eastAsia="Georgia" w:hAnsiTheme="majorBidi" w:cstheme="majorBidi"/>
          <w:color w:val="242424"/>
          <w:sz w:val="17"/>
          <w:szCs w:val="17"/>
          <w:lang w:val="en-CA" w:eastAsia="en-GB"/>
        </w:rPr>
        <w:t>Approximately</w:t>
      </w:r>
      <w:r w:rsidRPr="005F0A67">
        <w:rPr>
          <w:rFonts w:asciiTheme="majorBidi" w:eastAsia="Georgia" w:hAnsiTheme="majorBidi" w:cstheme="majorBidi"/>
          <w:color w:val="242424"/>
          <w:spacing w:val="-10"/>
          <w:sz w:val="17"/>
          <w:szCs w:val="17"/>
          <w:lang w:val="en-CA" w:eastAsia="en-GB"/>
        </w:rPr>
        <w:t xml:space="preserve"> </w:t>
      </w:r>
      <w:r w:rsidRPr="005F0A67">
        <w:rPr>
          <w:rFonts w:asciiTheme="majorBidi" w:eastAsia="Georgia" w:hAnsiTheme="majorBidi" w:cstheme="majorBidi"/>
          <w:color w:val="242424"/>
          <w:sz w:val="17"/>
          <w:szCs w:val="17"/>
          <w:lang w:val="en-CA" w:eastAsia="en-GB"/>
        </w:rPr>
        <w:t>what</w:t>
      </w:r>
      <w:r w:rsidRPr="005F0A67">
        <w:rPr>
          <w:rFonts w:asciiTheme="majorBidi" w:eastAsia="Georgia" w:hAnsiTheme="majorBidi" w:cstheme="majorBidi"/>
          <w:color w:val="242424"/>
          <w:spacing w:val="-10"/>
          <w:sz w:val="17"/>
          <w:szCs w:val="17"/>
          <w:lang w:val="en-CA" w:eastAsia="en-GB"/>
        </w:rPr>
        <w:t xml:space="preserve"> </w:t>
      </w:r>
      <w:r w:rsidRPr="005F0A67">
        <w:rPr>
          <w:rFonts w:asciiTheme="majorBidi" w:eastAsia="Georgia" w:hAnsiTheme="majorBidi" w:cstheme="majorBidi"/>
          <w:color w:val="242424"/>
          <w:sz w:val="17"/>
          <w:szCs w:val="17"/>
          <w:lang w:val="en-CA" w:eastAsia="en-GB"/>
        </w:rPr>
        <w:t>share</w:t>
      </w:r>
      <w:r w:rsidRPr="005F0A67">
        <w:rPr>
          <w:rFonts w:asciiTheme="majorBidi" w:eastAsia="Georgia" w:hAnsiTheme="majorBidi" w:cstheme="majorBidi"/>
          <w:color w:val="242424"/>
          <w:spacing w:val="-10"/>
          <w:sz w:val="17"/>
          <w:szCs w:val="17"/>
          <w:lang w:val="en-CA" w:eastAsia="en-GB"/>
        </w:rPr>
        <w:t xml:space="preserve"> </w:t>
      </w:r>
      <w:r w:rsidRPr="005F0A67">
        <w:rPr>
          <w:rFonts w:asciiTheme="majorBidi" w:eastAsia="Georgia" w:hAnsiTheme="majorBidi" w:cstheme="majorBidi"/>
          <w:color w:val="242424"/>
          <w:sz w:val="17"/>
          <w:szCs w:val="17"/>
          <w:lang w:val="en-CA" w:eastAsia="en-GB"/>
        </w:rPr>
        <w:t>of</w:t>
      </w:r>
      <w:r w:rsidRPr="005F0A67">
        <w:rPr>
          <w:rFonts w:asciiTheme="majorBidi" w:eastAsia="Georgia" w:hAnsiTheme="majorBidi" w:cstheme="majorBidi"/>
          <w:color w:val="242424"/>
          <w:spacing w:val="-10"/>
          <w:sz w:val="17"/>
          <w:szCs w:val="17"/>
          <w:lang w:val="en-CA" w:eastAsia="en-GB"/>
        </w:rPr>
        <w:t xml:space="preserve"> </w:t>
      </w:r>
      <w:r w:rsidRPr="005F0A67">
        <w:rPr>
          <w:rFonts w:asciiTheme="majorBidi" w:eastAsia="Georgia" w:hAnsiTheme="majorBidi" w:cstheme="majorBidi"/>
          <w:color w:val="242424"/>
          <w:sz w:val="17"/>
          <w:szCs w:val="17"/>
          <w:lang w:val="en-CA" w:eastAsia="en-GB"/>
        </w:rPr>
        <w:t>your</w:t>
      </w:r>
      <w:r w:rsidRPr="005F0A67">
        <w:rPr>
          <w:rFonts w:asciiTheme="majorBidi" w:eastAsia="Georgia" w:hAnsiTheme="majorBidi" w:cstheme="majorBidi"/>
          <w:color w:val="242424"/>
          <w:spacing w:val="-10"/>
          <w:sz w:val="17"/>
          <w:szCs w:val="17"/>
          <w:lang w:val="en-CA" w:eastAsia="en-GB"/>
        </w:rPr>
        <w:t xml:space="preserve"> </w:t>
      </w:r>
      <w:r w:rsidRPr="005F0A67">
        <w:rPr>
          <w:rFonts w:asciiTheme="majorBidi" w:eastAsia="Georgia" w:hAnsiTheme="majorBidi" w:cstheme="majorBidi"/>
          <w:color w:val="242424"/>
          <w:sz w:val="17"/>
          <w:szCs w:val="17"/>
          <w:lang w:val="en-CA" w:eastAsia="en-GB"/>
        </w:rPr>
        <w:t>organisation’s</w:t>
      </w:r>
      <w:r w:rsidRPr="005F0A67">
        <w:rPr>
          <w:rFonts w:asciiTheme="majorBidi" w:eastAsia="Georgia" w:hAnsiTheme="majorBidi" w:cstheme="majorBidi"/>
          <w:color w:val="242424"/>
          <w:spacing w:val="-10"/>
          <w:sz w:val="17"/>
          <w:szCs w:val="17"/>
          <w:lang w:val="en-CA" w:eastAsia="en-GB"/>
        </w:rPr>
        <w:t xml:space="preserve"> </w:t>
      </w:r>
      <w:r w:rsidRPr="005F0A67">
        <w:rPr>
          <w:rFonts w:asciiTheme="majorBidi" w:eastAsia="Georgia" w:hAnsiTheme="majorBidi" w:cstheme="majorBidi"/>
          <w:b/>
          <w:bCs/>
          <w:color w:val="242424"/>
          <w:sz w:val="17"/>
          <w:szCs w:val="17"/>
          <w:lang w:val="en-CA" w:eastAsia="en-GB"/>
        </w:rPr>
        <w:t>total</w:t>
      </w:r>
      <w:r w:rsidRPr="005F0A67">
        <w:rPr>
          <w:rFonts w:asciiTheme="majorBidi" w:eastAsia="Georgia" w:hAnsiTheme="majorBidi" w:cstheme="majorBidi"/>
          <w:b/>
          <w:bCs/>
          <w:color w:val="242424"/>
          <w:spacing w:val="-10"/>
          <w:sz w:val="17"/>
          <w:szCs w:val="17"/>
          <w:lang w:val="en-CA" w:eastAsia="en-GB"/>
        </w:rPr>
        <w:t xml:space="preserve"> </w:t>
      </w:r>
      <w:r w:rsidRPr="005F0A67">
        <w:rPr>
          <w:rFonts w:asciiTheme="majorBidi" w:eastAsia="Georgia" w:hAnsiTheme="majorBidi" w:cstheme="majorBidi"/>
          <w:b/>
          <w:bCs/>
          <w:color w:val="242424"/>
          <w:sz w:val="17"/>
          <w:szCs w:val="17"/>
          <w:lang w:val="en-CA" w:eastAsia="en-GB"/>
        </w:rPr>
        <w:t>operating</w:t>
      </w:r>
      <w:r w:rsidRPr="005F0A67">
        <w:rPr>
          <w:rFonts w:asciiTheme="majorBidi" w:eastAsia="Georgia" w:hAnsiTheme="majorBidi" w:cstheme="majorBidi"/>
          <w:b/>
          <w:bCs/>
          <w:color w:val="242424"/>
          <w:spacing w:val="-10"/>
          <w:sz w:val="17"/>
          <w:szCs w:val="17"/>
          <w:lang w:val="en-CA" w:eastAsia="en-GB"/>
        </w:rPr>
        <w:t xml:space="preserve"> </w:t>
      </w:r>
      <w:r w:rsidRPr="005F0A67">
        <w:rPr>
          <w:rFonts w:asciiTheme="majorBidi" w:eastAsia="Georgia" w:hAnsiTheme="majorBidi" w:cstheme="majorBidi"/>
          <w:b/>
          <w:bCs/>
          <w:color w:val="242424"/>
          <w:sz w:val="17"/>
          <w:szCs w:val="17"/>
          <w:lang w:val="en-CA" w:eastAsia="en-GB"/>
        </w:rPr>
        <w:t>costs</w:t>
      </w:r>
      <w:r w:rsidRPr="005F0A67">
        <w:rPr>
          <w:rFonts w:asciiTheme="majorBidi" w:eastAsia="Georgia" w:hAnsiTheme="majorBidi" w:cstheme="majorBidi"/>
          <w:b/>
          <w:bCs/>
          <w:color w:val="242424"/>
          <w:spacing w:val="-10"/>
          <w:sz w:val="17"/>
          <w:szCs w:val="17"/>
          <w:lang w:val="en-CA" w:eastAsia="en-GB"/>
        </w:rPr>
        <w:t xml:space="preserve"> </w:t>
      </w:r>
      <w:r w:rsidRPr="005F0A67">
        <w:rPr>
          <w:rFonts w:asciiTheme="majorBidi" w:eastAsia="Georgia" w:hAnsiTheme="majorBidi" w:cstheme="majorBidi"/>
          <w:b/>
          <w:bCs/>
          <w:color w:val="242424"/>
          <w:sz w:val="17"/>
          <w:szCs w:val="17"/>
          <w:lang w:val="en-CA" w:eastAsia="en-GB"/>
        </w:rPr>
        <w:t>as</w:t>
      </w:r>
      <w:r w:rsidRPr="005F0A67">
        <w:rPr>
          <w:rFonts w:asciiTheme="majorBidi" w:eastAsia="Georgia" w:hAnsiTheme="majorBidi" w:cstheme="majorBidi"/>
          <w:b/>
          <w:bCs/>
          <w:color w:val="242424"/>
          <w:spacing w:val="-10"/>
          <w:sz w:val="17"/>
          <w:szCs w:val="17"/>
          <w:lang w:val="en-CA" w:eastAsia="en-GB"/>
        </w:rPr>
        <w:t xml:space="preserve"> </w:t>
      </w:r>
      <w:r w:rsidRPr="005F0A67">
        <w:rPr>
          <w:rFonts w:asciiTheme="majorBidi" w:eastAsia="Georgia" w:hAnsiTheme="majorBidi" w:cstheme="majorBidi"/>
          <w:b/>
          <w:bCs/>
          <w:color w:val="242424"/>
          <w:sz w:val="17"/>
          <w:szCs w:val="17"/>
          <w:lang w:val="en-CA" w:eastAsia="en-GB"/>
        </w:rPr>
        <w:t>%</w:t>
      </w:r>
      <w:r w:rsidRPr="005F0A67">
        <w:rPr>
          <w:rFonts w:asciiTheme="majorBidi" w:eastAsia="Georgia" w:hAnsiTheme="majorBidi" w:cstheme="majorBidi"/>
          <w:b/>
          <w:bCs/>
          <w:color w:val="242424"/>
          <w:spacing w:val="-10"/>
          <w:sz w:val="17"/>
          <w:szCs w:val="17"/>
          <w:lang w:val="en-CA" w:eastAsia="en-GB"/>
        </w:rPr>
        <w:t xml:space="preserve"> </w:t>
      </w:r>
      <w:r w:rsidRPr="005F0A67">
        <w:rPr>
          <w:rFonts w:asciiTheme="majorBidi" w:eastAsia="Georgia" w:hAnsiTheme="majorBidi" w:cstheme="majorBidi"/>
          <w:b/>
          <w:bCs/>
          <w:color w:val="242424"/>
          <w:sz w:val="17"/>
          <w:szCs w:val="17"/>
          <w:lang w:val="en-CA" w:eastAsia="en-GB"/>
        </w:rPr>
        <w:t>of</w:t>
      </w:r>
      <w:r w:rsidRPr="005F0A67">
        <w:rPr>
          <w:rFonts w:asciiTheme="majorBidi" w:eastAsia="Georgia" w:hAnsiTheme="majorBidi" w:cstheme="majorBidi"/>
          <w:b/>
          <w:bCs/>
          <w:color w:val="242424"/>
          <w:spacing w:val="-10"/>
          <w:sz w:val="17"/>
          <w:szCs w:val="17"/>
          <w:lang w:val="en-CA" w:eastAsia="en-GB"/>
        </w:rPr>
        <w:t xml:space="preserve"> </w:t>
      </w:r>
      <w:r w:rsidRPr="005F0A67">
        <w:rPr>
          <w:rFonts w:asciiTheme="majorBidi" w:eastAsia="Georgia" w:hAnsiTheme="majorBidi" w:cstheme="majorBidi"/>
          <w:b/>
          <w:bCs/>
          <w:color w:val="242424"/>
          <w:sz w:val="17"/>
          <w:szCs w:val="17"/>
          <w:lang w:val="en-CA" w:eastAsia="en-GB"/>
        </w:rPr>
        <w:t>revenue</w:t>
      </w:r>
      <w:r w:rsidRPr="005F0A67">
        <w:rPr>
          <w:rFonts w:asciiTheme="majorBidi" w:eastAsia="Georgia" w:hAnsiTheme="majorBidi" w:cstheme="majorBidi"/>
          <w:b/>
          <w:bCs/>
          <w:color w:val="242424"/>
          <w:spacing w:val="-10"/>
          <w:sz w:val="17"/>
          <w:szCs w:val="17"/>
          <w:lang w:val="en-CA" w:eastAsia="en-GB"/>
        </w:rPr>
        <w:t xml:space="preserve"> </w:t>
      </w:r>
      <w:r w:rsidRPr="005F0A67">
        <w:rPr>
          <w:rFonts w:asciiTheme="majorBidi" w:eastAsia="Georgia" w:hAnsiTheme="majorBidi" w:cstheme="majorBidi"/>
          <w:b/>
          <w:bCs/>
          <w:color w:val="242424"/>
          <w:sz w:val="17"/>
          <w:szCs w:val="17"/>
          <w:lang w:val="en-CA" w:eastAsia="en-GB"/>
        </w:rPr>
        <w:t xml:space="preserve">is directly related to DSI </w:t>
      </w:r>
      <w:r w:rsidRPr="005F0A67">
        <w:rPr>
          <w:rFonts w:asciiTheme="majorBidi" w:eastAsia="Georgia" w:hAnsiTheme="majorBidi" w:cstheme="majorBidi"/>
          <w:color w:val="242424"/>
          <w:sz w:val="17"/>
          <w:szCs w:val="17"/>
          <w:lang w:val="en-CA" w:eastAsia="en-GB"/>
        </w:rPr>
        <w:t xml:space="preserve">(e.g. sequencing, data storage, analytics, licences)? </w:t>
      </w:r>
      <w:r w:rsidRPr="005F0A67">
        <w:rPr>
          <w:rFonts w:asciiTheme="majorBidi" w:eastAsia="Georgia" w:hAnsiTheme="majorBidi" w:cstheme="majorBidi"/>
          <w:color w:val="AE1515"/>
          <w:sz w:val="17"/>
          <w:szCs w:val="17"/>
          <w:lang w:val="en-CA" w:eastAsia="en-GB"/>
        </w:rPr>
        <w:t>*</w:t>
      </w:r>
    </w:p>
    <w:p w14:paraId="7F812FA0" w14:textId="77777777" w:rsidR="005F0A67" w:rsidRPr="005F0A67" w:rsidRDefault="005F0A67" w:rsidP="005F0A67">
      <w:pPr>
        <w:widowControl w:val="0"/>
        <w:tabs>
          <w:tab w:val="clear" w:pos="567"/>
          <w:tab w:val="clear" w:pos="1134"/>
          <w:tab w:val="clear" w:pos="1701"/>
          <w:tab w:val="clear" w:pos="2268"/>
        </w:tabs>
        <w:spacing w:before="96"/>
        <w:jc w:val="left"/>
        <w:rPr>
          <w:rFonts w:asciiTheme="majorBidi" w:eastAsia="Arial" w:hAnsiTheme="majorBidi" w:cstheme="majorBidi"/>
          <w:sz w:val="14"/>
          <w:szCs w:val="14"/>
          <w:lang w:val="en-US"/>
        </w:rPr>
      </w:pPr>
    </w:p>
    <w:p w14:paraId="1A0CFF51" w14:textId="77777777" w:rsidR="005F0A67" w:rsidRPr="005F0A67" w:rsidRDefault="005F0A67" w:rsidP="005F0A67">
      <w:pPr>
        <w:tabs>
          <w:tab w:val="clear" w:pos="567"/>
          <w:tab w:val="clear" w:pos="1134"/>
          <w:tab w:val="clear" w:pos="1701"/>
          <w:tab w:val="clear" w:pos="2268"/>
        </w:tabs>
        <w:ind w:left="725"/>
        <w:jc w:val="left"/>
        <w:rPr>
          <w:rFonts w:asciiTheme="majorBidi" w:eastAsia="Times New Roman" w:hAnsiTheme="majorBidi" w:cstheme="majorBidi"/>
          <w:sz w:val="14"/>
          <w:szCs w:val="14"/>
          <w:lang w:val="en-CA" w:eastAsia="en-GB"/>
        </w:rPr>
      </w:pPr>
      <w:r w:rsidRPr="005F0A67">
        <w:rPr>
          <w:rFonts w:asciiTheme="majorBidi" w:eastAsia="Times New Roman" w:hAnsiTheme="majorBidi" w:cstheme="majorBidi"/>
          <w:noProof/>
          <w:position w:val="-4"/>
          <w:sz w:val="24"/>
          <w:szCs w:val="24"/>
          <w:lang w:val="en-CA" w:eastAsia="en-GB"/>
        </w:rPr>
        <w:drawing>
          <wp:inline distT="0" distB="0" distL="0" distR="0" wp14:anchorId="306BCD66" wp14:editId="32B387AA">
            <wp:extent cx="127000" cy="127000"/>
            <wp:effectExtent l="0" t="0" r="0" b="0"/>
            <wp:docPr id="114" name="Image 1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4" name="Image 114"/>
                    <pic:cNvPicPr/>
                  </pic:nvPicPr>
                  <pic:blipFill>
                    <a:blip r:embed="rId39" cstate="print"/>
                    <a:stretch>
                      <a:fillRect/>
                    </a:stretch>
                  </pic:blipFill>
                  <pic:spPr>
                    <a:xfrm>
                      <a:off x="0" y="0"/>
                      <a:ext cx="127000" cy="127000"/>
                    </a:xfrm>
                    <a:prstGeom prst="rect">
                      <a:avLst/>
                    </a:prstGeom>
                  </pic:spPr>
                </pic:pic>
              </a:graphicData>
            </a:graphic>
          </wp:inline>
        </w:drawing>
      </w:r>
      <w:r w:rsidRPr="005F0A67">
        <w:rPr>
          <w:rFonts w:asciiTheme="majorBidi" w:eastAsia="Times New Roman" w:hAnsiTheme="majorBidi" w:cstheme="majorBidi"/>
          <w:spacing w:val="80"/>
          <w:sz w:val="20"/>
          <w:szCs w:val="20"/>
          <w:lang w:val="en-CA" w:eastAsia="en-GB"/>
        </w:rPr>
        <w:t xml:space="preserve"> </w:t>
      </w:r>
      <w:r w:rsidRPr="005F0A67">
        <w:rPr>
          <w:rFonts w:asciiTheme="majorBidi" w:eastAsia="Times New Roman" w:hAnsiTheme="majorBidi" w:cstheme="majorBidi"/>
          <w:color w:val="242424"/>
          <w:sz w:val="14"/>
          <w:szCs w:val="14"/>
          <w:lang w:val="en-CA" w:eastAsia="en-GB"/>
        </w:rPr>
        <w:t>0%</w:t>
      </w:r>
    </w:p>
    <w:p w14:paraId="7FAB995E" w14:textId="77777777" w:rsidR="005F0A67" w:rsidRPr="005F0A67" w:rsidRDefault="005F0A67" w:rsidP="005F0A67">
      <w:pPr>
        <w:widowControl w:val="0"/>
        <w:tabs>
          <w:tab w:val="clear" w:pos="567"/>
          <w:tab w:val="clear" w:pos="1134"/>
          <w:tab w:val="clear" w:pos="1701"/>
          <w:tab w:val="clear" w:pos="2268"/>
        </w:tabs>
        <w:spacing w:before="139"/>
        <w:jc w:val="left"/>
        <w:rPr>
          <w:rFonts w:asciiTheme="majorBidi" w:eastAsia="Arial" w:hAnsiTheme="majorBidi" w:cstheme="majorBidi"/>
          <w:sz w:val="14"/>
          <w:szCs w:val="14"/>
          <w:lang w:val="en-US"/>
        </w:rPr>
      </w:pPr>
    </w:p>
    <w:p w14:paraId="7527AE45" w14:textId="77777777" w:rsidR="005F0A67" w:rsidRPr="005F0A67" w:rsidRDefault="005F0A67" w:rsidP="005F0A67">
      <w:pPr>
        <w:tabs>
          <w:tab w:val="clear" w:pos="567"/>
          <w:tab w:val="clear" w:pos="1134"/>
          <w:tab w:val="clear" w:pos="1701"/>
          <w:tab w:val="clear" w:pos="2268"/>
        </w:tabs>
        <w:ind w:left="725"/>
        <w:jc w:val="left"/>
        <w:rPr>
          <w:rFonts w:asciiTheme="majorBidi" w:eastAsia="Times New Roman" w:hAnsiTheme="majorBidi" w:cstheme="majorBidi"/>
          <w:sz w:val="14"/>
          <w:szCs w:val="14"/>
          <w:lang w:val="en-CA" w:eastAsia="en-GB"/>
        </w:rPr>
      </w:pPr>
      <w:r w:rsidRPr="005F0A67">
        <w:rPr>
          <w:rFonts w:asciiTheme="majorBidi" w:eastAsia="Times New Roman" w:hAnsiTheme="majorBidi" w:cstheme="majorBidi"/>
          <w:noProof/>
          <w:position w:val="-4"/>
          <w:sz w:val="24"/>
          <w:szCs w:val="24"/>
          <w:lang w:val="en-CA" w:eastAsia="en-GB"/>
        </w:rPr>
        <w:drawing>
          <wp:inline distT="0" distB="0" distL="0" distR="0" wp14:anchorId="2C6854C8" wp14:editId="39895632">
            <wp:extent cx="127000" cy="127000"/>
            <wp:effectExtent l="0" t="0" r="0" b="0"/>
            <wp:docPr id="115" name="Image 1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5" name="Image 115"/>
                    <pic:cNvPicPr/>
                  </pic:nvPicPr>
                  <pic:blipFill>
                    <a:blip r:embed="rId42" cstate="print"/>
                    <a:stretch>
                      <a:fillRect/>
                    </a:stretch>
                  </pic:blipFill>
                  <pic:spPr>
                    <a:xfrm>
                      <a:off x="0" y="0"/>
                      <a:ext cx="127000" cy="127000"/>
                    </a:xfrm>
                    <a:prstGeom prst="rect">
                      <a:avLst/>
                    </a:prstGeom>
                  </pic:spPr>
                </pic:pic>
              </a:graphicData>
            </a:graphic>
          </wp:inline>
        </w:drawing>
      </w:r>
      <w:r w:rsidRPr="005F0A67">
        <w:rPr>
          <w:rFonts w:asciiTheme="majorBidi" w:eastAsia="Times New Roman" w:hAnsiTheme="majorBidi" w:cstheme="majorBidi"/>
          <w:spacing w:val="80"/>
          <w:sz w:val="20"/>
          <w:szCs w:val="20"/>
          <w:lang w:val="en-CA" w:eastAsia="en-GB"/>
        </w:rPr>
        <w:t xml:space="preserve"> </w:t>
      </w:r>
      <w:r w:rsidRPr="005F0A67">
        <w:rPr>
          <w:rFonts w:asciiTheme="majorBidi" w:eastAsia="Times New Roman" w:hAnsiTheme="majorBidi" w:cstheme="majorBidi"/>
          <w:color w:val="242424"/>
          <w:spacing w:val="-2"/>
          <w:sz w:val="14"/>
          <w:szCs w:val="14"/>
          <w:lang w:val="en-CA" w:eastAsia="en-GB"/>
        </w:rPr>
        <w:t>0-</w:t>
      </w:r>
      <w:r w:rsidRPr="005F0A67">
        <w:rPr>
          <w:rFonts w:asciiTheme="majorBidi" w:eastAsia="Times New Roman" w:hAnsiTheme="majorBidi" w:cstheme="majorBidi"/>
          <w:color w:val="242424"/>
          <w:sz w:val="14"/>
          <w:szCs w:val="14"/>
          <w:lang w:val="en-CA" w:eastAsia="en-GB"/>
        </w:rPr>
        <w:t>1%</w:t>
      </w:r>
    </w:p>
    <w:p w14:paraId="0E55887A" w14:textId="77777777" w:rsidR="005F0A67" w:rsidRPr="005F0A67" w:rsidRDefault="005F0A67" w:rsidP="005F0A67">
      <w:pPr>
        <w:widowControl w:val="0"/>
        <w:tabs>
          <w:tab w:val="clear" w:pos="567"/>
          <w:tab w:val="clear" w:pos="1134"/>
          <w:tab w:val="clear" w:pos="1701"/>
          <w:tab w:val="clear" w:pos="2268"/>
        </w:tabs>
        <w:spacing w:before="139"/>
        <w:jc w:val="left"/>
        <w:rPr>
          <w:rFonts w:asciiTheme="majorBidi" w:eastAsia="Arial" w:hAnsiTheme="majorBidi" w:cstheme="majorBidi"/>
          <w:sz w:val="14"/>
          <w:szCs w:val="14"/>
          <w:lang w:val="en-US"/>
        </w:rPr>
      </w:pPr>
    </w:p>
    <w:p w14:paraId="02616A18" w14:textId="77777777" w:rsidR="005F0A67" w:rsidRPr="005F0A67" w:rsidRDefault="005F0A67" w:rsidP="005F0A67">
      <w:pPr>
        <w:tabs>
          <w:tab w:val="clear" w:pos="567"/>
          <w:tab w:val="clear" w:pos="1134"/>
          <w:tab w:val="clear" w:pos="1701"/>
          <w:tab w:val="clear" w:pos="2268"/>
        </w:tabs>
        <w:spacing w:before="1"/>
        <w:ind w:left="725"/>
        <w:jc w:val="left"/>
        <w:rPr>
          <w:rFonts w:asciiTheme="majorBidi" w:eastAsia="Times New Roman" w:hAnsiTheme="majorBidi" w:cstheme="majorBidi"/>
          <w:sz w:val="14"/>
          <w:szCs w:val="14"/>
          <w:lang w:val="en-CA" w:eastAsia="en-GB"/>
        </w:rPr>
      </w:pPr>
      <w:r w:rsidRPr="005F0A67">
        <w:rPr>
          <w:rFonts w:asciiTheme="majorBidi" w:eastAsia="Times New Roman" w:hAnsiTheme="majorBidi" w:cstheme="majorBidi"/>
          <w:noProof/>
          <w:position w:val="-4"/>
          <w:sz w:val="24"/>
          <w:szCs w:val="24"/>
          <w:lang w:val="en-CA" w:eastAsia="en-GB"/>
        </w:rPr>
        <w:drawing>
          <wp:inline distT="0" distB="0" distL="0" distR="0" wp14:anchorId="64BC9853" wp14:editId="322C9207">
            <wp:extent cx="127000" cy="127000"/>
            <wp:effectExtent l="0" t="0" r="0" b="0"/>
            <wp:docPr id="116" name="Image 1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6" name="Image 116"/>
                    <pic:cNvPicPr/>
                  </pic:nvPicPr>
                  <pic:blipFill>
                    <a:blip r:embed="rId49" cstate="print"/>
                    <a:stretch>
                      <a:fillRect/>
                    </a:stretch>
                  </pic:blipFill>
                  <pic:spPr>
                    <a:xfrm>
                      <a:off x="0" y="0"/>
                      <a:ext cx="127000" cy="127000"/>
                    </a:xfrm>
                    <a:prstGeom prst="rect">
                      <a:avLst/>
                    </a:prstGeom>
                  </pic:spPr>
                </pic:pic>
              </a:graphicData>
            </a:graphic>
          </wp:inline>
        </w:drawing>
      </w:r>
      <w:r w:rsidRPr="005F0A67">
        <w:rPr>
          <w:rFonts w:asciiTheme="majorBidi" w:eastAsia="Times New Roman" w:hAnsiTheme="majorBidi" w:cstheme="majorBidi"/>
          <w:spacing w:val="80"/>
          <w:sz w:val="20"/>
          <w:szCs w:val="20"/>
          <w:lang w:val="en-CA" w:eastAsia="en-GB"/>
        </w:rPr>
        <w:t xml:space="preserve"> </w:t>
      </w:r>
      <w:r w:rsidRPr="005F0A67">
        <w:rPr>
          <w:rFonts w:asciiTheme="majorBidi" w:eastAsia="Times New Roman" w:hAnsiTheme="majorBidi" w:cstheme="majorBidi"/>
          <w:color w:val="242424"/>
          <w:spacing w:val="-2"/>
          <w:sz w:val="14"/>
          <w:szCs w:val="14"/>
          <w:lang w:val="en-CA" w:eastAsia="en-GB"/>
        </w:rPr>
        <w:t>1-</w:t>
      </w:r>
      <w:r w:rsidRPr="005F0A67">
        <w:rPr>
          <w:rFonts w:asciiTheme="majorBidi" w:eastAsia="Times New Roman" w:hAnsiTheme="majorBidi" w:cstheme="majorBidi"/>
          <w:color w:val="242424"/>
          <w:sz w:val="14"/>
          <w:szCs w:val="14"/>
          <w:lang w:val="en-CA" w:eastAsia="en-GB"/>
        </w:rPr>
        <w:t>5%</w:t>
      </w:r>
    </w:p>
    <w:p w14:paraId="6E2FCFEA" w14:textId="77777777" w:rsidR="005F0A67" w:rsidRPr="005F0A67" w:rsidRDefault="005F0A67" w:rsidP="005F0A67">
      <w:pPr>
        <w:widowControl w:val="0"/>
        <w:tabs>
          <w:tab w:val="clear" w:pos="567"/>
          <w:tab w:val="clear" w:pos="1134"/>
          <w:tab w:val="clear" w:pos="1701"/>
          <w:tab w:val="clear" w:pos="2268"/>
        </w:tabs>
        <w:spacing w:before="138"/>
        <w:jc w:val="left"/>
        <w:rPr>
          <w:rFonts w:asciiTheme="majorBidi" w:eastAsia="Arial" w:hAnsiTheme="majorBidi" w:cstheme="majorBidi"/>
          <w:sz w:val="14"/>
          <w:szCs w:val="14"/>
          <w:lang w:val="en-US"/>
        </w:rPr>
      </w:pPr>
    </w:p>
    <w:p w14:paraId="3B4842DD" w14:textId="77777777" w:rsidR="005F0A67" w:rsidRPr="005F0A67" w:rsidRDefault="005F0A67" w:rsidP="005F0A67">
      <w:pPr>
        <w:tabs>
          <w:tab w:val="clear" w:pos="567"/>
          <w:tab w:val="clear" w:pos="1134"/>
          <w:tab w:val="clear" w:pos="1701"/>
          <w:tab w:val="clear" w:pos="2268"/>
        </w:tabs>
        <w:spacing w:before="1"/>
        <w:ind w:left="725"/>
        <w:jc w:val="left"/>
        <w:rPr>
          <w:rFonts w:asciiTheme="majorBidi" w:eastAsia="Times New Roman" w:hAnsiTheme="majorBidi" w:cstheme="majorBidi"/>
          <w:sz w:val="14"/>
          <w:szCs w:val="14"/>
          <w:lang w:val="en-CA" w:eastAsia="en-GB"/>
        </w:rPr>
      </w:pPr>
      <w:r w:rsidRPr="005F0A67">
        <w:rPr>
          <w:rFonts w:asciiTheme="majorBidi" w:eastAsia="Times New Roman" w:hAnsiTheme="majorBidi" w:cstheme="majorBidi"/>
          <w:noProof/>
          <w:position w:val="-4"/>
          <w:sz w:val="24"/>
          <w:szCs w:val="24"/>
          <w:lang w:val="en-CA" w:eastAsia="en-GB"/>
        </w:rPr>
        <w:drawing>
          <wp:inline distT="0" distB="0" distL="0" distR="0" wp14:anchorId="72EAE344" wp14:editId="381DA7E8">
            <wp:extent cx="127000" cy="127000"/>
            <wp:effectExtent l="0" t="0" r="0" b="0"/>
            <wp:docPr id="117" name="Image 1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7" name="Image 117"/>
                    <pic:cNvPicPr/>
                  </pic:nvPicPr>
                  <pic:blipFill>
                    <a:blip r:embed="rId39" cstate="print"/>
                    <a:stretch>
                      <a:fillRect/>
                    </a:stretch>
                  </pic:blipFill>
                  <pic:spPr>
                    <a:xfrm>
                      <a:off x="0" y="0"/>
                      <a:ext cx="127000" cy="127000"/>
                    </a:xfrm>
                    <a:prstGeom prst="rect">
                      <a:avLst/>
                    </a:prstGeom>
                  </pic:spPr>
                </pic:pic>
              </a:graphicData>
            </a:graphic>
          </wp:inline>
        </w:drawing>
      </w:r>
      <w:r w:rsidRPr="005F0A67">
        <w:rPr>
          <w:rFonts w:asciiTheme="majorBidi" w:eastAsia="Times New Roman" w:hAnsiTheme="majorBidi" w:cstheme="majorBidi"/>
          <w:spacing w:val="80"/>
          <w:sz w:val="20"/>
          <w:szCs w:val="20"/>
          <w:lang w:val="en-CA" w:eastAsia="en-GB"/>
        </w:rPr>
        <w:t xml:space="preserve"> </w:t>
      </w:r>
      <w:r w:rsidRPr="005F0A67">
        <w:rPr>
          <w:rFonts w:asciiTheme="majorBidi" w:eastAsia="Times New Roman" w:hAnsiTheme="majorBidi" w:cstheme="majorBidi"/>
          <w:color w:val="242424"/>
          <w:spacing w:val="-2"/>
          <w:sz w:val="14"/>
          <w:szCs w:val="14"/>
          <w:lang w:val="en-CA" w:eastAsia="en-GB"/>
        </w:rPr>
        <w:t>5-</w:t>
      </w:r>
      <w:r w:rsidRPr="005F0A67">
        <w:rPr>
          <w:rFonts w:asciiTheme="majorBidi" w:eastAsia="Times New Roman" w:hAnsiTheme="majorBidi" w:cstheme="majorBidi"/>
          <w:color w:val="242424"/>
          <w:sz w:val="14"/>
          <w:szCs w:val="14"/>
          <w:lang w:val="en-CA" w:eastAsia="en-GB"/>
        </w:rPr>
        <w:t>10%</w:t>
      </w:r>
    </w:p>
    <w:p w14:paraId="5E39F69E" w14:textId="77777777" w:rsidR="005F0A67" w:rsidRPr="005F0A67" w:rsidRDefault="005F0A67" w:rsidP="005F0A67">
      <w:pPr>
        <w:widowControl w:val="0"/>
        <w:tabs>
          <w:tab w:val="clear" w:pos="567"/>
          <w:tab w:val="clear" w:pos="1134"/>
          <w:tab w:val="clear" w:pos="1701"/>
          <w:tab w:val="clear" w:pos="2268"/>
        </w:tabs>
        <w:spacing w:before="138"/>
        <w:jc w:val="left"/>
        <w:rPr>
          <w:rFonts w:asciiTheme="majorBidi" w:eastAsia="Arial" w:hAnsiTheme="majorBidi" w:cstheme="majorBidi"/>
          <w:sz w:val="14"/>
          <w:szCs w:val="14"/>
          <w:lang w:val="en-US"/>
        </w:rPr>
      </w:pPr>
    </w:p>
    <w:p w14:paraId="70B6FF89" w14:textId="77777777" w:rsidR="005F0A67" w:rsidRPr="005F0A67" w:rsidRDefault="005F0A67" w:rsidP="005F0A67">
      <w:pPr>
        <w:widowControl w:val="0"/>
        <w:tabs>
          <w:tab w:val="clear" w:pos="567"/>
          <w:tab w:val="clear" w:pos="1134"/>
          <w:tab w:val="clear" w:pos="1701"/>
          <w:tab w:val="clear" w:pos="2268"/>
        </w:tabs>
        <w:spacing w:before="1" w:line="600" w:lineRule="auto"/>
        <w:ind w:left="725" w:right="6607"/>
        <w:jc w:val="left"/>
        <w:rPr>
          <w:rFonts w:asciiTheme="majorBidi" w:eastAsia="Arial" w:hAnsiTheme="majorBidi" w:cstheme="majorBidi"/>
          <w:sz w:val="14"/>
          <w:szCs w:val="14"/>
          <w:lang w:val="en-US"/>
        </w:rPr>
      </w:pPr>
      <w:r w:rsidRPr="005F0A67">
        <w:rPr>
          <w:rFonts w:asciiTheme="majorBidi" w:eastAsia="Arial" w:hAnsiTheme="majorBidi" w:cstheme="majorBidi"/>
          <w:noProof/>
          <w:position w:val="-4"/>
          <w:sz w:val="14"/>
          <w:szCs w:val="14"/>
          <w:lang w:val="en-US"/>
        </w:rPr>
        <w:drawing>
          <wp:inline distT="0" distB="0" distL="0" distR="0" wp14:anchorId="64BF4107" wp14:editId="182E89E7">
            <wp:extent cx="127000" cy="127000"/>
            <wp:effectExtent l="0" t="0" r="0" b="0"/>
            <wp:docPr id="118" name="Image 1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8" name="Image 118"/>
                    <pic:cNvPicPr/>
                  </pic:nvPicPr>
                  <pic:blipFill>
                    <a:blip r:embed="rId49" cstate="print"/>
                    <a:stretch>
                      <a:fillRect/>
                    </a:stretch>
                  </pic:blipFill>
                  <pic:spPr>
                    <a:xfrm>
                      <a:off x="0" y="0"/>
                      <a:ext cx="127000" cy="127000"/>
                    </a:xfrm>
                    <a:prstGeom prst="rect">
                      <a:avLst/>
                    </a:prstGeom>
                  </pic:spPr>
                </pic:pic>
              </a:graphicData>
            </a:graphic>
          </wp:inline>
        </w:drawing>
      </w:r>
      <w:r w:rsidRPr="005F0A67">
        <w:rPr>
          <w:rFonts w:asciiTheme="majorBidi" w:eastAsia="Arial" w:hAnsiTheme="majorBidi" w:cstheme="majorBidi"/>
          <w:spacing w:val="63"/>
          <w:sz w:val="20"/>
          <w:szCs w:val="20"/>
          <w:lang w:val="en-US"/>
        </w:rPr>
        <w:t xml:space="preserve"> </w:t>
      </w:r>
      <w:r w:rsidRPr="005F0A67">
        <w:rPr>
          <w:rFonts w:asciiTheme="majorBidi" w:eastAsia="Arial" w:hAnsiTheme="majorBidi" w:cstheme="majorBidi"/>
          <w:color w:val="242424"/>
          <w:sz w:val="14"/>
          <w:szCs w:val="14"/>
          <w:lang w:val="en-US"/>
        </w:rPr>
        <w:t>10%</w:t>
      </w:r>
      <w:r w:rsidRPr="005F0A67">
        <w:rPr>
          <w:rFonts w:asciiTheme="majorBidi" w:eastAsia="Arial" w:hAnsiTheme="majorBidi" w:cstheme="majorBidi"/>
          <w:color w:val="242424"/>
          <w:spacing w:val="-9"/>
          <w:sz w:val="14"/>
          <w:szCs w:val="14"/>
          <w:lang w:val="en-US"/>
        </w:rPr>
        <w:t xml:space="preserve"> </w:t>
      </w:r>
      <w:r w:rsidRPr="005F0A67">
        <w:rPr>
          <w:rFonts w:asciiTheme="majorBidi" w:eastAsia="Arial" w:hAnsiTheme="majorBidi" w:cstheme="majorBidi"/>
          <w:color w:val="242424"/>
          <w:sz w:val="14"/>
          <w:szCs w:val="14"/>
          <w:lang w:val="en-US"/>
        </w:rPr>
        <w:t>or</w:t>
      </w:r>
      <w:r w:rsidRPr="005F0A67">
        <w:rPr>
          <w:rFonts w:asciiTheme="majorBidi" w:eastAsia="Arial" w:hAnsiTheme="majorBidi" w:cstheme="majorBidi"/>
          <w:color w:val="242424"/>
          <w:spacing w:val="-9"/>
          <w:sz w:val="14"/>
          <w:szCs w:val="14"/>
          <w:lang w:val="en-US"/>
        </w:rPr>
        <w:t xml:space="preserve"> </w:t>
      </w:r>
      <w:r w:rsidRPr="005F0A67">
        <w:rPr>
          <w:rFonts w:asciiTheme="majorBidi" w:eastAsia="Arial" w:hAnsiTheme="majorBidi" w:cstheme="majorBidi"/>
          <w:color w:val="242424"/>
          <w:sz w:val="14"/>
          <w:szCs w:val="14"/>
          <w:lang w:val="en-US"/>
        </w:rPr>
        <w:t>more</w:t>
      </w:r>
      <w:r w:rsidRPr="005F0A67">
        <w:rPr>
          <w:rFonts w:asciiTheme="majorBidi" w:eastAsia="Arial" w:hAnsiTheme="majorBidi" w:cstheme="majorBidi"/>
          <w:color w:val="242424"/>
          <w:spacing w:val="40"/>
          <w:sz w:val="14"/>
          <w:szCs w:val="14"/>
          <w:lang w:val="en-US"/>
        </w:rPr>
        <w:t xml:space="preserve"> </w:t>
      </w:r>
      <w:r w:rsidRPr="005F0A67">
        <w:rPr>
          <w:rFonts w:asciiTheme="majorBidi" w:eastAsia="Arial" w:hAnsiTheme="majorBidi" w:cstheme="majorBidi"/>
          <w:noProof/>
          <w:color w:val="242424"/>
          <w:position w:val="-4"/>
          <w:sz w:val="14"/>
          <w:szCs w:val="14"/>
          <w:lang w:val="en-US"/>
        </w:rPr>
        <w:drawing>
          <wp:inline distT="0" distB="0" distL="0" distR="0" wp14:anchorId="4C6D2D06" wp14:editId="13650B4F">
            <wp:extent cx="127000" cy="127000"/>
            <wp:effectExtent l="0" t="0" r="0" b="0"/>
            <wp:docPr id="119" name="Image 1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9" name="Image 119"/>
                    <pic:cNvPicPr/>
                  </pic:nvPicPr>
                  <pic:blipFill>
                    <a:blip r:embed="rId42" cstate="print"/>
                    <a:stretch>
                      <a:fillRect/>
                    </a:stretch>
                  </pic:blipFill>
                  <pic:spPr>
                    <a:xfrm>
                      <a:off x="0" y="0"/>
                      <a:ext cx="127000" cy="127000"/>
                    </a:xfrm>
                    <a:prstGeom prst="rect">
                      <a:avLst/>
                    </a:prstGeom>
                  </pic:spPr>
                </pic:pic>
              </a:graphicData>
            </a:graphic>
          </wp:inline>
        </w:drawing>
      </w:r>
      <w:r w:rsidRPr="005F0A67">
        <w:rPr>
          <w:rFonts w:asciiTheme="majorBidi" w:eastAsia="Arial" w:hAnsiTheme="majorBidi" w:cstheme="majorBidi"/>
          <w:color w:val="242424"/>
          <w:spacing w:val="80"/>
          <w:sz w:val="14"/>
          <w:szCs w:val="14"/>
          <w:lang w:val="en-US"/>
        </w:rPr>
        <w:t xml:space="preserve"> </w:t>
      </w:r>
      <w:r w:rsidRPr="005F0A67">
        <w:rPr>
          <w:rFonts w:asciiTheme="majorBidi" w:eastAsia="Arial" w:hAnsiTheme="majorBidi" w:cstheme="majorBidi"/>
          <w:color w:val="242424"/>
          <w:sz w:val="14"/>
          <w:szCs w:val="14"/>
          <w:lang w:val="en-US"/>
        </w:rPr>
        <w:t>Don't know</w:t>
      </w:r>
    </w:p>
    <w:p w14:paraId="37761971" w14:textId="209FFE06" w:rsidR="005F0A67" w:rsidRPr="005F0A67" w:rsidRDefault="005F0A67" w:rsidP="005F0A67">
      <w:pPr>
        <w:widowControl w:val="0"/>
        <w:tabs>
          <w:tab w:val="clear" w:pos="567"/>
          <w:tab w:val="clear" w:pos="1134"/>
          <w:tab w:val="clear" w:pos="1701"/>
          <w:tab w:val="clear" w:pos="2268"/>
        </w:tabs>
        <w:ind w:left="725"/>
        <w:jc w:val="left"/>
        <w:rPr>
          <w:rFonts w:asciiTheme="majorBidi" w:eastAsia="Arial" w:hAnsiTheme="majorBidi" w:cstheme="majorBidi"/>
          <w:color w:val="242424"/>
          <w:sz w:val="14"/>
          <w:szCs w:val="14"/>
          <w:lang w:val="en-US"/>
        </w:rPr>
      </w:pPr>
      <w:r w:rsidRPr="005F0A67">
        <w:rPr>
          <w:rFonts w:asciiTheme="majorBidi" w:eastAsia="Arial" w:hAnsiTheme="majorBidi" w:cstheme="majorBidi"/>
          <w:noProof/>
          <w:sz w:val="14"/>
          <w:szCs w:val="14"/>
          <w:lang w:val="en-US"/>
        </w:rPr>
        <w:drawing>
          <wp:inline distT="0" distB="0" distL="0" distR="0" wp14:anchorId="3290A48D" wp14:editId="28CECD20">
            <wp:extent cx="114300" cy="123825"/>
            <wp:effectExtent l="0" t="0" r="0" b="9525"/>
            <wp:docPr id="22398410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Rot="1" noChangeAspect="1" noEditPoints="1" noChangeArrowheads="1" noCrop="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14300" cy="123825"/>
                    </a:xfrm>
                    <a:prstGeom prst="rect">
                      <a:avLst/>
                    </a:prstGeom>
                    <a:noFill/>
                    <a:ln>
                      <a:noFill/>
                    </a:ln>
                  </pic:spPr>
                </pic:pic>
              </a:graphicData>
            </a:graphic>
          </wp:inline>
        </w:drawing>
      </w:r>
      <w:r w:rsidRPr="005F0A67">
        <w:rPr>
          <w:rFonts w:asciiTheme="majorBidi" w:eastAsia="Arial" w:hAnsiTheme="majorBidi" w:cstheme="majorBidi"/>
          <w:noProof/>
          <w:sz w:val="14"/>
          <w:szCs w:val="14"/>
          <w:lang w:val="en-US"/>
        </w:rPr>
        <w:drawing>
          <wp:inline distT="0" distB="0" distL="0" distR="0" wp14:anchorId="72057A3B" wp14:editId="4E97D1FE">
            <wp:extent cx="114300" cy="123825"/>
            <wp:effectExtent l="0" t="0" r="0" b="9525"/>
            <wp:docPr id="1149369827"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Rot="1" noChangeAspect="1" noEditPoints="1" noChangeArrowheads="1" noCrop="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14300" cy="123825"/>
                    </a:xfrm>
                    <a:prstGeom prst="rect">
                      <a:avLst/>
                    </a:prstGeom>
                    <a:noFill/>
                    <a:ln>
                      <a:noFill/>
                    </a:ln>
                  </pic:spPr>
                </pic:pic>
              </a:graphicData>
            </a:graphic>
          </wp:inline>
        </w:drawing>
      </w:r>
      <w:r w:rsidRPr="005F0A67">
        <w:rPr>
          <w:rFonts w:asciiTheme="majorBidi" w:eastAsia="Arial" w:hAnsiTheme="majorBidi" w:cstheme="majorBidi"/>
          <w:spacing w:val="80"/>
          <w:sz w:val="20"/>
          <w:szCs w:val="20"/>
          <w:lang w:val="en-US"/>
        </w:rPr>
        <w:t xml:space="preserve"> </w:t>
      </w:r>
      <w:r w:rsidRPr="005F0A67">
        <w:rPr>
          <w:rFonts w:asciiTheme="majorBidi" w:eastAsia="Arial" w:hAnsiTheme="majorBidi" w:cstheme="majorBidi"/>
          <w:color w:val="242424"/>
          <w:sz w:val="14"/>
          <w:szCs w:val="14"/>
          <w:lang w:val="en-US"/>
        </w:rPr>
        <w:t>Prefer not to say</w:t>
      </w:r>
    </w:p>
    <w:p w14:paraId="48BAC277" w14:textId="77777777" w:rsidR="005F0A67" w:rsidRPr="005F0A67" w:rsidRDefault="005F0A67" w:rsidP="005F0A67">
      <w:pPr>
        <w:widowControl w:val="0"/>
        <w:tabs>
          <w:tab w:val="clear" w:pos="567"/>
          <w:tab w:val="clear" w:pos="1134"/>
          <w:tab w:val="clear" w:pos="1701"/>
          <w:tab w:val="clear" w:pos="2268"/>
        </w:tabs>
        <w:jc w:val="left"/>
        <w:rPr>
          <w:rFonts w:asciiTheme="majorBidi" w:eastAsia="Arial" w:hAnsiTheme="majorBidi" w:cstheme="majorBidi"/>
          <w:color w:val="242424"/>
          <w:sz w:val="14"/>
          <w:szCs w:val="14"/>
          <w:lang w:val="en-US"/>
        </w:rPr>
      </w:pPr>
    </w:p>
    <w:p w14:paraId="3FC334D5" w14:textId="77777777" w:rsidR="005F0A67" w:rsidRPr="005F0A67" w:rsidRDefault="005F0A67" w:rsidP="003A387A">
      <w:pPr>
        <w:widowControl w:val="0"/>
        <w:numPr>
          <w:ilvl w:val="0"/>
          <w:numId w:val="44"/>
        </w:numPr>
        <w:tabs>
          <w:tab w:val="clear" w:pos="567"/>
          <w:tab w:val="clear" w:pos="1134"/>
          <w:tab w:val="clear" w:pos="1701"/>
          <w:tab w:val="clear" w:pos="2268"/>
          <w:tab w:val="left" w:pos="703"/>
          <w:tab w:val="left" w:pos="705"/>
        </w:tabs>
        <w:autoSpaceDE w:val="0"/>
        <w:autoSpaceDN w:val="0"/>
        <w:spacing w:before="97" w:line="271" w:lineRule="auto"/>
        <w:ind w:right="979" w:hanging="281"/>
        <w:jc w:val="left"/>
        <w:rPr>
          <w:rFonts w:asciiTheme="majorBidi" w:eastAsia="Georgia" w:hAnsiTheme="majorBidi" w:cstheme="majorBidi"/>
          <w:color w:val="1A1A1A"/>
          <w:sz w:val="17"/>
          <w:szCs w:val="17"/>
          <w:lang w:eastAsia="en-GB"/>
        </w:rPr>
      </w:pPr>
      <w:r w:rsidRPr="005F0A67">
        <w:rPr>
          <w:rFonts w:asciiTheme="majorBidi" w:eastAsia="Georgia" w:hAnsiTheme="majorBidi" w:cstheme="majorBidi"/>
          <w:color w:val="242424"/>
          <w:sz w:val="17"/>
          <w:szCs w:val="17"/>
          <w:lang w:eastAsia="en-GB"/>
        </w:rPr>
        <w:t>If</w:t>
      </w:r>
      <w:r w:rsidRPr="005F0A67">
        <w:rPr>
          <w:rFonts w:asciiTheme="majorBidi" w:eastAsia="Georgia" w:hAnsiTheme="majorBidi" w:cstheme="majorBidi"/>
          <w:color w:val="242424"/>
          <w:spacing w:val="-9"/>
          <w:sz w:val="17"/>
          <w:szCs w:val="17"/>
          <w:lang w:eastAsia="en-GB"/>
        </w:rPr>
        <w:t xml:space="preserve"> </w:t>
      </w:r>
      <w:r w:rsidRPr="005F0A67">
        <w:rPr>
          <w:rFonts w:asciiTheme="majorBidi" w:eastAsia="Georgia" w:hAnsiTheme="majorBidi" w:cstheme="majorBidi"/>
          <w:color w:val="242424"/>
          <w:sz w:val="17"/>
          <w:szCs w:val="17"/>
          <w:lang w:eastAsia="en-GB"/>
        </w:rPr>
        <w:t>DSI-related</w:t>
      </w:r>
      <w:r w:rsidRPr="005F0A67">
        <w:rPr>
          <w:rFonts w:asciiTheme="majorBidi" w:eastAsia="Georgia" w:hAnsiTheme="majorBidi" w:cstheme="majorBidi"/>
          <w:color w:val="242424"/>
          <w:spacing w:val="-9"/>
          <w:sz w:val="17"/>
          <w:szCs w:val="17"/>
          <w:lang w:eastAsia="en-GB"/>
        </w:rPr>
        <w:t xml:space="preserve"> </w:t>
      </w:r>
      <w:r w:rsidRPr="005F0A67">
        <w:rPr>
          <w:rFonts w:asciiTheme="majorBidi" w:eastAsia="Georgia" w:hAnsiTheme="majorBidi" w:cstheme="majorBidi"/>
          <w:color w:val="242424"/>
          <w:sz w:val="17"/>
          <w:szCs w:val="17"/>
          <w:lang w:eastAsia="en-GB"/>
        </w:rPr>
        <w:t>costs</w:t>
      </w:r>
      <w:r w:rsidRPr="005F0A67">
        <w:rPr>
          <w:rFonts w:asciiTheme="majorBidi" w:eastAsia="Georgia" w:hAnsiTheme="majorBidi" w:cstheme="majorBidi"/>
          <w:color w:val="242424"/>
          <w:spacing w:val="-9"/>
          <w:sz w:val="17"/>
          <w:szCs w:val="17"/>
          <w:lang w:eastAsia="en-GB"/>
        </w:rPr>
        <w:t xml:space="preserve"> </w:t>
      </w:r>
      <w:r w:rsidRPr="005F0A67">
        <w:rPr>
          <w:rFonts w:asciiTheme="majorBidi" w:eastAsia="Georgia" w:hAnsiTheme="majorBidi" w:cstheme="majorBidi"/>
          <w:color w:val="242424"/>
          <w:sz w:val="17"/>
          <w:szCs w:val="17"/>
          <w:lang w:eastAsia="en-GB"/>
        </w:rPr>
        <w:t>increase</w:t>
      </w:r>
      <w:r w:rsidRPr="005F0A67">
        <w:rPr>
          <w:rFonts w:asciiTheme="majorBidi" w:eastAsia="Georgia" w:hAnsiTheme="majorBidi" w:cstheme="majorBidi"/>
          <w:color w:val="242424"/>
          <w:spacing w:val="-9"/>
          <w:sz w:val="17"/>
          <w:szCs w:val="17"/>
          <w:lang w:eastAsia="en-GB"/>
        </w:rPr>
        <w:t xml:space="preserve"> </w:t>
      </w:r>
      <w:r w:rsidRPr="005F0A67">
        <w:rPr>
          <w:rFonts w:asciiTheme="majorBidi" w:eastAsia="Georgia" w:hAnsiTheme="majorBidi" w:cstheme="majorBidi"/>
          <w:color w:val="242424"/>
          <w:sz w:val="17"/>
          <w:szCs w:val="17"/>
          <w:lang w:eastAsia="en-GB"/>
        </w:rPr>
        <w:t>through</w:t>
      </w:r>
      <w:r w:rsidRPr="005F0A67">
        <w:rPr>
          <w:rFonts w:asciiTheme="majorBidi" w:eastAsia="Georgia" w:hAnsiTheme="majorBidi" w:cstheme="majorBidi"/>
          <w:color w:val="242424"/>
          <w:spacing w:val="-9"/>
          <w:sz w:val="17"/>
          <w:szCs w:val="17"/>
          <w:lang w:eastAsia="en-GB"/>
        </w:rPr>
        <w:t xml:space="preserve"> </w:t>
      </w:r>
      <w:r w:rsidRPr="005F0A67">
        <w:rPr>
          <w:rFonts w:asciiTheme="majorBidi" w:eastAsia="Georgia" w:hAnsiTheme="majorBidi" w:cstheme="majorBidi"/>
          <w:color w:val="242424"/>
          <w:sz w:val="17"/>
          <w:szCs w:val="17"/>
          <w:lang w:eastAsia="en-GB"/>
        </w:rPr>
        <w:t>contributions</w:t>
      </w:r>
      <w:r w:rsidRPr="005F0A67">
        <w:rPr>
          <w:rFonts w:asciiTheme="majorBidi" w:eastAsia="Georgia" w:hAnsiTheme="majorBidi" w:cstheme="majorBidi"/>
          <w:color w:val="242424"/>
          <w:spacing w:val="-9"/>
          <w:sz w:val="17"/>
          <w:szCs w:val="17"/>
          <w:lang w:eastAsia="en-GB"/>
        </w:rPr>
        <w:t xml:space="preserve"> </w:t>
      </w:r>
      <w:r w:rsidRPr="005F0A67">
        <w:rPr>
          <w:rFonts w:asciiTheme="majorBidi" w:eastAsia="Georgia" w:hAnsiTheme="majorBidi" w:cstheme="majorBidi"/>
          <w:color w:val="242424"/>
          <w:sz w:val="17"/>
          <w:szCs w:val="17"/>
          <w:lang w:eastAsia="en-GB"/>
        </w:rPr>
        <w:t>to</w:t>
      </w:r>
      <w:r w:rsidRPr="005F0A67">
        <w:rPr>
          <w:rFonts w:asciiTheme="majorBidi" w:eastAsia="Georgia" w:hAnsiTheme="majorBidi" w:cstheme="majorBidi"/>
          <w:color w:val="242424"/>
          <w:spacing w:val="-9"/>
          <w:sz w:val="17"/>
          <w:szCs w:val="17"/>
          <w:lang w:eastAsia="en-GB"/>
        </w:rPr>
        <w:t xml:space="preserve"> </w:t>
      </w:r>
      <w:r w:rsidRPr="005F0A67">
        <w:rPr>
          <w:rFonts w:asciiTheme="majorBidi" w:eastAsia="Georgia" w:hAnsiTheme="majorBidi" w:cstheme="majorBidi"/>
          <w:color w:val="242424"/>
          <w:sz w:val="17"/>
          <w:szCs w:val="17"/>
          <w:lang w:eastAsia="en-GB"/>
        </w:rPr>
        <w:t>the</w:t>
      </w:r>
      <w:r w:rsidRPr="005F0A67">
        <w:rPr>
          <w:rFonts w:asciiTheme="majorBidi" w:eastAsia="Georgia" w:hAnsiTheme="majorBidi" w:cstheme="majorBidi"/>
          <w:color w:val="242424"/>
          <w:spacing w:val="-9"/>
          <w:sz w:val="17"/>
          <w:szCs w:val="17"/>
          <w:lang w:eastAsia="en-GB"/>
        </w:rPr>
        <w:t xml:space="preserve"> </w:t>
      </w:r>
      <w:r w:rsidRPr="005F0A67">
        <w:rPr>
          <w:rFonts w:asciiTheme="majorBidi" w:eastAsia="Georgia" w:hAnsiTheme="majorBidi" w:cstheme="majorBidi"/>
          <w:color w:val="242424"/>
          <w:sz w:val="17"/>
          <w:szCs w:val="17"/>
          <w:lang w:eastAsia="en-GB"/>
        </w:rPr>
        <w:t>Cali</w:t>
      </w:r>
      <w:r w:rsidRPr="005F0A67">
        <w:rPr>
          <w:rFonts w:asciiTheme="majorBidi" w:eastAsia="Georgia" w:hAnsiTheme="majorBidi" w:cstheme="majorBidi"/>
          <w:color w:val="242424"/>
          <w:spacing w:val="-9"/>
          <w:sz w:val="17"/>
          <w:szCs w:val="17"/>
          <w:lang w:eastAsia="en-GB"/>
        </w:rPr>
        <w:t xml:space="preserve"> </w:t>
      </w:r>
      <w:r w:rsidRPr="005F0A67">
        <w:rPr>
          <w:rFonts w:asciiTheme="majorBidi" w:eastAsia="Georgia" w:hAnsiTheme="majorBidi" w:cstheme="majorBidi"/>
          <w:color w:val="242424"/>
          <w:sz w:val="17"/>
          <w:szCs w:val="17"/>
          <w:lang w:eastAsia="en-GB"/>
        </w:rPr>
        <w:t>Fund,</w:t>
      </w:r>
      <w:r w:rsidRPr="005F0A67">
        <w:rPr>
          <w:rFonts w:asciiTheme="majorBidi" w:eastAsia="Georgia" w:hAnsiTheme="majorBidi" w:cstheme="majorBidi"/>
          <w:color w:val="242424"/>
          <w:spacing w:val="-9"/>
          <w:sz w:val="17"/>
          <w:szCs w:val="17"/>
          <w:lang w:eastAsia="en-GB"/>
        </w:rPr>
        <w:t xml:space="preserve"> </w:t>
      </w:r>
      <w:r w:rsidRPr="005F0A67">
        <w:rPr>
          <w:rFonts w:asciiTheme="majorBidi" w:eastAsia="Georgia" w:hAnsiTheme="majorBidi" w:cstheme="majorBidi"/>
          <w:b/>
          <w:bCs/>
          <w:color w:val="242424"/>
          <w:sz w:val="17"/>
          <w:szCs w:val="17"/>
          <w:lang w:eastAsia="en-GB"/>
        </w:rPr>
        <w:t>how</w:t>
      </w:r>
      <w:r w:rsidRPr="005F0A67">
        <w:rPr>
          <w:rFonts w:asciiTheme="majorBidi" w:eastAsia="Georgia" w:hAnsiTheme="majorBidi" w:cstheme="majorBidi"/>
          <w:b/>
          <w:bCs/>
          <w:color w:val="242424"/>
          <w:spacing w:val="-9"/>
          <w:sz w:val="17"/>
          <w:szCs w:val="17"/>
          <w:lang w:eastAsia="en-GB"/>
        </w:rPr>
        <w:t xml:space="preserve"> </w:t>
      </w:r>
      <w:r w:rsidRPr="005F0A67">
        <w:rPr>
          <w:rFonts w:asciiTheme="majorBidi" w:eastAsia="Georgia" w:hAnsiTheme="majorBidi" w:cstheme="majorBidi"/>
          <w:b/>
          <w:bCs/>
          <w:color w:val="242424"/>
          <w:sz w:val="17"/>
          <w:szCs w:val="17"/>
          <w:lang w:eastAsia="en-GB"/>
        </w:rPr>
        <w:t>easily</w:t>
      </w:r>
      <w:r w:rsidRPr="005F0A67">
        <w:rPr>
          <w:rFonts w:asciiTheme="majorBidi" w:eastAsia="Georgia" w:hAnsiTheme="majorBidi" w:cstheme="majorBidi"/>
          <w:b/>
          <w:bCs/>
          <w:color w:val="242424"/>
          <w:spacing w:val="-9"/>
          <w:sz w:val="17"/>
          <w:szCs w:val="17"/>
          <w:lang w:eastAsia="en-GB"/>
        </w:rPr>
        <w:t xml:space="preserve"> </w:t>
      </w:r>
      <w:r w:rsidRPr="005F0A67">
        <w:rPr>
          <w:rFonts w:asciiTheme="majorBidi" w:eastAsia="Georgia" w:hAnsiTheme="majorBidi" w:cstheme="majorBidi"/>
          <w:b/>
          <w:bCs/>
          <w:color w:val="242424"/>
          <w:sz w:val="17"/>
          <w:szCs w:val="17"/>
          <w:lang w:eastAsia="en-GB"/>
        </w:rPr>
        <w:t>could</w:t>
      </w:r>
      <w:r w:rsidRPr="005F0A67">
        <w:rPr>
          <w:rFonts w:asciiTheme="majorBidi" w:eastAsia="Georgia" w:hAnsiTheme="majorBidi" w:cstheme="majorBidi"/>
          <w:b/>
          <w:bCs/>
          <w:color w:val="242424"/>
          <w:spacing w:val="-9"/>
          <w:sz w:val="17"/>
          <w:szCs w:val="17"/>
          <w:lang w:eastAsia="en-GB"/>
        </w:rPr>
        <w:t xml:space="preserve"> </w:t>
      </w:r>
      <w:r w:rsidRPr="005F0A67">
        <w:rPr>
          <w:rFonts w:asciiTheme="majorBidi" w:eastAsia="Georgia" w:hAnsiTheme="majorBidi" w:cstheme="majorBidi"/>
          <w:b/>
          <w:bCs/>
          <w:color w:val="242424"/>
          <w:sz w:val="17"/>
          <w:szCs w:val="17"/>
          <w:lang w:eastAsia="en-GB"/>
        </w:rPr>
        <w:t xml:space="preserve">your </w:t>
      </w:r>
      <w:r w:rsidRPr="005F0A67">
        <w:rPr>
          <w:rFonts w:asciiTheme="majorBidi" w:eastAsia="Georgia" w:hAnsiTheme="majorBidi" w:cstheme="majorBidi"/>
          <w:b/>
          <w:bCs/>
          <w:color w:val="242424"/>
          <w:sz w:val="17"/>
          <w:szCs w:val="17"/>
          <w:lang w:eastAsia="en-GB"/>
        </w:rPr>
        <w:lastRenderedPageBreak/>
        <w:t xml:space="preserve">organisation switch to DSI alternatives? </w:t>
      </w:r>
      <w:r w:rsidRPr="005F0A67">
        <w:rPr>
          <w:rFonts w:asciiTheme="majorBidi" w:eastAsia="Georgia" w:hAnsiTheme="majorBidi" w:cstheme="majorBidi"/>
          <w:color w:val="AE1515"/>
          <w:sz w:val="17"/>
          <w:szCs w:val="17"/>
          <w:lang w:eastAsia="en-GB"/>
        </w:rPr>
        <w:t>*</w:t>
      </w:r>
    </w:p>
    <w:p w14:paraId="3ECEB4E8" w14:textId="77777777" w:rsidR="005F0A67" w:rsidRPr="005F0A67" w:rsidRDefault="005F0A67" w:rsidP="005F0A67">
      <w:pPr>
        <w:widowControl w:val="0"/>
        <w:tabs>
          <w:tab w:val="clear" w:pos="567"/>
          <w:tab w:val="clear" w:pos="1134"/>
          <w:tab w:val="clear" w:pos="1701"/>
          <w:tab w:val="clear" w:pos="2268"/>
        </w:tabs>
        <w:spacing w:before="96"/>
        <w:jc w:val="left"/>
        <w:rPr>
          <w:rFonts w:asciiTheme="majorBidi" w:eastAsia="Arial" w:hAnsiTheme="majorBidi" w:cstheme="majorBidi"/>
          <w:sz w:val="14"/>
          <w:szCs w:val="14"/>
          <w:lang w:val="en-US"/>
        </w:rPr>
      </w:pPr>
    </w:p>
    <w:p w14:paraId="1AFF06D8" w14:textId="77777777" w:rsidR="005F0A67" w:rsidRPr="005F0A67" w:rsidRDefault="005F0A67" w:rsidP="005F0A67">
      <w:pPr>
        <w:widowControl w:val="0"/>
        <w:tabs>
          <w:tab w:val="clear" w:pos="567"/>
          <w:tab w:val="clear" w:pos="1134"/>
          <w:tab w:val="clear" w:pos="1701"/>
          <w:tab w:val="clear" w:pos="2268"/>
        </w:tabs>
        <w:spacing w:before="1" w:line="600" w:lineRule="auto"/>
        <w:ind w:left="725" w:right="6703"/>
        <w:jc w:val="left"/>
        <w:rPr>
          <w:rFonts w:asciiTheme="majorBidi" w:eastAsia="Arial" w:hAnsiTheme="majorBidi" w:cstheme="majorBidi"/>
          <w:sz w:val="14"/>
          <w:szCs w:val="14"/>
          <w:lang w:val="en-US"/>
        </w:rPr>
      </w:pPr>
      <w:r w:rsidRPr="005F0A67">
        <w:rPr>
          <w:rFonts w:asciiTheme="majorBidi" w:eastAsia="Arial" w:hAnsiTheme="majorBidi" w:cstheme="majorBidi"/>
          <w:noProof/>
          <w:position w:val="-4"/>
          <w:sz w:val="14"/>
          <w:szCs w:val="14"/>
          <w:lang w:val="en-US"/>
        </w:rPr>
        <w:drawing>
          <wp:inline distT="0" distB="0" distL="0" distR="0" wp14:anchorId="266F9E28" wp14:editId="231330CF">
            <wp:extent cx="127000" cy="127000"/>
            <wp:effectExtent l="0" t="0" r="0" b="0"/>
            <wp:docPr id="121" name="Image 1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1" name="Image 121"/>
                    <pic:cNvPicPr/>
                  </pic:nvPicPr>
                  <pic:blipFill>
                    <a:blip r:embed="rId37" cstate="print"/>
                    <a:stretch>
                      <a:fillRect/>
                    </a:stretch>
                  </pic:blipFill>
                  <pic:spPr>
                    <a:xfrm>
                      <a:off x="0" y="0"/>
                      <a:ext cx="127000" cy="127000"/>
                    </a:xfrm>
                    <a:prstGeom prst="rect">
                      <a:avLst/>
                    </a:prstGeom>
                  </pic:spPr>
                </pic:pic>
              </a:graphicData>
            </a:graphic>
          </wp:inline>
        </w:drawing>
      </w:r>
      <w:r w:rsidRPr="005F0A67">
        <w:rPr>
          <w:rFonts w:asciiTheme="majorBidi" w:eastAsia="Arial" w:hAnsiTheme="majorBidi" w:cstheme="majorBidi"/>
          <w:spacing w:val="41"/>
          <w:sz w:val="20"/>
          <w:szCs w:val="20"/>
          <w:lang w:val="en-US"/>
        </w:rPr>
        <w:t xml:space="preserve"> </w:t>
      </w:r>
      <w:r w:rsidRPr="005F0A67">
        <w:rPr>
          <w:rFonts w:asciiTheme="majorBidi" w:eastAsia="Arial" w:hAnsiTheme="majorBidi" w:cstheme="majorBidi"/>
          <w:color w:val="242424"/>
          <w:sz w:val="14"/>
          <w:szCs w:val="14"/>
          <w:lang w:val="en-US"/>
        </w:rPr>
        <w:t>Very</w:t>
      </w:r>
      <w:r w:rsidRPr="005F0A67">
        <w:rPr>
          <w:rFonts w:asciiTheme="majorBidi" w:eastAsia="Arial" w:hAnsiTheme="majorBidi" w:cstheme="majorBidi"/>
          <w:color w:val="242424"/>
          <w:spacing w:val="-10"/>
          <w:sz w:val="14"/>
          <w:szCs w:val="14"/>
          <w:lang w:val="en-US"/>
        </w:rPr>
        <w:t xml:space="preserve"> </w:t>
      </w:r>
      <w:r w:rsidRPr="005F0A67">
        <w:rPr>
          <w:rFonts w:asciiTheme="majorBidi" w:eastAsia="Arial" w:hAnsiTheme="majorBidi" w:cstheme="majorBidi"/>
          <w:color w:val="242424"/>
          <w:sz w:val="14"/>
          <w:szCs w:val="14"/>
          <w:lang w:val="en-US"/>
        </w:rPr>
        <w:t>easily</w:t>
      </w:r>
      <w:r w:rsidRPr="005F0A67">
        <w:rPr>
          <w:rFonts w:asciiTheme="majorBidi" w:eastAsia="Arial" w:hAnsiTheme="majorBidi" w:cstheme="majorBidi"/>
          <w:color w:val="242424"/>
          <w:spacing w:val="40"/>
          <w:sz w:val="14"/>
          <w:szCs w:val="14"/>
          <w:lang w:val="en-US"/>
        </w:rPr>
        <w:t xml:space="preserve"> </w:t>
      </w:r>
      <w:r w:rsidRPr="005F0A67">
        <w:rPr>
          <w:rFonts w:asciiTheme="majorBidi" w:eastAsia="Arial" w:hAnsiTheme="majorBidi" w:cstheme="majorBidi"/>
          <w:noProof/>
          <w:color w:val="242424"/>
          <w:position w:val="-4"/>
          <w:sz w:val="14"/>
          <w:szCs w:val="14"/>
          <w:lang w:val="en-US"/>
        </w:rPr>
        <w:drawing>
          <wp:inline distT="0" distB="0" distL="0" distR="0" wp14:anchorId="32444B98" wp14:editId="0114CA42">
            <wp:extent cx="127000" cy="127000"/>
            <wp:effectExtent l="0" t="0" r="0" b="0"/>
            <wp:docPr id="122" name="Image 1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2" name="Image 122"/>
                    <pic:cNvPicPr/>
                  </pic:nvPicPr>
                  <pic:blipFill>
                    <a:blip r:embed="rId39" cstate="print"/>
                    <a:stretch>
                      <a:fillRect/>
                    </a:stretch>
                  </pic:blipFill>
                  <pic:spPr>
                    <a:xfrm>
                      <a:off x="0" y="0"/>
                      <a:ext cx="127000" cy="127000"/>
                    </a:xfrm>
                    <a:prstGeom prst="rect">
                      <a:avLst/>
                    </a:prstGeom>
                  </pic:spPr>
                </pic:pic>
              </a:graphicData>
            </a:graphic>
          </wp:inline>
        </w:drawing>
      </w:r>
      <w:r w:rsidRPr="005F0A67">
        <w:rPr>
          <w:rFonts w:asciiTheme="majorBidi" w:eastAsia="Arial" w:hAnsiTheme="majorBidi" w:cstheme="majorBidi"/>
          <w:color w:val="242424"/>
          <w:spacing w:val="80"/>
          <w:sz w:val="14"/>
          <w:szCs w:val="14"/>
          <w:lang w:val="en-US"/>
        </w:rPr>
        <w:t xml:space="preserve"> </w:t>
      </w:r>
      <w:proofErr w:type="spellStart"/>
      <w:r w:rsidRPr="005F0A67">
        <w:rPr>
          <w:rFonts w:asciiTheme="majorBidi" w:eastAsia="Arial" w:hAnsiTheme="majorBidi" w:cstheme="majorBidi"/>
          <w:color w:val="242424"/>
          <w:sz w:val="14"/>
          <w:szCs w:val="14"/>
          <w:lang w:val="en-US"/>
        </w:rPr>
        <w:t>Easily</w:t>
      </w:r>
      <w:proofErr w:type="spellEnd"/>
    </w:p>
    <w:p w14:paraId="44B648C9" w14:textId="77777777" w:rsidR="005F0A67" w:rsidRPr="005F0A67" w:rsidRDefault="005F0A67" w:rsidP="005F0A67">
      <w:pPr>
        <w:widowControl w:val="0"/>
        <w:tabs>
          <w:tab w:val="clear" w:pos="567"/>
          <w:tab w:val="clear" w:pos="1134"/>
          <w:tab w:val="clear" w:pos="1701"/>
          <w:tab w:val="clear" w:pos="2268"/>
        </w:tabs>
        <w:spacing w:line="600" w:lineRule="auto"/>
        <w:ind w:left="725" w:right="6200"/>
        <w:jc w:val="left"/>
        <w:rPr>
          <w:rFonts w:asciiTheme="majorBidi" w:eastAsia="Arial" w:hAnsiTheme="majorBidi" w:cstheme="majorBidi"/>
          <w:sz w:val="14"/>
          <w:szCs w:val="14"/>
          <w:lang w:val="en-US"/>
        </w:rPr>
      </w:pPr>
      <w:r w:rsidRPr="005F0A67">
        <w:rPr>
          <w:rFonts w:asciiTheme="majorBidi" w:eastAsia="Arial" w:hAnsiTheme="majorBidi" w:cstheme="majorBidi"/>
          <w:noProof/>
          <w:position w:val="-4"/>
          <w:sz w:val="14"/>
          <w:szCs w:val="14"/>
          <w:lang w:val="en-US"/>
        </w:rPr>
        <w:drawing>
          <wp:inline distT="0" distB="0" distL="0" distR="0" wp14:anchorId="159FF6C2" wp14:editId="34CA2D78">
            <wp:extent cx="127000" cy="127000"/>
            <wp:effectExtent l="0" t="0" r="0" b="0"/>
            <wp:docPr id="123" name="Image 1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3" name="Image 123"/>
                    <pic:cNvPicPr/>
                  </pic:nvPicPr>
                  <pic:blipFill>
                    <a:blip r:embed="rId37" cstate="print"/>
                    <a:stretch>
                      <a:fillRect/>
                    </a:stretch>
                  </pic:blipFill>
                  <pic:spPr>
                    <a:xfrm>
                      <a:off x="0" y="0"/>
                      <a:ext cx="127000" cy="127000"/>
                    </a:xfrm>
                    <a:prstGeom prst="rect">
                      <a:avLst/>
                    </a:prstGeom>
                  </pic:spPr>
                </pic:pic>
              </a:graphicData>
            </a:graphic>
          </wp:inline>
        </w:drawing>
      </w:r>
      <w:r w:rsidRPr="005F0A67">
        <w:rPr>
          <w:rFonts w:asciiTheme="majorBidi" w:eastAsia="Arial" w:hAnsiTheme="majorBidi" w:cstheme="majorBidi"/>
          <w:spacing w:val="80"/>
          <w:sz w:val="20"/>
          <w:szCs w:val="20"/>
          <w:lang w:val="en-US"/>
        </w:rPr>
        <w:t xml:space="preserve"> </w:t>
      </w:r>
      <w:r w:rsidRPr="005F0A67">
        <w:rPr>
          <w:rFonts w:asciiTheme="majorBidi" w:eastAsia="Arial" w:hAnsiTheme="majorBidi" w:cstheme="majorBidi"/>
          <w:color w:val="242424"/>
          <w:sz w:val="14"/>
          <w:szCs w:val="14"/>
          <w:lang w:val="en-US"/>
        </w:rPr>
        <w:t>With</w:t>
      </w:r>
      <w:r w:rsidRPr="005F0A67">
        <w:rPr>
          <w:rFonts w:asciiTheme="majorBidi" w:eastAsia="Arial" w:hAnsiTheme="majorBidi" w:cstheme="majorBidi"/>
          <w:color w:val="242424"/>
          <w:spacing w:val="-3"/>
          <w:sz w:val="14"/>
          <w:szCs w:val="14"/>
          <w:lang w:val="en-US"/>
        </w:rPr>
        <w:t xml:space="preserve"> </w:t>
      </w:r>
      <w:r w:rsidRPr="005F0A67">
        <w:rPr>
          <w:rFonts w:asciiTheme="majorBidi" w:eastAsia="Arial" w:hAnsiTheme="majorBidi" w:cstheme="majorBidi"/>
          <w:color w:val="242424"/>
          <w:sz w:val="14"/>
          <w:szCs w:val="14"/>
          <w:lang w:val="en-US"/>
        </w:rPr>
        <w:t>some</w:t>
      </w:r>
      <w:r w:rsidRPr="005F0A67">
        <w:rPr>
          <w:rFonts w:asciiTheme="majorBidi" w:eastAsia="Arial" w:hAnsiTheme="majorBidi" w:cstheme="majorBidi"/>
          <w:color w:val="242424"/>
          <w:spacing w:val="-3"/>
          <w:sz w:val="14"/>
          <w:szCs w:val="14"/>
          <w:lang w:val="en-US"/>
        </w:rPr>
        <w:t xml:space="preserve"> </w:t>
      </w:r>
      <w:r w:rsidRPr="005F0A67">
        <w:rPr>
          <w:rFonts w:asciiTheme="majorBidi" w:eastAsia="Arial" w:hAnsiTheme="majorBidi" w:cstheme="majorBidi"/>
          <w:color w:val="242424"/>
          <w:sz w:val="14"/>
          <w:szCs w:val="14"/>
          <w:lang w:val="en-US"/>
        </w:rPr>
        <w:t>difficulty</w:t>
      </w:r>
      <w:r w:rsidRPr="005F0A67">
        <w:rPr>
          <w:rFonts w:asciiTheme="majorBidi" w:eastAsia="Arial" w:hAnsiTheme="majorBidi" w:cstheme="majorBidi"/>
          <w:color w:val="242424"/>
          <w:spacing w:val="40"/>
          <w:sz w:val="14"/>
          <w:szCs w:val="14"/>
          <w:lang w:val="en-US"/>
        </w:rPr>
        <w:t xml:space="preserve"> </w:t>
      </w:r>
      <w:r w:rsidRPr="005F0A67">
        <w:rPr>
          <w:rFonts w:asciiTheme="majorBidi" w:eastAsia="Arial" w:hAnsiTheme="majorBidi" w:cstheme="majorBidi"/>
          <w:noProof/>
          <w:color w:val="242424"/>
          <w:position w:val="-4"/>
          <w:sz w:val="14"/>
          <w:szCs w:val="14"/>
          <w:lang w:val="en-US"/>
        </w:rPr>
        <w:drawing>
          <wp:inline distT="0" distB="0" distL="0" distR="0" wp14:anchorId="4B3F3464" wp14:editId="52C9AFB7">
            <wp:extent cx="127000" cy="127000"/>
            <wp:effectExtent l="0" t="0" r="0" b="0"/>
            <wp:docPr id="124" name="Image 1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4" name="Image 124"/>
                    <pic:cNvPicPr/>
                  </pic:nvPicPr>
                  <pic:blipFill>
                    <a:blip r:embed="rId37" cstate="print"/>
                    <a:stretch>
                      <a:fillRect/>
                    </a:stretch>
                  </pic:blipFill>
                  <pic:spPr>
                    <a:xfrm>
                      <a:off x="0" y="0"/>
                      <a:ext cx="127000" cy="127000"/>
                    </a:xfrm>
                    <a:prstGeom prst="rect">
                      <a:avLst/>
                    </a:prstGeom>
                  </pic:spPr>
                </pic:pic>
              </a:graphicData>
            </a:graphic>
          </wp:inline>
        </w:drawing>
      </w:r>
      <w:r w:rsidRPr="005F0A67">
        <w:rPr>
          <w:rFonts w:asciiTheme="majorBidi" w:eastAsia="Arial" w:hAnsiTheme="majorBidi" w:cstheme="majorBidi"/>
          <w:color w:val="242424"/>
          <w:spacing w:val="80"/>
          <w:sz w:val="14"/>
          <w:szCs w:val="14"/>
          <w:lang w:val="en-US"/>
        </w:rPr>
        <w:t xml:space="preserve"> </w:t>
      </w:r>
      <w:r w:rsidRPr="005F0A67">
        <w:rPr>
          <w:rFonts w:asciiTheme="majorBidi" w:eastAsia="Arial" w:hAnsiTheme="majorBidi" w:cstheme="majorBidi"/>
          <w:color w:val="242424"/>
          <w:sz w:val="14"/>
          <w:szCs w:val="14"/>
          <w:lang w:val="en-US"/>
        </w:rPr>
        <w:t>Impossible</w:t>
      </w:r>
    </w:p>
    <w:p w14:paraId="20132954" w14:textId="77777777" w:rsidR="005F0A67" w:rsidRPr="005F0A67" w:rsidRDefault="005F0A67" w:rsidP="005F0A67">
      <w:pPr>
        <w:widowControl w:val="0"/>
        <w:tabs>
          <w:tab w:val="clear" w:pos="567"/>
          <w:tab w:val="clear" w:pos="1134"/>
          <w:tab w:val="clear" w:pos="1701"/>
          <w:tab w:val="clear" w:pos="2268"/>
        </w:tabs>
        <w:ind w:left="725"/>
        <w:jc w:val="left"/>
        <w:rPr>
          <w:rFonts w:asciiTheme="majorBidi" w:eastAsia="Arial" w:hAnsiTheme="majorBidi" w:cstheme="majorBidi"/>
          <w:sz w:val="14"/>
          <w:szCs w:val="14"/>
          <w:lang w:val="en-US"/>
        </w:rPr>
      </w:pPr>
      <w:r w:rsidRPr="005F0A67">
        <w:rPr>
          <w:rFonts w:asciiTheme="majorBidi" w:eastAsia="Arial" w:hAnsiTheme="majorBidi" w:cstheme="majorBidi"/>
          <w:noProof/>
          <w:position w:val="-4"/>
          <w:sz w:val="14"/>
          <w:szCs w:val="14"/>
          <w:lang w:val="en-US"/>
        </w:rPr>
        <w:drawing>
          <wp:inline distT="0" distB="0" distL="0" distR="0" wp14:anchorId="1E66D74C" wp14:editId="6A5E53F3">
            <wp:extent cx="127000" cy="127000"/>
            <wp:effectExtent l="0" t="0" r="0" b="0"/>
            <wp:docPr id="125" name="Image 1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5" name="Image 125"/>
                    <pic:cNvPicPr/>
                  </pic:nvPicPr>
                  <pic:blipFill>
                    <a:blip r:embed="rId39" cstate="print"/>
                    <a:stretch>
                      <a:fillRect/>
                    </a:stretch>
                  </pic:blipFill>
                  <pic:spPr>
                    <a:xfrm>
                      <a:off x="0" y="0"/>
                      <a:ext cx="127000" cy="127000"/>
                    </a:xfrm>
                    <a:prstGeom prst="rect">
                      <a:avLst/>
                    </a:prstGeom>
                  </pic:spPr>
                </pic:pic>
              </a:graphicData>
            </a:graphic>
          </wp:inline>
        </w:drawing>
      </w:r>
      <w:r w:rsidRPr="005F0A67">
        <w:rPr>
          <w:rFonts w:asciiTheme="majorBidi" w:eastAsia="Arial" w:hAnsiTheme="majorBidi" w:cstheme="majorBidi"/>
          <w:spacing w:val="80"/>
          <w:w w:val="105"/>
          <w:sz w:val="20"/>
          <w:szCs w:val="20"/>
          <w:lang w:val="en-US"/>
        </w:rPr>
        <w:t xml:space="preserve"> </w:t>
      </w:r>
      <w:r w:rsidRPr="005F0A67">
        <w:rPr>
          <w:rFonts w:asciiTheme="majorBidi" w:eastAsia="Arial" w:hAnsiTheme="majorBidi" w:cstheme="majorBidi"/>
          <w:color w:val="242424"/>
          <w:spacing w:val="-2"/>
          <w:w w:val="105"/>
          <w:sz w:val="14"/>
          <w:szCs w:val="14"/>
          <w:lang w:val="en-US"/>
        </w:rPr>
        <w:t xml:space="preserve">Don't </w:t>
      </w:r>
      <w:r w:rsidRPr="005F0A67">
        <w:rPr>
          <w:rFonts w:asciiTheme="majorBidi" w:eastAsia="Arial" w:hAnsiTheme="majorBidi" w:cstheme="majorBidi"/>
          <w:color w:val="242424"/>
          <w:w w:val="105"/>
          <w:sz w:val="14"/>
          <w:szCs w:val="14"/>
          <w:lang w:val="en-US"/>
        </w:rPr>
        <w:t>know</w:t>
      </w:r>
    </w:p>
    <w:p w14:paraId="1A253AFC" w14:textId="77777777" w:rsidR="005F0A67" w:rsidRPr="005F0A67" w:rsidRDefault="005F0A67" w:rsidP="005F0A67">
      <w:pPr>
        <w:widowControl w:val="0"/>
        <w:tabs>
          <w:tab w:val="clear" w:pos="567"/>
          <w:tab w:val="clear" w:pos="1134"/>
          <w:tab w:val="clear" w:pos="1701"/>
          <w:tab w:val="clear" w:pos="2268"/>
        </w:tabs>
        <w:spacing w:before="48"/>
        <w:jc w:val="left"/>
        <w:rPr>
          <w:rFonts w:asciiTheme="majorBidi" w:eastAsia="Arial" w:hAnsiTheme="majorBidi" w:cstheme="majorBidi"/>
          <w:sz w:val="17"/>
          <w:szCs w:val="17"/>
          <w:lang w:val="en-US"/>
        </w:rPr>
      </w:pPr>
    </w:p>
    <w:p w14:paraId="21548341" w14:textId="77777777" w:rsidR="005F0A67" w:rsidRPr="005F0A67" w:rsidRDefault="005F0A67" w:rsidP="003A387A">
      <w:pPr>
        <w:widowControl w:val="0"/>
        <w:numPr>
          <w:ilvl w:val="0"/>
          <w:numId w:val="44"/>
        </w:numPr>
        <w:tabs>
          <w:tab w:val="clear" w:pos="567"/>
          <w:tab w:val="clear" w:pos="1134"/>
          <w:tab w:val="clear" w:pos="1701"/>
          <w:tab w:val="clear" w:pos="2268"/>
          <w:tab w:val="left" w:pos="703"/>
        </w:tabs>
        <w:autoSpaceDE w:val="0"/>
        <w:autoSpaceDN w:val="0"/>
        <w:ind w:left="703" w:hanging="279"/>
        <w:jc w:val="left"/>
        <w:rPr>
          <w:rFonts w:asciiTheme="majorBidi" w:eastAsia="Georgia" w:hAnsiTheme="majorBidi" w:cstheme="majorBidi"/>
          <w:color w:val="1A1A1A"/>
          <w:sz w:val="17"/>
          <w:szCs w:val="17"/>
          <w:lang w:eastAsia="en-GB"/>
        </w:rPr>
      </w:pPr>
      <w:r w:rsidRPr="005F0A67">
        <w:rPr>
          <w:rFonts w:asciiTheme="majorBidi" w:eastAsia="Georgia" w:hAnsiTheme="majorBidi" w:cstheme="majorBidi"/>
          <w:color w:val="242424"/>
          <w:spacing w:val="-2"/>
          <w:sz w:val="17"/>
          <w:szCs w:val="17"/>
          <w:lang w:eastAsia="en-GB"/>
        </w:rPr>
        <w:t>Do</w:t>
      </w:r>
      <w:r w:rsidRPr="005F0A67">
        <w:rPr>
          <w:rFonts w:asciiTheme="majorBidi" w:eastAsia="Georgia" w:hAnsiTheme="majorBidi" w:cstheme="majorBidi"/>
          <w:color w:val="242424"/>
          <w:spacing w:val="-6"/>
          <w:sz w:val="17"/>
          <w:szCs w:val="17"/>
          <w:lang w:eastAsia="en-GB"/>
        </w:rPr>
        <w:t xml:space="preserve"> </w:t>
      </w:r>
      <w:r w:rsidRPr="005F0A67">
        <w:rPr>
          <w:rFonts w:asciiTheme="majorBidi" w:eastAsia="Georgia" w:hAnsiTheme="majorBidi" w:cstheme="majorBidi"/>
          <w:color w:val="242424"/>
          <w:spacing w:val="-2"/>
          <w:sz w:val="17"/>
          <w:szCs w:val="17"/>
          <w:lang w:eastAsia="en-GB"/>
        </w:rPr>
        <w:t>you</w:t>
      </w:r>
      <w:r w:rsidRPr="005F0A67">
        <w:rPr>
          <w:rFonts w:asciiTheme="majorBidi" w:eastAsia="Georgia" w:hAnsiTheme="majorBidi" w:cstheme="majorBidi"/>
          <w:color w:val="242424"/>
          <w:spacing w:val="-5"/>
          <w:sz w:val="17"/>
          <w:szCs w:val="17"/>
          <w:lang w:eastAsia="en-GB"/>
        </w:rPr>
        <w:t xml:space="preserve"> </w:t>
      </w:r>
      <w:r w:rsidRPr="005F0A67">
        <w:rPr>
          <w:rFonts w:asciiTheme="majorBidi" w:eastAsia="Georgia" w:hAnsiTheme="majorBidi" w:cstheme="majorBidi"/>
          <w:color w:val="242424"/>
          <w:spacing w:val="-2"/>
          <w:sz w:val="17"/>
          <w:szCs w:val="17"/>
          <w:lang w:eastAsia="en-GB"/>
        </w:rPr>
        <w:t>expect</w:t>
      </w:r>
      <w:r w:rsidRPr="005F0A67">
        <w:rPr>
          <w:rFonts w:asciiTheme="majorBidi" w:eastAsia="Georgia" w:hAnsiTheme="majorBidi" w:cstheme="majorBidi"/>
          <w:color w:val="242424"/>
          <w:spacing w:val="-5"/>
          <w:sz w:val="17"/>
          <w:szCs w:val="17"/>
          <w:lang w:eastAsia="en-GB"/>
        </w:rPr>
        <w:t xml:space="preserve"> </w:t>
      </w:r>
      <w:r w:rsidRPr="005F0A67">
        <w:rPr>
          <w:rFonts w:asciiTheme="majorBidi" w:eastAsia="Georgia" w:hAnsiTheme="majorBidi" w:cstheme="majorBidi"/>
          <w:color w:val="242424"/>
          <w:spacing w:val="-2"/>
          <w:sz w:val="17"/>
          <w:szCs w:val="17"/>
          <w:lang w:eastAsia="en-GB"/>
        </w:rPr>
        <w:t>your</w:t>
      </w:r>
      <w:r w:rsidRPr="005F0A67">
        <w:rPr>
          <w:rFonts w:asciiTheme="majorBidi" w:eastAsia="Georgia" w:hAnsiTheme="majorBidi" w:cstheme="majorBidi"/>
          <w:color w:val="242424"/>
          <w:spacing w:val="-5"/>
          <w:sz w:val="17"/>
          <w:szCs w:val="17"/>
          <w:lang w:eastAsia="en-GB"/>
        </w:rPr>
        <w:t xml:space="preserve"> </w:t>
      </w:r>
      <w:r w:rsidRPr="005F0A67">
        <w:rPr>
          <w:rFonts w:asciiTheme="majorBidi" w:eastAsia="Georgia" w:hAnsiTheme="majorBidi" w:cstheme="majorBidi"/>
          <w:b/>
          <w:bCs/>
          <w:color w:val="242424"/>
          <w:spacing w:val="-2"/>
          <w:sz w:val="17"/>
          <w:szCs w:val="17"/>
          <w:lang w:eastAsia="en-GB"/>
        </w:rPr>
        <w:t>suppliers</w:t>
      </w:r>
      <w:r w:rsidRPr="005F0A67">
        <w:rPr>
          <w:rFonts w:asciiTheme="majorBidi" w:eastAsia="Georgia" w:hAnsiTheme="majorBidi" w:cstheme="majorBidi"/>
          <w:b/>
          <w:bCs/>
          <w:color w:val="242424"/>
          <w:spacing w:val="-5"/>
          <w:sz w:val="17"/>
          <w:szCs w:val="17"/>
          <w:lang w:eastAsia="en-GB"/>
        </w:rPr>
        <w:t xml:space="preserve"> </w:t>
      </w:r>
      <w:r w:rsidRPr="005F0A67">
        <w:rPr>
          <w:rFonts w:asciiTheme="majorBidi" w:eastAsia="Georgia" w:hAnsiTheme="majorBidi" w:cstheme="majorBidi"/>
          <w:b/>
          <w:bCs/>
          <w:color w:val="242424"/>
          <w:spacing w:val="-2"/>
          <w:sz w:val="17"/>
          <w:szCs w:val="17"/>
          <w:lang w:eastAsia="en-GB"/>
        </w:rPr>
        <w:t>to</w:t>
      </w:r>
      <w:r w:rsidRPr="005F0A67">
        <w:rPr>
          <w:rFonts w:asciiTheme="majorBidi" w:eastAsia="Georgia" w:hAnsiTheme="majorBidi" w:cstheme="majorBidi"/>
          <w:b/>
          <w:bCs/>
          <w:color w:val="242424"/>
          <w:spacing w:val="-5"/>
          <w:sz w:val="17"/>
          <w:szCs w:val="17"/>
          <w:lang w:eastAsia="en-GB"/>
        </w:rPr>
        <w:t xml:space="preserve"> </w:t>
      </w:r>
      <w:r w:rsidRPr="005F0A67">
        <w:rPr>
          <w:rFonts w:asciiTheme="majorBidi" w:eastAsia="Georgia" w:hAnsiTheme="majorBidi" w:cstheme="majorBidi"/>
          <w:b/>
          <w:bCs/>
          <w:color w:val="242424"/>
          <w:spacing w:val="-2"/>
          <w:sz w:val="17"/>
          <w:szCs w:val="17"/>
          <w:lang w:eastAsia="en-GB"/>
        </w:rPr>
        <w:t>pass</w:t>
      </w:r>
      <w:r w:rsidRPr="005F0A67">
        <w:rPr>
          <w:rFonts w:asciiTheme="majorBidi" w:eastAsia="Georgia" w:hAnsiTheme="majorBidi" w:cstheme="majorBidi"/>
          <w:b/>
          <w:bCs/>
          <w:color w:val="242424"/>
          <w:spacing w:val="-5"/>
          <w:sz w:val="17"/>
          <w:szCs w:val="17"/>
          <w:lang w:eastAsia="en-GB"/>
        </w:rPr>
        <w:t xml:space="preserve"> </w:t>
      </w:r>
      <w:r w:rsidRPr="005F0A67">
        <w:rPr>
          <w:rFonts w:asciiTheme="majorBidi" w:eastAsia="Georgia" w:hAnsiTheme="majorBidi" w:cstheme="majorBidi"/>
          <w:b/>
          <w:bCs/>
          <w:color w:val="242424"/>
          <w:spacing w:val="-2"/>
          <w:sz w:val="17"/>
          <w:szCs w:val="17"/>
          <w:lang w:eastAsia="en-GB"/>
        </w:rPr>
        <w:t>on</w:t>
      </w:r>
      <w:r w:rsidRPr="005F0A67">
        <w:rPr>
          <w:rFonts w:asciiTheme="majorBidi" w:eastAsia="Georgia" w:hAnsiTheme="majorBidi" w:cstheme="majorBidi"/>
          <w:b/>
          <w:bCs/>
          <w:color w:val="242424"/>
          <w:spacing w:val="-6"/>
          <w:sz w:val="17"/>
          <w:szCs w:val="17"/>
          <w:lang w:eastAsia="en-GB"/>
        </w:rPr>
        <w:t xml:space="preserve"> </w:t>
      </w:r>
      <w:r w:rsidRPr="005F0A67">
        <w:rPr>
          <w:rFonts w:asciiTheme="majorBidi" w:eastAsia="Georgia" w:hAnsiTheme="majorBidi" w:cstheme="majorBidi"/>
          <w:b/>
          <w:bCs/>
          <w:color w:val="242424"/>
          <w:spacing w:val="-2"/>
          <w:sz w:val="17"/>
          <w:szCs w:val="17"/>
          <w:lang w:eastAsia="en-GB"/>
        </w:rPr>
        <w:t>DSI-related</w:t>
      </w:r>
      <w:r w:rsidRPr="005F0A67">
        <w:rPr>
          <w:rFonts w:asciiTheme="majorBidi" w:eastAsia="Georgia" w:hAnsiTheme="majorBidi" w:cstheme="majorBidi"/>
          <w:b/>
          <w:bCs/>
          <w:color w:val="242424"/>
          <w:spacing w:val="-5"/>
          <w:sz w:val="17"/>
          <w:szCs w:val="17"/>
          <w:lang w:eastAsia="en-GB"/>
        </w:rPr>
        <w:t xml:space="preserve"> </w:t>
      </w:r>
      <w:r w:rsidRPr="005F0A67">
        <w:rPr>
          <w:rFonts w:asciiTheme="majorBidi" w:eastAsia="Georgia" w:hAnsiTheme="majorBidi" w:cstheme="majorBidi"/>
          <w:b/>
          <w:bCs/>
          <w:color w:val="242424"/>
          <w:spacing w:val="-2"/>
          <w:sz w:val="17"/>
          <w:szCs w:val="17"/>
          <w:lang w:eastAsia="en-GB"/>
        </w:rPr>
        <w:t>cost</w:t>
      </w:r>
      <w:r w:rsidRPr="005F0A67">
        <w:rPr>
          <w:rFonts w:asciiTheme="majorBidi" w:eastAsia="Georgia" w:hAnsiTheme="majorBidi" w:cstheme="majorBidi"/>
          <w:b/>
          <w:bCs/>
          <w:color w:val="242424"/>
          <w:spacing w:val="-5"/>
          <w:sz w:val="17"/>
          <w:szCs w:val="17"/>
          <w:lang w:eastAsia="en-GB"/>
        </w:rPr>
        <w:t xml:space="preserve"> </w:t>
      </w:r>
      <w:r w:rsidRPr="005F0A67">
        <w:rPr>
          <w:rFonts w:asciiTheme="majorBidi" w:eastAsia="Georgia" w:hAnsiTheme="majorBidi" w:cstheme="majorBidi"/>
          <w:b/>
          <w:bCs/>
          <w:color w:val="242424"/>
          <w:spacing w:val="-2"/>
          <w:sz w:val="17"/>
          <w:szCs w:val="17"/>
          <w:lang w:eastAsia="en-GB"/>
        </w:rPr>
        <w:t>increases</w:t>
      </w:r>
      <w:r w:rsidRPr="005F0A67">
        <w:rPr>
          <w:rFonts w:asciiTheme="majorBidi" w:eastAsia="Georgia" w:hAnsiTheme="majorBidi" w:cstheme="majorBidi"/>
          <w:b/>
          <w:bCs/>
          <w:color w:val="242424"/>
          <w:spacing w:val="-5"/>
          <w:sz w:val="17"/>
          <w:szCs w:val="17"/>
          <w:lang w:eastAsia="en-GB"/>
        </w:rPr>
        <w:t xml:space="preserve"> </w:t>
      </w:r>
      <w:r w:rsidRPr="005F0A67">
        <w:rPr>
          <w:rFonts w:asciiTheme="majorBidi" w:eastAsia="Georgia" w:hAnsiTheme="majorBidi" w:cstheme="majorBidi"/>
          <w:color w:val="242424"/>
          <w:spacing w:val="-2"/>
          <w:sz w:val="17"/>
          <w:szCs w:val="17"/>
          <w:lang w:eastAsia="en-GB"/>
        </w:rPr>
        <w:t>to</w:t>
      </w:r>
      <w:r w:rsidRPr="005F0A67">
        <w:rPr>
          <w:rFonts w:asciiTheme="majorBidi" w:eastAsia="Georgia" w:hAnsiTheme="majorBidi" w:cstheme="majorBidi"/>
          <w:color w:val="242424"/>
          <w:spacing w:val="-5"/>
          <w:sz w:val="17"/>
          <w:szCs w:val="17"/>
          <w:lang w:eastAsia="en-GB"/>
        </w:rPr>
        <w:t xml:space="preserve"> </w:t>
      </w:r>
      <w:r w:rsidRPr="005F0A67">
        <w:rPr>
          <w:rFonts w:asciiTheme="majorBidi" w:eastAsia="Georgia" w:hAnsiTheme="majorBidi" w:cstheme="majorBidi"/>
          <w:color w:val="242424"/>
          <w:spacing w:val="-2"/>
          <w:sz w:val="17"/>
          <w:szCs w:val="17"/>
          <w:lang w:eastAsia="en-GB"/>
        </w:rPr>
        <w:t>you?</w:t>
      </w:r>
      <w:r w:rsidRPr="005F0A67">
        <w:rPr>
          <w:rFonts w:asciiTheme="majorBidi" w:eastAsia="Georgia" w:hAnsiTheme="majorBidi" w:cstheme="majorBidi"/>
          <w:color w:val="242424"/>
          <w:spacing w:val="-5"/>
          <w:sz w:val="17"/>
          <w:szCs w:val="17"/>
          <w:lang w:eastAsia="en-GB"/>
        </w:rPr>
        <w:t xml:space="preserve"> </w:t>
      </w:r>
      <w:r w:rsidRPr="005F0A67">
        <w:rPr>
          <w:rFonts w:asciiTheme="majorBidi" w:eastAsia="Georgia" w:hAnsiTheme="majorBidi" w:cstheme="majorBidi"/>
          <w:color w:val="AE1515"/>
          <w:spacing w:val="-10"/>
          <w:sz w:val="17"/>
          <w:szCs w:val="17"/>
          <w:lang w:eastAsia="en-GB"/>
        </w:rPr>
        <w:t>*</w:t>
      </w:r>
    </w:p>
    <w:p w14:paraId="423C26CF" w14:textId="77777777" w:rsidR="005F0A67" w:rsidRPr="005F0A67" w:rsidRDefault="005F0A67" w:rsidP="005F0A67">
      <w:pPr>
        <w:widowControl w:val="0"/>
        <w:tabs>
          <w:tab w:val="clear" w:pos="567"/>
          <w:tab w:val="clear" w:pos="1134"/>
          <w:tab w:val="clear" w:pos="1701"/>
          <w:tab w:val="clear" w:pos="2268"/>
        </w:tabs>
        <w:spacing w:before="123"/>
        <w:jc w:val="left"/>
        <w:rPr>
          <w:rFonts w:asciiTheme="majorBidi" w:eastAsia="Arial" w:hAnsiTheme="majorBidi" w:cstheme="majorBidi"/>
          <w:sz w:val="14"/>
          <w:szCs w:val="14"/>
          <w:lang w:val="en-US"/>
        </w:rPr>
      </w:pPr>
    </w:p>
    <w:p w14:paraId="18A9B702" w14:textId="77777777" w:rsidR="005F0A67" w:rsidRPr="005F0A67" w:rsidRDefault="005F0A67" w:rsidP="005F0A67">
      <w:pPr>
        <w:widowControl w:val="0"/>
        <w:tabs>
          <w:tab w:val="clear" w:pos="567"/>
          <w:tab w:val="clear" w:pos="1134"/>
          <w:tab w:val="clear" w:pos="1701"/>
          <w:tab w:val="clear" w:pos="2268"/>
        </w:tabs>
        <w:spacing w:line="600" w:lineRule="auto"/>
        <w:ind w:left="725" w:right="6749"/>
        <w:jc w:val="left"/>
        <w:rPr>
          <w:rFonts w:asciiTheme="majorBidi" w:eastAsia="Arial" w:hAnsiTheme="majorBidi" w:cstheme="majorBidi"/>
          <w:sz w:val="14"/>
          <w:szCs w:val="14"/>
          <w:lang w:val="en-US"/>
        </w:rPr>
      </w:pPr>
      <w:r w:rsidRPr="005F0A67">
        <w:rPr>
          <w:rFonts w:asciiTheme="majorBidi" w:eastAsia="Arial" w:hAnsiTheme="majorBidi" w:cstheme="majorBidi"/>
          <w:noProof/>
          <w:position w:val="-4"/>
          <w:sz w:val="14"/>
          <w:szCs w:val="14"/>
          <w:lang w:val="en-US"/>
        </w:rPr>
        <w:drawing>
          <wp:inline distT="0" distB="0" distL="0" distR="0" wp14:anchorId="3FC78D36" wp14:editId="658114BA">
            <wp:extent cx="127000" cy="127000"/>
            <wp:effectExtent l="0" t="0" r="0" b="0"/>
            <wp:docPr id="126" name="Image 1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6" name="Image 126"/>
                    <pic:cNvPicPr/>
                  </pic:nvPicPr>
                  <pic:blipFill>
                    <a:blip r:embed="rId37" cstate="print"/>
                    <a:stretch>
                      <a:fillRect/>
                    </a:stretch>
                  </pic:blipFill>
                  <pic:spPr>
                    <a:xfrm>
                      <a:off x="0" y="0"/>
                      <a:ext cx="127000" cy="127000"/>
                    </a:xfrm>
                    <a:prstGeom prst="rect">
                      <a:avLst/>
                    </a:prstGeom>
                  </pic:spPr>
                </pic:pic>
              </a:graphicData>
            </a:graphic>
          </wp:inline>
        </w:drawing>
      </w:r>
      <w:r w:rsidRPr="005F0A67">
        <w:rPr>
          <w:rFonts w:asciiTheme="majorBidi" w:eastAsia="Arial" w:hAnsiTheme="majorBidi" w:cstheme="majorBidi"/>
          <w:spacing w:val="80"/>
          <w:sz w:val="20"/>
          <w:szCs w:val="20"/>
          <w:lang w:val="en-US"/>
        </w:rPr>
        <w:t xml:space="preserve"> </w:t>
      </w:r>
      <w:r w:rsidRPr="005F0A67">
        <w:rPr>
          <w:rFonts w:asciiTheme="majorBidi" w:eastAsia="Arial" w:hAnsiTheme="majorBidi" w:cstheme="majorBidi"/>
          <w:color w:val="242424"/>
          <w:sz w:val="14"/>
          <w:szCs w:val="14"/>
          <w:lang w:val="en-US"/>
        </w:rPr>
        <w:t>Yes, likely</w:t>
      </w:r>
      <w:r w:rsidRPr="005F0A67">
        <w:rPr>
          <w:rFonts w:asciiTheme="majorBidi" w:eastAsia="Arial" w:hAnsiTheme="majorBidi" w:cstheme="majorBidi"/>
          <w:color w:val="242424"/>
          <w:spacing w:val="40"/>
          <w:sz w:val="14"/>
          <w:szCs w:val="14"/>
          <w:lang w:val="en-US"/>
        </w:rPr>
        <w:t xml:space="preserve"> </w:t>
      </w:r>
      <w:r w:rsidRPr="005F0A67">
        <w:rPr>
          <w:rFonts w:asciiTheme="majorBidi" w:eastAsia="Arial" w:hAnsiTheme="majorBidi" w:cstheme="majorBidi"/>
          <w:noProof/>
          <w:color w:val="242424"/>
          <w:position w:val="-4"/>
          <w:sz w:val="14"/>
          <w:szCs w:val="14"/>
          <w:lang w:val="en-US"/>
        </w:rPr>
        <w:drawing>
          <wp:inline distT="0" distB="0" distL="0" distR="0" wp14:anchorId="240501AF" wp14:editId="6F1E4F71">
            <wp:extent cx="127000" cy="127000"/>
            <wp:effectExtent l="0" t="0" r="0" b="0"/>
            <wp:docPr id="127" name="Image 1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7" name="Image 127"/>
                    <pic:cNvPicPr/>
                  </pic:nvPicPr>
                  <pic:blipFill>
                    <a:blip r:embed="rId39" cstate="print"/>
                    <a:stretch>
                      <a:fillRect/>
                    </a:stretch>
                  </pic:blipFill>
                  <pic:spPr>
                    <a:xfrm>
                      <a:off x="0" y="0"/>
                      <a:ext cx="127000" cy="127000"/>
                    </a:xfrm>
                    <a:prstGeom prst="rect">
                      <a:avLst/>
                    </a:prstGeom>
                  </pic:spPr>
                </pic:pic>
              </a:graphicData>
            </a:graphic>
          </wp:inline>
        </w:drawing>
      </w:r>
      <w:r w:rsidRPr="005F0A67">
        <w:rPr>
          <w:rFonts w:asciiTheme="majorBidi" w:eastAsia="Arial" w:hAnsiTheme="majorBidi" w:cstheme="majorBidi"/>
          <w:color w:val="242424"/>
          <w:spacing w:val="80"/>
          <w:sz w:val="14"/>
          <w:szCs w:val="14"/>
          <w:lang w:val="en-US"/>
        </w:rPr>
        <w:t xml:space="preserve"> </w:t>
      </w:r>
      <w:r w:rsidRPr="005F0A67">
        <w:rPr>
          <w:rFonts w:asciiTheme="majorBidi" w:eastAsia="Arial" w:hAnsiTheme="majorBidi" w:cstheme="majorBidi"/>
          <w:color w:val="242424"/>
          <w:sz w:val="14"/>
          <w:szCs w:val="14"/>
          <w:lang w:val="en-US"/>
        </w:rPr>
        <w:t>Possibly</w:t>
      </w:r>
      <w:r w:rsidRPr="005F0A67">
        <w:rPr>
          <w:rFonts w:asciiTheme="majorBidi" w:eastAsia="Arial" w:hAnsiTheme="majorBidi" w:cstheme="majorBidi"/>
          <w:color w:val="242424"/>
          <w:spacing w:val="40"/>
          <w:sz w:val="14"/>
          <w:szCs w:val="14"/>
          <w:lang w:val="en-US"/>
        </w:rPr>
        <w:t xml:space="preserve"> </w:t>
      </w:r>
      <w:r w:rsidRPr="005F0A67">
        <w:rPr>
          <w:rFonts w:asciiTheme="majorBidi" w:eastAsia="Arial" w:hAnsiTheme="majorBidi" w:cstheme="majorBidi"/>
          <w:noProof/>
          <w:color w:val="242424"/>
          <w:position w:val="-4"/>
          <w:sz w:val="14"/>
          <w:szCs w:val="14"/>
          <w:lang w:val="en-US"/>
        </w:rPr>
        <w:drawing>
          <wp:inline distT="0" distB="0" distL="0" distR="0" wp14:anchorId="78DA9D14" wp14:editId="75C9125B">
            <wp:extent cx="127000" cy="127000"/>
            <wp:effectExtent l="0" t="0" r="0" b="0"/>
            <wp:docPr id="128" name="Image 1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8" name="Image 128"/>
                    <pic:cNvPicPr/>
                  </pic:nvPicPr>
                  <pic:blipFill>
                    <a:blip r:embed="rId42" cstate="print"/>
                    <a:stretch>
                      <a:fillRect/>
                    </a:stretch>
                  </pic:blipFill>
                  <pic:spPr>
                    <a:xfrm>
                      <a:off x="0" y="0"/>
                      <a:ext cx="127000" cy="127000"/>
                    </a:xfrm>
                    <a:prstGeom prst="rect">
                      <a:avLst/>
                    </a:prstGeom>
                  </pic:spPr>
                </pic:pic>
              </a:graphicData>
            </a:graphic>
          </wp:inline>
        </w:drawing>
      </w:r>
      <w:r w:rsidRPr="005F0A67">
        <w:rPr>
          <w:rFonts w:asciiTheme="majorBidi" w:eastAsia="Arial" w:hAnsiTheme="majorBidi" w:cstheme="majorBidi"/>
          <w:color w:val="242424"/>
          <w:spacing w:val="80"/>
          <w:sz w:val="14"/>
          <w:szCs w:val="14"/>
          <w:lang w:val="en-US"/>
        </w:rPr>
        <w:t xml:space="preserve"> </w:t>
      </w:r>
      <w:r w:rsidRPr="005F0A67">
        <w:rPr>
          <w:rFonts w:asciiTheme="majorBidi" w:eastAsia="Arial" w:hAnsiTheme="majorBidi" w:cstheme="majorBidi"/>
          <w:color w:val="242424"/>
          <w:sz w:val="14"/>
          <w:szCs w:val="14"/>
          <w:lang w:val="en-US"/>
        </w:rPr>
        <w:t>Unlikely</w:t>
      </w:r>
      <w:r w:rsidRPr="005F0A67">
        <w:rPr>
          <w:rFonts w:asciiTheme="majorBidi" w:eastAsia="Arial" w:hAnsiTheme="majorBidi" w:cstheme="majorBidi"/>
          <w:color w:val="242424"/>
          <w:spacing w:val="80"/>
          <w:sz w:val="14"/>
          <w:szCs w:val="14"/>
          <w:lang w:val="en-US"/>
        </w:rPr>
        <w:t xml:space="preserve"> </w:t>
      </w:r>
      <w:r w:rsidRPr="005F0A67">
        <w:rPr>
          <w:rFonts w:asciiTheme="majorBidi" w:eastAsia="Arial" w:hAnsiTheme="majorBidi" w:cstheme="majorBidi"/>
          <w:noProof/>
          <w:color w:val="242424"/>
          <w:position w:val="-4"/>
          <w:sz w:val="14"/>
          <w:szCs w:val="14"/>
          <w:lang w:val="en-US"/>
        </w:rPr>
        <w:drawing>
          <wp:inline distT="0" distB="0" distL="0" distR="0" wp14:anchorId="3DD22445" wp14:editId="41C6449B">
            <wp:extent cx="127000" cy="127000"/>
            <wp:effectExtent l="0" t="0" r="0" b="0"/>
            <wp:docPr id="129" name="Image 1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9" name="Image 129"/>
                    <pic:cNvPicPr/>
                  </pic:nvPicPr>
                  <pic:blipFill>
                    <a:blip r:embed="rId37" cstate="print"/>
                    <a:stretch>
                      <a:fillRect/>
                    </a:stretch>
                  </pic:blipFill>
                  <pic:spPr>
                    <a:xfrm>
                      <a:off x="0" y="0"/>
                      <a:ext cx="127000" cy="127000"/>
                    </a:xfrm>
                    <a:prstGeom prst="rect">
                      <a:avLst/>
                    </a:prstGeom>
                  </pic:spPr>
                </pic:pic>
              </a:graphicData>
            </a:graphic>
          </wp:inline>
        </w:drawing>
      </w:r>
      <w:r w:rsidRPr="005F0A67">
        <w:rPr>
          <w:rFonts w:asciiTheme="majorBidi" w:eastAsia="Arial" w:hAnsiTheme="majorBidi" w:cstheme="majorBidi"/>
          <w:color w:val="242424"/>
          <w:spacing w:val="80"/>
          <w:sz w:val="14"/>
          <w:szCs w:val="14"/>
          <w:lang w:val="en-US"/>
        </w:rPr>
        <w:t xml:space="preserve"> </w:t>
      </w:r>
      <w:r w:rsidRPr="005F0A67">
        <w:rPr>
          <w:rFonts w:asciiTheme="majorBidi" w:eastAsia="Arial" w:hAnsiTheme="majorBidi" w:cstheme="majorBidi"/>
          <w:color w:val="242424"/>
          <w:sz w:val="14"/>
          <w:szCs w:val="14"/>
          <w:lang w:val="en-US"/>
        </w:rPr>
        <w:t>Don't</w:t>
      </w:r>
      <w:r w:rsidRPr="005F0A67">
        <w:rPr>
          <w:rFonts w:asciiTheme="majorBidi" w:eastAsia="Arial" w:hAnsiTheme="majorBidi" w:cstheme="majorBidi"/>
          <w:color w:val="242424"/>
          <w:spacing w:val="-6"/>
          <w:sz w:val="14"/>
          <w:szCs w:val="14"/>
          <w:lang w:val="en-US"/>
        </w:rPr>
        <w:t xml:space="preserve"> </w:t>
      </w:r>
      <w:r w:rsidRPr="005F0A67">
        <w:rPr>
          <w:rFonts w:asciiTheme="majorBidi" w:eastAsia="Arial" w:hAnsiTheme="majorBidi" w:cstheme="majorBidi"/>
          <w:color w:val="242424"/>
          <w:sz w:val="14"/>
          <w:szCs w:val="14"/>
          <w:lang w:val="en-US"/>
        </w:rPr>
        <w:t>know</w:t>
      </w:r>
    </w:p>
    <w:p w14:paraId="41DE791B" w14:textId="77777777" w:rsidR="005F0A67" w:rsidRPr="005F0A67" w:rsidRDefault="005F0A67" w:rsidP="003A387A">
      <w:pPr>
        <w:widowControl w:val="0"/>
        <w:numPr>
          <w:ilvl w:val="0"/>
          <w:numId w:val="44"/>
        </w:numPr>
        <w:tabs>
          <w:tab w:val="clear" w:pos="567"/>
          <w:tab w:val="clear" w:pos="1134"/>
          <w:tab w:val="clear" w:pos="1701"/>
          <w:tab w:val="clear" w:pos="2268"/>
          <w:tab w:val="left" w:pos="703"/>
          <w:tab w:val="left" w:pos="705"/>
        </w:tabs>
        <w:autoSpaceDE w:val="0"/>
        <w:autoSpaceDN w:val="0"/>
        <w:spacing w:before="97" w:line="271" w:lineRule="auto"/>
        <w:ind w:right="884" w:hanging="281"/>
        <w:jc w:val="left"/>
        <w:rPr>
          <w:rFonts w:asciiTheme="majorBidi" w:eastAsia="Georgia" w:hAnsiTheme="majorBidi" w:cstheme="majorBidi"/>
          <w:color w:val="1A1A1A"/>
          <w:sz w:val="17"/>
          <w:szCs w:val="17"/>
          <w:lang w:eastAsia="en-GB"/>
        </w:rPr>
      </w:pPr>
      <w:r w:rsidRPr="005F0A67">
        <w:rPr>
          <w:rFonts w:asciiTheme="majorBidi" w:eastAsia="Georgia" w:hAnsiTheme="majorBidi" w:cstheme="majorBidi"/>
          <w:color w:val="242424"/>
          <w:sz w:val="17"/>
          <w:szCs w:val="17"/>
          <w:lang w:eastAsia="en-GB"/>
        </w:rPr>
        <w:t xml:space="preserve">How would your organisation </w:t>
      </w:r>
      <w:r w:rsidRPr="005F0A67">
        <w:rPr>
          <w:rFonts w:asciiTheme="majorBidi" w:eastAsia="Georgia" w:hAnsiTheme="majorBidi" w:cstheme="majorBidi"/>
          <w:b/>
          <w:bCs/>
          <w:color w:val="242424"/>
          <w:sz w:val="17"/>
          <w:szCs w:val="17"/>
          <w:lang w:eastAsia="en-GB"/>
        </w:rPr>
        <w:t>respond to a potential increase in DSI-related operational costs?</w:t>
      </w:r>
      <w:r w:rsidRPr="005F0A67">
        <w:rPr>
          <w:rFonts w:asciiTheme="majorBidi" w:eastAsia="Georgia" w:hAnsiTheme="majorBidi" w:cstheme="majorBidi"/>
          <w:b/>
          <w:bCs/>
          <w:color w:val="242424"/>
          <w:spacing w:val="-5"/>
          <w:sz w:val="17"/>
          <w:szCs w:val="17"/>
          <w:lang w:eastAsia="en-GB"/>
        </w:rPr>
        <w:t xml:space="preserve"> </w:t>
      </w:r>
      <w:r w:rsidRPr="005F0A67">
        <w:rPr>
          <w:rFonts w:asciiTheme="majorBidi" w:eastAsia="Georgia" w:hAnsiTheme="majorBidi" w:cstheme="majorBidi"/>
          <w:color w:val="242424"/>
          <w:sz w:val="17"/>
          <w:szCs w:val="17"/>
          <w:lang w:eastAsia="en-GB"/>
        </w:rPr>
        <w:t>For</w:t>
      </w:r>
      <w:r w:rsidRPr="005F0A67">
        <w:rPr>
          <w:rFonts w:asciiTheme="majorBidi" w:eastAsia="Georgia" w:hAnsiTheme="majorBidi" w:cstheme="majorBidi"/>
          <w:color w:val="242424"/>
          <w:spacing w:val="-5"/>
          <w:sz w:val="17"/>
          <w:szCs w:val="17"/>
          <w:lang w:eastAsia="en-GB"/>
        </w:rPr>
        <w:t xml:space="preserve"> </w:t>
      </w:r>
      <w:r w:rsidRPr="005F0A67">
        <w:rPr>
          <w:rFonts w:asciiTheme="majorBidi" w:eastAsia="Georgia" w:hAnsiTheme="majorBidi" w:cstheme="majorBidi"/>
          <w:color w:val="242424"/>
          <w:sz w:val="17"/>
          <w:szCs w:val="17"/>
          <w:lang w:eastAsia="en-GB"/>
        </w:rPr>
        <w:t>each</w:t>
      </w:r>
      <w:r w:rsidRPr="005F0A67">
        <w:rPr>
          <w:rFonts w:asciiTheme="majorBidi" w:eastAsia="Georgia" w:hAnsiTheme="majorBidi" w:cstheme="majorBidi"/>
          <w:color w:val="242424"/>
          <w:spacing w:val="-5"/>
          <w:sz w:val="17"/>
          <w:szCs w:val="17"/>
          <w:lang w:eastAsia="en-GB"/>
        </w:rPr>
        <w:t xml:space="preserve"> </w:t>
      </w:r>
      <w:r w:rsidRPr="005F0A67">
        <w:rPr>
          <w:rFonts w:asciiTheme="majorBidi" w:eastAsia="Georgia" w:hAnsiTheme="majorBidi" w:cstheme="majorBidi"/>
          <w:color w:val="242424"/>
          <w:sz w:val="17"/>
          <w:szCs w:val="17"/>
          <w:lang w:eastAsia="en-GB"/>
        </w:rPr>
        <w:t>row,</w:t>
      </w:r>
      <w:r w:rsidRPr="005F0A67">
        <w:rPr>
          <w:rFonts w:asciiTheme="majorBidi" w:eastAsia="Georgia" w:hAnsiTheme="majorBidi" w:cstheme="majorBidi"/>
          <w:color w:val="242424"/>
          <w:spacing w:val="-5"/>
          <w:sz w:val="17"/>
          <w:szCs w:val="17"/>
          <w:lang w:eastAsia="en-GB"/>
        </w:rPr>
        <w:t xml:space="preserve"> </w:t>
      </w:r>
      <w:r w:rsidRPr="005F0A67">
        <w:rPr>
          <w:rFonts w:asciiTheme="majorBidi" w:eastAsia="Georgia" w:hAnsiTheme="majorBidi" w:cstheme="majorBidi"/>
          <w:b/>
          <w:bCs/>
          <w:color w:val="0C8729"/>
          <w:sz w:val="17"/>
          <w:szCs w:val="17"/>
          <w:lang w:eastAsia="en-GB"/>
        </w:rPr>
        <w:t>select</w:t>
      </w:r>
      <w:r w:rsidRPr="005F0A67">
        <w:rPr>
          <w:rFonts w:asciiTheme="majorBidi" w:eastAsia="Georgia" w:hAnsiTheme="majorBidi" w:cstheme="majorBidi"/>
          <w:b/>
          <w:bCs/>
          <w:color w:val="0C8729"/>
          <w:spacing w:val="-5"/>
          <w:sz w:val="17"/>
          <w:szCs w:val="17"/>
          <w:lang w:eastAsia="en-GB"/>
        </w:rPr>
        <w:t xml:space="preserve"> </w:t>
      </w:r>
      <w:r w:rsidRPr="005F0A67">
        <w:rPr>
          <w:rFonts w:asciiTheme="majorBidi" w:eastAsia="Georgia" w:hAnsiTheme="majorBidi" w:cstheme="majorBidi"/>
          <w:b/>
          <w:bCs/>
          <w:color w:val="0C8729"/>
          <w:sz w:val="17"/>
          <w:szCs w:val="17"/>
          <w:lang w:eastAsia="en-GB"/>
        </w:rPr>
        <w:t>the</w:t>
      </w:r>
      <w:r w:rsidRPr="005F0A67">
        <w:rPr>
          <w:rFonts w:asciiTheme="majorBidi" w:eastAsia="Georgia" w:hAnsiTheme="majorBidi" w:cstheme="majorBidi"/>
          <w:b/>
          <w:bCs/>
          <w:color w:val="0C8729"/>
          <w:spacing w:val="-5"/>
          <w:sz w:val="17"/>
          <w:szCs w:val="17"/>
          <w:lang w:eastAsia="en-GB"/>
        </w:rPr>
        <w:t xml:space="preserve"> </w:t>
      </w:r>
      <w:r w:rsidRPr="005F0A67">
        <w:rPr>
          <w:rFonts w:asciiTheme="majorBidi" w:eastAsia="Georgia" w:hAnsiTheme="majorBidi" w:cstheme="majorBidi"/>
          <w:b/>
          <w:bCs/>
          <w:color w:val="0C8729"/>
          <w:sz w:val="17"/>
          <w:szCs w:val="17"/>
          <w:lang w:eastAsia="en-GB"/>
        </w:rPr>
        <w:t>lowest</w:t>
      </w:r>
      <w:r w:rsidRPr="005F0A67">
        <w:rPr>
          <w:rFonts w:asciiTheme="majorBidi" w:eastAsia="Georgia" w:hAnsiTheme="majorBidi" w:cstheme="majorBidi"/>
          <w:b/>
          <w:bCs/>
          <w:color w:val="0C8729"/>
          <w:spacing w:val="-5"/>
          <w:sz w:val="17"/>
          <w:szCs w:val="17"/>
          <w:lang w:eastAsia="en-GB"/>
        </w:rPr>
        <w:t xml:space="preserve"> </w:t>
      </w:r>
      <w:r w:rsidRPr="005F0A67">
        <w:rPr>
          <w:rFonts w:asciiTheme="majorBidi" w:eastAsia="Georgia" w:hAnsiTheme="majorBidi" w:cstheme="majorBidi"/>
          <w:b/>
          <w:bCs/>
          <w:color w:val="0C8729"/>
          <w:sz w:val="17"/>
          <w:szCs w:val="17"/>
          <w:lang w:eastAsia="en-GB"/>
        </w:rPr>
        <w:t>DSI-related</w:t>
      </w:r>
      <w:r w:rsidRPr="005F0A67">
        <w:rPr>
          <w:rFonts w:asciiTheme="majorBidi" w:eastAsia="Georgia" w:hAnsiTheme="majorBidi" w:cstheme="majorBidi"/>
          <w:b/>
          <w:bCs/>
          <w:color w:val="0C8729"/>
          <w:spacing w:val="-5"/>
          <w:sz w:val="17"/>
          <w:szCs w:val="17"/>
          <w:lang w:eastAsia="en-GB"/>
        </w:rPr>
        <w:t xml:space="preserve"> </w:t>
      </w:r>
      <w:r w:rsidRPr="005F0A67">
        <w:rPr>
          <w:rFonts w:asciiTheme="majorBidi" w:eastAsia="Georgia" w:hAnsiTheme="majorBidi" w:cstheme="majorBidi"/>
          <w:b/>
          <w:bCs/>
          <w:color w:val="0C8729"/>
          <w:sz w:val="17"/>
          <w:szCs w:val="17"/>
          <w:lang w:eastAsia="en-GB"/>
        </w:rPr>
        <w:t>cost</w:t>
      </w:r>
      <w:r w:rsidRPr="005F0A67">
        <w:rPr>
          <w:rFonts w:asciiTheme="majorBidi" w:eastAsia="Georgia" w:hAnsiTheme="majorBidi" w:cstheme="majorBidi"/>
          <w:b/>
          <w:bCs/>
          <w:color w:val="0C8729"/>
          <w:spacing w:val="-5"/>
          <w:sz w:val="17"/>
          <w:szCs w:val="17"/>
          <w:lang w:eastAsia="en-GB"/>
        </w:rPr>
        <w:t xml:space="preserve"> </w:t>
      </w:r>
      <w:r w:rsidRPr="005F0A67">
        <w:rPr>
          <w:rFonts w:asciiTheme="majorBidi" w:eastAsia="Georgia" w:hAnsiTheme="majorBidi" w:cstheme="majorBidi"/>
          <w:b/>
          <w:bCs/>
          <w:color w:val="0C8729"/>
          <w:sz w:val="17"/>
          <w:szCs w:val="17"/>
          <w:lang w:eastAsia="en-GB"/>
        </w:rPr>
        <w:t>increase</w:t>
      </w:r>
      <w:r w:rsidRPr="005F0A67">
        <w:rPr>
          <w:rFonts w:asciiTheme="majorBidi" w:eastAsia="Georgia" w:hAnsiTheme="majorBidi" w:cstheme="majorBidi"/>
          <w:b/>
          <w:bCs/>
          <w:color w:val="0C8729"/>
          <w:spacing w:val="-5"/>
          <w:sz w:val="17"/>
          <w:szCs w:val="17"/>
          <w:lang w:eastAsia="en-GB"/>
        </w:rPr>
        <w:t xml:space="preserve"> </w:t>
      </w:r>
      <w:r w:rsidRPr="005F0A67">
        <w:rPr>
          <w:rFonts w:asciiTheme="majorBidi" w:eastAsia="Georgia" w:hAnsiTheme="majorBidi" w:cstheme="majorBidi"/>
          <w:b/>
          <w:bCs/>
          <w:color w:val="0C8729"/>
          <w:sz w:val="17"/>
          <w:szCs w:val="17"/>
          <w:lang w:eastAsia="en-GB"/>
        </w:rPr>
        <w:t>which</w:t>
      </w:r>
      <w:r w:rsidRPr="005F0A67">
        <w:rPr>
          <w:rFonts w:asciiTheme="majorBidi" w:eastAsia="Georgia" w:hAnsiTheme="majorBidi" w:cstheme="majorBidi"/>
          <w:b/>
          <w:bCs/>
          <w:color w:val="0C8729"/>
          <w:spacing w:val="-5"/>
          <w:sz w:val="17"/>
          <w:szCs w:val="17"/>
          <w:lang w:eastAsia="en-GB"/>
        </w:rPr>
        <w:t xml:space="preserve"> </w:t>
      </w:r>
      <w:r w:rsidRPr="005F0A67">
        <w:rPr>
          <w:rFonts w:asciiTheme="majorBidi" w:eastAsia="Georgia" w:hAnsiTheme="majorBidi" w:cstheme="majorBidi"/>
          <w:b/>
          <w:bCs/>
          <w:color w:val="0C8729"/>
          <w:sz w:val="17"/>
          <w:szCs w:val="17"/>
          <w:lang w:eastAsia="en-GB"/>
        </w:rPr>
        <w:t>would</w:t>
      </w:r>
      <w:r w:rsidRPr="005F0A67">
        <w:rPr>
          <w:rFonts w:asciiTheme="majorBidi" w:eastAsia="Georgia" w:hAnsiTheme="majorBidi" w:cstheme="majorBidi"/>
          <w:b/>
          <w:bCs/>
          <w:color w:val="0C8729"/>
          <w:spacing w:val="-5"/>
          <w:sz w:val="17"/>
          <w:szCs w:val="17"/>
          <w:lang w:eastAsia="en-GB"/>
        </w:rPr>
        <w:t xml:space="preserve"> </w:t>
      </w:r>
      <w:r w:rsidRPr="005F0A67">
        <w:rPr>
          <w:rFonts w:asciiTheme="majorBidi" w:eastAsia="Georgia" w:hAnsiTheme="majorBidi" w:cstheme="majorBidi"/>
          <w:b/>
          <w:bCs/>
          <w:color w:val="0C8729"/>
          <w:sz w:val="17"/>
          <w:szCs w:val="17"/>
          <w:lang w:eastAsia="en-GB"/>
        </w:rPr>
        <w:t>trigger</w:t>
      </w:r>
      <w:r w:rsidRPr="005F0A67">
        <w:rPr>
          <w:rFonts w:asciiTheme="majorBidi" w:eastAsia="Georgia" w:hAnsiTheme="majorBidi" w:cstheme="majorBidi"/>
          <w:b/>
          <w:bCs/>
          <w:color w:val="0C8729"/>
          <w:spacing w:val="-5"/>
          <w:sz w:val="17"/>
          <w:szCs w:val="17"/>
          <w:lang w:eastAsia="en-GB"/>
        </w:rPr>
        <w:t xml:space="preserve"> </w:t>
      </w:r>
      <w:r w:rsidRPr="005F0A67">
        <w:rPr>
          <w:rFonts w:asciiTheme="majorBidi" w:eastAsia="Georgia" w:hAnsiTheme="majorBidi" w:cstheme="majorBidi"/>
          <w:b/>
          <w:bCs/>
          <w:color w:val="0C8729"/>
          <w:sz w:val="17"/>
          <w:szCs w:val="17"/>
          <w:lang w:eastAsia="en-GB"/>
        </w:rPr>
        <w:t>a given</w:t>
      </w:r>
      <w:r w:rsidRPr="005F0A67">
        <w:rPr>
          <w:rFonts w:asciiTheme="majorBidi" w:eastAsia="Georgia" w:hAnsiTheme="majorBidi" w:cstheme="majorBidi"/>
          <w:b/>
          <w:bCs/>
          <w:color w:val="0C8729"/>
          <w:spacing w:val="-7"/>
          <w:sz w:val="17"/>
          <w:szCs w:val="17"/>
          <w:lang w:eastAsia="en-GB"/>
        </w:rPr>
        <w:t xml:space="preserve"> </w:t>
      </w:r>
      <w:r w:rsidRPr="005F0A67">
        <w:rPr>
          <w:rFonts w:asciiTheme="majorBidi" w:eastAsia="Georgia" w:hAnsiTheme="majorBidi" w:cstheme="majorBidi"/>
          <w:b/>
          <w:bCs/>
          <w:color w:val="0C8729"/>
          <w:sz w:val="17"/>
          <w:szCs w:val="17"/>
          <w:lang w:eastAsia="en-GB"/>
        </w:rPr>
        <w:t>response</w:t>
      </w:r>
      <w:r w:rsidRPr="005F0A67">
        <w:rPr>
          <w:rFonts w:asciiTheme="majorBidi" w:eastAsia="Georgia" w:hAnsiTheme="majorBidi" w:cstheme="majorBidi"/>
          <w:color w:val="242424"/>
          <w:sz w:val="17"/>
          <w:szCs w:val="17"/>
          <w:lang w:eastAsia="en-GB"/>
        </w:rPr>
        <w:t>.</w:t>
      </w:r>
      <w:r w:rsidRPr="005F0A67">
        <w:rPr>
          <w:rFonts w:asciiTheme="majorBidi" w:eastAsia="Georgia" w:hAnsiTheme="majorBidi" w:cstheme="majorBidi"/>
          <w:color w:val="242424"/>
          <w:spacing w:val="-7"/>
          <w:sz w:val="17"/>
          <w:szCs w:val="17"/>
          <w:lang w:eastAsia="en-GB"/>
        </w:rPr>
        <w:t xml:space="preserve"> </w:t>
      </w:r>
      <w:r w:rsidRPr="005F0A67">
        <w:rPr>
          <w:rFonts w:asciiTheme="majorBidi" w:eastAsia="Georgia" w:hAnsiTheme="majorBidi" w:cstheme="majorBidi"/>
          <w:color w:val="242424"/>
          <w:sz w:val="17"/>
          <w:szCs w:val="17"/>
          <w:lang w:eastAsia="en-GB"/>
        </w:rPr>
        <w:t>Select</w:t>
      </w:r>
      <w:r w:rsidRPr="005F0A67">
        <w:rPr>
          <w:rFonts w:asciiTheme="majorBidi" w:eastAsia="Georgia" w:hAnsiTheme="majorBidi" w:cstheme="majorBidi"/>
          <w:color w:val="242424"/>
          <w:spacing w:val="-7"/>
          <w:sz w:val="17"/>
          <w:szCs w:val="17"/>
          <w:lang w:eastAsia="en-GB"/>
        </w:rPr>
        <w:t xml:space="preserve"> </w:t>
      </w:r>
      <w:r w:rsidRPr="005F0A67">
        <w:rPr>
          <w:rFonts w:asciiTheme="majorBidi" w:eastAsia="Georgia" w:hAnsiTheme="majorBidi" w:cstheme="majorBidi"/>
          <w:color w:val="242424"/>
          <w:sz w:val="17"/>
          <w:szCs w:val="17"/>
          <w:lang w:eastAsia="en-GB"/>
        </w:rPr>
        <w:t>one</w:t>
      </w:r>
      <w:r w:rsidRPr="005F0A67">
        <w:rPr>
          <w:rFonts w:asciiTheme="majorBidi" w:eastAsia="Georgia" w:hAnsiTheme="majorBidi" w:cstheme="majorBidi"/>
          <w:color w:val="242424"/>
          <w:spacing w:val="-7"/>
          <w:sz w:val="17"/>
          <w:szCs w:val="17"/>
          <w:lang w:eastAsia="en-GB"/>
        </w:rPr>
        <w:t xml:space="preserve"> </w:t>
      </w:r>
      <w:r w:rsidRPr="005F0A67">
        <w:rPr>
          <w:rFonts w:asciiTheme="majorBidi" w:eastAsia="Georgia" w:hAnsiTheme="majorBidi" w:cstheme="majorBidi"/>
          <w:color w:val="242424"/>
          <w:sz w:val="17"/>
          <w:szCs w:val="17"/>
          <w:lang w:eastAsia="en-GB"/>
        </w:rPr>
        <w:t>column</w:t>
      </w:r>
      <w:r w:rsidRPr="005F0A67">
        <w:rPr>
          <w:rFonts w:asciiTheme="majorBidi" w:eastAsia="Georgia" w:hAnsiTheme="majorBidi" w:cstheme="majorBidi"/>
          <w:color w:val="242424"/>
          <w:spacing w:val="-7"/>
          <w:sz w:val="17"/>
          <w:szCs w:val="17"/>
          <w:lang w:eastAsia="en-GB"/>
        </w:rPr>
        <w:t xml:space="preserve"> </w:t>
      </w:r>
      <w:r w:rsidRPr="005F0A67">
        <w:rPr>
          <w:rFonts w:asciiTheme="majorBidi" w:eastAsia="Georgia" w:hAnsiTheme="majorBidi" w:cstheme="majorBidi"/>
          <w:color w:val="242424"/>
          <w:sz w:val="17"/>
          <w:szCs w:val="17"/>
          <w:lang w:eastAsia="en-GB"/>
        </w:rPr>
        <w:t>for</w:t>
      </w:r>
      <w:r w:rsidRPr="005F0A67">
        <w:rPr>
          <w:rFonts w:asciiTheme="majorBidi" w:eastAsia="Georgia" w:hAnsiTheme="majorBidi" w:cstheme="majorBidi"/>
          <w:color w:val="242424"/>
          <w:spacing w:val="-7"/>
          <w:sz w:val="17"/>
          <w:szCs w:val="17"/>
          <w:lang w:eastAsia="en-GB"/>
        </w:rPr>
        <w:t xml:space="preserve"> </w:t>
      </w:r>
      <w:r w:rsidRPr="005F0A67">
        <w:rPr>
          <w:rFonts w:asciiTheme="majorBidi" w:eastAsia="Georgia" w:hAnsiTheme="majorBidi" w:cstheme="majorBidi"/>
          <w:color w:val="242424"/>
          <w:sz w:val="17"/>
          <w:szCs w:val="17"/>
          <w:lang w:eastAsia="en-GB"/>
        </w:rPr>
        <w:t>each</w:t>
      </w:r>
      <w:r w:rsidRPr="005F0A67">
        <w:rPr>
          <w:rFonts w:asciiTheme="majorBidi" w:eastAsia="Georgia" w:hAnsiTheme="majorBidi" w:cstheme="majorBidi"/>
          <w:color w:val="242424"/>
          <w:spacing w:val="-7"/>
          <w:sz w:val="17"/>
          <w:szCs w:val="17"/>
          <w:lang w:eastAsia="en-GB"/>
        </w:rPr>
        <w:t xml:space="preserve"> </w:t>
      </w:r>
      <w:r w:rsidRPr="005F0A67">
        <w:rPr>
          <w:rFonts w:asciiTheme="majorBidi" w:eastAsia="Georgia" w:hAnsiTheme="majorBidi" w:cstheme="majorBidi"/>
          <w:color w:val="242424"/>
          <w:sz w:val="17"/>
          <w:szCs w:val="17"/>
          <w:lang w:eastAsia="en-GB"/>
        </w:rPr>
        <w:t>row,</w:t>
      </w:r>
      <w:r w:rsidRPr="005F0A67">
        <w:rPr>
          <w:rFonts w:asciiTheme="majorBidi" w:eastAsia="Georgia" w:hAnsiTheme="majorBidi" w:cstheme="majorBidi"/>
          <w:color w:val="242424"/>
          <w:spacing w:val="-7"/>
          <w:sz w:val="17"/>
          <w:szCs w:val="17"/>
          <w:lang w:eastAsia="en-GB"/>
        </w:rPr>
        <w:t xml:space="preserve"> </w:t>
      </w:r>
      <w:r w:rsidRPr="005F0A67">
        <w:rPr>
          <w:rFonts w:asciiTheme="majorBidi" w:eastAsia="Georgia" w:hAnsiTheme="majorBidi" w:cstheme="majorBidi"/>
          <w:color w:val="242424"/>
          <w:sz w:val="17"/>
          <w:szCs w:val="17"/>
          <w:lang w:eastAsia="en-GB"/>
        </w:rPr>
        <w:t>incl.</w:t>
      </w:r>
      <w:r w:rsidRPr="005F0A67">
        <w:rPr>
          <w:rFonts w:asciiTheme="majorBidi" w:eastAsia="Georgia" w:hAnsiTheme="majorBidi" w:cstheme="majorBidi"/>
          <w:color w:val="242424"/>
          <w:spacing w:val="-7"/>
          <w:sz w:val="17"/>
          <w:szCs w:val="17"/>
          <w:lang w:eastAsia="en-GB"/>
        </w:rPr>
        <w:t xml:space="preserve"> </w:t>
      </w:r>
      <w:r w:rsidRPr="005F0A67">
        <w:rPr>
          <w:rFonts w:asciiTheme="majorBidi" w:eastAsia="Georgia" w:hAnsiTheme="majorBidi" w:cstheme="majorBidi"/>
          <w:color w:val="242424"/>
          <w:sz w:val="17"/>
          <w:szCs w:val="17"/>
          <w:lang w:eastAsia="en-GB"/>
        </w:rPr>
        <w:t>'Not</w:t>
      </w:r>
      <w:r w:rsidRPr="005F0A67">
        <w:rPr>
          <w:rFonts w:asciiTheme="majorBidi" w:eastAsia="Georgia" w:hAnsiTheme="majorBidi" w:cstheme="majorBidi"/>
          <w:color w:val="242424"/>
          <w:spacing w:val="-7"/>
          <w:sz w:val="17"/>
          <w:szCs w:val="17"/>
          <w:lang w:eastAsia="en-GB"/>
        </w:rPr>
        <w:t xml:space="preserve"> </w:t>
      </w:r>
      <w:r w:rsidRPr="005F0A67">
        <w:rPr>
          <w:rFonts w:asciiTheme="majorBidi" w:eastAsia="Georgia" w:hAnsiTheme="majorBidi" w:cstheme="majorBidi"/>
          <w:color w:val="242424"/>
          <w:sz w:val="17"/>
          <w:szCs w:val="17"/>
          <w:lang w:eastAsia="en-GB"/>
        </w:rPr>
        <w:t>applicable'</w:t>
      </w:r>
      <w:r w:rsidRPr="005F0A67">
        <w:rPr>
          <w:rFonts w:asciiTheme="majorBidi" w:eastAsia="Georgia" w:hAnsiTheme="majorBidi" w:cstheme="majorBidi"/>
          <w:color w:val="242424"/>
          <w:spacing w:val="-7"/>
          <w:sz w:val="17"/>
          <w:szCs w:val="17"/>
          <w:lang w:eastAsia="en-GB"/>
        </w:rPr>
        <w:t xml:space="preserve"> </w:t>
      </w:r>
      <w:r w:rsidRPr="005F0A67">
        <w:rPr>
          <w:rFonts w:asciiTheme="majorBidi" w:eastAsia="Georgia" w:hAnsiTheme="majorBidi" w:cstheme="majorBidi"/>
          <w:color w:val="242424"/>
          <w:sz w:val="17"/>
          <w:szCs w:val="17"/>
          <w:lang w:eastAsia="en-GB"/>
        </w:rPr>
        <w:t>if</w:t>
      </w:r>
      <w:r w:rsidRPr="005F0A67">
        <w:rPr>
          <w:rFonts w:asciiTheme="majorBidi" w:eastAsia="Georgia" w:hAnsiTheme="majorBidi" w:cstheme="majorBidi"/>
          <w:color w:val="242424"/>
          <w:spacing w:val="-7"/>
          <w:sz w:val="17"/>
          <w:szCs w:val="17"/>
          <w:lang w:eastAsia="en-GB"/>
        </w:rPr>
        <w:t xml:space="preserve"> </w:t>
      </w:r>
      <w:r w:rsidRPr="005F0A67">
        <w:rPr>
          <w:rFonts w:asciiTheme="majorBidi" w:eastAsia="Georgia" w:hAnsiTheme="majorBidi" w:cstheme="majorBidi"/>
          <w:color w:val="242424"/>
          <w:sz w:val="17"/>
          <w:szCs w:val="17"/>
          <w:lang w:eastAsia="en-GB"/>
        </w:rPr>
        <w:t>you</w:t>
      </w:r>
      <w:r w:rsidRPr="005F0A67">
        <w:rPr>
          <w:rFonts w:asciiTheme="majorBidi" w:eastAsia="Georgia" w:hAnsiTheme="majorBidi" w:cstheme="majorBidi"/>
          <w:color w:val="242424"/>
          <w:spacing w:val="-7"/>
          <w:sz w:val="17"/>
          <w:szCs w:val="17"/>
          <w:lang w:eastAsia="en-GB"/>
        </w:rPr>
        <w:t xml:space="preserve"> </w:t>
      </w:r>
      <w:r w:rsidRPr="005F0A67">
        <w:rPr>
          <w:rFonts w:asciiTheme="majorBidi" w:eastAsia="Georgia" w:hAnsiTheme="majorBidi" w:cstheme="majorBidi"/>
          <w:color w:val="242424"/>
          <w:sz w:val="17"/>
          <w:szCs w:val="17"/>
          <w:lang w:eastAsia="en-GB"/>
        </w:rPr>
        <w:t>do</w:t>
      </w:r>
      <w:r w:rsidRPr="005F0A67">
        <w:rPr>
          <w:rFonts w:asciiTheme="majorBidi" w:eastAsia="Georgia" w:hAnsiTheme="majorBidi" w:cstheme="majorBidi"/>
          <w:color w:val="242424"/>
          <w:spacing w:val="-7"/>
          <w:sz w:val="17"/>
          <w:szCs w:val="17"/>
          <w:lang w:eastAsia="en-GB"/>
        </w:rPr>
        <w:t xml:space="preserve"> </w:t>
      </w:r>
      <w:r w:rsidRPr="005F0A67">
        <w:rPr>
          <w:rFonts w:asciiTheme="majorBidi" w:eastAsia="Georgia" w:hAnsiTheme="majorBidi" w:cstheme="majorBidi"/>
          <w:color w:val="242424"/>
          <w:sz w:val="17"/>
          <w:szCs w:val="17"/>
          <w:lang w:eastAsia="en-GB"/>
        </w:rPr>
        <w:t>not</w:t>
      </w:r>
      <w:r w:rsidRPr="005F0A67">
        <w:rPr>
          <w:rFonts w:asciiTheme="majorBidi" w:eastAsia="Georgia" w:hAnsiTheme="majorBidi" w:cstheme="majorBidi"/>
          <w:color w:val="242424"/>
          <w:spacing w:val="-7"/>
          <w:sz w:val="17"/>
          <w:szCs w:val="17"/>
          <w:lang w:eastAsia="en-GB"/>
        </w:rPr>
        <w:t xml:space="preserve"> </w:t>
      </w:r>
      <w:r w:rsidRPr="005F0A67">
        <w:rPr>
          <w:rFonts w:asciiTheme="majorBidi" w:eastAsia="Georgia" w:hAnsiTheme="majorBidi" w:cstheme="majorBidi"/>
          <w:color w:val="242424"/>
          <w:sz w:val="17"/>
          <w:szCs w:val="17"/>
          <w:lang w:eastAsia="en-GB"/>
        </w:rPr>
        <w:t>expect</w:t>
      </w:r>
      <w:r w:rsidRPr="005F0A67">
        <w:rPr>
          <w:rFonts w:asciiTheme="majorBidi" w:eastAsia="Georgia" w:hAnsiTheme="majorBidi" w:cstheme="majorBidi"/>
          <w:color w:val="242424"/>
          <w:spacing w:val="-7"/>
          <w:sz w:val="17"/>
          <w:szCs w:val="17"/>
          <w:lang w:eastAsia="en-GB"/>
        </w:rPr>
        <w:t xml:space="preserve"> </w:t>
      </w:r>
      <w:r w:rsidRPr="005F0A67">
        <w:rPr>
          <w:rFonts w:asciiTheme="majorBidi" w:eastAsia="Georgia" w:hAnsiTheme="majorBidi" w:cstheme="majorBidi"/>
          <w:color w:val="242424"/>
          <w:sz w:val="17"/>
          <w:szCs w:val="17"/>
          <w:lang w:eastAsia="en-GB"/>
        </w:rPr>
        <w:t>a given response to a DSI-related cost increase.</w:t>
      </w:r>
      <w:r w:rsidRPr="005F0A67">
        <w:rPr>
          <w:rFonts w:asciiTheme="majorBidi" w:eastAsia="Georgia" w:hAnsiTheme="majorBidi" w:cstheme="majorBidi"/>
          <w:color w:val="242424"/>
          <w:spacing w:val="40"/>
          <w:sz w:val="17"/>
          <w:szCs w:val="17"/>
          <w:lang w:eastAsia="en-GB"/>
        </w:rPr>
        <w:t xml:space="preserve"> </w:t>
      </w:r>
      <w:r w:rsidRPr="005F0A67">
        <w:rPr>
          <w:rFonts w:asciiTheme="majorBidi" w:eastAsia="Georgia" w:hAnsiTheme="majorBidi" w:cstheme="majorBidi"/>
          <w:color w:val="AE1515"/>
          <w:sz w:val="17"/>
          <w:szCs w:val="17"/>
          <w:lang w:eastAsia="en-GB"/>
        </w:rPr>
        <w:t>*</w:t>
      </w:r>
    </w:p>
    <w:p w14:paraId="0ED8CF30" w14:textId="77777777" w:rsidR="005F0A67" w:rsidRPr="005F0A67" w:rsidRDefault="005F0A67" w:rsidP="005F0A67">
      <w:pPr>
        <w:widowControl w:val="0"/>
        <w:tabs>
          <w:tab w:val="clear" w:pos="567"/>
          <w:tab w:val="clear" w:pos="1134"/>
          <w:tab w:val="clear" w:pos="1701"/>
          <w:tab w:val="clear" w:pos="2268"/>
        </w:tabs>
        <w:spacing w:before="9"/>
        <w:jc w:val="left"/>
        <w:rPr>
          <w:rFonts w:asciiTheme="majorBidi" w:eastAsia="Arial" w:hAnsiTheme="majorBidi" w:cstheme="majorBidi"/>
          <w:sz w:val="17"/>
          <w:szCs w:val="17"/>
          <w:lang w:val="en-US"/>
        </w:rPr>
      </w:pPr>
    </w:p>
    <w:p w14:paraId="2E9117C4" w14:textId="77777777" w:rsidR="005F0A67" w:rsidRPr="005F0A67" w:rsidRDefault="005F0A67" w:rsidP="005F0A67">
      <w:pPr>
        <w:widowControl w:val="0"/>
        <w:tabs>
          <w:tab w:val="clear" w:pos="567"/>
          <w:tab w:val="clear" w:pos="1134"/>
          <w:tab w:val="clear" w:pos="1701"/>
          <w:tab w:val="clear" w:pos="2268"/>
        </w:tabs>
        <w:jc w:val="left"/>
        <w:rPr>
          <w:rFonts w:asciiTheme="majorBidi" w:eastAsia="Arial" w:hAnsiTheme="majorBidi" w:cstheme="majorBidi"/>
          <w:sz w:val="17"/>
          <w:szCs w:val="17"/>
          <w:lang w:val="en-US"/>
        </w:rPr>
        <w:sectPr w:rsidR="005F0A67" w:rsidRPr="005F0A67" w:rsidSect="005F0A67">
          <w:pgSz w:w="11900" w:h="16840"/>
          <w:pgMar w:top="880" w:right="1700" w:bottom="280" w:left="1700" w:header="720" w:footer="720" w:gutter="0"/>
          <w:cols w:space="720"/>
        </w:sectPr>
      </w:pPr>
    </w:p>
    <w:p w14:paraId="0F497DF1" w14:textId="77777777" w:rsidR="005F0A67" w:rsidRPr="005F0A67" w:rsidRDefault="005F0A67" w:rsidP="005F0A67">
      <w:pPr>
        <w:widowControl w:val="0"/>
        <w:tabs>
          <w:tab w:val="clear" w:pos="567"/>
          <w:tab w:val="clear" w:pos="1134"/>
          <w:tab w:val="clear" w:pos="1701"/>
          <w:tab w:val="clear" w:pos="2268"/>
          <w:tab w:val="left" w:pos="3006"/>
        </w:tabs>
        <w:spacing w:before="120"/>
        <w:ind w:left="1874"/>
        <w:jc w:val="left"/>
        <w:rPr>
          <w:rFonts w:asciiTheme="majorBidi" w:eastAsia="Arial" w:hAnsiTheme="majorBidi" w:cstheme="majorBidi"/>
          <w:position w:val="10"/>
          <w:sz w:val="14"/>
          <w:szCs w:val="14"/>
          <w:lang w:val="en-US"/>
        </w:rPr>
      </w:pPr>
      <w:r w:rsidRPr="005F0A67">
        <w:rPr>
          <w:rFonts w:asciiTheme="majorBidi" w:eastAsia="Arial" w:hAnsiTheme="majorBidi" w:cstheme="majorBidi"/>
          <w:noProof/>
          <w:position w:val="10"/>
          <w:sz w:val="14"/>
          <w:szCs w:val="14"/>
          <w:lang w:val="en-US"/>
        </w:rPr>
        <mc:AlternateContent>
          <mc:Choice Requires="wps">
            <w:drawing>
              <wp:anchor distT="0" distB="0" distL="0" distR="0" simplePos="0" relativeHeight="251658366" behindDoc="1" locked="0" layoutInCell="1" allowOverlap="1" wp14:anchorId="6E42CA78" wp14:editId="135E4778">
                <wp:simplePos x="0" y="0"/>
                <wp:positionH relativeFrom="page">
                  <wp:posOffset>3121719</wp:posOffset>
                </wp:positionH>
                <wp:positionV relativeFrom="paragraph">
                  <wp:posOffset>165398</wp:posOffset>
                </wp:positionV>
                <wp:extent cx="195580" cy="118745"/>
                <wp:effectExtent l="0" t="0" r="0" b="0"/>
                <wp:wrapNone/>
                <wp:docPr id="130" name="Textbox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5580" cy="118745"/>
                        </a:xfrm>
                        <a:prstGeom prst="rect">
                          <a:avLst/>
                        </a:prstGeom>
                      </wps:spPr>
                      <wps:txbx>
                        <w:txbxContent>
                          <w:p w14:paraId="6ECB7AFC" w14:textId="77777777" w:rsidR="005F0A67" w:rsidRDefault="005F0A67" w:rsidP="005F0A67">
                            <w:pPr>
                              <w:pStyle w:val="BodyText"/>
                              <w:spacing w:before="19"/>
                            </w:pPr>
                            <w:r>
                              <w:rPr>
                                <w:color w:val="242424"/>
                                <w:spacing w:val="-4"/>
                                <w:w w:val="90"/>
                              </w:rPr>
                              <w:t>15%)</w:t>
                            </w:r>
                          </w:p>
                        </w:txbxContent>
                      </wps:txbx>
                      <wps:bodyPr wrap="square" lIns="0" tIns="0" rIns="0" bIns="0" rtlCol="0">
                        <a:noAutofit/>
                      </wps:bodyPr>
                    </wps:wsp>
                  </a:graphicData>
                </a:graphic>
              </wp:anchor>
            </w:drawing>
          </mc:Choice>
          <mc:Fallback>
            <w:pict>
              <v:shape w14:anchorId="6E42CA78" id="Textbox 130" o:spid="_x0000_s1030" type="#_x0000_t202" style="position:absolute;left:0;text-align:left;margin-left:245.8pt;margin-top:13pt;width:15.4pt;height:9.35pt;z-index:-25165811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" filled="f" stroked="f">
                <v:textbox inset="0,0,0,0">
                  <w:txbxContent>
                    <w:p w14:paraId="6ECB7AFC" w14:textId="77777777" w:rsidR="005F0A67" w:rsidRDefault="005F0A67" w:rsidP="005F0A67">
                      <w:pPr>
                        <w:pStyle w:val="BodyText"/>
                        <w:spacing w:before="19"/>
                      </w:pPr>
                      <w:r>
                        <w:rPr>
                          <w:color w:val="242424"/>
                          <w:spacing w:val="-4"/>
                          <w:w w:val="90"/>
                        </w:rPr>
                        <w:t>15%)</w:t>
                      </w:r>
                    </w:p>
                  </w:txbxContent>
                </v:textbox>
                <w10:wrap anchorx="page"/>
              </v:shape>
            </w:pict>
          </mc:Fallback>
        </mc:AlternateContent>
      </w:r>
      <w:r w:rsidRPr="005F0A67">
        <w:rPr>
          <w:rFonts w:asciiTheme="majorBidi" w:eastAsia="Arial" w:hAnsiTheme="majorBidi" w:cstheme="majorBidi"/>
          <w:color w:val="242424"/>
          <w:spacing w:val="-2"/>
          <w:sz w:val="14"/>
          <w:szCs w:val="14"/>
          <w:lang w:val="en-US"/>
        </w:rPr>
        <w:t>Small</w:t>
      </w:r>
      <w:r w:rsidRPr="005F0A67">
        <w:rPr>
          <w:rFonts w:asciiTheme="majorBidi" w:eastAsia="Arial" w:hAnsiTheme="majorBidi" w:cstheme="majorBidi"/>
          <w:color w:val="242424"/>
          <w:spacing w:val="21"/>
          <w:sz w:val="14"/>
          <w:szCs w:val="14"/>
          <w:lang w:val="en-US"/>
        </w:rPr>
        <w:t xml:space="preserve"> </w:t>
      </w:r>
      <w:r w:rsidRPr="005F0A67">
        <w:rPr>
          <w:rFonts w:asciiTheme="majorBidi" w:eastAsia="Arial" w:hAnsiTheme="majorBidi" w:cstheme="majorBidi"/>
          <w:color w:val="242424"/>
          <w:spacing w:val="-2"/>
          <w:sz w:val="14"/>
          <w:szCs w:val="14"/>
          <w:lang w:val="en-US"/>
        </w:rPr>
        <w:t>(1%-</w:t>
      </w:r>
      <w:r w:rsidRPr="005F0A67">
        <w:rPr>
          <w:rFonts w:asciiTheme="majorBidi" w:eastAsia="Arial" w:hAnsiTheme="majorBidi" w:cstheme="majorBidi"/>
          <w:color w:val="242424"/>
          <w:spacing w:val="-5"/>
          <w:sz w:val="14"/>
          <w:szCs w:val="14"/>
          <w:lang w:val="en-US"/>
        </w:rPr>
        <w:t>5%)</w:t>
      </w:r>
      <w:r w:rsidRPr="005F0A67">
        <w:rPr>
          <w:rFonts w:asciiTheme="majorBidi" w:eastAsia="Arial" w:hAnsiTheme="majorBidi" w:cstheme="majorBidi"/>
          <w:color w:val="242424"/>
          <w:sz w:val="14"/>
          <w:szCs w:val="14"/>
          <w:lang w:val="en-US"/>
        </w:rPr>
        <w:tab/>
      </w:r>
      <w:r w:rsidRPr="005F0A67">
        <w:rPr>
          <w:rFonts w:asciiTheme="majorBidi" w:eastAsia="Arial" w:hAnsiTheme="majorBidi" w:cstheme="majorBidi"/>
          <w:color w:val="242424"/>
          <w:position w:val="10"/>
          <w:sz w:val="14"/>
          <w:szCs w:val="14"/>
          <w:lang w:val="en-US"/>
        </w:rPr>
        <w:t>Medium</w:t>
      </w:r>
      <w:r w:rsidRPr="005F0A67">
        <w:rPr>
          <w:rFonts w:asciiTheme="majorBidi" w:eastAsia="Arial" w:hAnsiTheme="majorBidi" w:cstheme="majorBidi"/>
          <w:color w:val="242424"/>
          <w:spacing w:val="13"/>
          <w:position w:val="10"/>
          <w:sz w:val="14"/>
          <w:szCs w:val="14"/>
          <w:lang w:val="en-US"/>
        </w:rPr>
        <w:t xml:space="preserve"> </w:t>
      </w:r>
      <w:r w:rsidRPr="005F0A67">
        <w:rPr>
          <w:rFonts w:asciiTheme="majorBidi" w:eastAsia="Arial" w:hAnsiTheme="majorBidi" w:cstheme="majorBidi"/>
          <w:color w:val="242424"/>
          <w:spacing w:val="-5"/>
          <w:position w:val="10"/>
          <w:sz w:val="14"/>
          <w:szCs w:val="14"/>
          <w:lang w:val="en-US"/>
        </w:rPr>
        <w:t>(5-</w:t>
      </w:r>
    </w:p>
    <w:p w14:paraId="117141D2" w14:textId="77777777" w:rsidR="005F0A67" w:rsidRPr="005F0A67" w:rsidRDefault="005F0A67" w:rsidP="005F0A67">
      <w:pPr>
        <w:widowControl w:val="0"/>
        <w:tabs>
          <w:tab w:val="clear" w:pos="567"/>
          <w:tab w:val="clear" w:pos="1134"/>
          <w:tab w:val="clear" w:pos="1701"/>
          <w:tab w:val="clear" w:pos="2268"/>
          <w:tab w:val="left" w:pos="1305"/>
          <w:tab w:val="left" w:pos="2297"/>
        </w:tabs>
        <w:spacing w:before="120"/>
        <w:ind w:left="195"/>
        <w:jc w:val="left"/>
        <w:rPr>
          <w:rFonts w:asciiTheme="majorBidi" w:eastAsia="Arial" w:hAnsiTheme="majorBidi" w:cstheme="majorBidi"/>
          <w:position w:val="10"/>
          <w:sz w:val="14"/>
          <w:szCs w:val="14"/>
          <w:lang w:val="en-US"/>
        </w:rPr>
      </w:pPr>
      <w:r w:rsidRPr="005F0A67">
        <w:rPr>
          <w:rFonts w:asciiTheme="majorBidi" w:eastAsia="Arial" w:hAnsiTheme="majorBidi" w:cstheme="majorBidi"/>
          <w:sz w:val="14"/>
          <w:szCs w:val="14"/>
          <w:lang w:val="en-US"/>
        </w:rPr>
        <w:br w:type="column"/>
      </w:r>
      <w:r w:rsidRPr="005F0A67">
        <w:rPr>
          <w:rFonts w:asciiTheme="majorBidi" w:eastAsia="Arial" w:hAnsiTheme="majorBidi" w:cstheme="majorBidi"/>
          <w:color w:val="242424"/>
          <w:spacing w:val="-4"/>
          <w:sz w:val="14"/>
          <w:szCs w:val="14"/>
          <w:lang w:val="en-US"/>
        </w:rPr>
        <w:t>Large</w:t>
      </w:r>
      <w:r w:rsidRPr="005F0A67">
        <w:rPr>
          <w:rFonts w:asciiTheme="majorBidi" w:eastAsia="Arial" w:hAnsiTheme="majorBidi" w:cstheme="majorBidi"/>
          <w:color w:val="242424"/>
          <w:spacing w:val="-3"/>
          <w:sz w:val="14"/>
          <w:szCs w:val="14"/>
          <w:lang w:val="en-US"/>
        </w:rPr>
        <w:t xml:space="preserve"> </w:t>
      </w:r>
      <w:r w:rsidRPr="005F0A67">
        <w:rPr>
          <w:rFonts w:asciiTheme="majorBidi" w:eastAsia="Arial" w:hAnsiTheme="majorBidi" w:cstheme="majorBidi"/>
          <w:color w:val="242424"/>
          <w:spacing w:val="-2"/>
          <w:sz w:val="14"/>
          <w:szCs w:val="14"/>
          <w:lang w:val="en-US"/>
        </w:rPr>
        <w:t>(15%+)</w:t>
      </w:r>
      <w:r w:rsidRPr="005F0A67">
        <w:rPr>
          <w:rFonts w:asciiTheme="majorBidi" w:eastAsia="Arial" w:hAnsiTheme="majorBidi" w:cstheme="majorBidi"/>
          <w:color w:val="242424"/>
          <w:sz w:val="14"/>
          <w:szCs w:val="14"/>
          <w:lang w:val="en-US"/>
        </w:rPr>
        <w:tab/>
        <w:t>Don't</w:t>
      </w:r>
      <w:r w:rsidRPr="005F0A67">
        <w:rPr>
          <w:rFonts w:asciiTheme="majorBidi" w:eastAsia="Arial" w:hAnsiTheme="majorBidi" w:cstheme="majorBidi"/>
          <w:color w:val="242424"/>
          <w:spacing w:val="7"/>
          <w:sz w:val="14"/>
          <w:szCs w:val="14"/>
          <w:lang w:val="en-US"/>
        </w:rPr>
        <w:t xml:space="preserve"> </w:t>
      </w:r>
      <w:r w:rsidRPr="005F0A67">
        <w:rPr>
          <w:rFonts w:asciiTheme="majorBidi" w:eastAsia="Arial" w:hAnsiTheme="majorBidi" w:cstheme="majorBidi"/>
          <w:color w:val="242424"/>
          <w:spacing w:val="-4"/>
          <w:sz w:val="14"/>
          <w:szCs w:val="14"/>
          <w:lang w:val="en-US"/>
        </w:rPr>
        <w:t>know</w:t>
      </w:r>
      <w:r w:rsidRPr="005F0A67">
        <w:rPr>
          <w:rFonts w:asciiTheme="majorBidi" w:eastAsia="Arial" w:hAnsiTheme="majorBidi" w:cstheme="majorBidi"/>
          <w:color w:val="242424"/>
          <w:sz w:val="14"/>
          <w:szCs w:val="14"/>
          <w:lang w:val="en-US"/>
        </w:rPr>
        <w:tab/>
      </w:r>
      <w:r w:rsidRPr="005F0A67">
        <w:rPr>
          <w:rFonts w:asciiTheme="majorBidi" w:eastAsia="Arial" w:hAnsiTheme="majorBidi" w:cstheme="majorBidi"/>
          <w:color w:val="242424"/>
          <w:position w:val="10"/>
          <w:sz w:val="14"/>
          <w:szCs w:val="14"/>
          <w:lang w:val="en-US"/>
        </w:rPr>
        <w:t>Prefer</w:t>
      </w:r>
      <w:r w:rsidRPr="005F0A67">
        <w:rPr>
          <w:rFonts w:asciiTheme="majorBidi" w:eastAsia="Arial" w:hAnsiTheme="majorBidi" w:cstheme="majorBidi"/>
          <w:color w:val="242424"/>
          <w:spacing w:val="-4"/>
          <w:position w:val="10"/>
          <w:sz w:val="14"/>
          <w:szCs w:val="14"/>
          <w:lang w:val="en-US"/>
        </w:rPr>
        <w:t xml:space="preserve"> </w:t>
      </w:r>
      <w:r w:rsidRPr="005F0A67">
        <w:rPr>
          <w:rFonts w:asciiTheme="majorBidi" w:eastAsia="Arial" w:hAnsiTheme="majorBidi" w:cstheme="majorBidi"/>
          <w:color w:val="242424"/>
          <w:position w:val="10"/>
          <w:sz w:val="14"/>
          <w:szCs w:val="14"/>
          <w:lang w:val="en-US"/>
        </w:rPr>
        <w:t>not</w:t>
      </w:r>
      <w:r w:rsidRPr="005F0A67">
        <w:rPr>
          <w:rFonts w:asciiTheme="majorBidi" w:eastAsia="Arial" w:hAnsiTheme="majorBidi" w:cstheme="majorBidi"/>
          <w:color w:val="242424"/>
          <w:spacing w:val="-3"/>
          <w:position w:val="10"/>
          <w:sz w:val="14"/>
          <w:szCs w:val="14"/>
          <w:lang w:val="en-US"/>
        </w:rPr>
        <w:t xml:space="preserve"> </w:t>
      </w:r>
      <w:r w:rsidRPr="005F0A67">
        <w:rPr>
          <w:rFonts w:asciiTheme="majorBidi" w:eastAsia="Arial" w:hAnsiTheme="majorBidi" w:cstheme="majorBidi"/>
          <w:color w:val="242424"/>
          <w:spacing w:val="-5"/>
          <w:position w:val="10"/>
          <w:sz w:val="14"/>
          <w:szCs w:val="14"/>
          <w:lang w:val="en-US"/>
        </w:rPr>
        <w:t>to</w:t>
      </w:r>
    </w:p>
    <w:p w14:paraId="40F6E2C4" w14:textId="77777777" w:rsidR="005F0A67" w:rsidRPr="005F0A67" w:rsidRDefault="005F0A67" w:rsidP="005F0A67">
      <w:pPr>
        <w:widowControl w:val="0"/>
        <w:tabs>
          <w:tab w:val="clear" w:pos="567"/>
          <w:tab w:val="clear" w:pos="1134"/>
          <w:tab w:val="clear" w:pos="1701"/>
          <w:tab w:val="clear" w:pos="2268"/>
        </w:tabs>
        <w:spacing w:before="59"/>
        <w:jc w:val="left"/>
        <w:rPr>
          <w:rFonts w:asciiTheme="majorBidi" w:eastAsia="Arial" w:hAnsiTheme="majorBidi" w:cstheme="majorBidi"/>
          <w:sz w:val="14"/>
          <w:szCs w:val="14"/>
          <w:lang w:val="en-US"/>
        </w:rPr>
      </w:pPr>
      <w:r w:rsidRPr="005F0A67">
        <w:rPr>
          <w:rFonts w:asciiTheme="majorBidi" w:eastAsia="Arial" w:hAnsiTheme="majorBidi" w:cstheme="majorBidi"/>
          <w:sz w:val="14"/>
          <w:szCs w:val="14"/>
          <w:lang w:val="en-US"/>
        </w:rPr>
        <w:br w:type="column"/>
      </w:r>
    </w:p>
    <w:p w14:paraId="5A664BFF" w14:textId="77777777" w:rsidR="005F0A67" w:rsidRPr="005F0A67" w:rsidRDefault="005F0A67" w:rsidP="005F0A67">
      <w:pPr>
        <w:widowControl w:val="0"/>
        <w:tabs>
          <w:tab w:val="clear" w:pos="567"/>
          <w:tab w:val="clear" w:pos="1134"/>
          <w:tab w:val="clear" w:pos="1701"/>
          <w:tab w:val="clear" w:pos="2268"/>
        </w:tabs>
        <w:ind w:left="150"/>
        <w:jc w:val="left"/>
        <w:rPr>
          <w:rFonts w:asciiTheme="majorBidi" w:eastAsia="Arial" w:hAnsiTheme="majorBidi" w:cstheme="majorBidi"/>
          <w:sz w:val="14"/>
          <w:szCs w:val="14"/>
          <w:lang w:val="en-US"/>
        </w:rPr>
      </w:pPr>
      <w:r w:rsidRPr="005F0A67">
        <w:rPr>
          <w:rFonts w:asciiTheme="majorBidi" w:eastAsia="Arial" w:hAnsiTheme="majorBidi" w:cstheme="majorBidi"/>
          <w:color w:val="242424"/>
          <w:sz w:val="14"/>
          <w:szCs w:val="14"/>
          <w:lang w:val="en-US"/>
        </w:rPr>
        <w:t>Not</w:t>
      </w:r>
      <w:r w:rsidRPr="005F0A67">
        <w:rPr>
          <w:rFonts w:asciiTheme="majorBidi" w:eastAsia="Arial" w:hAnsiTheme="majorBidi" w:cstheme="majorBidi"/>
          <w:color w:val="242424"/>
          <w:spacing w:val="14"/>
          <w:sz w:val="14"/>
          <w:szCs w:val="14"/>
          <w:lang w:val="en-US"/>
        </w:rPr>
        <w:t xml:space="preserve"> </w:t>
      </w:r>
      <w:r w:rsidRPr="005F0A67">
        <w:rPr>
          <w:rFonts w:asciiTheme="majorBidi" w:eastAsia="Arial" w:hAnsiTheme="majorBidi" w:cstheme="majorBidi"/>
          <w:color w:val="242424"/>
          <w:spacing w:val="-2"/>
          <w:sz w:val="14"/>
          <w:szCs w:val="14"/>
          <w:lang w:val="en-US"/>
        </w:rPr>
        <w:t>applicable</w:t>
      </w:r>
    </w:p>
    <w:p w14:paraId="217E6AD4" w14:textId="77777777" w:rsidR="005F0A67" w:rsidRPr="005F0A67" w:rsidRDefault="005F0A67" w:rsidP="005F0A67">
      <w:pPr>
        <w:widowControl w:val="0"/>
        <w:tabs>
          <w:tab w:val="clear" w:pos="567"/>
          <w:tab w:val="clear" w:pos="1134"/>
          <w:tab w:val="clear" w:pos="1701"/>
          <w:tab w:val="clear" w:pos="2268"/>
        </w:tabs>
        <w:jc w:val="left"/>
        <w:rPr>
          <w:rFonts w:asciiTheme="majorBidi" w:eastAsia="Arial" w:hAnsiTheme="majorBidi" w:cstheme="majorBidi"/>
          <w:sz w:val="14"/>
          <w:szCs w:val="14"/>
          <w:lang w:val="en-US"/>
        </w:rPr>
        <w:sectPr w:rsidR="005F0A67" w:rsidRPr="005F0A67" w:rsidSect="005F0A67">
          <w:type w:val="continuous"/>
          <w:pgSz w:w="11900" w:h="16840"/>
          <w:pgMar w:top="1360" w:right="1700" w:bottom="280" w:left="1700" w:header="720" w:footer="720" w:gutter="0"/>
          <w:cols w:num="3" w:space="720" w:equalWidth="0">
            <w:col w:w="3734" w:space="40"/>
            <w:col w:w="3076" w:space="39"/>
            <w:col w:w="1611"/>
          </w:cols>
        </w:sectPr>
      </w:pPr>
    </w:p>
    <w:p w14:paraId="09D4FDCB" w14:textId="77777777" w:rsidR="005F0A67" w:rsidRPr="005F0A67" w:rsidRDefault="005F0A67" w:rsidP="005F0A67">
      <w:pPr>
        <w:widowControl w:val="0"/>
        <w:tabs>
          <w:tab w:val="clear" w:pos="567"/>
          <w:tab w:val="clear" w:pos="1134"/>
          <w:tab w:val="clear" w:pos="1701"/>
          <w:tab w:val="clear" w:pos="2268"/>
        </w:tabs>
        <w:jc w:val="left"/>
        <w:rPr>
          <w:rFonts w:asciiTheme="majorBidi" w:eastAsia="Arial" w:hAnsiTheme="majorBidi" w:cstheme="majorBidi"/>
          <w:sz w:val="14"/>
          <w:szCs w:val="14"/>
          <w:lang w:val="en-US"/>
        </w:rPr>
      </w:pPr>
    </w:p>
    <w:p w14:paraId="4B18FFC1" w14:textId="77777777" w:rsidR="005F0A67" w:rsidRPr="005F0A67" w:rsidRDefault="005F0A67" w:rsidP="005F0A67">
      <w:pPr>
        <w:widowControl w:val="0"/>
        <w:tabs>
          <w:tab w:val="clear" w:pos="567"/>
          <w:tab w:val="clear" w:pos="1134"/>
          <w:tab w:val="clear" w:pos="1701"/>
          <w:tab w:val="clear" w:pos="2268"/>
        </w:tabs>
        <w:spacing w:before="17"/>
        <w:jc w:val="left"/>
        <w:rPr>
          <w:rFonts w:asciiTheme="majorBidi" w:eastAsia="Arial" w:hAnsiTheme="majorBidi" w:cstheme="majorBidi"/>
          <w:sz w:val="14"/>
          <w:szCs w:val="14"/>
          <w:lang w:val="en-US"/>
        </w:rPr>
      </w:pPr>
    </w:p>
    <w:p w14:paraId="191872FF" w14:textId="77777777" w:rsidR="005F0A67" w:rsidRPr="005F0A67" w:rsidRDefault="005F0A67" w:rsidP="005F0A67">
      <w:pPr>
        <w:widowControl w:val="0"/>
        <w:tabs>
          <w:tab w:val="clear" w:pos="567"/>
          <w:tab w:val="clear" w:pos="1134"/>
          <w:tab w:val="clear" w:pos="1701"/>
          <w:tab w:val="clear" w:pos="2268"/>
        </w:tabs>
        <w:ind w:left="825" w:right="6842"/>
        <w:jc w:val="left"/>
        <w:rPr>
          <w:rFonts w:asciiTheme="majorBidi" w:eastAsia="Arial" w:hAnsiTheme="majorBidi" w:cstheme="majorBidi"/>
          <w:sz w:val="14"/>
          <w:szCs w:val="14"/>
          <w:lang w:val="en-US"/>
        </w:rPr>
      </w:pPr>
      <w:r w:rsidRPr="005F0A67">
        <w:rPr>
          <w:rFonts w:asciiTheme="majorBidi" w:eastAsia="Arial" w:hAnsiTheme="majorBidi" w:cstheme="majorBidi"/>
          <w:noProof/>
          <w:sz w:val="14"/>
          <w:szCs w:val="14"/>
          <w:lang w:val="en-US"/>
        </w:rPr>
        <w:drawing>
          <wp:anchor distT="0" distB="0" distL="0" distR="0" simplePos="0" relativeHeight="251658285" behindDoc="0" locked="0" layoutInCell="1" allowOverlap="1" wp14:anchorId="22E89366" wp14:editId="4F6B6A80">
            <wp:simplePos x="0" y="0"/>
            <wp:positionH relativeFrom="page">
              <wp:posOffset>2505075</wp:posOffset>
            </wp:positionH>
            <wp:positionV relativeFrom="paragraph">
              <wp:posOffset>108956</wp:posOffset>
            </wp:positionV>
            <wp:extent cx="127000" cy="127000"/>
            <wp:effectExtent l="0" t="0" r="0" b="0"/>
            <wp:wrapNone/>
            <wp:docPr id="131" name="Image 1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1" name="Image 131"/>
                    <pic:cNvPicPr/>
                  </pic:nvPicPr>
                  <pic:blipFill>
                    <a:blip r:embed="rId53" cstate="print"/>
                    <a:stretch>
                      <a:fillRect/>
                    </a:stretch>
                  </pic:blipFill>
                  <pic:spPr>
                    <a:xfrm>
                      <a:off x="0" y="0"/>
                      <a:ext cx="127000" cy="127000"/>
                    </a:xfrm>
                    <a:prstGeom prst="rect">
                      <a:avLst/>
                    </a:prstGeom>
                  </pic:spPr>
                </pic:pic>
              </a:graphicData>
            </a:graphic>
          </wp:anchor>
        </w:drawing>
      </w:r>
      <w:r w:rsidRPr="005F0A67">
        <w:rPr>
          <w:rFonts w:asciiTheme="majorBidi" w:eastAsia="Arial" w:hAnsiTheme="majorBidi" w:cstheme="majorBidi"/>
          <w:noProof/>
          <w:sz w:val="14"/>
          <w:szCs w:val="14"/>
          <w:lang w:val="en-US"/>
        </w:rPr>
        <w:drawing>
          <wp:anchor distT="0" distB="0" distL="0" distR="0" simplePos="0" relativeHeight="251658286" behindDoc="0" locked="0" layoutInCell="1" allowOverlap="1" wp14:anchorId="66E17E0C" wp14:editId="73AD927C">
            <wp:simplePos x="0" y="0"/>
            <wp:positionH relativeFrom="page">
              <wp:posOffset>3159125</wp:posOffset>
            </wp:positionH>
            <wp:positionV relativeFrom="paragraph">
              <wp:posOffset>108956</wp:posOffset>
            </wp:positionV>
            <wp:extent cx="127000" cy="127000"/>
            <wp:effectExtent l="0" t="0" r="0" b="0"/>
            <wp:wrapNone/>
            <wp:docPr id="132" name="Image 1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2" name="Image 132"/>
                    <pic:cNvPicPr/>
                  </pic:nvPicPr>
                  <pic:blipFill>
                    <a:blip r:embed="rId53" cstate="print"/>
                    <a:stretch>
                      <a:fillRect/>
                    </a:stretch>
                  </pic:blipFill>
                  <pic:spPr>
                    <a:xfrm>
                      <a:off x="0" y="0"/>
                      <a:ext cx="127000" cy="127000"/>
                    </a:xfrm>
                    <a:prstGeom prst="rect">
                      <a:avLst/>
                    </a:prstGeom>
                  </pic:spPr>
                </pic:pic>
              </a:graphicData>
            </a:graphic>
          </wp:anchor>
        </w:drawing>
      </w:r>
      <w:r w:rsidRPr="005F0A67">
        <w:rPr>
          <w:rFonts w:asciiTheme="majorBidi" w:eastAsia="Arial" w:hAnsiTheme="majorBidi" w:cstheme="majorBidi"/>
          <w:noProof/>
          <w:sz w:val="14"/>
          <w:szCs w:val="14"/>
          <w:lang w:val="en-US"/>
        </w:rPr>
        <w:drawing>
          <wp:anchor distT="0" distB="0" distL="0" distR="0" simplePos="0" relativeHeight="251658287" behindDoc="0" locked="0" layoutInCell="1" allowOverlap="1" wp14:anchorId="64D9901D" wp14:editId="097A8620">
            <wp:simplePos x="0" y="0"/>
            <wp:positionH relativeFrom="page">
              <wp:posOffset>3813175</wp:posOffset>
            </wp:positionH>
            <wp:positionV relativeFrom="paragraph">
              <wp:posOffset>108956</wp:posOffset>
            </wp:positionV>
            <wp:extent cx="127000" cy="127000"/>
            <wp:effectExtent l="0" t="0" r="0" b="0"/>
            <wp:wrapNone/>
            <wp:docPr id="133" name="Image 1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3" name="Image 133"/>
                    <pic:cNvPicPr/>
                  </pic:nvPicPr>
                  <pic:blipFill>
                    <a:blip r:embed="rId55" cstate="print"/>
                    <a:stretch>
                      <a:fillRect/>
                    </a:stretch>
                  </pic:blipFill>
                  <pic:spPr>
                    <a:xfrm>
                      <a:off x="0" y="0"/>
                      <a:ext cx="127000" cy="127000"/>
                    </a:xfrm>
                    <a:prstGeom prst="rect">
                      <a:avLst/>
                    </a:prstGeom>
                  </pic:spPr>
                </pic:pic>
              </a:graphicData>
            </a:graphic>
          </wp:anchor>
        </w:drawing>
      </w:r>
      <w:r w:rsidRPr="005F0A67">
        <w:rPr>
          <w:rFonts w:asciiTheme="majorBidi" w:eastAsia="Arial" w:hAnsiTheme="majorBidi" w:cstheme="majorBidi"/>
          <w:noProof/>
          <w:sz w:val="14"/>
          <w:szCs w:val="14"/>
          <w:lang w:val="en-US"/>
        </w:rPr>
        <w:drawing>
          <wp:anchor distT="0" distB="0" distL="0" distR="0" simplePos="0" relativeHeight="251658288" behindDoc="0" locked="0" layoutInCell="1" allowOverlap="1" wp14:anchorId="3C782815" wp14:editId="68A678C8">
            <wp:simplePos x="0" y="0"/>
            <wp:positionH relativeFrom="page">
              <wp:posOffset>4467225</wp:posOffset>
            </wp:positionH>
            <wp:positionV relativeFrom="paragraph">
              <wp:posOffset>108956</wp:posOffset>
            </wp:positionV>
            <wp:extent cx="127000" cy="127000"/>
            <wp:effectExtent l="0" t="0" r="0" b="0"/>
            <wp:wrapNone/>
            <wp:docPr id="134" name="Image 1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4" name="Image 134"/>
                    <pic:cNvPicPr/>
                  </pic:nvPicPr>
                  <pic:blipFill>
                    <a:blip r:embed="rId53" cstate="print"/>
                    <a:stretch>
                      <a:fillRect/>
                    </a:stretch>
                  </pic:blipFill>
                  <pic:spPr>
                    <a:xfrm>
                      <a:off x="0" y="0"/>
                      <a:ext cx="127000" cy="127000"/>
                    </a:xfrm>
                    <a:prstGeom prst="rect">
                      <a:avLst/>
                    </a:prstGeom>
                  </pic:spPr>
                </pic:pic>
              </a:graphicData>
            </a:graphic>
          </wp:anchor>
        </w:drawing>
      </w:r>
      <w:r w:rsidRPr="005F0A67">
        <w:rPr>
          <w:rFonts w:asciiTheme="majorBidi" w:eastAsia="Arial" w:hAnsiTheme="majorBidi" w:cstheme="majorBidi"/>
          <w:noProof/>
          <w:sz w:val="14"/>
          <w:szCs w:val="14"/>
          <w:lang w:val="en-US"/>
        </w:rPr>
        <w:drawing>
          <wp:anchor distT="0" distB="0" distL="0" distR="0" simplePos="0" relativeHeight="251658289" behindDoc="0" locked="0" layoutInCell="1" allowOverlap="1" wp14:anchorId="5574719D" wp14:editId="6F376F85">
            <wp:simplePos x="0" y="0"/>
            <wp:positionH relativeFrom="page">
              <wp:posOffset>5775325</wp:posOffset>
            </wp:positionH>
            <wp:positionV relativeFrom="paragraph">
              <wp:posOffset>108956</wp:posOffset>
            </wp:positionV>
            <wp:extent cx="127000" cy="127000"/>
            <wp:effectExtent l="0" t="0" r="0" b="0"/>
            <wp:wrapNone/>
            <wp:docPr id="135" name="Image 1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5" name="Image 135"/>
                    <pic:cNvPicPr/>
                  </pic:nvPicPr>
                  <pic:blipFill>
                    <a:blip r:embed="rId56" cstate="print"/>
                    <a:stretch>
                      <a:fillRect/>
                    </a:stretch>
                  </pic:blipFill>
                  <pic:spPr>
                    <a:xfrm>
                      <a:off x="0" y="0"/>
                      <a:ext cx="127000" cy="127000"/>
                    </a:xfrm>
                    <a:prstGeom prst="rect">
                      <a:avLst/>
                    </a:prstGeom>
                  </pic:spPr>
                </pic:pic>
              </a:graphicData>
            </a:graphic>
          </wp:anchor>
        </w:drawing>
      </w:r>
      <w:r w:rsidRPr="005F0A67">
        <w:rPr>
          <w:rFonts w:asciiTheme="majorBidi" w:eastAsia="Arial" w:hAnsiTheme="majorBidi" w:cstheme="majorBidi"/>
          <w:noProof/>
          <w:sz w:val="14"/>
          <w:szCs w:val="14"/>
          <w:lang w:val="en-US"/>
        </w:rPr>
        <w:drawing>
          <wp:anchor distT="0" distB="0" distL="0" distR="0" simplePos="0" relativeHeight="251658290" behindDoc="0" locked="0" layoutInCell="1" allowOverlap="1" wp14:anchorId="3CBE3934" wp14:editId="68A54B57">
            <wp:simplePos x="0" y="0"/>
            <wp:positionH relativeFrom="page">
              <wp:posOffset>5121275</wp:posOffset>
            </wp:positionH>
            <wp:positionV relativeFrom="paragraph">
              <wp:posOffset>108956</wp:posOffset>
            </wp:positionV>
            <wp:extent cx="127000" cy="127000"/>
            <wp:effectExtent l="0" t="0" r="0" b="0"/>
            <wp:wrapNone/>
            <wp:docPr id="136" name="Image 1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6" name="Image 136"/>
                    <pic:cNvPicPr/>
                  </pic:nvPicPr>
                  <pic:blipFill>
                    <a:blip r:embed="rId53" cstate="print"/>
                    <a:stretch>
                      <a:fillRect/>
                    </a:stretch>
                  </pic:blipFill>
                  <pic:spPr>
                    <a:xfrm>
                      <a:off x="0" y="0"/>
                      <a:ext cx="127000" cy="127000"/>
                    </a:xfrm>
                    <a:prstGeom prst="rect">
                      <a:avLst/>
                    </a:prstGeom>
                  </pic:spPr>
                </pic:pic>
              </a:graphicData>
            </a:graphic>
          </wp:anchor>
        </w:drawing>
      </w:r>
      <w:r w:rsidRPr="005F0A67">
        <w:rPr>
          <w:rFonts w:asciiTheme="majorBidi" w:eastAsia="Arial" w:hAnsiTheme="majorBidi" w:cstheme="majorBidi"/>
          <w:noProof/>
          <w:sz w:val="14"/>
          <w:szCs w:val="14"/>
          <w:lang w:val="en-US"/>
        </w:rPr>
        <mc:AlternateContent>
          <mc:Choice Requires="wps">
            <w:drawing>
              <wp:anchor distT="0" distB="0" distL="0" distR="0" simplePos="0" relativeHeight="251658367" behindDoc="1" locked="0" layoutInCell="1" allowOverlap="1" wp14:anchorId="28484570" wp14:editId="779CA4B0">
                <wp:simplePos x="0" y="0"/>
                <wp:positionH relativeFrom="page">
                  <wp:posOffset>5118596</wp:posOffset>
                </wp:positionH>
                <wp:positionV relativeFrom="paragraph">
                  <wp:posOffset>-291775</wp:posOffset>
                </wp:positionV>
                <wp:extent cx="126364" cy="118745"/>
                <wp:effectExtent l="0" t="0" r="0" b="0"/>
                <wp:wrapNone/>
                <wp:docPr id="137" name="Textbox 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6364" cy="118745"/>
                        </a:xfrm>
                        <a:prstGeom prst="rect">
                          <a:avLst/>
                        </a:prstGeom>
                      </wps:spPr>
                      <wps:txbx>
                        <w:txbxContent>
                          <w:p w14:paraId="0F3A01E6" w14:textId="77777777" w:rsidR="005F0A67" w:rsidRDefault="005F0A67" w:rsidP="005F0A67">
                            <w:pPr>
                              <w:pStyle w:val="BodyText"/>
                              <w:spacing w:before="19"/>
                            </w:pPr>
                            <w:r>
                              <w:rPr>
                                <w:color w:val="242424"/>
                                <w:spacing w:val="-5"/>
                                <w:w w:val="90"/>
                              </w:rPr>
                              <w:t>say</w:t>
                            </w:r>
                          </w:p>
                        </w:txbxContent>
                      </wps:txbx>
                      <wps:bodyPr wrap="square" lIns="0" tIns="0" rIns="0" bIns="0" rtlCol="0">
                        <a:noAutofit/>
                      </wps:bodyPr>
                    </wps:wsp>
                  </a:graphicData>
                </a:graphic>
              </wp:anchor>
            </w:drawing>
          </mc:Choice>
          <mc:Fallback>
            <w:pict>
              <v:shape w14:anchorId="28484570" id="Textbox 137" o:spid="_x0000_s1031" type="#_x0000_t202" style="position:absolute;left:0;text-align:left;margin-left:403.05pt;margin-top:-22.95pt;width:9.95pt;height:9.35pt;z-index:-251658113;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" filled="f" stroked="f">
                <v:textbox inset="0,0,0,0">
                  <w:txbxContent>
                    <w:p w14:paraId="0F3A01E6" w14:textId="77777777" w:rsidR="005F0A67" w:rsidRDefault="005F0A67" w:rsidP="005F0A67">
                      <w:pPr>
                        <w:pStyle w:val="BodyText"/>
                        <w:spacing w:before="19"/>
                      </w:pPr>
                      <w:r>
                        <w:rPr>
                          <w:color w:val="242424"/>
                          <w:spacing w:val="-5"/>
                          <w:w w:val="90"/>
                        </w:rPr>
                        <w:t>say</w:t>
                      </w:r>
                    </w:p>
                  </w:txbxContent>
                </v:textbox>
                <w10:wrap anchorx="page"/>
              </v:shape>
            </w:pict>
          </mc:Fallback>
        </mc:AlternateContent>
      </w:r>
      <w:r w:rsidRPr="005F0A67">
        <w:rPr>
          <w:rFonts w:asciiTheme="majorBidi" w:eastAsia="Arial" w:hAnsiTheme="majorBidi" w:cstheme="majorBidi"/>
          <w:color w:val="242424"/>
          <w:spacing w:val="-2"/>
          <w:sz w:val="14"/>
          <w:szCs w:val="14"/>
          <w:lang w:val="en-US"/>
        </w:rPr>
        <w:t>Increase</w:t>
      </w:r>
      <w:r w:rsidRPr="005F0A67">
        <w:rPr>
          <w:rFonts w:asciiTheme="majorBidi" w:eastAsia="Arial" w:hAnsiTheme="majorBidi" w:cstheme="majorBidi"/>
          <w:color w:val="242424"/>
          <w:spacing w:val="40"/>
          <w:sz w:val="14"/>
          <w:szCs w:val="14"/>
          <w:lang w:val="en-US"/>
        </w:rPr>
        <w:t xml:space="preserve"> </w:t>
      </w:r>
      <w:r w:rsidRPr="005F0A67">
        <w:rPr>
          <w:rFonts w:asciiTheme="majorBidi" w:eastAsia="Arial" w:hAnsiTheme="majorBidi" w:cstheme="majorBidi"/>
          <w:color w:val="242424"/>
          <w:sz w:val="14"/>
          <w:szCs w:val="14"/>
          <w:lang w:val="en-US"/>
        </w:rPr>
        <w:t>product</w:t>
      </w:r>
      <w:r w:rsidRPr="005F0A67">
        <w:rPr>
          <w:rFonts w:asciiTheme="majorBidi" w:eastAsia="Arial" w:hAnsiTheme="majorBidi" w:cstheme="majorBidi"/>
          <w:color w:val="242424"/>
          <w:spacing w:val="-4"/>
          <w:sz w:val="14"/>
          <w:szCs w:val="14"/>
          <w:lang w:val="en-US"/>
        </w:rPr>
        <w:t xml:space="preserve"> </w:t>
      </w:r>
      <w:r w:rsidRPr="005F0A67">
        <w:rPr>
          <w:rFonts w:asciiTheme="majorBidi" w:eastAsia="Arial" w:hAnsiTheme="majorBidi" w:cstheme="majorBidi"/>
          <w:color w:val="242424"/>
          <w:sz w:val="14"/>
          <w:szCs w:val="14"/>
          <w:lang w:val="en-US"/>
        </w:rPr>
        <w:t>or</w:t>
      </w:r>
      <w:r w:rsidRPr="005F0A67">
        <w:rPr>
          <w:rFonts w:asciiTheme="majorBidi" w:eastAsia="Arial" w:hAnsiTheme="majorBidi" w:cstheme="majorBidi"/>
          <w:color w:val="242424"/>
          <w:spacing w:val="40"/>
          <w:sz w:val="14"/>
          <w:szCs w:val="14"/>
          <w:lang w:val="en-US"/>
        </w:rPr>
        <w:t xml:space="preserve"> </w:t>
      </w:r>
      <w:r w:rsidRPr="005F0A67">
        <w:rPr>
          <w:rFonts w:asciiTheme="majorBidi" w:eastAsia="Arial" w:hAnsiTheme="majorBidi" w:cstheme="majorBidi"/>
          <w:color w:val="242424"/>
          <w:spacing w:val="-4"/>
          <w:sz w:val="14"/>
          <w:szCs w:val="14"/>
          <w:lang w:val="en-US"/>
        </w:rPr>
        <w:t>service</w:t>
      </w:r>
      <w:r w:rsidRPr="005F0A67">
        <w:rPr>
          <w:rFonts w:asciiTheme="majorBidi" w:eastAsia="Arial" w:hAnsiTheme="majorBidi" w:cstheme="majorBidi"/>
          <w:color w:val="242424"/>
          <w:spacing w:val="-6"/>
          <w:sz w:val="14"/>
          <w:szCs w:val="14"/>
          <w:lang w:val="en-US"/>
        </w:rPr>
        <w:t xml:space="preserve"> </w:t>
      </w:r>
      <w:r w:rsidRPr="005F0A67">
        <w:rPr>
          <w:rFonts w:asciiTheme="majorBidi" w:eastAsia="Arial" w:hAnsiTheme="majorBidi" w:cstheme="majorBidi"/>
          <w:color w:val="242424"/>
          <w:spacing w:val="-4"/>
          <w:sz w:val="14"/>
          <w:szCs w:val="14"/>
          <w:lang w:val="en-US"/>
        </w:rPr>
        <w:t>prices</w:t>
      </w:r>
    </w:p>
    <w:p w14:paraId="5A0058FB" w14:textId="77777777" w:rsidR="005F0A67" w:rsidRPr="005F0A67" w:rsidRDefault="005F0A67" w:rsidP="005F0A67">
      <w:pPr>
        <w:widowControl w:val="0"/>
        <w:tabs>
          <w:tab w:val="clear" w:pos="567"/>
          <w:tab w:val="clear" w:pos="1134"/>
          <w:tab w:val="clear" w:pos="1701"/>
          <w:tab w:val="clear" w:pos="2268"/>
        </w:tabs>
        <w:jc w:val="left"/>
        <w:rPr>
          <w:rFonts w:asciiTheme="majorBidi" w:eastAsia="Arial" w:hAnsiTheme="majorBidi" w:cstheme="majorBidi"/>
          <w:sz w:val="14"/>
          <w:szCs w:val="14"/>
          <w:lang w:val="en-US"/>
        </w:rPr>
      </w:pPr>
    </w:p>
    <w:p w14:paraId="5A6285CD" w14:textId="77777777" w:rsidR="005F0A67" w:rsidRPr="005F0A67" w:rsidRDefault="005F0A67" w:rsidP="005F0A67">
      <w:pPr>
        <w:widowControl w:val="0"/>
        <w:tabs>
          <w:tab w:val="clear" w:pos="567"/>
          <w:tab w:val="clear" w:pos="1134"/>
          <w:tab w:val="clear" w:pos="1701"/>
          <w:tab w:val="clear" w:pos="2268"/>
        </w:tabs>
        <w:spacing w:before="5"/>
        <w:jc w:val="left"/>
        <w:rPr>
          <w:rFonts w:asciiTheme="majorBidi" w:eastAsia="Arial" w:hAnsiTheme="majorBidi" w:cstheme="majorBidi"/>
          <w:sz w:val="14"/>
          <w:szCs w:val="14"/>
          <w:lang w:val="en-US"/>
        </w:rPr>
      </w:pPr>
    </w:p>
    <w:p w14:paraId="10B3E38A" w14:textId="77777777" w:rsidR="005F0A67" w:rsidRPr="005F0A67" w:rsidRDefault="005F0A67" w:rsidP="005F0A67">
      <w:pPr>
        <w:widowControl w:val="0"/>
        <w:tabs>
          <w:tab w:val="clear" w:pos="567"/>
          <w:tab w:val="clear" w:pos="1134"/>
          <w:tab w:val="clear" w:pos="1701"/>
          <w:tab w:val="clear" w:pos="2268"/>
        </w:tabs>
        <w:ind w:left="825"/>
        <w:jc w:val="left"/>
        <w:rPr>
          <w:rFonts w:asciiTheme="majorBidi" w:eastAsia="Arial" w:hAnsiTheme="majorBidi" w:cstheme="majorBidi"/>
          <w:sz w:val="14"/>
          <w:szCs w:val="14"/>
          <w:lang w:val="en-US"/>
        </w:rPr>
      </w:pPr>
      <w:r w:rsidRPr="005F0A67">
        <w:rPr>
          <w:rFonts w:asciiTheme="majorBidi" w:eastAsia="Arial" w:hAnsiTheme="majorBidi" w:cstheme="majorBidi"/>
          <w:noProof/>
          <w:sz w:val="14"/>
          <w:szCs w:val="14"/>
          <w:lang w:val="en-US"/>
        </w:rPr>
        <w:drawing>
          <wp:anchor distT="0" distB="0" distL="0" distR="0" simplePos="0" relativeHeight="251658291" behindDoc="0" locked="0" layoutInCell="1" allowOverlap="1" wp14:anchorId="4F66ED52" wp14:editId="3AAB4685">
            <wp:simplePos x="0" y="0"/>
            <wp:positionH relativeFrom="page">
              <wp:posOffset>2505075</wp:posOffset>
            </wp:positionH>
            <wp:positionV relativeFrom="paragraph">
              <wp:posOffset>7400</wp:posOffset>
            </wp:positionV>
            <wp:extent cx="127000" cy="127000"/>
            <wp:effectExtent l="0" t="0" r="0" b="0"/>
            <wp:wrapNone/>
            <wp:docPr id="138" name="Image 1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8" name="Image 138"/>
                    <pic:cNvPicPr/>
                  </pic:nvPicPr>
                  <pic:blipFill>
                    <a:blip r:embed="rId57" cstate="print"/>
                    <a:stretch>
                      <a:fillRect/>
                    </a:stretch>
                  </pic:blipFill>
                  <pic:spPr>
                    <a:xfrm>
                      <a:off x="0" y="0"/>
                      <a:ext cx="127000" cy="127000"/>
                    </a:xfrm>
                    <a:prstGeom prst="rect">
                      <a:avLst/>
                    </a:prstGeom>
                  </pic:spPr>
                </pic:pic>
              </a:graphicData>
            </a:graphic>
          </wp:anchor>
        </w:drawing>
      </w:r>
      <w:r w:rsidRPr="005F0A67">
        <w:rPr>
          <w:rFonts w:asciiTheme="majorBidi" w:eastAsia="Arial" w:hAnsiTheme="majorBidi" w:cstheme="majorBidi"/>
          <w:noProof/>
          <w:sz w:val="14"/>
          <w:szCs w:val="14"/>
          <w:lang w:val="en-US"/>
        </w:rPr>
        <w:drawing>
          <wp:anchor distT="0" distB="0" distL="0" distR="0" simplePos="0" relativeHeight="251658292" behindDoc="0" locked="0" layoutInCell="1" allowOverlap="1" wp14:anchorId="57BD2D17" wp14:editId="0F779DDB">
            <wp:simplePos x="0" y="0"/>
            <wp:positionH relativeFrom="page">
              <wp:posOffset>3813175</wp:posOffset>
            </wp:positionH>
            <wp:positionV relativeFrom="paragraph">
              <wp:posOffset>7400</wp:posOffset>
            </wp:positionV>
            <wp:extent cx="127000" cy="127000"/>
            <wp:effectExtent l="0" t="0" r="0" b="0"/>
            <wp:wrapNone/>
            <wp:docPr id="139" name="Image 1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9" name="Image 139"/>
                    <pic:cNvPicPr/>
                  </pic:nvPicPr>
                  <pic:blipFill>
                    <a:blip r:embed="rId47" cstate="print"/>
                    <a:stretch>
                      <a:fillRect/>
                    </a:stretch>
                  </pic:blipFill>
                  <pic:spPr>
                    <a:xfrm>
                      <a:off x="0" y="0"/>
                      <a:ext cx="127000" cy="127000"/>
                    </a:xfrm>
                    <a:prstGeom prst="rect">
                      <a:avLst/>
                    </a:prstGeom>
                  </pic:spPr>
                </pic:pic>
              </a:graphicData>
            </a:graphic>
          </wp:anchor>
        </w:drawing>
      </w:r>
      <w:r w:rsidRPr="005F0A67">
        <w:rPr>
          <w:rFonts w:asciiTheme="majorBidi" w:eastAsia="Arial" w:hAnsiTheme="majorBidi" w:cstheme="majorBidi"/>
          <w:noProof/>
          <w:sz w:val="14"/>
          <w:szCs w:val="14"/>
          <w:lang w:val="en-US"/>
        </w:rPr>
        <w:drawing>
          <wp:anchor distT="0" distB="0" distL="0" distR="0" simplePos="0" relativeHeight="251658293" behindDoc="0" locked="0" layoutInCell="1" allowOverlap="1" wp14:anchorId="7AEF8D82" wp14:editId="5314A1D9">
            <wp:simplePos x="0" y="0"/>
            <wp:positionH relativeFrom="page">
              <wp:posOffset>3159125</wp:posOffset>
            </wp:positionH>
            <wp:positionV relativeFrom="paragraph">
              <wp:posOffset>7400</wp:posOffset>
            </wp:positionV>
            <wp:extent cx="127000" cy="127000"/>
            <wp:effectExtent l="0" t="0" r="0" b="0"/>
            <wp:wrapNone/>
            <wp:docPr id="140" name="Image 1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0" name="Image 140"/>
                    <pic:cNvPicPr/>
                  </pic:nvPicPr>
                  <pic:blipFill>
                    <a:blip r:embed="rId58" cstate="print"/>
                    <a:stretch>
                      <a:fillRect/>
                    </a:stretch>
                  </pic:blipFill>
                  <pic:spPr>
                    <a:xfrm>
                      <a:off x="0" y="0"/>
                      <a:ext cx="127000" cy="127000"/>
                    </a:xfrm>
                    <a:prstGeom prst="rect">
                      <a:avLst/>
                    </a:prstGeom>
                  </pic:spPr>
                </pic:pic>
              </a:graphicData>
            </a:graphic>
          </wp:anchor>
        </w:drawing>
      </w:r>
      <w:r w:rsidRPr="005F0A67">
        <w:rPr>
          <w:rFonts w:asciiTheme="majorBidi" w:eastAsia="Arial" w:hAnsiTheme="majorBidi" w:cstheme="majorBidi"/>
          <w:noProof/>
          <w:sz w:val="14"/>
          <w:szCs w:val="14"/>
          <w:lang w:val="en-US"/>
        </w:rPr>
        <w:drawing>
          <wp:anchor distT="0" distB="0" distL="0" distR="0" simplePos="0" relativeHeight="251658294" behindDoc="0" locked="0" layoutInCell="1" allowOverlap="1" wp14:anchorId="5991D1C7" wp14:editId="4A29B83A">
            <wp:simplePos x="0" y="0"/>
            <wp:positionH relativeFrom="page">
              <wp:posOffset>4467225</wp:posOffset>
            </wp:positionH>
            <wp:positionV relativeFrom="paragraph">
              <wp:posOffset>7400</wp:posOffset>
            </wp:positionV>
            <wp:extent cx="127000" cy="127000"/>
            <wp:effectExtent l="0" t="0" r="0" b="0"/>
            <wp:wrapNone/>
            <wp:docPr id="141" name="Image 1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1" name="Image 141"/>
                    <pic:cNvPicPr/>
                  </pic:nvPicPr>
                  <pic:blipFill>
                    <a:blip r:embed="rId58" cstate="print"/>
                    <a:stretch>
                      <a:fillRect/>
                    </a:stretch>
                  </pic:blipFill>
                  <pic:spPr>
                    <a:xfrm>
                      <a:off x="0" y="0"/>
                      <a:ext cx="127000" cy="127000"/>
                    </a:xfrm>
                    <a:prstGeom prst="rect">
                      <a:avLst/>
                    </a:prstGeom>
                  </pic:spPr>
                </pic:pic>
              </a:graphicData>
            </a:graphic>
          </wp:anchor>
        </w:drawing>
      </w:r>
      <w:r w:rsidRPr="005F0A67">
        <w:rPr>
          <w:rFonts w:asciiTheme="majorBidi" w:eastAsia="Arial" w:hAnsiTheme="majorBidi" w:cstheme="majorBidi"/>
          <w:noProof/>
          <w:sz w:val="14"/>
          <w:szCs w:val="14"/>
          <w:lang w:val="en-US"/>
        </w:rPr>
        <w:drawing>
          <wp:anchor distT="0" distB="0" distL="0" distR="0" simplePos="0" relativeHeight="251658295" behindDoc="0" locked="0" layoutInCell="1" allowOverlap="1" wp14:anchorId="3D8D695B" wp14:editId="750F8B31">
            <wp:simplePos x="0" y="0"/>
            <wp:positionH relativeFrom="page">
              <wp:posOffset>5121275</wp:posOffset>
            </wp:positionH>
            <wp:positionV relativeFrom="paragraph">
              <wp:posOffset>7400</wp:posOffset>
            </wp:positionV>
            <wp:extent cx="127000" cy="127000"/>
            <wp:effectExtent l="0" t="0" r="0" b="0"/>
            <wp:wrapNone/>
            <wp:docPr id="142" name="Image 1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2" name="Image 142"/>
                    <pic:cNvPicPr/>
                  </pic:nvPicPr>
                  <pic:blipFill>
                    <a:blip r:embed="rId57" cstate="print"/>
                    <a:stretch>
                      <a:fillRect/>
                    </a:stretch>
                  </pic:blipFill>
                  <pic:spPr>
                    <a:xfrm>
                      <a:off x="0" y="0"/>
                      <a:ext cx="127000" cy="127000"/>
                    </a:xfrm>
                    <a:prstGeom prst="rect">
                      <a:avLst/>
                    </a:prstGeom>
                  </pic:spPr>
                </pic:pic>
              </a:graphicData>
            </a:graphic>
          </wp:anchor>
        </w:drawing>
      </w:r>
      <w:r w:rsidRPr="005F0A67">
        <w:rPr>
          <w:rFonts w:asciiTheme="majorBidi" w:eastAsia="Arial" w:hAnsiTheme="majorBidi" w:cstheme="majorBidi"/>
          <w:noProof/>
          <w:sz w:val="14"/>
          <w:szCs w:val="14"/>
          <w:lang w:val="en-US"/>
        </w:rPr>
        <w:drawing>
          <wp:anchor distT="0" distB="0" distL="0" distR="0" simplePos="0" relativeHeight="251658296" behindDoc="0" locked="0" layoutInCell="1" allowOverlap="1" wp14:anchorId="705BCD69" wp14:editId="0CE423AB">
            <wp:simplePos x="0" y="0"/>
            <wp:positionH relativeFrom="page">
              <wp:posOffset>5775325</wp:posOffset>
            </wp:positionH>
            <wp:positionV relativeFrom="paragraph">
              <wp:posOffset>7400</wp:posOffset>
            </wp:positionV>
            <wp:extent cx="127000" cy="127000"/>
            <wp:effectExtent l="0" t="0" r="0" b="0"/>
            <wp:wrapNone/>
            <wp:docPr id="143" name="Image 1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3" name="Image 143"/>
                    <pic:cNvPicPr/>
                  </pic:nvPicPr>
                  <pic:blipFill>
                    <a:blip r:embed="rId48" cstate="print"/>
                    <a:stretch>
                      <a:fillRect/>
                    </a:stretch>
                  </pic:blipFill>
                  <pic:spPr>
                    <a:xfrm>
                      <a:off x="0" y="0"/>
                      <a:ext cx="127000" cy="127000"/>
                    </a:xfrm>
                    <a:prstGeom prst="rect">
                      <a:avLst/>
                    </a:prstGeom>
                  </pic:spPr>
                </pic:pic>
              </a:graphicData>
            </a:graphic>
          </wp:anchor>
        </w:drawing>
      </w:r>
      <w:r w:rsidRPr="005F0A67">
        <w:rPr>
          <w:rFonts w:asciiTheme="majorBidi" w:eastAsia="Arial" w:hAnsiTheme="majorBidi" w:cstheme="majorBidi"/>
          <w:color w:val="242424"/>
          <w:w w:val="90"/>
          <w:sz w:val="14"/>
          <w:szCs w:val="14"/>
          <w:lang w:val="en-US"/>
        </w:rPr>
        <w:t>Reduce</w:t>
      </w:r>
      <w:r w:rsidRPr="005F0A67">
        <w:rPr>
          <w:rFonts w:asciiTheme="majorBidi" w:eastAsia="Arial" w:hAnsiTheme="majorBidi" w:cstheme="majorBidi"/>
          <w:color w:val="242424"/>
          <w:spacing w:val="5"/>
          <w:sz w:val="14"/>
          <w:szCs w:val="14"/>
          <w:lang w:val="en-US"/>
        </w:rPr>
        <w:t xml:space="preserve"> </w:t>
      </w:r>
      <w:r w:rsidRPr="005F0A67">
        <w:rPr>
          <w:rFonts w:asciiTheme="majorBidi" w:eastAsia="Arial" w:hAnsiTheme="majorBidi" w:cstheme="majorBidi"/>
          <w:color w:val="242424"/>
          <w:w w:val="90"/>
          <w:sz w:val="14"/>
          <w:szCs w:val="14"/>
          <w:lang w:val="en-US"/>
        </w:rPr>
        <w:t>DSI</w:t>
      </w:r>
      <w:r w:rsidRPr="005F0A67">
        <w:rPr>
          <w:rFonts w:asciiTheme="majorBidi" w:eastAsia="Arial" w:hAnsiTheme="majorBidi" w:cstheme="majorBidi"/>
          <w:color w:val="242424"/>
          <w:spacing w:val="5"/>
          <w:sz w:val="14"/>
          <w:szCs w:val="14"/>
          <w:lang w:val="en-US"/>
        </w:rPr>
        <w:t xml:space="preserve"> </w:t>
      </w:r>
      <w:r w:rsidRPr="005F0A67">
        <w:rPr>
          <w:rFonts w:asciiTheme="majorBidi" w:eastAsia="Arial" w:hAnsiTheme="majorBidi" w:cstheme="majorBidi"/>
          <w:color w:val="242424"/>
          <w:spacing w:val="-5"/>
          <w:w w:val="90"/>
          <w:sz w:val="14"/>
          <w:szCs w:val="14"/>
          <w:lang w:val="en-US"/>
        </w:rPr>
        <w:t>use</w:t>
      </w:r>
    </w:p>
    <w:p w14:paraId="602CE558" w14:textId="77777777" w:rsidR="005F0A67" w:rsidRPr="005F0A67" w:rsidRDefault="005F0A67" w:rsidP="005F0A67">
      <w:pPr>
        <w:widowControl w:val="0"/>
        <w:tabs>
          <w:tab w:val="clear" w:pos="567"/>
          <w:tab w:val="clear" w:pos="1134"/>
          <w:tab w:val="clear" w:pos="1701"/>
          <w:tab w:val="clear" w:pos="2268"/>
        </w:tabs>
        <w:jc w:val="left"/>
        <w:rPr>
          <w:rFonts w:asciiTheme="majorBidi" w:eastAsia="Arial" w:hAnsiTheme="majorBidi" w:cstheme="majorBidi"/>
          <w:sz w:val="14"/>
          <w:szCs w:val="14"/>
          <w:lang w:val="en-US"/>
        </w:rPr>
      </w:pPr>
    </w:p>
    <w:p w14:paraId="3567545C" w14:textId="77777777" w:rsidR="005F0A67" w:rsidRPr="005F0A67" w:rsidRDefault="005F0A67" w:rsidP="005F0A67">
      <w:pPr>
        <w:widowControl w:val="0"/>
        <w:tabs>
          <w:tab w:val="clear" w:pos="567"/>
          <w:tab w:val="clear" w:pos="1134"/>
          <w:tab w:val="clear" w:pos="1701"/>
          <w:tab w:val="clear" w:pos="2268"/>
        </w:tabs>
        <w:spacing w:before="7"/>
        <w:jc w:val="left"/>
        <w:rPr>
          <w:rFonts w:asciiTheme="majorBidi" w:eastAsia="Arial" w:hAnsiTheme="majorBidi" w:cstheme="majorBidi"/>
          <w:sz w:val="14"/>
          <w:szCs w:val="14"/>
          <w:lang w:val="en-US"/>
        </w:rPr>
      </w:pPr>
    </w:p>
    <w:p w14:paraId="581C1CC5" w14:textId="77777777" w:rsidR="005F0A67" w:rsidRPr="005F0A67" w:rsidRDefault="005F0A67" w:rsidP="005F0A67">
      <w:pPr>
        <w:widowControl w:val="0"/>
        <w:tabs>
          <w:tab w:val="clear" w:pos="567"/>
          <w:tab w:val="clear" w:pos="1134"/>
          <w:tab w:val="clear" w:pos="1701"/>
          <w:tab w:val="clear" w:pos="2268"/>
        </w:tabs>
        <w:ind w:left="825"/>
        <w:jc w:val="left"/>
        <w:rPr>
          <w:rFonts w:asciiTheme="majorBidi" w:eastAsia="Arial" w:hAnsiTheme="majorBidi" w:cstheme="majorBidi"/>
          <w:sz w:val="14"/>
          <w:szCs w:val="14"/>
          <w:lang w:val="en-US"/>
        </w:rPr>
      </w:pPr>
      <w:r w:rsidRPr="005F0A67">
        <w:rPr>
          <w:rFonts w:asciiTheme="majorBidi" w:eastAsia="Arial" w:hAnsiTheme="majorBidi" w:cstheme="majorBidi"/>
          <w:noProof/>
          <w:sz w:val="14"/>
          <w:szCs w:val="14"/>
          <w:lang w:val="en-US"/>
        </w:rPr>
        <w:drawing>
          <wp:anchor distT="0" distB="0" distL="0" distR="0" simplePos="0" relativeHeight="251658297" behindDoc="0" locked="0" layoutInCell="1" allowOverlap="1" wp14:anchorId="2739079A" wp14:editId="51E5666D">
            <wp:simplePos x="0" y="0"/>
            <wp:positionH relativeFrom="page">
              <wp:posOffset>2505075</wp:posOffset>
            </wp:positionH>
            <wp:positionV relativeFrom="paragraph">
              <wp:posOffset>7426</wp:posOffset>
            </wp:positionV>
            <wp:extent cx="127000" cy="127000"/>
            <wp:effectExtent l="0" t="0" r="0" b="0"/>
            <wp:wrapNone/>
            <wp:docPr id="144" name="Image 1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4" name="Image 144"/>
                    <pic:cNvPicPr/>
                  </pic:nvPicPr>
                  <pic:blipFill>
                    <a:blip r:embed="rId53" cstate="print"/>
                    <a:stretch>
                      <a:fillRect/>
                    </a:stretch>
                  </pic:blipFill>
                  <pic:spPr>
                    <a:xfrm>
                      <a:off x="0" y="0"/>
                      <a:ext cx="127000" cy="127000"/>
                    </a:xfrm>
                    <a:prstGeom prst="rect">
                      <a:avLst/>
                    </a:prstGeom>
                  </pic:spPr>
                </pic:pic>
              </a:graphicData>
            </a:graphic>
          </wp:anchor>
        </w:drawing>
      </w:r>
      <w:r w:rsidRPr="005F0A67">
        <w:rPr>
          <w:rFonts w:asciiTheme="majorBidi" w:eastAsia="Arial" w:hAnsiTheme="majorBidi" w:cstheme="majorBidi"/>
          <w:noProof/>
          <w:sz w:val="14"/>
          <w:szCs w:val="14"/>
          <w:lang w:val="en-US"/>
        </w:rPr>
        <w:drawing>
          <wp:anchor distT="0" distB="0" distL="0" distR="0" simplePos="0" relativeHeight="251658298" behindDoc="0" locked="0" layoutInCell="1" allowOverlap="1" wp14:anchorId="68974860" wp14:editId="0EC0707B">
            <wp:simplePos x="0" y="0"/>
            <wp:positionH relativeFrom="page">
              <wp:posOffset>3159125</wp:posOffset>
            </wp:positionH>
            <wp:positionV relativeFrom="paragraph">
              <wp:posOffset>7426</wp:posOffset>
            </wp:positionV>
            <wp:extent cx="127000" cy="127000"/>
            <wp:effectExtent l="0" t="0" r="0" b="0"/>
            <wp:wrapNone/>
            <wp:docPr id="145" name="Image 1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5" name="Image 145"/>
                    <pic:cNvPicPr/>
                  </pic:nvPicPr>
                  <pic:blipFill>
                    <a:blip r:embed="rId53" cstate="print"/>
                    <a:stretch>
                      <a:fillRect/>
                    </a:stretch>
                  </pic:blipFill>
                  <pic:spPr>
                    <a:xfrm>
                      <a:off x="0" y="0"/>
                      <a:ext cx="127000" cy="127000"/>
                    </a:xfrm>
                    <a:prstGeom prst="rect">
                      <a:avLst/>
                    </a:prstGeom>
                  </pic:spPr>
                </pic:pic>
              </a:graphicData>
            </a:graphic>
          </wp:anchor>
        </w:drawing>
      </w:r>
      <w:r w:rsidRPr="005F0A67">
        <w:rPr>
          <w:rFonts w:asciiTheme="majorBidi" w:eastAsia="Arial" w:hAnsiTheme="majorBidi" w:cstheme="majorBidi"/>
          <w:noProof/>
          <w:sz w:val="14"/>
          <w:szCs w:val="14"/>
          <w:lang w:val="en-US"/>
        </w:rPr>
        <w:drawing>
          <wp:anchor distT="0" distB="0" distL="0" distR="0" simplePos="0" relativeHeight="251658299" behindDoc="0" locked="0" layoutInCell="1" allowOverlap="1" wp14:anchorId="07A7DDDA" wp14:editId="4DF6AC64">
            <wp:simplePos x="0" y="0"/>
            <wp:positionH relativeFrom="page">
              <wp:posOffset>3813175</wp:posOffset>
            </wp:positionH>
            <wp:positionV relativeFrom="paragraph">
              <wp:posOffset>7426</wp:posOffset>
            </wp:positionV>
            <wp:extent cx="127000" cy="127000"/>
            <wp:effectExtent l="0" t="0" r="0" b="0"/>
            <wp:wrapNone/>
            <wp:docPr id="146" name="Image 1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6" name="Image 146"/>
                    <pic:cNvPicPr/>
                  </pic:nvPicPr>
                  <pic:blipFill>
                    <a:blip r:embed="rId55" cstate="print"/>
                    <a:stretch>
                      <a:fillRect/>
                    </a:stretch>
                  </pic:blipFill>
                  <pic:spPr>
                    <a:xfrm>
                      <a:off x="0" y="0"/>
                      <a:ext cx="127000" cy="127000"/>
                    </a:xfrm>
                    <a:prstGeom prst="rect">
                      <a:avLst/>
                    </a:prstGeom>
                  </pic:spPr>
                </pic:pic>
              </a:graphicData>
            </a:graphic>
          </wp:anchor>
        </w:drawing>
      </w:r>
      <w:r w:rsidRPr="005F0A67">
        <w:rPr>
          <w:rFonts w:asciiTheme="majorBidi" w:eastAsia="Arial" w:hAnsiTheme="majorBidi" w:cstheme="majorBidi"/>
          <w:noProof/>
          <w:sz w:val="14"/>
          <w:szCs w:val="14"/>
          <w:lang w:val="en-US"/>
        </w:rPr>
        <w:drawing>
          <wp:anchor distT="0" distB="0" distL="0" distR="0" simplePos="0" relativeHeight="251658300" behindDoc="0" locked="0" layoutInCell="1" allowOverlap="1" wp14:anchorId="0B405B03" wp14:editId="3EF03E08">
            <wp:simplePos x="0" y="0"/>
            <wp:positionH relativeFrom="page">
              <wp:posOffset>4467225</wp:posOffset>
            </wp:positionH>
            <wp:positionV relativeFrom="paragraph">
              <wp:posOffset>7426</wp:posOffset>
            </wp:positionV>
            <wp:extent cx="127000" cy="127000"/>
            <wp:effectExtent l="0" t="0" r="0" b="0"/>
            <wp:wrapNone/>
            <wp:docPr id="147" name="Image 1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7" name="Image 147"/>
                    <pic:cNvPicPr/>
                  </pic:nvPicPr>
                  <pic:blipFill>
                    <a:blip r:embed="rId53" cstate="print"/>
                    <a:stretch>
                      <a:fillRect/>
                    </a:stretch>
                  </pic:blipFill>
                  <pic:spPr>
                    <a:xfrm>
                      <a:off x="0" y="0"/>
                      <a:ext cx="127000" cy="127000"/>
                    </a:xfrm>
                    <a:prstGeom prst="rect">
                      <a:avLst/>
                    </a:prstGeom>
                  </pic:spPr>
                </pic:pic>
              </a:graphicData>
            </a:graphic>
          </wp:anchor>
        </w:drawing>
      </w:r>
      <w:r w:rsidRPr="005F0A67">
        <w:rPr>
          <w:rFonts w:asciiTheme="majorBidi" w:eastAsia="Arial" w:hAnsiTheme="majorBidi" w:cstheme="majorBidi"/>
          <w:noProof/>
          <w:sz w:val="14"/>
          <w:szCs w:val="14"/>
          <w:lang w:val="en-US"/>
        </w:rPr>
        <w:drawing>
          <wp:anchor distT="0" distB="0" distL="0" distR="0" simplePos="0" relativeHeight="251658301" behindDoc="0" locked="0" layoutInCell="1" allowOverlap="1" wp14:anchorId="21889EBC" wp14:editId="113E665F">
            <wp:simplePos x="0" y="0"/>
            <wp:positionH relativeFrom="page">
              <wp:posOffset>5121275</wp:posOffset>
            </wp:positionH>
            <wp:positionV relativeFrom="paragraph">
              <wp:posOffset>7426</wp:posOffset>
            </wp:positionV>
            <wp:extent cx="127000" cy="127000"/>
            <wp:effectExtent l="0" t="0" r="0" b="0"/>
            <wp:wrapNone/>
            <wp:docPr id="148" name="Image 1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8" name="Image 148"/>
                    <pic:cNvPicPr/>
                  </pic:nvPicPr>
                  <pic:blipFill>
                    <a:blip r:embed="rId53" cstate="print"/>
                    <a:stretch>
                      <a:fillRect/>
                    </a:stretch>
                  </pic:blipFill>
                  <pic:spPr>
                    <a:xfrm>
                      <a:off x="0" y="0"/>
                      <a:ext cx="127000" cy="127000"/>
                    </a:xfrm>
                    <a:prstGeom prst="rect">
                      <a:avLst/>
                    </a:prstGeom>
                  </pic:spPr>
                </pic:pic>
              </a:graphicData>
            </a:graphic>
          </wp:anchor>
        </w:drawing>
      </w:r>
      <w:r w:rsidRPr="005F0A67">
        <w:rPr>
          <w:rFonts w:asciiTheme="majorBidi" w:eastAsia="Arial" w:hAnsiTheme="majorBidi" w:cstheme="majorBidi"/>
          <w:noProof/>
          <w:sz w:val="14"/>
          <w:szCs w:val="14"/>
          <w:lang w:val="en-US"/>
        </w:rPr>
        <w:drawing>
          <wp:anchor distT="0" distB="0" distL="0" distR="0" simplePos="0" relativeHeight="251658302" behindDoc="0" locked="0" layoutInCell="1" allowOverlap="1" wp14:anchorId="21E9F659" wp14:editId="279C71C6">
            <wp:simplePos x="0" y="0"/>
            <wp:positionH relativeFrom="page">
              <wp:posOffset>5775325</wp:posOffset>
            </wp:positionH>
            <wp:positionV relativeFrom="paragraph">
              <wp:posOffset>7426</wp:posOffset>
            </wp:positionV>
            <wp:extent cx="127000" cy="127000"/>
            <wp:effectExtent l="0" t="0" r="0" b="0"/>
            <wp:wrapNone/>
            <wp:docPr id="149" name="Image 1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9" name="Image 149"/>
                    <pic:cNvPicPr/>
                  </pic:nvPicPr>
                  <pic:blipFill>
                    <a:blip r:embed="rId56" cstate="print"/>
                    <a:stretch>
                      <a:fillRect/>
                    </a:stretch>
                  </pic:blipFill>
                  <pic:spPr>
                    <a:xfrm>
                      <a:off x="0" y="0"/>
                      <a:ext cx="127000" cy="127000"/>
                    </a:xfrm>
                    <a:prstGeom prst="rect">
                      <a:avLst/>
                    </a:prstGeom>
                  </pic:spPr>
                </pic:pic>
              </a:graphicData>
            </a:graphic>
          </wp:anchor>
        </w:drawing>
      </w:r>
      <w:r w:rsidRPr="005F0A67">
        <w:rPr>
          <w:rFonts w:asciiTheme="majorBidi" w:eastAsia="Arial" w:hAnsiTheme="majorBidi" w:cstheme="majorBidi"/>
          <w:color w:val="242424"/>
          <w:w w:val="90"/>
          <w:sz w:val="14"/>
          <w:szCs w:val="14"/>
          <w:lang w:val="en-US"/>
        </w:rPr>
        <w:t>Cease</w:t>
      </w:r>
      <w:r w:rsidRPr="005F0A67">
        <w:rPr>
          <w:rFonts w:asciiTheme="majorBidi" w:eastAsia="Arial" w:hAnsiTheme="majorBidi" w:cstheme="majorBidi"/>
          <w:color w:val="242424"/>
          <w:spacing w:val="-1"/>
          <w:w w:val="90"/>
          <w:sz w:val="14"/>
          <w:szCs w:val="14"/>
          <w:lang w:val="en-US"/>
        </w:rPr>
        <w:t xml:space="preserve"> </w:t>
      </w:r>
      <w:r w:rsidRPr="005F0A67">
        <w:rPr>
          <w:rFonts w:asciiTheme="majorBidi" w:eastAsia="Arial" w:hAnsiTheme="majorBidi" w:cstheme="majorBidi"/>
          <w:color w:val="242424"/>
          <w:w w:val="90"/>
          <w:sz w:val="14"/>
          <w:szCs w:val="14"/>
          <w:lang w:val="en-US"/>
        </w:rPr>
        <w:t>DSI</w:t>
      </w:r>
      <w:r w:rsidRPr="005F0A67">
        <w:rPr>
          <w:rFonts w:asciiTheme="majorBidi" w:eastAsia="Arial" w:hAnsiTheme="majorBidi" w:cstheme="majorBidi"/>
          <w:color w:val="242424"/>
          <w:spacing w:val="-4"/>
          <w:sz w:val="14"/>
          <w:szCs w:val="14"/>
          <w:lang w:val="en-US"/>
        </w:rPr>
        <w:t xml:space="preserve"> </w:t>
      </w:r>
      <w:r w:rsidRPr="005F0A67">
        <w:rPr>
          <w:rFonts w:asciiTheme="majorBidi" w:eastAsia="Arial" w:hAnsiTheme="majorBidi" w:cstheme="majorBidi"/>
          <w:color w:val="242424"/>
          <w:spacing w:val="-5"/>
          <w:w w:val="90"/>
          <w:sz w:val="14"/>
          <w:szCs w:val="14"/>
          <w:lang w:val="en-US"/>
        </w:rPr>
        <w:t>use</w:t>
      </w:r>
    </w:p>
    <w:p w14:paraId="4988991E" w14:textId="77777777" w:rsidR="005F0A67" w:rsidRPr="005F0A67" w:rsidRDefault="005F0A67" w:rsidP="005F0A67">
      <w:pPr>
        <w:widowControl w:val="0"/>
        <w:tabs>
          <w:tab w:val="clear" w:pos="567"/>
          <w:tab w:val="clear" w:pos="1134"/>
          <w:tab w:val="clear" w:pos="1701"/>
          <w:tab w:val="clear" w:pos="2268"/>
        </w:tabs>
        <w:jc w:val="left"/>
        <w:rPr>
          <w:rFonts w:asciiTheme="majorBidi" w:eastAsia="Arial" w:hAnsiTheme="majorBidi" w:cstheme="majorBidi"/>
          <w:sz w:val="14"/>
          <w:szCs w:val="14"/>
          <w:lang w:val="en-US"/>
        </w:rPr>
      </w:pPr>
    </w:p>
    <w:p w14:paraId="1866EECA" w14:textId="77777777" w:rsidR="005F0A67" w:rsidRPr="005F0A67" w:rsidRDefault="005F0A67" w:rsidP="005F0A67">
      <w:pPr>
        <w:widowControl w:val="0"/>
        <w:tabs>
          <w:tab w:val="clear" w:pos="567"/>
          <w:tab w:val="clear" w:pos="1134"/>
          <w:tab w:val="clear" w:pos="1701"/>
          <w:tab w:val="clear" w:pos="2268"/>
        </w:tabs>
        <w:spacing w:before="7"/>
        <w:jc w:val="left"/>
        <w:rPr>
          <w:rFonts w:asciiTheme="majorBidi" w:eastAsia="Arial" w:hAnsiTheme="majorBidi" w:cstheme="majorBidi"/>
          <w:sz w:val="14"/>
          <w:szCs w:val="14"/>
          <w:lang w:val="en-US"/>
        </w:rPr>
      </w:pPr>
    </w:p>
    <w:p w14:paraId="3FE37B86" w14:textId="77777777" w:rsidR="005F0A67" w:rsidRPr="005F0A67" w:rsidRDefault="005F0A67" w:rsidP="005F0A67">
      <w:pPr>
        <w:widowControl w:val="0"/>
        <w:tabs>
          <w:tab w:val="clear" w:pos="567"/>
          <w:tab w:val="clear" w:pos="1134"/>
          <w:tab w:val="clear" w:pos="1701"/>
          <w:tab w:val="clear" w:pos="2268"/>
        </w:tabs>
        <w:ind w:left="825" w:right="6679"/>
        <w:jc w:val="left"/>
        <w:rPr>
          <w:rFonts w:asciiTheme="majorBidi" w:eastAsia="Arial" w:hAnsiTheme="majorBidi" w:cstheme="majorBidi"/>
          <w:sz w:val="14"/>
          <w:szCs w:val="14"/>
          <w:lang w:val="en-US"/>
        </w:rPr>
      </w:pPr>
      <w:r w:rsidRPr="005F0A67">
        <w:rPr>
          <w:rFonts w:asciiTheme="majorBidi" w:eastAsia="Arial" w:hAnsiTheme="majorBidi" w:cstheme="majorBidi"/>
          <w:noProof/>
          <w:sz w:val="14"/>
          <w:szCs w:val="14"/>
          <w:lang w:val="en-US"/>
        </w:rPr>
        <w:drawing>
          <wp:anchor distT="0" distB="0" distL="0" distR="0" simplePos="0" relativeHeight="251658303" behindDoc="0" locked="0" layoutInCell="1" allowOverlap="1" wp14:anchorId="37C590AC" wp14:editId="314BE4DC">
            <wp:simplePos x="0" y="0"/>
            <wp:positionH relativeFrom="page">
              <wp:posOffset>2505075</wp:posOffset>
            </wp:positionH>
            <wp:positionV relativeFrom="paragraph">
              <wp:posOffset>109052</wp:posOffset>
            </wp:positionV>
            <wp:extent cx="127000" cy="127000"/>
            <wp:effectExtent l="0" t="0" r="0" b="0"/>
            <wp:wrapNone/>
            <wp:docPr id="150" name="Image 1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0" name="Image 150"/>
                    <pic:cNvPicPr/>
                  </pic:nvPicPr>
                  <pic:blipFill>
                    <a:blip r:embed="rId37" cstate="print"/>
                    <a:stretch>
                      <a:fillRect/>
                    </a:stretch>
                  </pic:blipFill>
                  <pic:spPr>
                    <a:xfrm>
                      <a:off x="0" y="0"/>
                      <a:ext cx="127000" cy="127000"/>
                    </a:xfrm>
                    <a:prstGeom prst="rect">
                      <a:avLst/>
                    </a:prstGeom>
                  </pic:spPr>
                </pic:pic>
              </a:graphicData>
            </a:graphic>
          </wp:anchor>
        </w:drawing>
      </w:r>
      <w:r w:rsidRPr="005F0A67">
        <w:rPr>
          <w:rFonts w:asciiTheme="majorBidi" w:eastAsia="Arial" w:hAnsiTheme="majorBidi" w:cstheme="majorBidi"/>
          <w:noProof/>
          <w:sz w:val="14"/>
          <w:szCs w:val="14"/>
          <w:lang w:val="en-US"/>
        </w:rPr>
        <w:drawing>
          <wp:anchor distT="0" distB="0" distL="0" distR="0" simplePos="0" relativeHeight="251658304" behindDoc="0" locked="0" layoutInCell="1" allowOverlap="1" wp14:anchorId="4797A59C" wp14:editId="1FB93BC6">
            <wp:simplePos x="0" y="0"/>
            <wp:positionH relativeFrom="page">
              <wp:posOffset>3159125</wp:posOffset>
            </wp:positionH>
            <wp:positionV relativeFrom="paragraph">
              <wp:posOffset>109052</wp:posOffset>
            </wp:positionV>
            <wp:extent cx="127000" cy="127000"/>
            <wp:effectExtent l="0" t="0" r="0" b="0"/>
            <wp:wrapNone/>
            <wp:docPr id="151" name="Image 1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1" name="Image 151"/>
                    <pic:cNvPicPr/>
                  </pic:nvPicPr>
                  <pic:blipFill>
                    <a:blip r:embed="rId46" cstate="print"/>
                    <a:stretch>
                      <a:fillRect/>
                    </a:stretch>
                  </pic:blipFill>
                  <pic:spPr>
                    <a:xfrm>
                      <a:off x="0" y="0"/>
                      <a:ext cx="127000" cy="127000"/>
                    </a:xfrm>
                    <a:prstGeom prst="rect">
                      <a:avLst/>
                    </a:prstGeom>
                  </pic:spPr>
                </pic:pic>
              </a:graphicData>
            </a:graphic>
          </wp:anchor>
        </w:drawing>
      </w:r>
      <w:r w:rsidRPr="005F0A67">
        <w:rPr>
          <w:rFonts w:asciiTheme="majorBidi" w:eastAsia="Arial" w:hAnsiTheme="majorBidi" w:cstheme="majorBidi"/>
          <w:noProof/>
          <w:sz w:val="14"/>
          <w:szCs w:val="14"/>
          <w:lang w:val="en-US"/>
        </w:rPr>
        <w:drawing>
          <wp:anchor distT="0" distB="0" distL="0" distR="0" simplePos="0" relativeHeight="251658305" behindDoc="0" locked="0" layoutInCell="1" allowOverlap="1" wp14:anchorId="2036D633" wp14:editId="72C43000">
            <wp:simplePos x="0" y="0"/>
            <wp:positionH relativeFrom="page">
              <wp:posOffset>4467225</wp:posOffset>
            </wp:positionH>
            <wp:positionV relativeFrom="paragraph">
              <wp:posOffset>109052</wp:posOffset>
            </wp:positionV>
            <wp:extent cx="127000" cy="127000"/>
            <wp:effectExtent l="0" t="0" r="0" b="0"/>
            <wp:wrapNone/>
            <wp:docPr id="152" name="Image 1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2" name="Image 152"/>
                    <pic:cNvPicPr/>
                  </pic:nvPicPr>
                  <pic:blipFill>
                    <a:blip r:embed="rId46" cstate="print"/>
                    <a:stretch>
                      <a:fillRect/>
                    </a:stretch>
                  </pic:blipFill>
                  <pic:spPr>
                    <a:xfrm>
                      <a:off x="0" y="0"/>
                      <a:ext cx="127000" cy="127000"/>
                    </a:xfrm>
                    <a:prstGeom prst="rect">
                      <a:avLst/>
                    </a:prstGeom>
                  </pic:spPr>
                </pic:pic>
              </a:graphicData>
            </a:graphic>
          </wp:anchor>
        </w:drawing>
      </w:r>
      <w:r w:rsidRPr="005F0A67">
        <w:rPr>
          <w:rFonts w:asciiTheme="majorBidi" w:eastAsia="Arial" w:hAnsiTheme="majorBidi" w:cstheme="majorBidi"/>
          <w:noProof/>
          <w:sz w:val="14"/>
          <w:szCs w:val="14"/>
          <w:lang w:val="en-US"/>
        </w:rPr>
        <w:drawing>
          <wp:anchor distT="0" distB="0" distL="0" distR="0" simplePos="0" relativeHeight="251658306" behindDoc="0" locked="0" layoutInCell="1" allowOverlap="1" wp14:anchorId="6B726928" wp14:editId="1F3918CC">
            <wp:simplePos x="0" y="0"/>
            <wp:positionH relativeFrom="page">
              <wp:posOffset>3813175</wp:posOffset>
            </wp:positionH>
            <wp:positionV relativeFrom="paragraph">
              <wp:posOffset>109052</wp:posOffset>
            </wp:positionV>
            <wp:extent cx="127000" cy="127000"/>
            <wp:effectExtent l="0" t="0" r="0" b="0"/>
            <wp:wrapNone/>
            <wp:docPr id="153" name="Image 1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3" name="Image 153"/>
                    <pic:cNvPicPr/>
                  </pic:nvPicPr>
                  <pic:blipFill>
                    <a:blip r:embed="rId47" cstate="print"/>
                    <a:stretch>
                      <a:fillRect/>
                    </a:stretch>
                  </pic:blipFill>
                  <pic:spPr>
                    <a:xfrm>
                      <a:off x="0" y="0"/>
                      <a:ext cx="127000" cy="127000"/>
                    </a:xfrm>
                    <a:prstGeom prst="rect">
                      <a:avLst/>
                    </a:prstGeom>
                  </pic:spPr>
                </pic:pic>
              </a:graphicData>
            </a:graphic>
          </wp:anchor>
        </w:drawing>
      </w:r>
      <w:r w:rsidRPr="005F0A67">
        <w:rPr>
          <w:rFonts w:asciiTheme="majorBidi" w:eastAsia="Arial" w:hAnsiTheme="majorBidi" w:cstheme="majorBidi"/>
          <w:noProof/>
          <w:sz w:val="14"/>
          <w:szCs w:val="14"/>
          <w:lang w:val="en-US"/>
        </w:rPr>
        <w:drawing>
          <wp:anchor distT="0" distB="0" distL="0" distR="0" simplePos="0" relativeHeight="251658307" behindDoc="0" locked="0" layoutInCell="1" allowOverlap="1" wp14:anchorId="6C7907EC" wp14:editId="7A31E350">
            <wp:simplePos x="0" y="0"/>
            <wp:positionH relativeFrom="page">
              <wp:posOffset>5121275</wp:posOffset>
            </wp:positionH>
            <wp:positionV relativeFrom="paragraph">
              <wp:posOffset>109052</wp:posOffset>
            </wp:positionV>
            <wp:extent cx="127000" cy="127000"/>
            <wp:effectExtent l="0" t="0" r="0" b="0"/>
            <wp:wrapNone/>
            <wp:docPr id="154" name="Image 1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4" name="Image 154"/>
                    <pic:cNvPicPr/>
                  </pic:nvPicPr>
                  <pic:blipFill>
                    <a:blip r:embed="rId37" cstate="print"/>
                    <a:stretch>
                      <a:fillRect/>
                    </a:stretch>
                  </pic:blipFill>
                  <pic:spPr>
                    <a:xfrm>
                      <a:off x="0" y="0"/>
                      <a:ext cx="127000" cy="127000"/>
                    </a:xfrm>
                    <a:prstGeom prst="rect">
                      <a:avLst/>
                    </a:prstGeom>
                  </pic:spPr>
                </pic:pic>
              </a:graphicData>
            </a:graphic>
          </wp:anchor>
        </w:drawing>
      </w:r>
      <w:r w:rsidRPr="005F0A67">
        <w:rPr>
          <w:rFonts w:asciiTheme="majorBidi" w:eastAsia="Arial" w:hAnsiTheme="majorBidi" w:cstheme="majorBidi"/>
          <w:noProof/>
          <w:sz w:val="14"/>
          <w:szCs w:val="14"/>
          <w:lang w:val="en-US"/>
        </w:rPr>
        <w:drawing>
          <wp:anchor distT="0" distB="0" distL="0" distR="0" simplePos="0" relativeHeight="251658308" behindDoc="0" locked="0" layoutInCell="1" allowOverlap="1" wp14:anchorId="66EA7A8F" wp14:editId="4C6C9B96">
            <wp:simplePos x="0" y="0"/>
            <wp:positionH relativeFrom="page">
              <wp:posOffset>5775325</wp:posOffset>
            </wp:positionH>
            <wp:positionV relativeFrom="paragraph">
              <wp:posOffset>109052</wp:posOffset>
            </wp:positionV>
            <wp:extent cx="127000" cy="127000"/>
            <wp:effectExtent l="0" t="0" r="0" b="0"/>
            <wp:wrapNone/>
            <wp:docPr id="155" name="Image 1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5" name="Image 155"/>
                    <pic:cNvPicPr/>
                  </pic:nvPicPr>
                  <pic:blipFill>
                    <a:blip r:embed="rId48" cstate="print"/>
                    <a:stretch>
                      <a:fillRect/>
                    </a:stretch>
                  </pic:blipFill>
                  <pic:spPr>
                    <a:xfrm>
                      <a:off x="0" y="0"/>
                      <a:ext cx="127000" cy="127000"/>
                    </a:xfrm>
                    <a:prstGeom prst="rect">
                      <a:avLst/>
                    </a:prstGeom>
                  </pic:spPr>
                </pic:pic>
              </a:graphicData>
            </a:graphic>
          </wp:anchor>
        </w:drawing>
      </w:r>
      <w:r w:rsidRPr="005F0A67">
        <w:rPr>
          <w:rFonts w:asciiTheme="majorBidi" w:eastAsia="Arial" w:hAnsiTheme="majorBidi" w:cstheme="majorBidi"/>
          <w:color w:val="242424"/>
          <w:sz w:val="14"/>
          <w:szCs w:val="14"/>
          <w:lang w:val="en-US"/>
        </w:rPr>
        <w:t>Absorb</w:t>
      </w:r>
      <w:r w:rsidRPr="005F0A67">
        <w:rPr>
          <w:rFonts w:asciiTheme="majorBidi" w:eastAsia="Arial" w:hAnsiTheme="majorBidi" w:cstheme="majorBidi"/>
          <w:color w:val="242424"/>
          <w:spacing w:val="-10"/>
          <w:sz w:val="14"/>
          <w:szCs w:val="14"/>
          <w:lang w:val="en-US"/>
        </w:rPr>
        <w:t xml:space="preserve"> </w:t>
      </w:r>
      <w:r w:rsidRPr="005F0A67">
        <w:rPr>
          <w:rFonts w:asciiTheme="majorBidi" w:eastAsia="Arial" w:hAnsiTheme="majorBidi" w:cstheme="majorBidi"/>
          <w:color w:val="242424"/>
          <w:sz w:val="14"/>
          <w:szCs w:val="14"/>
          <w:lang w:val="en-US"/>
        </w:rPr>
        <w:t>the</w:t>
      </w:r>
      <w:r w:rsidRPr="005F0A67">
        <w:rPr>
          <w:rFonts w:asciiTheme="majorBidi" w:eastAsia="Arial" w:hAnsiTheme="majorBidi" w:cstheme="majorBidi"/>
          <w:color w:val="242424"/>
          <w:spacing w:val="-10"/>
          <w:sz w:val="14"/>
          <w:szCs w:val="14"/>
          <w:lang w:val="en-US"/>
        </w:rPr>
        <w:t xml:space="preserve"> </w:t>
      </w:r>
      <w:r w:rsidRPr="005F0A67">
        <w:rPr>
          <w:rFonts w:asciiTheme="majorBidi" w:eastAsia="Arial" w:hAnsiTheme="majorBidi" w:cstheme="majorBidi"/>
          <w:color w:val="242424"/>
          <w:sz w:val="14"/>
          <w:szCs w:val="14"/>
          <w:lang w:val="en-US"/>
        </w:rPr>
        <w:t>cost</w:t>
      </w:r>
      <w:r w:rsidRPr="005F0A67">
        <w:rPr>
          <w:rFonts w:asciiTheme="majorBidi" w:eastAsia="Arial" w:hAnsiTheme="majorBidi" w:cstheme="majorBidi"/>
          <w:color w:val="242424"/>
          <w:spacing w:val="40"/>
          <w:sz w:val="14"/>
          <w:szCs w:val="14"/>
          <w:lang w:val="en-US"/>
        </w:rPr>
        <w:t xml:space="preserve"> </w:t>
      </w:r>
      <w:r w:rsidRPr="005F0A67">
        <w:rPr>
          <w:rFonts w:asciiTheme="majorBidi" w:eastAsia="Arial" w:hAnsiTheme="majorBidi" w:cstheme="majorBidi"/>
          <w:color w:val="242424"/>
          <w:sz w:val="14"/>
          <w:szCs w:val="14"/>
          <w:lang w:val="en-US"/>
        </w:rPr>
        <w:t>by</w:t>
      </w:r>
      <w:r w:rsidRPr="005F0A67">
        <w:rPr>
          <w:rFonts w:asciiTheme="majorBidi" w:eastAsia="Arial" w:hAnsiTheme="majorBidi" w:cstheme="majorBidi"/>
          <w:color w:val="242424"/>
          <w:spacing w:val="-4"/>
          <w:sz w:val="14"/>
          <w:szCs w:val="14"/>
          <w:lang w:val="en-US"/>
        </w:rPr>
        <w:t xml:space="preserve"> </w:t>
      </w:r>
      <w:r w:rsidRPr="005F0A67">
        <w:rPr>
          <w:rFonts w:asciiTheme="majorBidi" w:eastAsia="Arial" w:hAnsiTheme="majorBidi" w:cstheme="majorBidi"/>
          <w:color w:val="242424"/>
          <w:sz w:val="14"/>
          <w:szCs w:val="14"/>
          <w:lang w:val="en-US"/>
        </w:rPr>
        <w:t>reducing</w:t>
      </w:r>
      <w:r w:rsidRPr="005F0A67">
        <w:rPr>
          <w:rFonts w:asciiTheme="majorBidi" w:eastAsia="Arial" w:hAnsiTheme="majorBidi" w:cstheme="majorBidi"/>
          <w:color w:val="242424"/>
          <w:spacing w:val="40"/>
          <w:sz w:val="14"/>
          <w:szCs w:val="14"/>
          <w:lang w:val="en-US"/>
        </w:rPr>
        <w:t xml:space="preserve"> </w:t>
      </w:r>
      <w:r w:rsidRPr="005F0A67">
        <w:rPr>
          <w:rFonts w:asciiTheme="majorBidi" w:eastAsia="Arial" w:hAnsiTheme="majorBidi" w:cstheme="majorBidi"/>
          <w:color w:val="242424"/>
          <w:sz w:val="14"/>
          <w:szCs w:val="14"/>
          <w:lang w:val="en-US"/>
        </w:rPr>
        <w:t>R&amp;D</w:t>
      </w:r>
      <w:r w:rsidRPr="005F0A67">
        <w:rPr>
          <w:rFonts w:asciiTheme="majorBidi" w:eastAsia="Arial" w:hAnsiTheme="majorBidi" w:cstheme="majorBidi"/>
          <w:color w:val="242424"/>
          <w:spacing w:val="-4"/>
          <w:sz w:val="14"/>
          <w:szCs w:val="14"/>
          <w:lang w:val="en-US"/>
        </w:rPr>
        <w:t xml:space="preserve"> </w:t>
      </w:r>
      <w:r w:rsidRPr="005F0A67">
        <w:rPr>
          <w:rFonts w:asciiTheme="majorBidi" w:eastAsia="Arial" w:hAnsiTheme="majorBidi" w:cstheme="majorBidi"/>
          <w:color w:val="242424"/>
          <w:sz w:val="14"/>
          <w:szCs w:val="14"/>
          <w:lang w:val="en-US"/>
        </w:rPr>
        <w:t>spending</w:t>
      </w:r>
    </w:p>
    <w:p w14:paraId="150689BE" w14:textId="77777777" w:rsidR="005F0A67" w:rsidRPr="005F0A67" w:rsidRDefault="005F0A67" w:rsidP="005F0A67">
      <w:pPr>
        <w:widowControl w:val="0"/>
        <w:tabs>
          <w:tab w:val="clear" w:pos="567"/>
          <w:tab w:val="clear" w:pos="1134"/>
          <w:tab w:val="clear" w:pos="1701"/>
          <w:tab w:val="clear" w:pos="2268"/>
        </w:tabs>
        <w:jc w:val="left"/>
        <w:rPr>
          <w:rFonts w:asciiTheme="majorBidi" w:eastAsia="Arial" w:hAnsiTheme="majorBidi" w:cstheme="majorBidi"/>
          <w:sz w:val="14"/>
          <w:szCs w:val="14"/>
          <w:lang w:val="en-US"/>
        </w:rPr>
      </w:pPr>
    </w:p>
    <w:p w14:paraId="36DEEB22" w14:textId="77777777" w:rsidR="005F0A67" w:rsidRPr="005F0A67" w:rsidRDefault="005F0A67" w:rsidP="005F0A67">
      <w:pPr>
        <w:widowControl w:val="0"/>
        <w:tabs>
          <w:tab w:val="clear" w:pos="567"/>
          <w:tab w:val="clear" w:pos="1134"/>
          <w:tab w:val="clear" w:pos="1701"/>
          <w:tab w:val="clear" w:pos="2268"/>
        </w:tabs>
        <w:spacing w:before="5"/>
        <w:jc w:val="left"/>
        <w:rPr>
          <w:rFonts w:asciiTheme="majorBidi" w:eastAsia="Arial" w:hAnsiTheme="majorBidi" w:cstheme="majorBidi"/>
          <w:sz w:val="14"/>
          <w:szCs w:val="14"/>
          <w:lang w:val="en-US"/>
        </w:rPr>
      </w:pPr>
    </w:p>
    <w:p w14:paraId="20EF382B" w14:textId="77777777" w:rsidR="005F0A67" w:rsidRPr="005F0A67" w:rsidRDefault="005F0A67" w:rsidP="005F0A67">
      <w:pPr>
        <w:widowControl w:val="0"/>
        <w:tabs>
          <w:tab w:val="clear" w:pos="567"/>
          <w:tab w:val="clear" w:pos="1134"/>
          <w:tab w:val="clear" w:pos="1701"/>
          <w:tab w:val="clear" w:pos="2268"/>
        </w:tabs>
        <w:ind w:left="825" w:right="6679"/>
        <w:jc w:val="left"/>
        <w:rPr>
          <w:rFonts w:asciiTheme="majorBidi" w:eastAsia="Arial" w:hAnsiTheme="majorBidi" w:cstheme="majorBidi"/>
          <w:sz w:val="14"/>
          <w:szCs w:val="14"/>
          <w:lang w:val="en-US"/>
        </w:rPr>
      </w:pPr>
      <w:r w:rsidRPr="005F0A67">
        <w:rPr>
          <w:rFonts w:asciiTheme="majorBidi" w:eastAsia="Arial" w:hAnsiTheme="majorBidi" w:cstheme="majorBidi"/>
          <w:noProof/>
          <w:sz w:val="14"/>
          <w:szCs w:val="14"/>
          <w:lang w:val="en-US"/>
        </w:rPr>
        <w:drawing>
          <wp:anchor distT="0" distB="0" distL="0" distR="0" simplePos="0" relativeHeight="251658309" behindDoc="0" locked="0" layoutInCell="1" allowOverlap="1" wp14:anchorId="7D99A8F3" wp14:editId="0AF35BDB">
            <wp:simplePos x="0" y="0"/>
            <wp:positionH relativeFrom="page">
              <wp:posOffset>2505075</wp:posOffset>
            </wp:positionH>
            <wp:positionV relativeFrom="paragraph">
              <wp:posOffset>109095</wp:posOffset>
            </wp:positionV>
            <wp:extent cx="127000" cy="127000"/>
            <wp:effectExtent l="0" t="0" r="0" b="0"/>
            <wp:wrapNone/>
            <wp:docPr id="156" name="Image 1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6" name="Image 156"/>
                    <pic:cNvPicPr/>
                  </pic:nvPicPr>
                  <pic:blipFill>
                    <a:blip r:embed="rId37" cstate="print"/>
                    <a:stretch>
                      <a:fillRect/>
                    </a:stretch>
                  </pic:blipFill>
                  <pic:spPr>
                    <a:xfrm>
                      <a:off x="0" y="0"/>
                      <a:ext cx="127000" cy="127000"/>
                    </a:xfrm>
                    <a:prstGeom prst="rect">
                      <a:avLst/>
                    </a:prstGeom>
                  </pic:spPr>
                </pic:pic>
              </a:graphicData>
            </a:graphic>
          </wp:anchor>
        </w:drawing>
      </w:r>
      <w:r w:rsidRPr="005F0A67">
        <w:rPr>
          <w:rFonts w:asciiTheme="majorBidi" w:eastAsia="Arial" w:hAnsiTheme="majorBidi" w:cstheme="majorBidi"/>
          <w:noProof/>
          <w:sz w:val="14"/>
          <w:szCs w:val="14"/>
          <w:lang w:val="en-US"/>
        </w:rPr>
        <w:drawing>
          <wp:anchor distT="0" distB="0" distL="0" distR="0" simplePos="0" relativeHeight="251658310" behindDoc="0" locked="0" layoutInCell="1" allowOverlap="1" wp14:anchorId="3517917D" wp14:editId="64353356">
            <wp:simplePos x="0" y="0"/>
            <wp:positionH relativeFrom="page">
              <wp:posOffset>3159125</wp:posOffset>
            </wp:positionH>
            <wp:positionV relativeFrom="paragraph">
              <wp:posOffset>109095</wp:posOffset>
            </wp:positionV>
            <wp:extent cx="127000" cy="127000"/>
            <wp:effectExtent l="0" t="0" r="0" b="0"/>
            <wp:wrapNone/>
            <wp:docPr id="157" name="Image 1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7" name="Image 157"/>
                    <pic:cNvPicPr/>
                  </pic:nvPicPr>
                  <pic:blipFill>
                    <a:blip r:embed="rId46" cstate="print"/>
                    <a:stretch>
                      <a:fillRect/>
                    </a:stretch>
                  </pic:blipFill>
                  <pic:spPr>
                    <a:xfrm>
                      <a:off x="0" y="0"/>
                      <a:ext cx="127000" cy="127000"/>
                    </a:xfrm>
                    <a:prstGeom prst="rect">
                      <a:avLst/>
                    </a:prstGeom>
                  </pic:spPr>
                </pic:pic>
              </a:graphicData>
            </a:graphic>
          </wp:anchor>
        </w:drawing>
      </w:r>
      <w:r w:rsidRPr="005F0A67">
        <w:rPr>
          <w:rFonts w:asciiTheme="majorBidi" w:eastAsia="Arial" w:hAnsiTheme="majorBidi" w:cstheme="majorBidi"/>
          <w:noProof/>
          <w:sz w:val="14"/>
          <w:szCs w:val="14"/>
          <w:lang w:val="en-US"/>
        </w:rPr>
        <w:drawing>
          <wp:anchor distT="0" distB="0" distL="0" distR="0" simplePos="0" relativeHeight="251658311" behindDoc="0" locked="0" layoutInCell="1" allowOverlap="1" wp14:anchorId="67FF5CA8" wp14:editId="4A9280E2">
            <wp:simplePos x="0" y="0"/>
            <wp:positionH relativeFrom="page">
              <wp:posOffset>3813175</wp:posOffset>
            </wp:positionH>
            <wp:positionV relativeFrom="paragraph">
              <wp:posOffset>109095</wp:posOffset>
            </wp:positionV>
            <wp:extent cx="127000" cy="127000"/>
            <wp:effectExtent l="0" t="0" r="0" b="0"/>
            <wp:wrapNone/>
            <wp:docPr id="158" name="Image 1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8" name="Image 158"/>
                    <pic:cNvPicPr/>
                  </pic:nvPicPr>
                  <pic:blipFill>
                    <a:blip r:embed="rId47" cstate="print"/>
                    <a:stretch>
                      <a:fillRect/>
                    </a:stretch>
                  </pic:blipFill>
                  <pic:spPr>
                    <a:xfrm>
                      <a:off x="0" y="0"/>
                      <a:ext cx="127000" cy="127000"/>
                    </a:xfrm>
                    <a:prstGeom prst="rect">
                      <a:avLst/>
                    </a:prstGeom>
                  </pic:spPr>
                </pic:pic>
              </a:graphicData>
            </a:graphic>
          </wp:anchor>
        </w:drawing>
      </w:r>
      <w:r w:rsidRPr="005F0A67">
        <w:rPr>
          <w:rFonts w:asciiTheme="majorBidi" w:eastAsia="Arial" w:hAnsiTheme="majorBidi" w:cstheme="majorBidi"/>
          <w:noProof/>
          <w:sz w:val="14"/>
          <w:szCs w:val="14"/>
          <w:lang w:val="en-US"/>
        </w:rPr>
        <w:drawing>
          <wp:anchor distT="0" distB="0" distL="0" distR="0" simplePos="0" relativeHeight="251658312" behindDoc="0" locked="0" layoutInCell="1" allowOverlap="1" wp14:anchorId="71672E7F" wp14:editId="1E6FBA85">
            <wp:simplePos x="0" y="0"/>
            <wp:positionH relativeFrom="page">
              <wp:posOffset>4467225</wp:posOffset>
            </wp:positionH>
            <wp:positionV relativeFrom="paragraph">
              <wp:posOffset>109095</wp:posOffset>
            </wp:positionV>
            <wp:extent cx="127000" cy="127000"/>
            <wp:effectExtent l="0" t="0" r="0" b="0"/>
            <wp:wrapNone/>
            <wp:docPr id="159" name="Image 1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9" name="Image 159"/>
                    <pic:cNvPicPr/>
                  </pic:nvPicPr>
                  <pic:blipFill>
                    <a:blip r:embed="rId46" cstate="print"/>
                    <a:stretch>
                      <a:fillRect/>
                    </a:stretch>
                  </pic:blipFill>
                  <pic:spPr>
                    <a:xfrm>
                      <a:off x="0" y="0"/>
                      <a:ext cx="127000" cy="127000"/>
                    </a:xfrm>
                    <a:prstGeom prst="rect">
                      <a:avLst/>
                    </a:prstGeom>
                  </pic:spPr>
                </pic:pic>
              </a:graphicData>
            </a:graphic>
          </wp:anchor>
        </w:drawing>
      </w:r>
      <w:r w:rsidRPr="005F0A67">
        <w:rPr>
          <w:rFonts w:asciiTheme="majorBidi" w:eastAsia="Arial" w:hAnsiTheme="majorBidi" w:cstheme="majorBidi"/>
          <w:noProof/>
          <w:sz w:val="14"/>
          <w:szCs w:val="14"/>
          <w:lang w:val="en-US"/>
        </w:rPr>
        <w:drawing>
          <wp:anchor distT="0" distB="0" distL="0" distR="0" simplePos="0" relativeHeight="251658313" behindDoc="0" locked="0" layoutInCell="1" allowOverlap="1" wp14:anchorId="3F5347E0" wp14:editId="78F921C1">
            <wp:simplePos x="0" y="0"/>
            <wp:positionH relativeFrom="page">
              <wp:posOffset>5121275</wp:posOffset>
            </wp:positionH>
            <wp:positionV relativeFrom="paragraph">
              <wp:posOffset>109095</wp:posOffset>
            </wp:positionV>
            <wp:extent cx="127000" cy="127000"/>
            <wp:effectExtent l="0" t="0" r="0" b="0"/>
            <wp:wrapNone/>
            <wp:docPr id="160" name="Image 1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0" name="Image 160"/>
                    <pic:cNvPicPr/>
                  </pic:nvPicPr>
                  <pic:blipFill>
                    <a:blip r:embed="rId37" cstate="print"/>
                    <a:stretch>
                      <a:fillRect/>
                    </a:stretch>
                  </pic:blipFill>
                  <pic:spPr>
                    <a:xfrm>
                      <a:off x="0" y="0"/>
                      <a:ext cx="127000" cy="127000"/>
                    </a:xfrm>
                    <a:prstGeom prst="rect">
                      <a:avLst/>
                    </a:prstGeom>
                  </pic:spPr>
                </pic:pic>
              </a:graphicData>
            </a:graphic>
          </wp:anchor>
        </w:drawing>
      </w:r>
      <w:r w:rsidRPr="005F0A67">
        <w:rPr>
          <w:rFonts w:asciiTheme="majorBidi" w:eastAsia="Arial" w:hAnsiTheme="majorBidi" w:cstheme="majorBidi"/>
          <w:noProof/>
          <w:sz w:val="14"/>
          <w:szCs w:val="14"/>
          <w:lang w:val="en-US"/>
        </w:rPr>
        <w:drawing>
          <wp:anchor distT="0" distB="0" distL="0" distR="0" simplePos="0" relativeHeight="251658314" behindDoc="0" locked="0" layoutInCell="1" allowOverlap="1" wp14:anchorId="0890F0F6" wp14:editId="3B78CCFB">
            <wp:simplePos x="0" y="0"/>
            <wp:positionH relativeFrom="page">
              <wp:posOffset>5775325</wp:posOffset>
            </wp:positionH>
            <wp:positionV relativeFrom="paragraph">
              <wp:posOffset>109095</wp:posOffset>
            </wp:positionV>
            <wp:extent cx="127000" cy="127000"/>
            <wp:effectExtent l="0" t="0" r="0" b="0"/>
            <wp:wrapNone/>
            <wp:docPr id="161" name="Image 1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1" name="Image 161"/>
                    <pic:cNvPicPr/>
                  </pic:nvPicPr>
                  <pic:blipFill>
                    <a:blip r:embed="rId48" cstate="print"/>
                    <a:stretch>
                      <a:fillRect/>
                    </a:stretch>
                  </pic:blipFill>
                  <pic:spPr>
                    <a:xfrm>
                      <a:off x="0" y="0"/>
                      <a:ext cx="127000" cy="127000"/>
                    </a:xfrm>
                    <a:prstGeom prst="rect">
                      <a:avLst/>
                    </a:prstGeom>
                  </pic:spPr>
                </pic:pic>
              </a:graphicData>
            </a:graphic>
          </wp:anchor>
        </w:drawing>
      </w:r>
      <w:r w:rsidRPr="005F0A67">
        <w:rPr>
          <w:rFonts w:asciiTheme="majorBidi" w:eastAsia="Arial" w:hAnsiTheme="majorBidi" w:cstheme="majorBidi"/>
          <w:color w:val="242424"/>
          <w:sz w:val="14"/>
          <w:szCs w:val="14"/>
          <w:lang w:val="en-US"/>
        </w:rPr>
        <w:t>Absorb</w:t>
      </w:r>
      <w:r w:rsidRPr="005F0A67">
        <w:rPr>
          <w:rFonts w:asciiTheme="majorBidi" w:eastAsia="Arial" w:hAnsiTheme="majorBidi" w:cstheme="majorBidi"/>
          <w:color w:val="242424"/>
          <w:spacing w:val="-10"/>
          <w:sz w:val="14"/>
          <w:szCs w:val="14"/>
          <w:lang w:val="en-US"/>
        </w:rPr>
        <w:t xml:space="preserve"> </w:t>
      </w:r>
      <w:r w:rsidRPr="005F0A67">
        <w:rPr>
          <w:rFonts w:asciiTheme="majorBidi" w:eastAsia="Arial" w:hAnsiTheme="majorBidi" w:cstheme="majorBidi"/>
          <w:color w:val="242424"/>
          <w:sz w:val="14"/>
          <w:szCs w:val="14"/>
          <w:lang w:val="en-US"/>
        </w:rPr>
        <w:t>the</w:t>
      </w:r>
      <w:r w:rsidRPr="005F0A67">
        <w:rPr>
          <w:rFonts w:asciiTheme="majorBidi" w:eastAsia="Arial" w:hAnsiTheme="majorBidi" w:cstheme="majorBidi"/>
          <w:color w:val="242424"/>
          <w:spacing w:val="-10"/>
          <w:sz w:val="14"/>
          <w:szCs w:val="14"/>
          <w:lang w:val="en-US"/>
        </w:rPr>
        <w:t xml:space="preserve"> </w:t>
      </w:r>
      <w:r w:rsidRPr="005F0A67">
        <w:rPr>
          <w:rFonts w:asciiTheme="majorBidi" w:eastAsia="Arial" w:hAnsiTheme="majorBidi" w:cstheme="majorBidi"/>
          <w:color w:val="242424"/>
          <w:sz w:val="14"/>
          <w:szCs w:val="14"/>
          <w:lang w:val="en-US"/>
        </w:rPr>
        <w:t>cost</w:t>
      </w:r>
      <w:r w:rsidRPr="005F0A67">
        <w:rPr>
          <w:rFonts w:asciiTheme="majorBidi" w:eastAsia="Arial" w:hAnsiTheme="majorBidi" w:cstheme="majorBidi"/>
          <w:color w:val="242424"/>
          <w:spacing w:val="40"/>
          <w:sz w:val="14"/>
          <w:szCs w:val="14"/>
          <w:lang w:val="en-US"/>
        </w:rPr>
        <w:t xml:space="preserve"> </w:t>
      </w:r>
      <w:r w:rsidRPr="005F0A67">
        <w:rPr>
          <w:rFonts w:asciiTheme="majorBidi" w:eastAsia="Arial" w:hAnsiTheme="majorBidi" w:cstheme="majorBidi"/>
          <w:color w:val="242424"/>
          <w:sz w:val="14"/>
          <w:szCs w:val="14"/>
          <w:lang w:val="en-US"/>
        </w:rPr>
        <w:t>by</w:t>
      </w:r>
      <w:r w:rsidRPr="005F0A67">
        <w:rPr>
          <w:rFonts w:asciiTheme="majorBidi" w:eastAsia="Arial" w:hAnsiTheme="majorBidi" w:cstheme="majorBidi"/>
          <w:color w:val="242424"/>
          <w:spacing w:val="-4"/>
          <w:sz w:val="14"/>
          <w:szCs w:val="14"/>
          <w:lang w:val="en-US"/>
        </w:rPr>
        <w:t xml:space="preserve"> </w:t>
      </w:r>
      <w:r w:rsidRPr="005F0A67">
        <w:rPr>
          <w:rFonts w:asciiTheme="majorBidi" w:eastAsia="Arial" w:hAnsiTheme="majorBidi" w:cstheme="majorBidi"/>
          <w:color w:val="242424"/>
          <w:sz w:val="14"/>
          <w:szCs w:val="14"/>
          <w:lang w:val="en-US"/>
        </w:rPr>
        <w:t>reduced</w:t>
      </w:r>
      <w:r w:rsidRPr="005F0A67">
        <w:rPr>
          <w:rFonts w:asciiTheme="majorBidi" w:eastAsia="Arial" w:hAnsiTheme="majorBidi" w:cstheme="majorBidi"/>
          <w:color w:val="242424"/>
          <w:spacing w:val="40"/>
          <w:sz w:val="14"/>
          <w:szCs w:val="14"/>
          <w:lang w:val="en-US"/>
        </w:rPr>
        <w:t xml:space="preserve"> </w:t>
      </w:r>
      <w:r w:rsidRPr="005F0A67">
        <w:rPr>
          <w:rFonts w:asciiTheme="majorBidi" w:eastAsia="Arial" w:hAnsiTheme="majorBidi" w:cstheme="majorBidi"/>
          <w:color w:val="242424"/>
          <w:spacing w:val="-2"/>
          <w:sz w:val="14"/>
          <w:szCs w:val="14"/>
          <w:lang w:val="en-US"/>
        </w:rPr>
        <w:t>hiring</w:t>
      </w:r>
    </w:p>
    <w:p w14:paraId="144A81AC" w14:textId="77777777" w:rsidR="005F0A67" w:rsidRPr="005F0A67" w:rsidRDefault="005F0A67" w:rsidP="005F0A67">
      <w:pPr>
        <w:widowControl w:val="0"/>
        <w:tabs>
          <w:tab w:val="clear" w:pos="567"/>
          <w:tab w:val="clear" w:pos="1134"/>
          <w:tab w:val="clear" w:pos="1701"/>
          <w:tab w:val="clear" w:pos="2268"/>
        </w:tabs>
        <w:jc w:val="left"/>
        <w:rPr>
          <w:rFonts w:asciiTheme="majorBidi" w:eastAsia="Arial" w:hAnsiTheme="majorBidi" w:cstheme="majorBidi"/>
          <w:sz w:val="14"/>
          <w:szCs w:val="14"/>
          <w:lang w:val="en-US"/>
        </w:rPr>
      </w:pPr>
    </w:p>
    <w:p w14:paraId="095D51DE" w14:textId="77777777" w:rsidR="005F0A67" w:rsidRPr="005F0A67" w:rsidRDefault="005F0A67" w:rsidP="005F0A67">
      <w:pPr>
        <w:widowControl w:val="0"/>
        <w:tabs>
          <w:tab w:val="clear" w:pos="567"/>
          <w:tab w:val="clear" w:pos="1134"/>
          <w:tab w:val="clear" w:pos="1701"/>
          <w:tab w:val="clear" w:pos="2268"/>
        </w:tabs>
        <w:spacing w:before="5"/>
        <w:jc w:val="left"/>
        <w:rPr>
          <w:rFonts w:asciiTheme="majorBidi" w:eastAsia="Arial" w:hAnsiTheme="majorBidi" w:cstheme="majorBidi"/>
          <w:sz w:val="14"/>
          <w:szCs w:val="14"/>
          <w:lang w:val="en-US"/>
        </w:rPr>
      </w:pPr>
    </w:p>
    <w:p w14:paraId="5C1A75D5" w14:textId="77777777" w:rsidR="005F0A67" w:rsidRPr="005F0A67" w:rsidRDefault="005F0A67" w:rsidP="005F0A67">
      <w:pPr>
        <w:widowControl w:val="0"/>
        <w:tabs>
          <w:tab w:val="clear" w:pos="567"/>
          <w:tab w:val="clear" w:pos="1134"/>
          <w:tab w:val="clear" w:pos="1701"/>
          <w:tab w:val="clear" w:pos="2268"/>
        </w:tabs>
        <w:ind w:left="825" w:right="6200"/>
        <w:jc w:val="left"/>
        <w:rPr>
          <w:rFonts w:asciiTheme="majorBidi" w:eastAsia="Arial" w:hAnsiTheme="majorBidi" w:cstheme="majorBidi"/>
          <w:sz w:val="14"/>
          <w:szCs w:val="14"/>
          <w:lang w:val="en-US"/>
        </w:rPr>
      </w:pPr>
      <w:r w:rsidRPr="005F0A67">
        <w:rPr>
          <w:rFonts w:asciiTheme="majorBidi" w:eastAsia="Arial" w:hAnsiTheme="majorBidi" w:cstheme="majorBidi"/>
          <w:noProof/>
          <w:sz w:val="14"/>
          <w:szCs w:val="14"/>
          <w:lang w:val="en-US"/>
        </w:rPr>
        <w:drawing>
          <wp:anchor distT="0" distB="0" distL="0" distR="0" simplePos="0" relativeHeight="251658315" behindDoc="0" locked="0" layoutInCell="1" allowOverlap="1" wp14:anchorId="245C9B31" wp14:editId="0FBA70C2">
            <wp:simplePos x="0" y="0"/>
            <wp:positionH relativeFrom="page">
              <wp:posOffset>2505075</wp:posOffset>
            </wp:positionH>
            <wp:positionV relativeFrom="paragraph">
              <wp:posOffset>58339</wp:posOffset>
            </wp:positionV>
            <wp:extent cx="127000" cy="127000"/>
            <wp:effectExtent l="0" t="0" r="0" b="0"/>
            <wp:wrapNone/>
            <wp:docPr id="162" name="Image 1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2" name="Image 162"/>
                    <pic:cNvPicPr/>
                  </pic:nvPicPr>
                  <pic:blipFill>
                    <a:blip r:embed="rId53" cstate="print"/>
                    <a:stretch>
                      <a:fillRect/>
                    </a:stretch>
                  </pic:blipFill>
                  <pic:spPr>
                    <a:xfrm>
                      <a:off x="0" y="0"/>
                      <a:ext cx="127000" cy="127000"/>
                    </a:xfrm>
                    <a:prstGeom prst="rect">
                      <a:avLst/>
                    </a:prstGeom>
                  </pic:spPr>
                </pic:pic>
              </a:graphicData>
            </a:graphic>
          </wp:anchor>
        </w:drawing>
      </w:r>
      <w:r w:rsidRPr="005F0A67">
        <w:rPr>
          <w:rFonts w:asciiTheme="majorBidi" w:eastAsia="Arial" w:hAnsiTheme="majorBidi" w:cstheme="majorBidi"/>
          <w:noProof/>
          <w:sz w:val="14"/>
          <w:szCs w:val="14"/>
          <w:lang w:val="en-US"/>
        </w:rPr>
        <w:drawing>
          <wp:anchor distT="0" distB="0" distL="0" distR="0" simplePos="0" relativeHeight="251658316" behindDoc="0" locked="0" layoutInCell="1" allowOverlap="1" wp14:anchorId="7E8480AA" wp14:editId="3C48F0D2">
            <wp:simplePos x="0" y="0"/>
            <wp:positionH relativeFrom="page">
              <wp:posOffset>3159125</wp:posOffset>
            </wp:positionH>
            <wp:positionV relativeFrom="paragraph">
              <wp:posOffset>58339</wp:posOffset>
            </wp:positionV>
            <wp:extent cx="127000" cy="127000"/>
            <wp:effectExtent l="0" t="0" r="0" b="0"/>
            <wp:wrapNone/>
            <wp:docPr id="163" name="Image 1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3" name="Image 163"/>
                    <pic:cNvPicPr/>
                  </pic:nvPicPr>
                  <pic:blipFill>
                    <a:blip r:embed="rId53" cstate="print"/>
                    <a:stretch>
                      <a:fillRect/>
                    </a:stretch>
                  </pic:blipFill>
                  <pic:spPr>
                    <a:xfrm>
                      <a:off x="0" y="0"/>
                      <a:ext cx="127000" cy="127000"/>
                    </a:xfrm>
                    <a:prstGeom prst="rect">
                      <a:avLst/>
                    </a:prstGeom>
                  </pic:spPr>
                </pic:pic>
              </a:graphicData>
            </a:graphic>
          </wp:anchor>
        </w:drawing>
      </w:r>
      <w:r w:rsidRPr="005F0A67">
        <w:rPr>
          <w:rFonts w:asciiTheme="majorBidi" w:eastAsia="Arial" w:hAnsiTheme="majorBidi" w:cstheme="majorBidi"/>
          <w:noProof/>
          <w:sz w:val="14"/>
          <w:szCs w:val="14"/>
          <w:lang w:val="en-US"/>
        </w:rPr>
        <w:drawing>
          <wp:anchor distT="0" distB="0" distL="0" distR="0" simplePos="0" relativeHeight="251658317" behindDoc="0" locked="0" layoutInCell="1" allowOverlap="1" wp14:anchorId="554B73E4" wp14:editId="4AA9D63B">
            <wp:simplePos x="0" y="0"/>
            <wp:positionH relativeFrom="page">
              <wp:posOffset>3813175</wp:posOffset>
            </wp:positionH>
            <wp:positionV relativeFrom="paragraph">
              <wp:posOffset>58339</wp:posOffset>
            </wp:positionV>
            <wp:extent cx="127000" cy="127000"/>
            <wp:effectExtent l="0" t="0" r="0" b="0"/>
            <wp:wrapNone/>
            <wp:docPr id="164" name="Image 1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4" name="Image 164"/>
                    <pic:cNvPicPr/>
                  </pic:nvPicPr>
                  <pic:blipFill>
                    <a:blip r:embed="rId55" cstate="print"/>
                    <a:stretch>
                      <a:fillRect/>
                    </a:stretch>
                  </pic:blipFill>
                  <pic:spPr>
                    <a:xfrm>
                      <a:off x="0" y="0"/>
                      <a:ext cx="127000" cy="127000"/>
                    </a:xfrm>
                    <a:prstGeom prst="rect">
                      <a:avLst/>
                    </a:prstGeom>
                  </pic:spPr>
                </pic:pic>
              </a:graphicData>
            </a:graphic>
          </wp:anchor>
        </w:drawing>
      </w:r>
      <w:r w:rsidRPr="005F0A67">
        <w:rPr>
          <w:rFonts w:asciiTheme="majorBidi" w:eastAsia="Arial" w:hAnsiTheme="majorBidi" w:cstheme="majorBidi"/>
          <w:noProof/>
          <w:sz w:val="14"/>
          <w:szCs w:val="14"/>
          <w:lang w:val="en-US"/>
        </w:rPr>
        <w:drawing>
          <wp:anchor distT="0" distB="0" distL="0" distR="0" simplePos="0" relativeHeight="251658318" behindDoc="0" locked="0" layoutInCell="1" allowOverlap="1" wp14:anchorId="708C7E8E" wp14:editId="58E007B8">
            <wp:simplePos x="0" y="0"/>
            <wp:positionH relativeFrom="page">
              <wp:posOffset>4467225</wp:posOffset>
            </wp:positionH>
            <wp:positionV relativeFrom="paragraph">
              <wp:posOffset>58339</wp:posOffset>
            </wp:positionV>
            <wp:extent cx="127000" cy="127000"/>
            <wp:effectExtent l="0" t="0" r="0" b="0"/>
            <wp:wrapNone/>
            <wp:docPr id="165" name="Image 1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5" name="Image 165"/>
                    <pic:cNvPicPr/>
                  </pic:nvPicPr>
                  <pic:blipFill>
                    <a:blip r:embed="rId53" cstate="print"/>
                    <a:stretch>
                      <a:fillRect/>
                    </a:stretch>
                  </pic:blipFill>
                  <pic:spPr>
                    <a:xfrm>
                      <a:off x="0" y="0"/>
                      <a:ext cx="127000" cy="127000"/>
                    </a:xfrm>
                    <a:prstGeom prst="rect">
                      <a:avLst/>
                    </a:prstGeom>
                  </pic:spPr>
                </pic:pic>
              </a:graphicData>
            </a:graphic>
          </wp:anchor>
        </w:drawing>
      </w:r>
      <w:r w:rsidRPr="005F0A67">
        <w:rPr>
          <w:rFonts w:asciiTheme="majorBidi" w:eastAsia="Arial" w:hAnsiTheme="majorBidi" w:cstheme="majorBidi"/>
          <w:noProof/>
          <w:sz w:val="14"/>
          <w:szCs w:val="14"/>
          <w:lang w:val="en-US"/>
        </w:rPr>
        <w:drawing>
          <wp:anchor distT="0" distB="0" distL="0" distR="0" simplePos="0" relativeHeight="251658319" behindDoc="0" locked="0" layoutInCell="1" allowOverlap="1" wp14:anchorId="2594FAAF" wp14:editId="5F61C112">
            <wp:simplePos x="0" y="0"/>
            <wp:positionH relativeFrom="page">
              <wp:posOffset>5121275</wp:posOffset>
            </wp:positionH>
            <wp:positionV relativeFrom="paragraph">
              <wp:posOffset>58339</wp:posOffset>
            </wp:positionV>
            <wp:extent cx="127000" cy="127000"/>
            <wp:effectExtent l="0" t="0" r="0" b="0"/>
            <wp:wrapNone/>
            <wp:docPr id="166" name="Image 1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6" name="Image 166"/>
                    <pic:cNvPicPr/>
                  </pic:nvPicPr>
                  <pic:blipFill>
                    <a:blip r:embed="rId53" cstate="print"/>
                    <a:stretch>
                      <a:fillRect/>
                    </a:stretch>
                  </pic:blipFill>
                  <pic:spPr>
                    <a:xfrm>
                      <a:off x="0" y="0"/>
                      <a:ext cx="127000" cy="127000"/>
                    </a:xfrm>
                    <a:prstGeom prst="rect">
                      <a:avLst/>
                    </a:prstGeom>
                  </pic:spPr>
                </pic:pic>
              </a:graphicData>
            </a:graphic>
          </wp:anchor>
        </w:drawing>
      </w:r>
      <w:r w:rsidRPr="005F0A67">
        <w:rPr>
          <w:rFonts w:asciiTheme="majorBidi" w:eastAsia="Arial" w:hAnsiTheme="majorBidi" w:cstheme="majorBidi"/>
          <w:noProof/>
          <w:sz w:val="14"/>
          <w:szCs w:val="14"/>
          <w:lang w:val="en-US"/>
        </w:rPr>
        <w:drawing>
          <wp:anchor distT="0" distB="0" distL="0" distR="0" simplePos="0" relativeHeight="251658320" behindDoc="0" locked="0" layoutInCell="1" allowOverlap="1" wp14:anchorId="4438C3E7" wp14:editId="50C05221">
            <wp:simplePos x="0" y="0"/>
            <wp:positionH relativeFrom="page">
              <wp:posOffset>5775325</wp:posOffset>
            </wp:positionH>
            <wp:positionV relativeFrom="paragraph">
              <wp:posOffset>58339</wp:posOffset>
            </wp:positionV>
            <wp:extent cx="127000" cy="127000"/>
            <wp:effectExtent l="0" t="0" r="0" b="0"/>
            <wp:wrapNone/>
            <wp:docPr id="167" name="Image 1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7" name="Image 167"/>
                    <pic:cNvPicPr/>
                  </pic:nvPicPr>
                  <pic:blipFill>
                    <a:blip r:embed="rId56" cstate="print"/>
                    <a:stretch>
                      <a:fillRect/>
                    </a:stretch>
                  </pic:blipFill>
                  <pic:spPr>
                    <a:xfrm>
                      <a:off x="0" y="0"/>
                      <a:ext cx="127000" cy="127000"/>
                    </a:xfrm>
                    <a:prstGeom prst="rect">
                      <a:avLst/>
                    </a:prstGeom>
                  </pic:spPr>
                </pic:pic>
              </a:graphicData>
            </a:graphic>
          </wp:anchor>
        </w:drawing>
      </w:r>
      <w:r w:rsidRPr="005F0A67">
        <w:rPr>
          <w:rFonts w:asciiTheme="majorBidi" w:eastAsia="Arial" w:hAnsiTheme="majorBidi" w:cstheme="majorBidi"/>
          <w:color w:val="242424"/>
          <w:spacing w:val="-2"/>
          <w:sz w:val="14"/>
          <w:szCs w:val="14"/>
          <w:lang w:val="en-US"/>
        </w:rPr>
        <w:t>Delay</w:t>
      </w:r>
      <w:r w:rsidRPr="005F0A67">
        <w:rPr>
          <w:rFonts w:asciiTheme="majorBidi" w:eastAsia="Arial" w:hAnsiTheme="majorBidi" w:cstheme="majorBidi"/>
          <w:color w:val="242424"/>
          <w:spacing w:val="-8"/>
          <w:sz w:val="14"/>
          <w:szCs w:val="14"/>
          <w:lang w:val="en-US"/>
        </w:rPr>
        <w:t xml:space="preserve"> </w:t>
      </w:r>
      <w:r w:rsidRPr="005F0A67">
        <w:rPr>
          <w:rFonts w:asciiTheme="majorBidi" w:eastAsia="Arial" w:hAnsiTheme="majorBidi" w:cstheme="majorBidi"/>
          <w:color w:val="242424"/>
          <w:spacing w:val="-2"/>
          <w:sz w:val="14"/>
          <w:szCs w:val="14"/>
          <w:lang w:val="en-US"/>
        </w:rPr>
        <w:t>capital</w:t>
      </w:r>
      <w:r w:rsidRPr="005F0A67">
        <w:rPr>
          <w:rFonts w:asciiTheme="majorBidi" w:eastAsia="Arial" w:hAnsiTheme="majorBidi" w:cstheme="majorBidi"/>
          <w:color w:val="242424"/>
          <w:spacing w:val="40"/>
          <w:sz w:val="14"/>
          <w:szCs w:val="14"/>
          <w:lang w:val="en-US"/>
        </w:rPr>
        <w:t xml:space="preserve"> </w:t>
      </w:r>
      <w:r w:rsidRPr="005F0A67">
        <w:rPr>
          <w:rFonts w:asciiTheme="majorBidi" w:eastAsia="Arial" w:hAnsiTheme="majorBidi" w:cstheme="majorBidi"/>
          <w:color w:val="242424"/>
          <w:spacing w:val="-2"/>
          <w:sz w:val="14"/>
          <w:szCs w:val="14"/>
          <w:lang w:val="en-US"/>
        </w:rPr>
        <w:t>investments</w:t>
      </w:r>
    </w:p>
    <w:p w14:paraId="7E275174" w14:textId="77777777" w:rsidR="005F0A67" w:rsidRPr="005F0A67" w:rsidRDefault="005F0A67" w:rsidP="005F0A67">
      <w:pPr>
        <w:widowControl w:val="0"/>
        <w:tabs>
          <w:tab w:val="clear" w:pos="567"/>
          <w:tab w:val="clear" w:pos="1134"/>
          <w:tab w:val="clear" w:pos="1701"/>
          <w:tab w:val="clear" w:pos="2268"/>
        </w:tabs>
        <w:jc w:val="left"/>
        <w:rPr>
          <w:rFonts w:asciiTheme="majorBidi" w:eastAsia="Arial" w:hAnsiTheme="majorBidi" w:cstheme="majorBidi"/>
          <w:sz w:val="14"/>
          <w:szCs w:val="14"/>
          <w:lang w:val="en-US"/>
        </w:rPr>
      </w:pPr>
    </w:p>
    <w:p w14:paraId="456CD09E" w14:textId="77777777" w:rsidR="005F0A67" w:rsidRPr="005F0A67" w:rsidRDefault="005F0A67" w:rsidP="005F0A67">
      <w:pPr>
        <w:widowControl w:val="0"/>
        <w:tabs>
          <w:tab w:val="clear" w:pos="567"/>
          <w:tab w:val="clear" w:pos="1134"/>
          <w:tab w:val="clear" w:pos="1701"/>
          <w:tab w:val="clear" w:pos="2268"/>
        </w:tabs>
        <w:spacing w:before="6"/>
        <w:jc w:val="left"/>
        <w:rPr>
          <w:rFonts w:asciiTheme="majorBidi" w:eastAsia="Arial" w:hAnsiTheme="majorBidi" w:cstheme="majorBidi"/>
          <w:sz w:val="14"/>
          <w:szCs w:val="14"/>
          <w:lang w:val="en-US"/>
        </w:rPr>
      </w:pPr>
    </w:p>
    <w:p w14:paraId="7A8C1270" w14:textId="77777777" w:rsidR="005F0A67" w:rsidRPr="005F0A67" w:rsidRDefault="005F0A67" w:rsidP="005F0A67">
      <w:pPr>
        <w:widowControl w:val="0"/>
        <w:tabs>
          <w:tab w:val="clear" w:pos="567"/>
          <w:tab w:val="clear" w:pos="1134"/>
          <w:tab w:val="clear" w:pos="1701"/>
          <w:tab w:val="clear" w:pos="2268"/>
        </w:tabs>
        <w:ind w:left="825" w:right="6607"/>
        <w:jc w:val="left"/>
        <w:rPr>
          <w:rFonts w:asciiTheme="majorBidi" w:eastAsia="Arial" w:hAnsiTheme="majorBidi" w:cstheme="majorBidi"/>
          <w:sz w:val="14"/>
          <w:szCs w:val="14"/>
          <w:lang w:val="en-US"/>
        </w:rPr>
      </w:pPr>
      <w:r w:rsidRPr="005F0A67">
        <w:rPr>
          <w:rFonts w:asciiTheme="majorBidi" w:eastAsia="Arial" w:hAnsiTheme="majorBidi" w:cstheme="majorBidi"/>
          <w:noProof/>
          <w:sz w:val="14"/>
          <w:szCs w:val="14"/>
          <w:lang w:val="en-US"/>
        </w:rPr>
        <w:drawing>
          <wp:anchor distT="0" distB="0" distL="0" distR="0" simplePos="0" relativeHeight="251658321" behindDoc="0" locked="0" layoutInCell="1" allowOverlap="1" wp14:anchorId="7D1B9453" wp14:editId="26163A47">
            <wp:simplePos x="0" y="0"/>
            <wp:positionH relativeFrom="page">
              <wp:posOffset>2505075</wp:posOffset>
            </wp:positionH>
            <wp:positionV relativeFrom="paragraph">
              <wp:posOffset>109174</wp:posOffset>
            </wp:positionV>
            <wp:extent cx="127000" cy="127000"/>
            <wp:effectExtent l="0" t="0" r="0" b="0"/>
            <wp:wrapNone/>
            <wp:docPr id="168" name="Image 1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8" name="Image 168"/>
                    <pic:cNvPicPr/>
                  </pic:nvPicPr>
                  <pic:blipFill>
                    <a:blip r:embed="rId42" cstate="print"/>
                    <a:stretch>
                      <a:fillRect/>
                    </a:stretch>
                  </pic:blipFill>
                  <pic:spPr>
                    <a:xfrm>
                      <a:off x="0" y="0"/>
                      <a:ext cx="127000" cy="127000"/>
                    </a:xfrm>
                    <a:prstGeom prst="rect">
                      <a:avLst/>
                    </a:prstGeom>
                  </pic:spPr>
                </pic:pic>
              </a:graphicData>
            </a:graphic>
          </wp:anchor>
        </w:drawing>
      </w:r>
      <w:r w:rsidRPr="005F0A67">
        <w:rPr>
          <w:rFonts w:asciiTheme="majorBidi" w:eastAsia="Arial" w:hAnsiTheme="majorBidi" w:cstheme="majorBidi"/>
          <w:noProof/>
          <w:sz w:val="14"/>
          <w:szCs w:val="14"/>
          <w:lang w:val="en-US"/>
        </w:rPr>
        <w:drawing>
          <wp:anchor distT="0" distB="0" distL="0" distR="0" simplePos="0" relativeHeight="251658322" behindDoc="0" locked="0" layoutInCell="1" allowOverlap="1" wp14:anchorId="3DC66EAA" wp14:editId="0090446E">
            <wp:simplePos x="0" y="0"/>
            <wp:positionH relativeFrom="page">
              <wp:posOffset>3159125</wp:posOffset>
            </wp:positionH>
            <wp:positionV relativeFrom="paragraph">
              <wp:posOffset>109174</wp:posOffset>
            </wp:positionV>
            <wp:extent cx="127000" cy="127000"/>
            <wp:effectExtent l="0" t="0" r="0" b="0"/>
            <wp:wrapNone/>
            <wp:docPr id="169" name="Image 1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9" name="Image 169"/>
                    <pic:cNvPicPr/>
                  </pic:nvPicPr>
                  <pic:blipFill>
                    <a:blip r:embed="rId51" cstate="print"/>
                    <a:stretch>
                      <a:fillRect/>
                    </a:stretch>
                  </pic:blipFill>
                  <pic:spPr>
                    <a:xfrm>
                      <a:off x="0" y="0"/>
                      <a:ext cx="127000" cy="127000"/>
                    </a:xfrm>
                    <a:prstGeom prst="rect">
                      <a:avLst/>
                    </a:prstGeom>
                  </pic:spPr>
                </pic:pic>
              </a:graphicData>
            </a:graphic>
          </wp:anchor>
        </w:drawing>
      </w:r>
      <w:r w:rsidRPr="005F0A67">
        <w:rPr>
          <w:rFonts w:asciiTheme="majorBidi" w:eastAsia="Arial" w:hAnsiTheme="majorBidi" w:cstheme="majorBidi"/>
          <w:noProof/>
          <w:sz w:val="14"/>
          <w:szCs w:val="14"/>
          <w:lang w:val="en-US"/>
        </w:rPr>
        <w:drawing>
          <wp:anchor distT="0" distB="0" distL="0" distR="0" simplePos="0" relativeHeight="251658323" behindDoc="0" locked="0" layoutInCell="1" allowOverlap="1" wp14:anchorId="399DED2E" wp14:editId="7AA0C08B">
            <wp:simplePos x="0" y="0"/>
            <wp:positionH relativeFrom="page">
              <wp:posOffset>3813175</wp:posOffset>
            </wp:positionH>
            <wp:positionV relativeFrom="paragraph">
              <wp:posOffset>109174</wp:posOffset>
            </wp:positionV>
            <wp:extent cx="127000" cy="127000"/>
            <wp:effectExtent l="0" t="0" r="0" b="0"/>
            <wp:wrapNone/>
            <wp:docPr id="170" name="Image 1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0" name="Image 170"/>
                    <pic:cNvPicPr/>
                  </pic:nvPicPr>
                  <pic:blipFill>
                    <a:blip r:embed="rId47" cstate="print"/>
                    <a:stretch>
                      <a:fillRect/>
                    </a:stretch>
                  </pic:blipFill>
                  <pic:spPr>
                    <a:xfrm>
                      <a:off x="0" y="0"/>
                      <a:ext cx="127000" cy="127000"/>
                    </a:xfrm>
                    <a:prstGeom prst="rect">
                      <a:avLst/>
                    </a:prstGeom>
                  </pic:spPr>
                </pic:pic>
              </a:graphicData>
            </a:graphic>
          </wp:anchor>
        </w:drawing>
      </w:r>
      <w:r w:rsidRPr="005F0A67">
        <w:rPr>
          <w:rFonts w:asciiTheme="majorBidi" w:eastAsia="Arial" w:hAnsiTheme="majorBidi" w:cstheme="majorBidi"/>
          <w:noProof/>
          <w:sz w:val="14"/>
          <w:szCs w:val="14"/>
          <w:lang w:val="en-US"/>
        </w:rPr>
        <w:drawing>
          <wp:anchor distT="0" distB="0" distL="0" distR="0" simplePos="0" relativeHeight="251658324" behindDoc="0" locked="0" layoutInCell="1" allowOverlap="1" wp14:anchorId="0407A111" wp14:editId="33BAB35D">
            <wp:simplePos x="0" y="0"/>
            <wp:positionH relativeFrom="page">
              <wp:posOffset>4467225</wp:posOffset>
            </wp:positionH>
            <wp:positionV relativeFrom="paragraph">
              <wp:posOffset>109174</wp:posOffset>
            </wp:positionV>
            <wp:extent cx="127000" cy="127000"/>
            <wp:effectExtent l="0" t="0" r="0" b="0"/>
            <wp:wrapNone/>
            <wp:docPr id="171" name="Image 1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1" name="Image 171"/>
                    <pic:cNvPicPr/>
                  </pic:nvPicPr>
                  <pic:blipFill>
                    <a:blip r:embed="rId51" cstate="print"/>
                    <a:stretch>
                      <a:fillRect/>
                    </a:stretch>
                  </pic:blipFill>
                  <pic:spPr>
                    <a:xfrm>
                      <a:off x="0" y="0"/>
                      <a:ext cx="127000" cy="127000"/>
                    </a:xfrm>
                    <a:prstGeom prst="rect">
                      <a:avLst/>
                    </a:prstGeom>
                  </pic:spPr>
                </pic:pic>
              </a:graphicData>
            </a:graphic>
          </wp:anchor>
        </w:drawing>
      </w:r>
      <w:r w:rsidRPr="005F0A67">
        <w:rPr>
          <w:rFonts w:asciiTheme="majorBidi" w:eastAsia="Arial" w:hAnsiTheme="majorBidi" w:cstheme="majorBidi"/>
          <w:noProof/>
          <w:sz w:val="14"/>
          <w:szCs w:val="14"/>
          <w:lang w:val="en-US"/>
        </w:rPr>
        <w:drawing>
          <wp:anchor distT="0" distB="0" distL="0" distR="0" simplePos="0" relativeHeight="251658325" behindDoc="0" locked="0" layoutInCell="1" allowOverlap="1" wp14:anchorId="1C7FB461" wp14:editId="6A37AC8D">
            <wp:simplePos x="0" y="0"/>
            <wp:positionH relativeFrom="page">
              <wp:posOffset>5121275</wp:posOffset>
            </wp:positionH>
            <wp:positionV relativeFrom="paragraph">
              <wp:posOffset>109174</wp:posOffset>
            </wp:positionV>
            <wp:extent cx="127000" cy="127000"/>
            <wp:effectExtent l="0" t="0" r="0" b="0"/>
            <wp:wrapNone/>
            <wp:docPr id="172" name="Image 1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2" name="Image 172"/>
                    <pic:cNvPicPr/>
                  </pic:nvPicPr>
                  <pic:blipFill>
                    <a:blip r:embed="rId42" cstate="print"/>
                    <a:stretch>
                      <a:fillRect/>
                    </a:stretch>
                  </pic:blipFill>
                  <pic:spPr>
                    <a:xfrm>
                      <a:off x="0" y="0"/>
                      <a:ext cx="127000" cy="127000"/>
                    </a:xfrm>
                    <a:prstGeom prst="rect">
                      <a:avLst/>
                    </a:prstGeom>
                  </pic:spPr>
                </pic:pic>
              </a:graphicData>
            </a:graphic>
          </wp:anchor>
        </w:drawing>
      </w:r>
      <w:r w:rsidRPr="005F0A67">
        <w:rPr>
          <w:rFonts w:asciiTheme="majorBidi" w:eastAsia="Arial" w:hAnsiTheme="majorBidi" w:cstheme="majorBidi"/>
          <w:noProof/>
          <w:sz w:val="14"/>
          <w:szCs w:val="14"/>
          <w:lang w:val="en-US"/>
        </w:rPr>
        <w:drawing>
          <wp:anchor distT="0" distB="0" distL="0" distR="0" simplePos="0" relativeHeight="251658326" behindDoc="0" locked="0" layoutInCell="1" allowOverlap="1" wp14:anchorId="74E389B7" wp14:editId="58273248">
            <wp:simplePos x="0" y="0"/>
            <wp:positionH relativeFrom="page">
              <wp:posOffset>5775325</wp:posOffset>
            </wp:positionH>
            <wp:positionV relativeFrom="paragraph">
              <wp:posOffset>109174</wp:posOffset>
            </wp:positionV>
            <wp:extent cx="127000" cy="127000"/>
            <wp:effectExtent l="0" t="0" r="0" b="0"/>
            <wp:wrapNone/>
            <wp:docPr id="173" name="Image 1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3" name="Image 173"/>
                    <pic:cNvPicPr/>
                  </pic:nvPicPr>
                  <pic:blipFill>
                    <a:blip r:embed="rId48" cstate="print"/>
                    <a:stretch>
                      <a:fillRect/>
                    </a:stretch>
                  </pic:blipFill>
                  <pic:spPr>
                    <a:xfrm>
                      <a:off x="0" y="0"/>
                      <a:ext cx="127000" cy="127000"/>
                    </a:xfrm>
                    <a:prstGeom prst="rect">
                      <a:avLst/>
                    </a:prstGeom>
                  </pic:spPr>
                </pic:pic>
              </a:graphicData>
            </a:graphic>
          </wp:anchor>
        </w:drawing>
      </w:r>
      <w:r w:rsidRPr="005F0A67">
        <w:rPr>
          <w:rFonts w:asciiTheme="majorBidi" w:eastAsia="Arial" w:hAnsiTheme="majorBidi" w:cstheme="majorBidi"/>
          <w:color w:val="242424"/>
          <w:sz w:val="14"/>
          <w:szCs w:val="14"/>
          <w:lang w:val="en-US"/>
        </w:rPr>
        <w:t>Shift</w:t>
      </w:r>
      <w:r w:rsidRPr="005F0A67">
        <w:rPr>
          <w:rFonts w:asciiTheme="majorBidi" w:eastAsia="Arial" w:hAnsiTheme="majorBidi" w:cstheme="majorBidi"/>
          <w:color w:val="242424"/>
          <w:spacing w:val="-10"/>
          <w:sz w:val="14"/>
          <w:szCs w:val="14"/>
          <w:lang w:val="en-US"/>
        </w:rPr>
        <w:t xml:space="preserve"> </w:t>
      </w:r>
      <w:r w:rsidRPr="005F0A67">
        <w:rPr>
          <w:rFonts w:asciiTheme="majorBidi" w:eastAsia="Arial" w:hAnsiTheme="majorBidi" w:cstheme="majorBidi"/>
          <w:color w:val="242424"/>
          <w:sz w:val="14"/>
          <w:szCs w:val="14"/>
          <w:lang w:val="en-US"/>
        </w:rPr>
        <w:t>production</w:t>
      </w:r>
      <w:r w:rsidRPr="005F0A67">
        <w:rPr>
          <w:rFonts w:asciiTheme="majorBidi" w:eastAsia="Arial" w:hAnsiTheme="majorBidi" w:cstheme="majorBidi"/>
          <w:color w:val="242424"/>
          <w:spacing w:val="40"/>
          <w:sz w:val="14"/>
          <w:szCs w:val="14"/>
          <w:lang w:val="en-US"/>
        </w:rPr>
        <w:t xml:space="preserve"> </w:t>
      </w:r>
      <w:r w:rsidRPr="005F0A67">
        <w:rPr>
          <w:rFonts w:asciiTheme="majorBidi" w:eastAsia="Arial" w:hAnsiTheme="majorBidi" w:cstheme="majorBidi"/>
          <w:color w:val="242424"/>
          <w:sz w:val="14"/>
          <w:szCs w:val="14"/>
          <w:lang w:val="en-US"/>
        </w:rPr>
        <w:t>or</w:t>
      </w:r>
      <w:r w:rsidRPr="005F0A67">
        <w:rPr>
          <w:rFonts w:asciiTheme="majorBidi" w:eastAsia="Arial" w:hAnsiTheme="majorBidi" w:cstheme="majorBidi"/>
          <w:color w:val="242424"/>
          <w:spacing w:val="-4"/>
          <w:sz w:val="14"/>
          <w:szCs w:val="14"/>
          <w:lang w:val="en-US"/>
        </w:rPr>
        <w:t xml:space="preserve"> </w:t>
      </w:r>
      <w:r w:rsidRPr="005F0A67">
        <w:rPr>
          <w:rFonts w:asciiTheme="majorBidi" w:eastAsia="Arial" w:hAnsiTheme="majorBidi" w:cstheme="majorBidi"/>
          <w:color w:val="242424"/>
          <w:sz w:val="14"/>
          <w:szCs w:val="14"/>
          <w:lang w:val="en-US"/>
        </w:rPr>
        <w:t>activities</w:t>
      </w:r>
      <w:r w:rsidRPr="005F0A67">
        <w:rPr>
          <w:rFonts w:asciiTheme="majorBidi" w:eastAsia="Arial" w:hAnsiTheme="majorBidi" w:cstheme="majorBidi"/>
          <w:color w:val="242424"/>
          <w:spacing w:val="40"/>
          <w:sz w:val="14"/>
          <w:szCs w:val="14"/>
          <w:lang w:val="en-US"/>
        </w:rPr>
        <w:t xml:space="preserve"> </w:t>
      </w:r>
      <w:r w:rsidRPr="005F0A67">
        <w:rPr>
          <w:rFonts w:asciiTheme="majorBidi" w:eastAsia="Arial" w:hAnsiTheme="majorBidi" w:cstheme="majorBidi"/>
          <w:color w:val="242424"/>
          <w:spacing w:val="-2"/>
          <w:sz w:val="14"/>
          <w:szCs w:val="14"/>
          <w:lang w:val="en-US"/>
        </w:rPr>
        <w:t>abroad</w:t>
      </w:r>
    </w:p>
    <w:p w14:paraId="6AAC591B" w14:textId="77777777" w:rsidR="005F0A67" w:rsidRPr="005F0A67" w:rsidRDefault="005F0A67" w:rsidP="005F0A67">
      <w:pPr>
        <w:widowControl w:val="0"/>
        <w:tabs>
          <w:tab w:val="clear" w:pos="567"/>
          <w:tab w:val="clear" w:pos="1134"/>
          <w:tab w:val="clear" w:pos="1701"/>
          <w:tab w:val="clear" w:pos="2268"/>
        </w:tabs>
        <w:jc w:val="left"/>
        <w:rPr>
          <w:rFonts w:asciiTheme="majorBidi" w:eastAsia="Arial" w:hAnsiTheme="majorBidi" w:cstheme="majorBidi"/>
          <w:sz w:val="14"/>
          <w:szCs w:val="14"/>
          <w:lang w:val="en-US"/>
        </w:rPr>
      </w:pPr>
    </w:p>
    <w:p w14:paraId="70E35BEA" w14:textId="77777777" w:rsidR="005F0A67" w:rsidRPr="005F0A67" w:rsidRDefault="005F0A67" w:rsidP="005F0A67">
      <w:pPr>
        <w:widowControl w:val="0"/>
        <w:tabs>
          <w:tab w:val="clear" w:pos="567"/>
          <w:tab w:val="clear" w:pos="1134"/>
          <w:tab w:val="clear" w:pos="1701"/>
          <w:tab w:val="clear" w:pos="2268"/>
        </w:tabs>
        <w:spacing w:before="5"/>
        <w:jc w:val="left"/>
        <w:rPr>
          <w:rFonts w:asciiTheme="majorBidi" w:eastAsia="Arial" w:hAnsiTheme="majorBidi" w:cstheme="majorBidi"/>
          <w:sz w:val="14"/>
          <w:szCs w:val="14"/>
          <w:lang w:val="en-US"/>
        </w:rPr>
      </w:pPr>
    </w:p>
    <w:p w14:paraId="5D4A0A8E" w14:textId="77777777" w:rsidR="005F0A67" w:rsidRPr="005F0A67" w:rsidRDefault="005F0A67" w:rsidP="005F0A67">
      <w:pPr>
        <w:widowControl w:val="0"/>
        <w:tabs>
          <w:tab w:val="clear" w:pos="567"/>
          <w:tab w:val="clear" w:pos="1134"/>
          <w:tab w:val="clear" w:pos="1701"/>
          <w:tab w:val="clear" w:pos="2268"/>
        </w:tabs>
        <w:ind w:left="825" w:right="7050"/>
        <w:jc w:val="left"/>
        <w:rPr>
          <w:rFonts w:asciiTheme="majorBidi" w:eastAsia="Arial" w:hAnsiTheme="majorBidi" w:cstheme="majorBidi"/>
          <w:sz w:val="14"/>
          <w:szCs w:val="14"/>
          <w:lang w:val="en-US"/>
        </w:rPr>
      </w:pPr>
      <w:r w:rsidRPr="005F0A67">
        <w:rPr>
          <w:rFonts w:asciiTheme="majorBidi" w:eastAsia="Arial" w:hAnsiTheme="majorBidi" w:cstheme="majorBidi"/>
          <w:noProof/>
          <w:sz w:val="14"/>
          <w:szCs w:val="14"/>
          <w:lang w:val="en-US"/>
        </w:rPr>
        <w:drawing>
          <wp:anchor distT="0" distB="0" distL="0" distR="0" simplePos="0" relativeHeight="251658327" behindDoc="0" locked="0" layoutInCell="1" allowOverlap="1" wp14:anchorId="72C0D749" wp14:editId="6B0FF145">
            <wp:simplePos x="0" y="0"/>
            <wp:positionH relativeFrom="page">
              <wp:posOffset>2505075</wp:posOffset>
            </wp:positionH>
            <wp:positionV relativeFrom="paragraph">
              <wp:posOffset>58417</wp:posOffset>
            </wp:positionV>
            <wp:extent cx="127000" cy="127000"/>
            <wp:effectExtent l="0" t="0" r="0" b="0"/>
            <wp:wrapNone/>
            <wp:docPr id="174" name="Image 1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4" name="Image 174"/>
                    <pic:cNvPicPr/>
                  </pic:nvPicPr>
                  <pic:blipFill>
                    <a:blip r:embed="rId37" cstate="print"/>
                    <a:stretch>
                      <a:fillRect/>
                    </a:stretch>
                  </pic:blipFill>
                  <pic:spPr>
                    <a:xfrm>
                      <a:off x="0" y="0"/>
                      <a:ext cx="127000" cy="127000"/>
                    </a:xfrm>
                    <a:prstGeom prst="rect">
                      <a:avLst/>
                    </a:prstGeom>
                  </pic:spPr>
                </pic:pic>
              </a:graphicData>
            </a:graphic>
          </wp:anchor>
        </w:drawing>
      </w:r>
      <w:r w:rsidRPr="005F0A67">
        <w:rPr>
          <w:rFonts w:asciiTheme="majorBidi" w:eastAsia="Arial" w:hAnsiTheme="majorBidi" w:cstheme="majorBidi"/>
          <w:noProof/>
          <w:sz w:val="14"/>
          <w:szCs w:val="14"/>
          <w:lang w:val="en-US"/>
        </w:rPr>
        <w:drawing>
          <wp:anchor distT="0" distB="0" distL="0" distR="0" simplePos="0" relativeHeight="251658328" behindDoc="0" locked="0" layoutInCell="1" allowOverlap="1" wp14:anchorId="5DA7D7AE" wp14:editId="0B0A128B">
            <wp:simplePos x="0" y="0"/>
            <wp:positionH relativeFrom="page">
              <wp:posOffset>3159125</wp:posOffset>
            </wp:positionH>
            <wp:positionV relativeFrom="paragraph">
              <wp:posOffset>58417</wp:posOffset>
            </wp:positionV>
            <wp:extent cx="127000" cy="127000"/>
            <wp:effectExtent l="0" t="0" r="0" b="0"/>
            <wp:wrapNone/>
            <wp:docPr id="175" name="Image 1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5" name="Image 175"/>
                    <pic:cNvPicPr/>
                  </pic:nvPicPr>
                  <pic:blipFill>
                    <a:blip r:embed="rId46" cstate="print"/>
                    <a:stretch>
                      <a:fillRect/>
                    </a:stretch>
                  </pic:blipFill>
                  <pic:spPr>
                    <a:xfrm>
                      <a:off x="0" y="0"/>
                      <a:ext cx="127000" cy="127000"/>
                    </a:xfrm>
                    <a:prstGeom prst="rect">
                      <a:avLst/>
                    </a:prstGeom>
                  </pic:spPr>
                </pic:pic>
              </a:graphicData>
            </a:graphic>
          </wp:anchor>
        </w:drawing>
      </w:r>
      <w:r w:rsidRPr="005F0A67">
        <w:rPr>
          <w:rFonts w:asciiTheme="majorBidi" w:eastAsia="Arial" w:hAnsiTheme="majorBidi" w:cstheme="majorBidi"/>
          <w:noProof/>
          <w:sz w:val="14"/>
          <w:szCs w:val="14"/>
          <w:lang w:val="en-US"/>
        </w:rPr>
        <w:drawing>
          <wp:anchor distT="0" distB="0" distL="0" distR="0" simplePos="0" relativeHeight="251658329" behindDoc="0" locked="0" layoutInCell="1" allowOverlap="1" wp14:anchorId="1C761A4B" wp14:editId="79DB60C5">
            <wp:simplePos x="0" y="0"/>
            <wp:positionH relativeFrom="page">
              <wp:posOffset>3813175</wp:posOffset>
            </wp:positionH>
            <wp:positionV relativeFrom="paragraph">
              <wp:posOffset>58417</wp:posOffset>
            </wp:positionV>
            <wp:extent cx="127000" cy="127000"/>
            <wp:effectExtent l="0" t="0" r="0" b="0"/>
            <wp:wrapNone/>
            <wp:docPr id="176" name="Image 1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6" name="Image 176"/>
                    <pic:cNvPicPr/>
                  </pic:nvPicPr>
                  <pic:blipFill>
                    <a:blip r:embed="rId47" cstate="print"/>
                    <a:stretch>
                      <a:fillRect/>
                    </a:stretch>
                  </pic:blipFill>
                  <pic:spPr>
                    <a:xfrm>
                      <a:off x="0" y="0"/>
                      <a:ext cx="127000" cy="127000"/>
                    </a:xfrm>
                    <a:prstGeom prst="rect">
                      <a:avLst/>
                    </a:prstGeom>
                  </pic:spPr>
                </pic:pic>
              </a:graphicData>
            </a:graphic>
          </wp:anchor>
        </w:drawing>
      </w:r>
      <w:r w:rsidRPr="005F0A67">
        <w:rPr>
          <w:rFonts w:asciiTheme="majorBidi" w:eastAsia="Arial" w:hAnsiTheme="majorBidi" w:cstheme="majorBidi"/>
          <w:noProof/>
          <w:sz w:val="14"/>
          <w:szCs w:val="14"/>
          <w:lang w:val="en-US"/>
        </w:rPr>
        <w:drawing>
          <wp:anchor distT="0" distB="0" distL="0" distR="0" simplePos="0" relativeHeight="251658330" behindDoc="0" locked="0" layoutInCell="1" allowOverlap="1" wp14:anchorId="701C683D" wp14:editId="0CD7E3F9">
            <wp:simplePos x="0" y="0"/>
            <wp:positionH relativeFrom="page">
              <wp:posOffset>4467225</wp:posOffset>
            </wp:positionH>
            <wp:positionV relativeFrom="paragraph">
              <wp:posOffset>58417</wp:posOffset>
            </wp:positionV>
            <wp:extent cx="127000" cy="127000"/>
            <wp:effectExtent l="0" t="0" r="0" b="0"/>
            <wp:wrapNone/>
            <wp:docPr id="177" name="Image 1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7" name="Image 177"/>
                    <pic:cNvPicPr/>
                  </pic:nvPicPr>
                  <pic:blipFill>
                    <a:blip r:embed="rId46" cstate="print"/>
                    <a:stretch>
                      <a:fillRect/>
                    </a:stretch>
                  </pic:blipFill>
                  <pic:spPr>
                    <a:xfrm>
                      <a:off x="0" y="0"/>
                      <a:ext cx="127000" cy="127000"/>
                    </a:xfrm>
                    <a:prstGeom prst="rect">
                      <a:avLst/>
                    </a:prstGeom>
                  </pic:spPr>
                </pic:pic>
              </a:graphicData>
            </a:graphic>
          </wp:anchor>
        </w:drawing>
      </w:r>
      <w:r w:rsidRPr="005F0A67">
        <w:rPr>
          <w:rFonts w:asciiTheme="majorBidi" w:eastAsia="Arial" w:hAnsiTheme="majorBidi" w:cstheme="majorBidi"/>
          <w:noProof/>
          <w:sz w:val="14"/>
          <w:szCs w:val="14"/>
          <w:lang w:val="en-US"/>
        </w:rPr>
        <w:drawing>
          <wp:anchor distT="0" distB="0" distL="0" distR="0" simplePos="0" relativeHeight="251658331" behindDoc="0" locked="0" layoutInCell="1" allowOverlap="1" wp14:anchorId="51518C04" wp14:editId="40755703">
            <wp:simplePos x="0" y="0"/>
            <wp:positionH relativeFrom="page">
              <wp:posOffset>5121275</wp:posOffset>
            </wp:positionH>
            <wp:positionV relativeFrom="paragraph">
              <wp:posOffset>58417</wp:posOffset>
            </wp:positionV>
            <wp:extent cx="127000" cy="127000"/>
            <wp:effectExtent l="0" t="0" r="0" b="0"/>
            <wp:wrapNone/>
            <wp:docPr id="178" name="Image 1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8" name="Image 178"/>
                    <pic:cNvPicPr/>
                  </pic:nvPicPr>
                  <pic:blipFill>
                    <a:blip r:embed="rId37" cstate="print"/>
                    <a:stretch>
                      <a:fillRect/>
                    </a:stretch>
                  </pic:blipFill>
                  <pic:spPr>
                    <a:xfrm>
                      <a:off x="0" y="0"/>
                      <a:ext cx="127000" cy="127000"/>
                    </a:xfrm>
                    <a:prstGeom prst="rect">
                      <a:avLst/>
                    </a:prstGeom>
                  </pic:spPr>
                </pic:pic>
              </a:graphicData>
            </a:graphic>
          </wp:anchor>
        </w:drawing>
      </w:r>
      <w:r w:rsidRPr="005F0A67">
        <w:rPr>
          <w:rFonts w:asciiTheme="majorBidi" w:eastAsia="Arial" w:hAnsiTheme="majorBidi" w:cstheme="majorBidi"/>
          <w:noProof/>
          <w:sz w:val="14"/>
          <w:szCs w:val="14"/>
          <w:lang w:val="en-US"/>
        </w:rPr>
        <w:drawing>
          <wp:anchor distT="0" distB="0" distL="0" distR="0" simplePos="0" relativeHeight="251658332" behindDoc="0" locked="0" layoutInCell="1" allowOverlap="1" wp14:anchorId="7097D498" wp14:editId="0BC3C881">
            <wp:simplePos x="0" y="0"/>
            <wp:positionH relativeFrom="page">
              <wp:posOffset>5775325</wp:posOffset>
            </wp:positionH>
            <wp:positionV relativeFrom="paragraph">
              <wp:posOffset>58417</wp:posOffset>
            </wp:positionV>
            <wp:extent cx="127000" cy="127000"/>
            <wp:effectExtent l="0" t="0" r="0" b="0"/>
            <wp:wrapNone/>
            <wp:docPr id="179" name="Image 1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9" name="Image 179"/>
                    <pic:cNvPicPr/>
                  </pic:nvPicPr>
                  <pic:blipFill>
                    <a:blip r:embed="rId48" cstate="print"/>
                    <a:stretch>
                      <a:fillRect/>
                    </a:stretch>
                  </pic:blipFill>
                  <pic:spPr>
                    <a:xfrm>
                      <a:off x="0" y="0"/>
                      <a:ext cx="127000" cy="127000"/>
                    </a:xfrm>
                    <a:prstGeom prst="rect">
                      <a:avLst/>
                    </a:prstGeom>
                  </pic:spPr>
                </pic:pic>
              </a:graphicData>
            </a:graphic>
          </wp:anchor>
        </w:drawing>
      </w:r>
      <w:r w:rsidRPr="005F0A67">
        <w:rPr>
          <w:rFonts w:asciiTheme="majorBidi" w:eastAsia="Arial" w:hAnsiTheme="majorBidi" w:cstheme="majorBidi"/>
          <w:color w:val="242424"/>
          <w:sz w:val="14"/>
          <w:szCs w:val="14"/>
          <w:lang w:val="en-US"/>
        </w:rPr>
        <w:t>Shift</w:t>
      </w:r>
      <w:r w:rsidRPr="005F0A67">
        <w:rPr>
          <w:rFonts w:asciiTheme="majorBidi" w:eastAsia="Arial" w:hAnsiTheme="majorBidi" w:cstheme="majorBidi"/>
          <w:color w:val="242424"/>
          <w:spacing w:val="-10"/>
          <w:sz w:val="14"/>
          <w:szCs w:val="14"/>
          <w:lang w:val="en-US"/>
        </w:rPr>
        <w:t xml:space="preserve"> </w:t>
      </w:r>
      <w:r w:rsidRPr="005F0A67">
        <w:rPr>
          <w:rFonts w:asciiTheme="majorBidi" w:eastAsia="Arial" w:hAnsiTheme="majorBidi" w:cstheme="majorBidi"/>
          <w:color w:val="242424"/>
          <w:sz w:val="14"/>
          <w:szCs w:val="14"/>
          <w:lang w:val="en-US"/>
        </w:rPr>
        <w:t>R&amp;D</w:t>
      </w:r>
      <w:r w:rsidRPr="005F0A67">
        <w:rPr>
          <w:rFonts w:asciiTheme="majorBidi" w:eastAsia="Arial" w:hAnsiTheme="majorBidi" w:cstheme="majorBidi"/>
          <w:color w:val="242424"/>
          <w:spacing w:val="40"/>
          <w:sz w:val="14"/>
          <w:szCs w:val="14"/>
          <w:lang w:val="en-US"/>
        </w:rPr>
        <w:t xml:space="preserve"> </w:t>
      </w:r>
      <w:r w:rsidRPr="005F0A67">
        <w:rPr>
          <w:rFonts w:asciiTheme="majorBidi" w:eastAsia="Arial" w:hAnsiTheme="majorBidi" w:cstheme="majorBidi"/>
          <w:color w:val="242424"/>
          <w:spacing w:val="-2"/>
          <w:sz w:val="14"/>
          <w:szCs w:val="14"/>
          <w:lang w:val="en-US"/>
        </w:rPr>
        <w:t>abroad</w:t>
      </w:r>
    </w:p>
    <w:p w14:paraId="7C83CED0" w14:textId="77777777" w:rsidR="005F0A67" w:rsidRPr="005F0A67" w:rsidRDefault="005F0A67" w:rsidP="005F0A67">
      <w:pPr>
        <w:widowControl w:val="0"/>
        <w:tabs>
          <w:tab w:val="clear" w:pos="567"/>
          <w:tab w:val="clear" w:pos="1134"/>
          <w:tab w:val="clear" w:pos="1701"/>
          <w:tab w:val="clear" w:pos="2268"/>
        </w:tabs>
        <w:jc w:val="left"/>
        <w:rPr>
          <w:rFonts w:asciiTheme="majorBidi" w:eastAsia="Arial" w:hAnsiTheme="majorBidi" w:cstheme="majorBidi"/>
          <w:sz w:val="14"/>
          <w:szCs w:val="14"/>
          <w:lang w:val="en-US"/>
        </w:rPr>
      </w:pPr>
    </w:p>
    <w:p w14:paraId="67A1EA9C" w14:textId="77777777" w:rsidR="005F0A67" w:rsidRPr="005F0A67" w:rsidRDefault="005F0A67" w:rsidP="005F0A67">
      <w:pPr>
        <w:widowControl w:val="0"/>
        <w:tabs>
          <w:tab w:val="clear" w:pos="567"/>
          <w:tab w:val="clear" w:pos="1134"/>
          <w:tab w:val="clear" w:pos="1701"/>
          <w:tab w:val="clear" w:pos="2268"/>
        </w:tabs>
        <w:spacing w:before="6"/>
        <w:jc w:val="left"/>
        <w:rPr>
          <w:rFonts w:asciiTheme="majorBidi" w:eastAsia="Arial" w:hAnsiTheme="majorBidi" w:cstheme="majorBidi"/>
          <w:sz w:val="14"/>
          <w:szCs w:val="14"/>
          <w:lang w:val="en-US"/>
        </w:rPr>
      </w:pPr>
    </w:p>
    <w:p w14:paraId="49B255FC" w14:textId="77777777" w:rsidR="005F0A67" w:rsidRPr="005F0A67" w:rsidRDefault="005F0A67" w:rsidP="005F0A67">
      <w:pPr>
        <w:widowControl w:val="0"/>
        <w:tabs>
          <w:tab w:val="clear" w:pos="567"/>
          <w:tab w:val="clear" w:pos="1134"/>
          <w:tab w:val="clear" w:pos="1701"/>
          <w:tab w:val="clear" w:pos="2268"/>
        </w:tabs>
        <w:ind w:left="825" w:right="6937"/>
        <w:jc w:val="left"/>
        <w:rPr>
          <w:rFonts w:asciiTheme="majorBidi" w:eastAsia="Arial" w:hAnsiTheme="majorBidi" w:cstheme="majorBidi"/>
          <w:sz w:val="14"/>
          <w:szCs w:val="14"/>
          <w:lang w:val="en-US"/>
        </w:rPr>
      </w:pPr>
      <w:r w:rsidRPr="005F0A67">
        <w:rPr>
          <w:rFonts w:asciiTheme="majorBidi" w:eastAsia="Arial" w:hAnsiTheme="majorBidi" w:cstheme="majorBidi"/>
          <w:noProof/>
          <w:sz w:val="14"/>
          <w:szCs w:val="14"/>
          <w:lang w:val="en-US"/>
        </w:rPr>
        <w:drawing>
          <wp:anchor distT="0" distB="0" distL="0" distR="0" simplePos="0" relativeHeight="251658333" behindDoc="0" locked="0" layoutInCell="1" allowOverlap="1" wp14:anchorId="70EFA4F2" wp14:editId="3497DEF0">
            <wp:simplePos x="0" y="0"/>
            <wp:positionH relativeFrom="page">
              <wp:posOffset>2505075</wp:posOffset>
            </wp:positionH>
            <wp:positionV relativeFrom="paragraph">
              <wp:posOffset>109252</wp:posOffset>
            </wp:positionV>
            <wp:extent cx="127000" cy="127000"/>
            <wp:effectExtent l="0" t="0" r="0" b="0"/>
            <wp:wrapNone/>
            <wp:docPr id="180" name="Image 1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0" name="Image 180"/>
                    <pic:cNvPicPr/>
                  </pic:nvPicPr>
                  <pic:blipFill>
                    <a:blip r:embed="rId39" cstate="print"/>
                    <a:stretch>
                      <a:fillRect/>
                    </a:stretch>
                  </pic:blipFill>
                  <pic:spPr>
                    <a:xfrm>
                      <a:off x="0" y="0"/>
                      <a:ext cx="127000" cy="127000"/>
                    </a:xfrm>
                    <a:prstGeom prst="rect">
                      <a:avLst/>
                    </a:prstGeom>
                  </pic:spPr>
                </pic:pic>
              </a:graphicData>
            </a:graphic>
          </wp:anchor>
        </w:drawing>
      </w:r>
      <w:r w:rsidRPr="005F0A67">
        <w:rPr>
          <w:rFonts w:asciiTheme="majorBidi" w:eastAsia="Arial" w:hAnsiTheme="majorBidi" w:cstheme="majorBidi"/>
          <w:noProof/>
          <w:sz w:val="14"/>
          <w:szCs w:val="14"/>
          <w:lang w:val="en-US"/>
        </w:rPr>
        <w:drawing>
          <wp:anchor distT="0" distB="0" distL="0" distR="0" simplePos="0" relativeHeight="251658334" behindDoc="0" locked="0" layoutInCell="1" allowOverlap="1" wp14:anchorId="41505CF4" wp14:editId="430AC638">
            <wp:simplePos x="0" y="0"/>
            <wp:positionH relativeFrom="page">
              <wp:posOffset>3159125</wp:posOffset>
            </wp:positionH>
            <wp:positionV relativeFrom="paragraph">
              <wp:posOffset>109252</wp:posOffset>
            </wp:positionV>
            <wp:extent cx="127000" cy="127000"/>
            <wp:effectExtent l="0" t="0" r="0" b="0"/>
            <wp:wrapNone/>
            <wp:docPr id="181" name="Image 1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1" name="Image 181"/>
                    <pic:cNvPicPr/>
                  </pic:nvPicPr>
                  <pic:blipFill>
                    <a:blip r:embed="rId39" cstate="print"/>
                    <a:stretch>
                      <a:fillRect/>
                    </a:stretch>
                  </pic:blipFill>
                  <pic:spPr>
                    <a:xfrm>
                      <a:off x="0" y="0"/>
                      <a:ext cx="127000" cy="127000"/>
                    </a:xfrm>
                    <a:prstGeom prst="rect">
                      <a:avLst/>
                    </a:prstGeom>
                  </pic:spPr>
                </pic:pic>
              </a:graphicData>
            </a:graphic>
          </wp:anchor>
        </w:drawing>
      </w:r>
      <w:r w:rsidRPr="005F0A67">
        <w:rPr>
          <w:rFonts w:asciiTheme="majorBidi" w:eastAsia="Arial" w:hAnsiTheme="majorBidi" w:cstheme="majorBidi"/>
          <w:noProof/>
          <w:sz w:val="14"/>
          <w:szCs w:val="14"/>
          <w:lang w:val="en-US"/>
        </w:rPr>
        <w:drawing>
          <wp:anchor distT="0" distB="0" distL="0" distR="0" simplePos="0" relativeHeight="251658335" behindDoc="0" locked="0" layoutInCell="1" allowOverlap="1" wp14:anchorId="0F633A6C" wp14:editId="6CC5002C">
            <wp:simplePos x="0" y="0"/>
            <wp:positionH relativeFrom="page">
              <wp:posOffset>3813175</wp:posOffset>
            </wp:positionH>
            <wp:positionV relativeFrom="paragraph">
              <wp:posOffset>109252</wp:posOffset>
            </wp:positionV>
            <wp:extent cx="127000" cy="127000"/>
            <wp:effectExtent l="0" t="0" r="0" b="0"/>
            <wp:wrapNone/>
            <wp:docPr id="182" name="Image 1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2" name="Image 182"/>
                    <pic:cNvPicPr/>
                  </pic:nvPicPr>
                  <pic:blipFill>
                    <a:blip r:embed="rId59" cstate="print"/>
                    <a:stretch>
                      <a:fillRect/>
                    </a:stretch>
                  </pic:blipFill>
                  <pic:spPr>
                    <a:xfrm>
                      <a:off x="0" y="0"/>
                      <a:ext cx="127000" cy="127000"/>
                    </a:xfrm>
                    <a:prstGeom prst="rect">
                      <a:avLst/>
                    </a:prstGeom>
                  </pic:spPr>
                </pic:pic>
              </a:graphicData>
            </a:graphic>
          </wp:anchor>
        </w:drawing>
      </w:r>
      <w:r w:rsidRPr="005F0A67">
        <w:rPr>
          <w:rFonts w:asciiTheme="majorBidi" w:eastAsia="Arial" w:hAnsiTheme="majorBidi" w:cstheme="majorBidi"/>
          <w:noProof/>
          <w:sz w:val="14"/>
          <w:szCs w:val="14"/>
          <w:lang w:val="en-US"/>
        </w:rPr>
        <w:drawing>
          <wp:anchor distT="0" distB="0" distL="0" distR="0" simplePos="0" relativeHeight="251658336" behindDoc="0" locked="0" layoutInCell="1" allowOverlap="1" wp14:anchorId="5CA48800" wp14:editId="2F02571F">
            <wp:simplePos x="0" y="0"/>
            <wp:positionH relativeFrom="page">
              <wp:posOffset>4467225</wp:posOffset>
            </wp:positionH>
            <wp:positionV relativeFrom="paragraph">
              <wp:posOffset>109252</wp:posOffset>
            </wp:positionV>
            <wp:extent cx="127000" cy="127000"/>
            <wp:effectExtent l="0" t="0" r="0" b="0"/>
            <wp:wrapNone/>
            <wp:docPr id="183" name="Image 1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3" name="Image 183"/>
                    <pic:cNvPicPr/>
                  </pic:nvPicPr>
                  <pic:blipFill>
                    <a:blip r:embed="rId39" cstate="print"/>
                    <a:stretch>
                      <a:fillRect/>
                    </a:stretch>
                  </pic:blipFill>
                  <pic:spPr>
                    <a:xfrm>
                      <a:off x="0" y="0"/>
                      <a:ext cx="127000" cy="127000"/>
                    </a:xfrm>
                    <a:prstGeom prst="rect">
                      <a:avLst/>
                    </a:prstGeom>
                  </pic:spPr>
                </pic:pic>
              </a:graphicData>
            </a:graphic>
          </wp:anchor>
        </w:drawing>
      </w:r>
      <w:r w:rsidRPr="005F0A67">
        <w:rPr>
          <w:rFonts w:asciiTheme="majorBidi" w:eastAsia="Arial" w:hAnsiTheme="majorBidi" w:cstheme="majorBidi"/>
          <w:noProof/>
          <w:sz w:val="14"/>
          <w:szCs w:val="14"/>
          <w:lang w:val="en-US"/>
        </w:rPr>
        <w:drawing>
          <wp:anchor distT="0" distB="0" distL="0" distR="0" simplePos="0" relativeHeight="251658337" behindDoc="0" locked="0" layoutInCell="1" allowOverlap="1" wp14:anchorId="07D5020D" wp14:editId="11BC72A2">
            <wp:simplePos x="0" y="0"/>
            <wp:positionH relativeFrom="page">
              <wp:posOffset>5121275</wp:posOffset>
            </wp:positionH>
            <wp:positionV relativeFrom="paragraph">
              <wp:posOffset>109252</wp:posOffset>
            </wp:positionV>
            <wp:extent cx="127000" cy="127000"/>
            <wp:effectExtent l="0" t="0" r="0" b="0"/>
            <wp:wrapNone/>
            <wp:docPr id="184" name="Image 1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4" name="Image 184"/>
                    <pic:cNvPicPr/>
                  </pic:nvPicPr>
                  <pic:blipFill>
                    <a:blip r:embed="rId39" cstate="print"/>
                    <a:stretch>
                      <a:fillRect/>
                    </a:stretch>
                  </pic:blipFill>
                  <pic:spPr>
                    <a:xfrm>
                      <a:off x="0" y="0"/>
                      <a:ext cx="127000" cy="127000"/>
                    </a:xfrm>
                    <a:prstGeom prst="rect">
                      <a:avLst/>
                    </a:prstGeom>
                  </pic:spPr>
                </pic:pic>
              </a:graphicData>
            </a:graphic>
          </wp:anchor>
        </w:drawing>
      </w:r>
      <w:r w:rsidRPr="005F0A67">
        <w:rPr>
          <w:rFonts w:asciiTheme="majorBidi" w:eastAsia="Arial" w:hAnsiTheme="majorBidi" w:cstheme="majorBidi"/>
          <w:noProof/>
          <w:sz w:val="14"/>
          <w:szCs w:val="14"/>
          <w:lang w:val="en-US"/>
        </w:rPr>
        <w:drawing>
          <wp:anchor distT="0" distB="0" distL="0" distR="0" simplePos="0" relativeHeight="251658338" behindDoc="0" locked="0" layoutInCell="1" allowOverlap="1" wp14:anchorId="05867664" wp14:editId="12787D06">
            <wp:simplePos x="0" y="0"/>
            <wp:positionH relativeFrom="page">
              <wp:posOffset>5775325</wp:posOffset>
            </wp:positionH>
            <wp:positionV relativeFrom="paragraph">
              <wp:posOffset>109252</wp:posOffset>
            </wp:positionV>
            <wp:extent cx="127000" cy="127000"/>
            <wp:effectExtent l="0" t="0" r="0" b="0"/>
            <wp:wrapNone/>
            <wp:docPr id="185" name="Image 1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5" name="Image 185"/>
                    <pic:cNvPicPr/>
                  </pic:nvPicPr>
                  <pic:blipFill>
                    <a:blip r:embed="rId60" cstate="print"/>
                    <a:stretch>
                      <a:fillRect/>
                    </a:stretch>
                  </pic:blipFill>
                  <pic:spPr>
                    <a:xfrm>
                      <a:off x="0" y="0"/>
                      <a:ext cx="127000" cy="127000"/>
                    </a:xfrm>
                    <a:prstGeom prst="rect">
                      <a:avLst/>
                    </a:prstGeom>
                  </pic:spPr>
                </pic:pic>
              </a:graphicData>
            </a:graphic>
          </wp:anchor>
        </w:drawing>
      </w:r>
      <w:r w:rsidRPr="005F0A67">
        <w:rPr>
          <w:rFonts w:asciiTheme="majorBidi" w:eastAsia="Arial" w:hAnsiTheme="majorBidi" w:cstheme="majorBidi"/>
          <w:color w:val="242424"/>
          <w:spacing w:val="-2"/>
          <w:sz w:val="14"/>
          <w:szCs w:val="14"/>
          <w:lang w:val="en-US"/>
        </w:rPr>
        <w:t>Reduce</w:t>
      </w:r>
      <w:r w:rsidRPr="005F0A67">
        <w:rPr>
          <w:rFonts w:asciiTheme="majorBidi" w:eastAsia="Arial" w:hAnsiTheme="majorBidi" w:cstheme="majorBidi"/>
          <w:color w:val="242424"/>
          <w:spacing w:val="40"/>
          <w:sz w:val="14"/>
          <w:szCs w:val="14"/>
          <w:lang w:val="en-US"/>
        </w:rPr>
        <w:t xml:space="preserve"> </w:t>
      </w:r>
      <w:r w:rsidRPr="005F0A67">
        <w:rPr>
          <w:rFonts w:asciiTheme="majorBidi" w:eastAsia="Arial" w:hAnsiTheme="majorBidi" w:cstheme="majorBidi"/>
          <w:color w:val="242424"/>
          <w:spacing w:val="-2"/>
          <w:sz w:val="14"/>
          <w:szCs w:val="14"/>
          <w:lang w:val="en-US"/>
        </w:rPr>
        <w:t>shareholder</w:t>
      </w:r>
      <w:r w:rsidRPr="005F0A67">
        <w:rPr>
          <w:rFonts w:asciiTheme="majorBidi" w:eastAsia="Arial" w:hAnsiTheme="majorBidi" w:cstheme="majorBidi"/>
          <w:color w:val="242424"/>
          <w:spacing w:val="40"/>
          <w:sz w:val="14"/>
          <w:szCs w:val="14"/>
          <w:lang w:val="en-US"/>
        </w:rPr>
        <w:t xml:space="preserve"> </w:t>
      </w:r>
      <w:r w:rsidRPr="005F0A67">
        <w:rPr>
          <w:rFonts w:asciiTheme="majorBidi" w:eastAsia="Arial" w:hAnsiTheme="majorBidi" w:cstheme="majorBidi"/>
          <w:color w:val="242424"/>
          <w:spacing w:val="-2"/>
          <w:sz w:val="14"/>
          <w:szCs w:val="14"/>
          <w:lang w:val="en-US"/>
        </w:rPr>
        <w:t>dividends</w:t>
      </w:r>
    </w:p>
    <w:p w14:paraId="5999934A" w14:textId="77777777" w:rsidR="005F0A67" w:rsidRPr="005F0A67" w:rsidRDefault="005F0A67" w:rsidP="005F0A67">
      <w:pPr>
        <w:widowControl w:val="0"/>
        <w:tabs>
          <w:tab w:val="clear" w:pos="567"/>
          <w:tab w:val="clear" w:pos="1134"/>
          <w:tab w:val="clear" w:pos="1701"/>
          <w:tab w:val="clear" w:pos="2268"/>
        </w:tabs>
        <w:jc w:val="left"/>
        <w:rPr>
          <w:rFonts w:asciiTheme="majorBidi" w:eastAsia="Arial" w:hAnsiTheme="majorBidi" w:cstheme="majorBidi"/>
          <w:sz w:val="14"/>
          <w:szCs w:val="14"/>
          <w:lang w:val="en-US"/>
        </w:rPr>
      </w:pPr>
    </w:p>
    <w:p w14:paraId="73B4698D" w14:textId="77777777" w:rsidR="005F0A67" w:rsidRPr="005F0A67" w:rsidRDefault="005F0A67" w:rsidP="005F0A67">
      <w:pPr>
        <w:widowControl w:val="0"/>
        <w:tabs>
          <w:tab w:val="clear" w:pos="567"/>
          <w:tab w:val="clear" w:pos="1134"/>
          <w:tab w:val="clear" w:pos="1701"/>
          <w:tab w:val="clear" w:pos="2268"/>
        </w:tabs>
        <w:spacing w:before="5"/>
        <w:jc w:val="left"/>
        <w:rPr>
          <w:rFonts w:asciiTheme="majorBidi" w:eastAsia="Arial" w:hAnsiTheme="majorBidi" w:cstheme="majorBidi"/>
          <w:sz w:val="14"/>
          <w:szCs w:val="14"/>
          <w:lang w:val="en-US"/>
        </w:rPr>
      </w:pPr>
    </w:p>
    <w:p w14:paraId="6B424719" w14:textId="77777777" w:rsidR="005F0A67" w:rsidRPr="005F0A67" w:rsidRDefault="005F0A67" w:rsidP="005F0A67">
      <w:pPr>
        <w:widowControl w:val="0"/>
        <w:tabs>
          <w:tab w:val="clear" w:pos="567"/>
          <w:tab w:val="clear" w:pos="1134"/>
          <w:tab w:val="clear" w:pos="1701"/>
          <w:tab w:val="clear" w:pos="2268"/>
        </w:tabs>
        <w:spacing w:before="1"/>
        <w:ind w:left="825" w:right="6703"/>
        <w:jc w:val="left"/>
        <w:rPr>
          <w:rFonts w:asciiTheme="majorBidi" w:eastAsia="Arial" w:hAnsiTheme="majorBidi" w:cstheme="majorBidi"/>
          <w:sz w:val="14"/>
          <w:szCs w:val="14"/>
          <w:lang w:val="en-US"/>
        </w:rPr>
      </w:pPr>
      <w:r w:rsidRPr="005F0A67">
        <w:rPr>
          <w:rFonts w:asciiTheme="majorBidi" w:eastAsia="Arial" w:hAnsiTheme="majorBidi" w:cstheme="majorBidi"/>
          <w:noProof/>
          <w:sz w:val="14"/>
          <w:szCs w:val="14"/>
          <w:lang w:val="en-US"/>
        </w:rPr>
        <w:drawing>
          <wp:anchor distT="0" distB="0" distL="0" distR="0" simplePos="0" relativeHeight="251658339" behindDoc="0" locked="0" layoutInCell="1" allowOverlap="1" wp14:anchorId="3361067A" wp14:editId="2C42521C">
            <wp:simplePos x="0" y="0"/>
            <wp:positionH relativeFrom="page">
              <wp:posOffset>2505075</wp:posOffset>
            </wp:positionH>
            <wp:positionV relativeFrom="paragraph">
              <wp:posOffset>160095</wp:posOffset>
            </wp:positionV>
            <wp:extent cx="127000" cy="127000"/>
            <wp:effectExtent l="0" t="0" r="0" b="0"/>
            <wp:wrapNone/>
            <wp:docPr id="186" name="Image 1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6" name="Image 186"/>
                    <pic:cNvPicPr/>
                  </pic:nvPicPr>
                  <pic:blipFill>
                    <a:blip r:embed="rId42" cstate="print"/>
                    <a:stretch>
                      <a:fillRect/>
                    </a:stretch>
                  </pic:blipFill>
                  <pic:spPr>
                    <a:xfrm>
                      <a:off x="0" y="0"/>
                      <a:ext cx="127000" cy="127000"/>
                    </a:xfrm>
                    <a:prstGeom prst="rect">
                      <a:avLst/>
                    </a:prstGeom>
                  </pic:spPr>
                </pic:pic>
              </a:graphicData>
            </a:graphic>
          </wp:anchor>
        </w:drawing>
      </w:r>
      <w:r w:rsidRPr="005F0A67">
        <w:rPr>
          <w:rFonts w:asciiTheme="majorBidi" w:eastAsia="Arial" w:hAnsiTheme="majorBidi" w:cstheme="majorBidi"/>
          <w:noProof/>
          <w:sz w:val="14"/>
          <w:szCs w:val="14"/>
          <w:lang w:val="en-US"/>
        </w:rPr>
        <w:drawing>
          <wp:anchor distT="0" distB="0" distL="0" distR="0" simplePos="0" relativeHeight="251658340" behindDoc="0" locked="0" layoutInCell="1" allowOverlap="1" wp14:anchorId="0754C335" wp14:editId="59D18339">
            <wp:simplePos x="0" y="0"/>
            <wp:positionH relativeFrom="page">
              <wp:posOffset>3159125</wp:posOffset>
            </wp:positionH>
            <wp:positionV relativeFrom="paragraph">
              <wp:posOffset>160095</wp:posOffset>
            </wp:positionV>
            <wp:extent cx="127000" cy="127000"/>
            <wp:effectExtent l="0" t="0" r="0" b="0"/>
            <wp:wrapNone/>
            <wp:docPr id="187" name="Image 1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7" name="Image 187"/>
                    <pic:cNvPicPr/>
                  </pic:nvPicPr>
                  <pic:blipFill>
                    <a:blip r:embed="rId51" cstate="print"/>
                    <a:stretch>
                      <a:fillRect/>
                    </a:stretch>
                  </pic:blipFill>
                  <pic:spPr>
                    <a:xfrm>
                      <a:off x="0" y="0"/>
                      <a:ext cx="127000" cy="127000"/>
                    </a:xfrm>
                    <a:prstGeom prst="rect">
                      <a:avLst/>
                    </a:prstGeom>
                  </pic:spPr>
                </pic:pic>
              </a:graphicData>
            </a:graphic>
          </wp:anchor>
        </w:drawing>
      </w:r>
      <w:r w:rsidRPr="005F0A67">
        <w:rPr>
          <w:rFonts w:asciiTheme="majorBidi" w:eastAsia="Arial" w:hAnsiTheme="majorBidi" w:cstheme="majorBidi"/>
          <w:noProof/>
          <w:sz w:val="14"/>
          <w:szCs w:val="14"/>
          <w:lang w:val="en-US"/>
        </w:rPr>
        <w:drawing>
          <wp:anchor distT="0" distB="0" distL="0" distR="0" simplePos="0" relativeHeight="251658341" behindDoc="0" locked="0" layoutInCell="1" allowOverlap="1" wp14:anchorId="55A3F9AC" wp14:editId="0EAE1EC5">
            <wp:simplePos x="0" y="0"/>
            <wp:positionH relativeFrom="page">
              <wp:posOffset>3813175</wp:posOffset>
            </wp:positionH>
            <wp:positionV relativeFrom="paragraph">
              <wp:posOffset>160095</wp:posOffset>
            </wp:positionV>
            <wp:extent cx="127000" cy="127000"/>
            <wp:effectExtent l="0" t="0" r="0" b="0"/>
            <wp:wrapNone/>
            <wp:docPr id="188" name="Image 1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8" name="Image 188"/>
                    <pic:cNvPicPr/>
                  </pic:nvPicPr>
                  <pic:blipFill>
                    <a:blip r:embed="rId47" cstate="print"/>
                    <a:stretch>
                      <a:fillRect/>
                    </a:stretch>
                  </pic:blipFill>
                  <pic:spPr>
                    <a:xfrm>
                      <a:off x="0" y="0"/>
                      <a:ext cx="127000" cy="127000"/>
                    </a:xfrm>
                    <a:prstGeom prst="rect">
                      <a:avLst/>
                    </a:prstGeom>
                  </pic:spPr>
                </pic:pic>
              </a:graphicData>
            </a:graphic>
          </wp:anchor>
        </w:drawing>
      </w:r>
      <w:r w:rsidRPr="005F0A67">
        <w:rPr>
          <w:rFonts w:asciiTheme="majorBidi" w:eastAsia="Arial" w:hAnsiTheme="majorBidi" w:cstheme="majorBidi"/>
          <w:noProof/>
          <w:sz w:val="14"/>
          <w:szCs w:val="14"/>
          <w:lang w:val="en-US"/>
        </w:rPr>
        <w:drawing>
          <wp:anchor distT="0" distB="0" distL="0" distR="0" simplePos="0" relativeHeight="251658342" behindDoc="0" locked="0" layoutInCell="1" allowOverlap="1" wp14:anchorId="48DF1287" wp14:editId="30D6B044">
            <wp:simplePos x="0" y="0"/>
            <wp:positionH relativeFrom="page">
              <wp:posOffset>4467225</wp:posOffset>
            </wp:positionH>
            <wp:positionV relativeFrom="paragraph">
              <wp:posOffset>160095</wp:posOffset>
            </wp:positionV>
            <wp:extent cx="127000" cy="127000"/>
            <wp:effectExtent l="0" t="0" r="0" b="0"/>
            <wp:wrapNone/>
            <wp:docPr id="189" name="Image 1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9" name="Image 189"/>
                    <pic:cNvPicPr/>
                  </pic:nvPicPr>
                  <pic:blipFill>
                    <a:blip r:embed="rId51" cstate="print"/>
                    <a:stretch>
                      <a:fillRect/>
                    </a:stretch>
                  </pic:blipFill>
                  <pic:spPr>
                    <a:xfrm>
                      <a:off x="0" y="0"/>
                      <a:ext cx="127000" cy="127000"/>
                    </a:xfrm>
                    <a:prstGeom prst="rect">
                      <a:avLst/>
                    </a:prstGeom>
                  </pic:spPr>
                </pic:pic>
              </a:graphicData>
            </a:graphic>
          </wp:anchor>
        </w:drawing>
      </w:r>
      <w:r w:rsidRPr="005F0A67">
        <w:rPr>
          <w:rFonts w:asciiTheme="majorBidi" w:eastAsia="Arial" w:hAnsiTheme="majorBidi" w:cstheme="majorBidi"/>
          <w:noProof/>
          <w:sz w:val="14"/>
          <w:szCs w:val="14"/>
          <w:lang w:val="en-US"/>
        </w:rPr>
        <w:drawing>
          <wp:anchor distT="0" distB="0" distL="0" distR="0" simplePos="0" relativeHeight="251658343" behindDoc="0" locked="0" layoutInCell="1" allowOverlap="1" wp14:anchorId="3734F7C5" wp14:editId="06121CF5">
            <wp:simplePos x="0" y="0"/>
            <wp:positionH relativeFrom="page">
              <wp:posOffset>5121275</wp:posOffset>
            </wp:positionH>
            <wp:positionV relativeFrom="paragraph">
              <wp:posOffset>160095</wp:posOffset>
            </wp:positionV>
            <wp:extent cx="127000" cy="127000"/>
            <wp:effectExtent l="0" t="0" r="0" b="0"/>
            <wp:wrapNone/>
            <wp:docPr id="190" name="Image 1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0" name="Image 190"/>
                    <pic:cNvPicPr/>
                  </pic:nvPicPr>
                  <pic:blipFill>
                    <a:blip r:embed="rId42" cstate="print"/>
                    <a:stretch>
                      <a:fillRect/>
                    </a:stretch>
                  </pic:blipFill>
                  <pic:spPr>
                    <a:xfrm>
                      <a:off x="0" y="0"/>
                      <a:ext cx="127000" cy="127000"/>
                    </a:xfrm>
                    <a:prstGeom prst="rect">
                      <a:avLst/>
                    </a:prstGeom>
                  </pic:spPr>
                </pic:pic>
              </a:graphicData>
            </a:graphic>
          </wp:anchor>
        </w:drawing>
      </w:r>
      <w:r w:rsidRPr="005F0A67">
        <w:rPr>
          <w:rFonts w:asciiTheme="majorBidi" w:eastAsia="Arial" w:hAnsiTheme="majorBidi" w:cstheme="majorBidi"/>
          <w:noProof/>
          <w:sz w:val="14"/>
          <w:szCs w:val="14"/>
          <w:lang w:val="en-US"/>
        </w:rPr>
        <w:drawing>
          <wp:anchor distT="0" distB="0" distL="0" distR="0" simplePos="0" relativeHeight="251658344" behindDoc="0" locked="0" layoutInCell="1" allowOverlap="1" wp14:anchorId="7FED950D" wp14:editId="587C20D0">
            <wp:simplePos x="0" y="0"/>
            <wp:positionH relativeFrom="page">
              <wp:posOffset>5775325</wp:posOffset>
            </wp:positionH>
            <wp:positionV relativeFrom="paragraph">
              <wp:posOffset>160095</wp:posOffset>
            </wp:positionV>
            <wp:extent cx="127000" cy="127000"/>
            <wp:effectExtent l="0" t="0" r="0" b="0"/>
            <wp:wrapNone/>
            <wp:docPr id="191" name="Image 1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1" name="Image 191"/>
                    <pic:cNvPicPr/>
                  </pic:nvPicPr>
                  <pic:blipFill>
                    <a:blip r:embed="rId48" cstate="print"/>
                    <a:stretch>
                      <a:fillRect/>
                    </a:stretch>
                  </pic:blipFill>
                  <pic:spPr>
                    <a:xfrm>
                      <a:off x="0" y="0"/>
                      <a:ext cx="127000" cy="127000"/>
                    </a:xfrm>
                    <a:prstGeom prst="rect">
                      <a:avLst/>
                    </a:prstGeom>
                  </pic:spPr>
                </pic:pic>
              </a:graphicData>
            </a:graphic>
          </wp:anchor>
        </w:drawing>
      </w:r>
      <w:r w:rsidRPr="005F0A67">
        <w:rPr>
          <w:rFonts w:asciiTheme="majorBidi" w:eastAsia="Arial" w:hAnsiTheme="majorBidi" w:cstheme="majorBidi"/>
          <w:color w:val="242424"/>
          <w:spacing w:val="-4"/>
          <w:w w:val="110"/>
          <w:sz w:val="14"/>
          <w:szCs w:val="14"/>
          <w:lang w:val="en-US"/>
        </w:rPr>
        <w:t>Seek</w:t>
      </w:r>
      <w:r w:rsidRPr="005F0A67">
        <w:rPr>
          <w:rFonts w:asciiTheme="majorBidi" w:eastAsia="Arial" w:hAnsiTheme="majorBidi" w:cstheme="majorBidi"/>
          <w:color w:val="242424"/>
          <w:w w:val="110"/>
          <w:sz w:val="14"/>
          <w:szCs w:val="14"/>
          <w:lang w:val="en-US"/>
        </w:rPr>
        <w:t xml:space="preserve"> </w:t>
      </w:r>
      <w:r w:rsidRPr="005F0A67">
        <w:rPr>
          <w:rFonts w:asciiTheme="majorBidi" w:eastAsia="Arial" w:hAnsiTheme="majorBidi" w:cstheme="majorBidi"/>
          <w:color w:val="242424"/>
          <w:sz w:val="14"/>
          <w:szCs w:val="14"/>
          <w:lang w:val="en-US"/>
        </w:rPr>
        <w:t>exemptions</w:t>
      </w:r>
      <w:r w:rsidRPr="005F0A67">
        <w:rPr>
          <w:rFonts w:asciiTheme="majorBidi" w:eastAsia="Arial" w:hAnsiTheme="majorBidi" w:cstheme="majorBidi"/>
          <w:color w:val="242424"/>
          <w:spacing w:val="-10"/>
          <w:sz w:val="14"/>
          <w:szCs w:val="14"/>
          <w:lang w:val="en-US"/>
        </w:rPr>
        <w:t xml:space="preserve"> </w:t>
      </w:r>
      <w:r w:rsidRPr="005F0A67">
        <w:rPr>
          <w:rFonts w:asciiTheme="majorBidi" w:eastAsia="Arial" w:hAnsiTheme="majorBidi" w:cstheme="majorBidi"/>
          <w:color w:val="242424"/>
          <w:sz w:val="14"/>
          <w:szCs w:val="14"/>
          <w:lang w:val="en-US"/>
        </w:rPr>
        <w:t>/</w:t>
      </w:r>
      <w:r w:rsidRPr="005F0A67">
        <w:rPr>
          <w:rFonts w:asciiTheme="majorBidi" w:eastAsia="Arial" w:hAnsiTheme="majorBidi" w:cstheme="majorBidi"/>
          <w:color w:val="242424"/>
          <w:w w:val="110"/>
          <w:sz w:val="14"/>
          <w:szCs w:val="14"/>
          <w:lang w:val="en-US"/>
        </w:rPr>
        <w:t xml:space="preserve"> </w:t>
      </w:r>
      <w:r w:rsidRPr="005F0A67">
        <w:rPr>
          <w:rFonts w:asciiTheme="majorBidi" w:eastAsia="Arial" w:hAnsiTheme="majorBidi" w:cstheme="majorBidi"/>
          <w:color w:val="242424"/>
          <w:spacing w:val="-2"/>
          <w:w w:val="110"/>
          <w:sz w:val="14"/>
          <w:szCs w:val="14"/>
          <w:lang w:val="en-US"/>
        </w:rPr>
        <w:t>alternative models</w:t>
      </w:r>
    </w:p>
    <w:p w14:paraId="68AE741A" w14:textId="77777777" w:rsidR="005F0A67" w:rsidRPr="005F0A67" w:rsidRDefault="005F0A67" w:rsidP="005F0A67">
      <w:pPr>
        <w:widowControl w:val="0"/>
        <w:tabs>
          <w:tab w:val="clear" w:pos="567"/>
          <w:tab w:val="clear" w:pos="1134"/>
          <w:tab w:val="clear" w:pos="1701"/>
          <w:tab w:val="clear" w:pos="2268"/>
        </w:tabs>
        <w:jc w:val="left"/>
        <w:rPr>
          <w:rFonts w:asciiTheme="majorBidi" w:eastAsia="Arial" w:hAnsiTheme="majorBidi" w:cstheme="majorBidi"/>
          <w:sz w:val="14"/>
          <w:szCs w:val="14"/>
          <w:lang w:val="en-US"/>
        </w:rPr>
      </w:pPr>
    </w:p>
    <w:p w14:paraId="07A90A8D" w14:textId="77777777" w:rsidR="005F0A67" w:rsidRPr="005F0A67" w:rsidRDefault="005F0A67" w:rsidP="005F0A67">
      <w:pPr>
        <w:widowControl w:val="0"/>
        <w:tabs>
          <w:tab w:val="clear" w:pos="567"/>
          <w:tab w:val="clear" w:pos="1134"/>
          <w:tab w:val="clear" w:pos="1701"/>
          <w:tab w:val="clear" w:pos="2268"/>
        </w:tabs>
        <w:spacing w:before="3"/>
        <w:jc w:val="left"/>
        <w:rPr>
          <w:rFonts w:asciiTheme="majorBidi" w:eastAsia="Arial" w:hAnsiTheme="majorBidi" w:cstheme="majorBidi"/>
          <w:sz w:val="14"/>
          <w:szCs w:val="14"/>
          <w:lang w:val="en-US"/>
        </w:rPr>
      </w:pPr>
    </w:p>
    <w:p w14:paraId="7B06756C" w14:textId="77777777" w:rsidR="005F0A67" w:rsidRPr="005F0A67" w:rsidRDefault="005F0A67" w:rsidP="005F0A67">
      <w:pPr>
        <w:widowControl w:val="0"/>
        <w:tabs>
          <w:tab w:val="clear" w:pos="567"/>
          <w:tab w:val="clear" w:pos="1134"/>
          <w:tab w:val="clear" w:pos="1701"/>
          <w:tab w:val="clear" w:pos="2268"/>
        </w:tabs>
        <w:spacing w:before="1"/>
        <w:ind w:left="825"/>
        <w:jc w:val="left"/>
        <w:rPr>
          <w:rFonts w:asciiTheme="majorBidi" w:eastAsia="Arial" w:hAnsiTheme="majorBidi" w:cstheme="majorBidi"/>
          <w:sz w:val="14"/>
          <w:szCs w:val="14"/>
          <w:lang w:val="en-US"/>
        </w:rPr>
      </w:pPr>
      <w:r w:rsidRPr="005F0A67">
        <w:rPr>
          <w:rFonts w:asciiTheme="majorBidi" w:eastAsia="Arial" w:hAnsiTheme="majorBidi" w:cstheme="majorBidi"/>
          <w:noProof/>
          <w:sz w:val="14"/>
          <w:szCs w:val="14"/>
          <w:lang w:val="en-US"/>
        </w:rPr>
        <w:drawing>
          <wp:anchor distT="0" distB="0" distL="0" distR="0" simplePos="0" relativeHeight="251658345" behindDoc="0" locked="0" layoutInCell="1" allowOverlap="1" wp14:anchorId="2D03A69A" wp14:editId="001B3006">
            <wp:simplePos x="0" y="0"/>
            <wp:positionH relativeFrom="page">
              <wp:posOffset>2505075</wp:posOffset>
            </wp:positionH>
            <wp:positionV relativeFrom="paragraph">
              <wp:posOffset>7747</wp:posOffset>
            </wp:positionV>
            <wp:extent cx="127000" cy="127000"/>
            <wp:effectExtent l="0" t="0" r="0" b="0"/>
            <wp:wrapNone/>
            <wp:docPr id="192" name="Image 1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2" name="Image 192"/>
                    <pic:cNvPicPr/>
                  </pic:nvPicPr>
                  <pic:blipFill>
                    <a:blip r:embed="rId39" cstate="print"/>
                    <a:stretch>
                      <a:fillRect/>
                    </a:stretch>
                  </pic:blipFill>
                  <pic:spPr>
                    <a:xfrm>
                      <a:off x="0" y="0"/>
                      <a:ext cx="127000" cy="127000"/>
                    </a:xfrm>
                    <a:prstGeom prst="rect">
                      <a:avLst/>
                    </a:prstGeom>
                  </pic:spPr>
                </pic:pic>
              </a:graphicData>
            </a:graphic>
          </wp:anchor>
        </w:drawing>
      </w:r>
      <w:r w:rsidRPr="005F0A67">
        <w:rPr>
          <w:rFonts w:asciiTheme="majorBidi" w:eastAsia="Arial" w:hAnsiTheme="majorBidi" w:cstheme="majorBidi"/>
          <w:noProof/>
          <w:sz w:val="14"/>
          <w:szCs w:val="14"/>
          <w:lang w:val="en-US"/>
        </w:rPr>
        <w:drawing>
          <wp:anchor distT="0" distB="0" distL="0" distR="0" simplePos="0" relativeHeight="251658346" behindDoc="0" locked="0" layoutInCell="1" allowOverlap="1" wp14:anchorId="2E0E13FF" wp14:editId="6D21F1DB">
            <wp:simplePos x="0" y="0"/>
            <wp:positionH relativeFrom="page">
              <wp:posOffset>3159125</wp:posOffset>
            </wp:positionH>
            <wp:positionV relativeFrom="paragraph">
              <wp:posOffset>7747</wp:posOffset>
            </wp:positionV>
            <wp:extent cx="127000" cy="127000"/>
            <wp:effectExtent l="0" t="0" r="0" b="0"/>
            <wp:wrapNone/>
            <wp:docPr id="193" name="Image 1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3" name="Image 193"/>
                    <pic:cNvPicPr/>
                  </pic:nvPicPr>
                  <pic:blipFill>
                    <a:blip r:embed="rId39" cstate="print"/>
                    <a:stretch>
                      <a:fillRect/>
                    </a:stretch>
                  </pic:blipFill>
                  <pic:spPr>
                    <a:xfrm>
                      <a:off x="0" y="0"/>
                      <a:ext cx="127000" cy="127000"/>
                    </a:xfrm>
                    <a:prstGeom prst="rect">
                      <a:avLst/>
                    </a:prstGeom>
                  </pic:spPr>
                </pic:pic>
              </a:graphicData>
            </a:graphic>
          </wp:anchor>
        </w:drawing>
      </w:r>
      <w:r w:rsidRPr="005F0A67">
        <w:rPr>
          <w:rFonts w:asciiTheme="majorBidi" w:eastAsia="Arial" w:hAnsiTheme="majorBidi" w:cstheme="majorBidi"/>
          <w:noProof/>
          <w:sz w:val="14"/>
          <w:szCs w:val="14"/>
          <w:lang w:val="en-US"/>
        </w:rPr>
        <w:drawing>
          <wp:anchor distT="0" distB="0" distL="0" distR="0" simplePos="0" relativeHeight="251658347" behindDoc="0" locked="0" layoutInCell="1" allowOverlap="1" wp14:anchorId="4A484D14" wp14:editId="52C1CF1B">
            <wp:simplePos x="0" y="0"/>
            <wp:positionH relativeFrom="page">
              <wp:posOffset>3813175</wp:posOffset>
            </wp:positionH>
            <wp:positionV relativeFrom="paragraph">
              <wp:posOffset>7747</wp:posOffset>
            </wp:positionV>
            <wp:extent cx="127000" cy="127000"/>
            <wp:effectExtent l="0" t="0" r="0" b="0"/>
            <wp:wrapNone/>
            <wp:docPr id="194" name="Image 1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4" name="Image 194"/>
                    <pic:cNvPicPr/>
                  </pic:nvPicPr>
                  <pic:blipFill>
                    <a:blip r:embed="rId61" cstate="print"/>
                    <a:stretch>
                      <a:fillRect/>
                    </a:stretch>
                  </pic:blipFill>
                  <pic:spPr>
                    <a:xfrm>
                      <a:off x="0" y="0"/>
                      <a:ext cx="127000" cy="127000"/>
                    </a:xfrm>
                    <a:prstGeom prst="rect">
                      <a:avLst/>
                    </a:prstGeom>
                  </pic:spPr>
                </pic:pic>
              </a:graphicData>
            </a:graphic>
          </wp:anchor>
        </w:drawing>
      </w:r>
      <w:r w:rsidRPr="005F0A67">
        <w:rPr>
          <w:rFonts w:asciiTheme="majorBidi" w:eastAsia="Arial" w:hAnsiTheme="majorBidi" w:cstheme="majorBidi"/>
          <w:noProof/>
          <w:sz w:val="14"/>
          <w:szCs w:val="14"/>
          <w:lang w:val="en-US"/>
        </w:rPr>
        <w:drawing>
          <wp:anchor distT="0" distB="0" distL="0" distR="0" simplePos="0" relativeHeight="251658348" behindDoc="0" locked="0" layoutInCell="1" allowOverlap="1" wp14:anchorId="70332CA7" wp14:editId="7644E772">
            <wp:simplePos x="0" y="0"/>
            <wp:positionH relativeFrom="page">
              <wp:posOffset>4467225</wp:posOffset>
            </wp:positionH>
            <wp:positionV relativeFrom="paragraph">
              <wp:posOffset>7747</wp:posOffset>
            </wp:positionV>
            <wp:extent cx="127000" cy="127000"/>
            <wp:effectExtent l="0" t="0" r="0" b="0"/>
            <wp:wrapNone/>
            <wp:docPr id="195" name="Image 1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5" name="Image 195"/>
                    <pic:cNvPicPr/>
                  </pic:nvPicPr>
                  <pic:blipFill>
                    <a:blip r:embed="rId39" cstate="print"/>
                    <a:stretch>
                      <a:fillRect/>
                    </a:stretch>
                  </pic:blipFill>
                  <pic:spPr>
                    <a:xfrm>
                      <a:off x="0" y="0"/>
                      <a:ext cx="127000" cy="127000"/>
                    </a:xfrm>
                    <a:prstGeom prst="rect">
                      <a:avLst/>
                    </a:prstGeom>
                  </pic:spPr>
                </pic:pic>
              </a:graphicData>
            </a:graphic>
          </wp:anchor>
        </w:drawing>
      </w:r>
      <w:r w:rsidRPr="005F0A67">
        <w:rPr>
          <w:rFonts w:asciiTheme="majorBidi" w:eastAsia="Arial" w:hAnsiTheme="majorBidi" w:cstheme="majorBidi"/>
          <w:noProof/>
          <w:sz w:val="14"/>
          <w:szCs w:val="14"/>
          <w:lang w:val="en-US"/>
        </w:rPr>
        <w:drawing>
          <wp:anchor distT="0" distB="0" distL="0" distR="0" simplePos="0" relativeHeight="251658349" behindDoc="0" locked="0" layoutInCell="1" allowOverlap="1" wp14:anchorId="4C6FE617" wp14:editId="7BDAECEC">
            <wp:simplePos x="0" y="0"/>
            <wp:positionH relativeFrom="page">
              <wp:posOffset>5121275</wp:posOffset>
            </wp:positionH>
            <wp:positionV relativeFrom="paragraph">
              <wp:posOffset>7747</wp:posOffset>
            </wp:positionV>
            <wp:extent cx="127000" cy="127000"/>
            <wp:effectExtent l="0" t="0" r="0" b="0"/>
            <wp:wrapNone/>
            <wp:docPr id="196" name="Image 1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6" name="Image 196"/>
                    <pic:cNvPicPr/>
                  </pic:nvPicPr>
                  <pic:blipFill>
                    <a:blip r:embed="rId39" cstate="print"/>
                    <a:stretch>
                      <a:fillRect/>
                    </a:stretch>
                  </pic:blipFill>
                  <pic:spPr>
                    <a:xfrm>
                      <a:off x="0" y="0"/>
                      <a:ext cx="127000" cy="127000"/>
                    </a:xfrm>
                    <a:prstGeom prst="rect">
                      <a:avLst/>
                    </a:prstGeom>
                  </pic:spPr>
                </pic:pic>
              </a:graphicData>
            </a:graphic>
          </wp:anchor>
        </w:drawing>
      </w:r>
      <w:r w:rsidRPr="005F0A67">
        <w:rPr>
          <w:rFonts w:asciiTheme="majorBidi" w:eastAsia="Arial" w:hAnsiTheme="majorBidi" w:cstheme="majorBidi"/>
          <w:noProof/>
          <w:sz w:val="14"/>
          <w:szCs w:val="14"/>
          <w:lang w:val="en-US"/>
        </w:rPr>
        <w:drawing>
          <wp:anchor distT="0" distB="0" distL="0" distR="0" simplePos="0" relativeHeight="251658350" behindDoc="0" locked="0" layoutInCell="1" allowOverlap="1" wp14:anchorId="18C02182" wp14:editId="1DD230CD">
            <wp:simplePos x="0" y="0"/>
            <wp:positionH relativeFrom="page">
              <wp:posOffset>5775325</wp:posOffset>
            </wp:positionH>
            <wp:positionV relativeFrom="paragraph">
              <wp:posOffset>7747</wp:posOffset>
            </wp:positionV>
            <wp:extent cx="127000" cy="127000"/>
            <wp:effectExtent l="0" t="0" r="0" b="0"/>
            <wp:wrapNone/>
            <wp:docPr id="197" name="Image 1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7" name="Image 197"/>
                    <pic:cNvPicPr/>
                  </pic:nvPicPr>
                  <pic:blipFill>
                    <a:blip r:embed="rId62" cstate="print"/>
                    <a:stretch>
                      <a:fillRect/>
                    </a:stretch>
                  </pic:blipFill>
                  <pic:spPr>
                    <a:xfrm>
                      <a:off x="0" y="0"/>
                      <a:ext cx="127000" cy="127000"/>
                    </a:xfrm>
                    <a:prstGeom prst="rect">
                      <a:avLst/>
                    </a:prstGeom>
                  </pic:spPr>
                </pic:pic>
              </a:graphicData>
            </a:graphic>
          </wp:anchor>
        </w:drawing>
      </w:r>
      <w:r w:rsidRPr="005F0A67">
        <w:rPr>
          <w:rFonts w:asciiTheme="majorBidi" w:eastAsia="Arial" w:hAnsiTheme="majorBidi" w:cstheme="majorBidi"/>
          <w:color w:val="242424"/>
          <w:sz w:val="14"/>
          <w:szCs w:val="14"/>
          <w:lang w:val="en-US"/>
        </w:rPr>
        <w:t>Exit</w:t>
      </w:r>
      <w:r w:rsidRPr="005F0A67">
        <w:rPr>
          <w:rFonts w:asciiTheme="majorBidi" w:eastAsia="Arial" w:hAnsiTheme="majorBidi" w:cstheme="majorBidi"/>
          <w:color w:val="242424"/>
          <w:spacing w:val="-9"/>
          <w:sz w:val="14"/>
          <w:szCs w:val="14"/>
          <w:lang w:val="en-US"/>
        </w:rPr>
        <w:t xml:space="preserve"> </w:t>
      </w:r>
      <w:r w:rsidRPr="005F0A67">
        <w:rPr>
          <w:rFonts w:asciiTheme="majorBidi" w:eastAsia="Arial" w:hAnsiTheme="majorBidi" w:cstheme="majorBidi"/>
          <w:color w:val="242424"/>
          <w:sz w:val="14"/>
          <w:szCs w:val="14"/>
          <w:lang w:val="en-US"/>
        </w:rPr>
        <w:t>the</w:t>
      </w:r>
      <w:r w:rsidRPr="005F0A67">
        <w:rPr>
          <w:rFonts w:asciiTheme="majorBidi" w:eastAsia="Arial" w:hAnsiTheme="majorBidi" w:cstheme="majorBidi"/>
          <w:color w:val="242424"/>
          <w:spacing w:val="-8"/>
          <w:sz w:val="14"/>
          <w:szCs w:val="14"/>
          <w:lang w:val="en-US"/>
        </w:rPr>
        <w:t xml:space="preserve"> </w:t>
      </w:r>
      <w:r w:rsidRPr="005F0A67">
        <w:rPr>
          <w:rFonts w:asciiTheme="majorBidi" w:eastAsia="Arial" w:hAnsiTheme="majorBidi" w:cstheme="majorBidi"/>
          <w:color w:val="242424"/>
          <w:spacing w:val="-2"/>
          <w:sz w:val="14"/>
          <w:szCs w:val="14"/>
          <w:lang w:val="en-US"/>
        </w:rPr>
        <w:t>market</w:t>
      </w:r>
    </w:p>
    <w:p w14:paraId="41D3A4E6" w14:textId="77777777" w:rsidR="005F0A67" w:rsidRPr="005F0A67" w:rsidRDefault="005F0A67" w:rsidP="005F0A67">
      <w:pPr>
        <w:tabs>
          <w:tab w:val="clear" w:pos="567"/>
          <w:tab w:val="clear" w:pos="1134"/>
          <w:tab w:val="clear" w:pos="1701"/>
          <w:tab w:val="clear" w:pos="2268"/>
        </w:tabs>
        <w:spacing w:after="180" w:line="292" w:lineRule="auto"/>
        <w:rPr>
          <w:rFonts w:asciiTheme="majorBidi" w:eastAsia="Times New Roman" w:hAnsiTheme="majorBidi" w:cstheme="majorBidi"/>
          <w:lang w:val="en-CA" w:eastAsia="en-GB"/>
        </w:rPr>
      </w:pPr>
    </w:p>
    <w:p w14:paraId="6F69DE59" w14:textId="77777777" w:rsidR="005F0A67" w:rsidRPr="005F0A67" w:rsidRDefault="005F0A67" w:rsidP="003A387A">
      <w:pPr>
        <w:numPr>
          <w:ilvl w:val="0"/>
          <w:numId w:val="44"/>
        </w:numPr>
        <w:tabs>
          <w:tab w:val="clear" w:pos="567"/>
          <w:tab w:val="clear" w:pos="1134"/>
          <w:tab w:val="clear" w:pos="1701"/>
          <w:tab w:val="clear" w:pos="2268"/>
          <w:tab w:val="num" w:pos="360"/>
          <w:tab w:val="left" w:pos="703"/>
          <w:tab w:val="left" w:pos="705"/>
        </w:tabs>
        <w:spacing w:before="97" w:after="160" w:line="271" w:lineRule="auto"/>
        <w:ind w:left="360" w:right="1090" w:hanging="281"/>
        <w:jc w:val="left"/>
        <w:outlineLvl w:val="2"/>
        <w:rPr>
          <w:rFonts w:asciiTheme="majorBidi" w:eastAsia="Arial" w:hAnsiTheme="majorBidi" w:cstheme="majorBidi"/>
          <w:b/>
          <w:bCs/>
          <w:color w:val="7F7F7F"/>
          <w:sz w:val="23"/>
          <w:szCs w:val="23"/>
          <w:lang w:val="en-CA" w:eastAsia="en-GB"/>
        </w:rPr>
      </w:pPr>
      <w:bookmarkStart w:id="286" w:name="_Toc234579640"/>
      <w:r w:rsidRPr="005F0A67">
        <w:rPr>
          <w:rFonts w:asciiTheme="majorBidi" w:eastAsia="Georgia" w:hAnsiTheme="majorBidi" w:cstheme="majorBidi"/>
          <w:color w:val="242424"/>
          <w:sz w:val="17"/>
          <w:szCs w:val="17"/>
          <w:lang w:val="en-CA" w:eastAsia="en-GB"/>
        </w:rPr>
        <w:t>What benefits, if any, would your organisation expect from contributing to the Cali Fund? (Select all that apply)</w:t>
      </w:r>
      <w:r w:rsidRPr="005F0A67">
        <w:rPr>
          <w:rFonts w:asciiTheme="majorBidi" w:eastAsia="Arial" w:hAnsiTheme="majorBidi" w:cstheme="majorBidi"/>
          <w:b/>
          <w:bCs/>
          <w:color w:val="242424"/>
          <w:sz w:val="23"/>
          <w:szCs w:val="23"/>
          <w:lang w:val="en-CA" w:eastAsia="en-GB"/>
        </w:rPr>
        <w:t xml:space="preserve"> </w:t>
      </w:r>
      <w:r w:rsidRPr="005F0A67">
        <w:rPr>
          <w:rFonts w:asciiTheme="majorBidi" w:eastAsia="Arial" w:hAnsiTheme="majorBidi" w:cstheme="majorBidi"/>
          <w:b/>
          <w:bCs/>
          <w:color w:val="AE1515"/>
          <w:sz w:val="23"/>
          <w:szCs w:val="23"/>
          <w:lang w:val="en-CA" w:eastAsia="en-GB"/>
        </w:rPr>
        <w:t>*</w:t>
      </w:r>
      <w:bookmarkEnd w:id="286"/>
    </w:p>
    <w:p w14:paraId="4B83F185" w14:textId="77777777" w:rsidR="005F0A67" w:rsidRPr="005F0A67" w:rsidRDefault="005F0A67" w:rsidP="005F0A67">
      <w:pPr>
        <w:widowControl w:val="0"/>
        <w:tabs>
          <w:tab w:val="clear" w:pos="567"/>
          <w:tab w:val="clear" w:pos="1134"/>
          <w:tab w:val="clear" w:pos="1701"/>
          <w:tab w:val="clear" w:pos="2268"/>
        </w:tabs>
        <w:spacing w:before="96"/>
        <w:jc w:val="left"/>
        <w:rPr>
          <w:rFonts w:asciiTheme="majorBidi" w:eastAsia="Arial" w:hAnsiTheme="majorBidi" w:cstheme="majorBidi"/>
          <w:sz w:val="14"/>
          <w:szCs w:val="14"/>
          <w:lang w:val="en-US"/>
        </w:rPr>
      </w:pPr>
    </w:p>
    <w:p w14:paraId="1FD55874" w14:textId="77777777" w:rsidR="005F0A67" w:rsidRPr="005F0A67" w:rsidRDefault="005F0A67" w:rsidP="005F0A67">
      <w:pPr>
        <w:widowControl w:val="0"/>
        <w:tabs>
          <w:tab w:val="clear" w:pos="567"/>
          <w:tab w:val="clear" w:pos="1134"/>
          <w:tab w:val="clear" w:pos="1701"/>
          <w:tab w:val="clear" w:pos="2268"/>
        </w:tabs>
        <w:spacing w:before="1" w:line="600" w:lineRule="auto"/>
        <w:ind w:left="725" w:right="3264"/>
        <w:jc w:val="left"/>
        <w:rPr>
          <w:rFonts w:asciiTheme="majorBidi" w:eastAsia="Arial" w:hAnsiTheme="majorBidi" w:cstheme="majorBidi"/>
          <w:sz w:val="14"/>
          <w:szCs w:val="14"/>
          <w:lang w:val="en-US"/>
        </w:rPr>
      </w:pPr>
      <w:r w:rsidRPr="005F0A67">
        <w:rPr>
          <w:rFonts w:asciiTheme="majorBidi" w:eastAsia="Arial" w:hAnsiTheme="majorBidi" w:cstheme="majorBidi"/>
          <w:noProof/>
          <w:position w:val="-4"/>
          <w:sz w:val="14"/>
          <w:szCs w:val="14"/>
          <w:lang w:val="en-US"/>
        </w:rPr>
        <w:drawing>
          <wp:inline distT="0" distB="0" distL="0" distR="0" wp14:anchorId="23A6E145" wp14:editId="541CE1C4">
            <wp:extent cx="127000" cy="127000"/>
            <wp:effectExtent l="0" t="0" r="0" b="0"/>
            <wp:docPr id="198" name="Image 19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8" name="Image 198"/>
                    <pic:cNvPicPr/>
                  </pic:nvPicPr>
                  <pic:blipFill>
                    <a:blip r:embed="rId41" cstate="print"/>
                    <a:stretch>
                      <a:fillRect/>
                    </a:stretch>
                  </pic:blipFill>
                  <pic:spPr>
                    <a:xfrm>
                      <a:off x="0" y="0"/>
                      <a:ext cx="127000" cy="127000"/>
                    </a:xfrm>
                    <a:prstGeom prst="rect">
                      <a:avLst/>
                    </a:prstGeom>
                  </pic:spPr>
                </pic:pic>
              </a:graphicData>
            </a:graphic>
          </wp:inline>
        </w:drawing>
      </w:r>
      <w:r w:rsidRPr="005F0A67">
        <w:rPr>
          <w:rFonts w:asciiTheme="majorBidi" w:eastAsia="Arial" w:hAnsiTheme="majorBidi" w:cstheme="majorBidi"/>
          <w:spacing w:val="67"/>
          <w:sz w:val="20"/>
          <w:szCs w:val="20"/>
          <w:lang w:val="en-US"/>
        </w:rPr>
        <w:t xml:space="preserve"> </w:t>
      </w:r>
      <w:r w:rsidRPr="005F0A67">
        <w:rPr>
          <w:rFonts w:asciiTheme="majorBidi" w:eastAsia="Arial" w:hAnsiTheme="majorBidi" w:cstheme="majorBidi"/>
          <w:color w:val="242424"/>
          <w:sz w:val="14"/>
          <w:szCs w:val="14"/>
          <w:lang w:val="en-US"/>
        </w:rPr>
        <w:t>Commercial</w:t>
      </w:r>
      <w:r w:rsidRPr="005F0A67">
        <w:rPr>
          <w:rFonts w:asciiTheme="majorBidi" w:eastAsia="Arial" w:hAnsiTheme="majorBidi" w:cstheme="majorBidi"/>
          <w:color w:val="242424"/>
          <w:spacing w:val="-8"/>
          <w:sz w:val="14"/>
          <w:szCs w:val="14"/>
          <w:lang w:val="en-US"/>
        </w:rPr>
        <w:t xml:space="preserve"> </w:t>
      </w:r>
      <w:r w:rsidRPr="005F0A67">
        <w:rPr>
          <w:rFonts w:asciiTheme="majorBidi" w:eastAsia="Arial" w:hAnsiTheme="majorBidi" w:cstheme="majorBidi"/>
          <w:color w:val="242424"/>
          <w:sz w:val="14"/>
          <w:szCs w:val="14"/>
          <w:lang w:val="en-US"/>
        </w:rPr>
        <w:t>benefits</w:t>
      </w:r>
      <w:r w:rsidRPr="005F0A67">
        <w:rPr>
          <w:rFonts w:asciiTheme="majorBidi" w:eastAsia="Arial" w:hAnsiTheme="majorBidi" w:cstheme="majorBidi"/>
          <w:color w:val="242424"/>
          <w:spacing w:val="-8"/>
          <w:sz w:val="14"/>
          <w:szCs w:val="14"/>
          <w:lang w:val="en-US"/>
        </w:rPr>
        <w:t xml:space="preserve"> </w:t>
      </w:r>
      <w:r w:rsidRPr="005F0A67">
        <w:rPr>
          <w:rFonts w:asciiTheme="majorBidi" w:eastAsia="Arial" w:hAnsiTheme="majorBidi" w:cstheme="majorBidi"/>
          <w:color w:val="242424"/>
          <w:sz w:val="14"/>
          <w:szCs w:val="14"/>
          <w:lang w:val="en-US"/>
        </w:rPr>
        <w:t>(e.g.</w:t>
      </w:r>
      <w:r w:rsidRPr="005F0A67">
        <w:rPr>
          <w:rFonts w:asciiTheme="majorBidi" w:eastAsia="Arial" w:hAnsiTheme="majorBidi" w:cstheme="majorBidi"/>
          <w:color w:val="242424"/>
          <w:spacing w:val="-8"/>
          <w:sz w:val="14"/>
          <w:szCs w:val="14"/>
          <w:lang w:val="en-US"/>
        </w:rPr>
        <w:t xml:space="preserve"> </w:t>
      </w:r>
      <w:r w:rsidRPr="005F0A67">
        <w:rPr>
          <w:rFonts w:asciiTheme="majorBidi" w:eastAsia="Arial" w:hAnsiTheme="majorBidi" w:cstheme="majorBidi"/>
          <w:color w:val="242424"/>
          <w:sz w:val="14"/>
          <w:szCs w:val="14"/>
          <w:lang w:val="en-US"/>
        </w:rPr>
        <w:t>price</w:t>
      </w:r>
      <w:r w:rsidRPr="005F0A67">
        <w:rPr>
          <w:rFonts w:asciiTheme="majorBidi" w:eastAsia="Arial" w:hAnsiTheme="majorBidi" w:cstheme="majorBidi"/>
          <w:color w:val="242424"/>
          <w:spacing w:val="-8"/>
          <w:sz w:val="14"/>
          <w:szCs w:val="14"/>
          <w:lang w:val="en-US"/>
        </w:rPr>
        <w:t xml:space="preserve"> </w:t>
      </w:r>
      <w:r w:rsidRPr="005F0A67">
        <w:rPr>
          <w:rFonts w:asciiTheme="majorBidi" w:eastAsia="Arial" w:hAnsiTheme="majorBidi" w:cstheme="majorBidi"/>
          <w:color w:val="242424"/>
          <w:sz w:val="14"/>
          <w:szCs w:val="14"/>
          <w:lang w:val="en-US"/>
        </w:rPr>
        <w:t>premiums,</w:t>
      </w:r>
      <w:r w:rsidRPr="005F0A67">
        <w:rPr>
          <w:rFonts w:asciiTheme="majorBidi" w:eastAsia="Arial" w:hAnsiTheme="majorBidi" w:cstheme="majorBidi"/>
          <w:color w:val="242424"/>
          <w:spacing w:val="-8"/>
          <w:sz w:val="14"/>
          <w:szCs w:val="14"/>
          <w:lang w:val="en-US"/>
        </w:rPr>
        <w:t xml:space="preserve"> </w:t>
      </w:r>
      <w:r w:rsidRPr="005F0A67">
        <w:rPr>
          <w:rFonts w:asciiTheme="majorBidi" w:eastAsia="Arial" w:hAnsiTheme="majorBidi" w:cstheme="majorBidi"/>
          <w:color w:val="242424"/>
          <w:sz w:val="14"/>
          <w:szCs w:val="14"/>
          <w:lang w:val="en-US"/>
        </w:rPr>
        <w:t>revenue</w:t>
      </w:r>
      <w:r w:rsidRPr="005F0A67">
        <w:rPr>
          <w:rFonts w:asciiTheme="majorBidi" w:eastAsia="Arial" w:hAnsiTheme="majorBidi" w:cstheme="majorBidi"/>
          <w:color w:val="242424"/>
          <w:spacing w:val="-8"/>
          <w:sz w:val="14"/>
          <w:szCs w:val="14"/>
          <w:lang w:val="en-US"/>
        </w:rPr>
        <w:t xml:space="preserve"> </w:t>
      </w:r>
      <w:r w:rsidRPr="005F0A67">
        <w:rPr>
          <w:rFonts w:asciiTheme="majorBidi" w:eastAsia="Arial" w:hAnsiTheme="majorBidi" w:cstheme="majorBidi"/>
          <w:color w:val="242424"/>
          <w:sz w:val="14"/>
          <w:szCs w:val="14"/>
          <w:lang w:val="en-US"/>
        </w:rPr>
        <w:t>opportunities)</w:t>
      </w:r>
      <w:r w:rsidRPr="005F0A67">
        <w:rPr>
          <w:rFonts w:asciiTheme="majorBidi" w:eastAsia="Arial" w:hAnsiTheme="majorBidi" w:cstheme="majorBidi"/>
          <w:color w:val="242424"/>
          <w:spacing w:val="40"/>
          <w:sz w:val="14"/>
          <w:szCs w:val="14"/>
          <w:lang w:val="en-US"/>
        </w:rPr>
        <w:t xml:space="preserve"> </w:t>
      </w:r>
      <w:r w:rsidRPr="005F0A67">
        <w:rPr>
          <w:rFonts w:asciiTheme="majorBidi" w:eastAsia="Arial" w:hAnsiTheme="majorBidi" w:cstheme="majorBidi"/>
          <w:noProof/>
          <w:color w:val="242424"/>
          <w:position w:val="-4"/>
          <w:sz w:val="14"/>
          <w:szCs w:val="14"/>
          <w:lang w:val="en-US"/>
        </w:rPr>
        <w:drawing>
          <wp:inline distT="0" distB="0" distL="0" distR="0" wp14:anchorId="730E03E7" wp14:editId="7BB89DBD">
            <wp:extent cx="127000" cy="127000"/>
            <wp:effectExtent l="0" t="0" r="0" b="0"/>
            <wp:docPr id="199" name="Image 1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9" name="Image 199"/>
                    <pic:cNvPicPr/>
                  </pic:nvPicPr>
                  <pic:blipFill>
                    <a:blip r:embed="rId40" cstate="print"/>
                    <a:stretch>
                      <a:fillRect/>
                    </a:stretch>
                  </pic:blipFill>
                  <pic:spPr>
                    <a:xfrm>
                      <a:off x="0" y="0"/>
                      <a:ext cx="127000" cy="127000"/>
                    </a:xfrm>
                    <a:prstGeom prst="rect">
                      <a:avLst/>
                    </a:prstGeom>
                  </pic:spPr>
                </pic:pic>
              </a:graphicData>
            </a:graphic>
          </wp:inline>
        </w:drawing>
      </w:r>
      <w:r w:rsidRPr="005F0A67">
        <w:rPr>
          <w:rFonts w:asciiTheme="majorBidi" w:eastAsia="Arial" w:hAnsiTheme="majorBidi" w:cstheme="majorBidi"/>
          <w:color w:val="242424"/>
          <w:spacing w:val="80"/>
          <w:sz w:val="14"/>
          <w:szCs w:val="14"/>
          <w:lang w:val="en-US"/>
        </w:rPr>
        <w:t xml:space="preserve"> </w:t>
      </w:r>
      <w:r w:rsidRPr="005F0A67">
        <w:rPr>
          <w:rFonts w:asciiTheme="majorBidi" w:eastAsia="Arial" w:hAnsiTheme="majorBidi" w:cstheme="majorBidi"/>
          <w:color w:val="242424"/>
          <w:sz w:val="14"/>
          <w:szCs w:val="14"/>
          <w:lang w:val="en-US"/>
        </w:rPr>
        <w:t>Reputational or branding benefits</w:t>
      </w:r>
    </w:p>
    <w:p w14:paraId="56AF2B83" w14:textId="77777777" w:rsidR="005F0A67" w:rsidRPr="005F0A67" w:rsidRDefault="005F0A67" w:rsidP="005F0A67">
      <w:pPr>
        <w:widowControl w:val="0"/>
        <w:tabs>
          <w:tab w:val="clear" w:pos="567"/>
          <w:tab w:val="clear" w:pos="1134"/>
          <w:tab w:val="clear" w:pos="1701"/>
          <w:tab w:val="clear" w:pos="2268"/>
        </w:tabs>
        <w:spacing w:line="600" w:lineRule="auto"/>
        <w:ind w:left="725" w:right="4144"/>
        <w:jc w:val="left"/>
        <w:rPr>
          <w:rFonts w:asciiTheme="majorBidi" w:eastAsia="Arial" w:hAnsiTheme="majorBidi" w:cstheme="majorBidi"/>
          <w:sz w:val="14"/>
          <w:szCs w:val="14"/>
          <w:lang w:val="en-US"/>
        </w:rPr>
      </w:pPr>
      <w:r w:rsidRPr="005F0A67">
        <w:rPr>
          <w:rFonts w:asciiTheme="majorBidi" w:eastAsia="Arial" w:hAnsiTheme="majorBidi" w:cstheme="majorBidi"/>
          <w:noProof/>
          <w:position w:val="-4"/>
          <w:sz w:val="14"/>
          <w:szCs w:val="14"/>
          <w:lang w:val="en-US"/>
        </w:rPr>
        <w:drawing>
          <wp:inline distT="0" distB="0" distL="0" distR="0" wp14:anchorId="7488605B" wp14:editId="2EE57746">
            <wp:extent cx="127000" cy="127000"/>
            <wp:effectExtent l="0" t="0" r="0" b="0"/>
            <wp:docPr id="200" name="Image 2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0" name="Image 200"/>
                    <pic:cNvPicPr/>
                  </pic:nvPicPr>
                  <pic:blipFill>
                    <a:blip r:embed="rId41" cstate="print"/>
                    <a:stretch>
                      <a:fillRect/>
                    </a:stretch>
                  </pic:blipFill>
                  <pic:spPr>
                    <a:xfrm>
                      <a:off x="0" y="0"/>
                      <a:ext cx="127000" cy="127000"/>
                    </a:xfrm>
                    <a:prstGeom prst="rect">
                      <a:avLst/>
                    </a:prstGeom>
                  </pic:spPr>
                </pic:pic>
              </a:graphicData>
            </a:graphic>
          </wp:inline>
        </w:drawing>
      </w:r>
      <w:r w:rsidRPr="005F0A67">
        <w:rPr>
          <w:rFonts w:asciiTheme="majorBidi" w:eastAsia="Arial" w:hAnsiTheme="majorBidi" w:cstheme="majorBidi"/>
          <w:spacing w:val="60"/>
          <w:sz w:val="20"/>
          <w:szCs w:val="20"/>
          <w:lang w:val="en-US"/>
        </w:rPr>
        <w:t xml:space="preserve"> </w:t>
      </w:r>
      <w:r w:rsidRPr="005F0A67">
        <w:rPr>
          <w:rFonts w:asciiTheme="majorBidi" w:eastAsia="Arial" w:hAnsiTheme="majorBidi" w:cstheme="majorBidi"/>
          <w:color w:val="242424"/>
          <w:sz w:val="14"/>
          <w:szCs w:val="14"/>
          <w:lang w:val="en-US"/>
        </w:rPr>
        <w:t>Improved</w:t>
      </w:r>
      <w:r w:rsidRPr="005F0A67">
        <w:rPr>
          <w:rFonts w:asciiTheme="majorBidi" w:eastAsia="Arial" w:hAnsiTheme="majorBidi" w:cstheme="majorBidi"/>
          <w:color w:val="242424"/>
          <w:spacing w:val="-9"/>
          <w:sz w:val="14"/>
          <w:szCs w:val="14"/>
          <w:lang w:val="en-US"/>
        </w:rPr>
        <w:t xml:space="preserve"> </w:t>
      </w:r>
      <w:r w:rsidRPr="005F0A67">
        <w:rPr>
          <w:rFonts w:asciiTheme="majorBidi" w:eastAsia="Arial" w:hAnsiTheme="majorBidi" w:cstheme="majorBidi"/>
          <w:color w:val="242424"/>
          <w:sz w:val="14"/>
          <w:szCs w:val="14"/>
          <w:lang w:val="en-US"/>
        </w:rPr>
        <w:t>access</w:t>
      </w:r>
      <w:r w:rsidRPr="005F0A67">
        <w:rPr>
          <w:rFonts w:asciiTheme="majorBidi" w:eastAsia="Arial" w:hAnsiTheme="majorBidi" w:cstheme="majorBidi"/>
          <w:color w:val="242424"/>
          <w:spacing w:val="-9"/>
          <w:sz w:val="14"/>
          <w:szCs w:val="14"/>
          <w:lang w:val="en-US"/>
        </w:rPr>
        <w:t xml:space="preserve"> </w:t>
      </w:r>
      <w:r w:rsidRPr="005F0A67">
        <w:rPr>
          <w:rFonts w:asciiTheme="majorBidi" w:eastAsia="Arial" w:hAnsiTheme="majorBidi" w:cstheme="majorBidi"/>
          <w:color w:val="242424"/>
          <w:sz w:val="14"/>
          <w:szCs w:val="14"/>
          <w:lang w:val="en-US"/>
        </w:rPr>
        <w:t>to</w:t>
      </w:r>
      <w:r w:rsidRPr="005F0A67">
        <w:rPr>
          <w:rFonts w:asciiTheme="majorBidi" w:eastAsia="Arial" w:hAnsiTheme="majorBidi" w:cstheme="majorBidi"/>
          <w:color w:val="242424"/>
          <w:spacing w:val="-9"/>
          <w:sz w:val="14"/>
          <w:szCs w:val="14"/>
          <w:lang w:val="en-US"/>
        </w:rPr>
        <w:t xml:space="preserve"> </w:t>
      </w:r>
      <w:r w:rsidRPr="005F0A67">
        <w:rPr>
          <w:rFonts w:asciiTheme="majorBidi" w:eastAsia="Arial" w:hAnsiTheme="majorBidi" w:cstheme="majorBidi"/>
          <w:color w:val="242424"/>
          <w:sz w:val="14"/>
          <w:szCs w:val="14"/>
          <w:lang w:val="en-US"/>
        </w:rPr>
        <w:t>markets,</w:t>
      </w:r>
      <w:r w:rsidRPr="005F0A67">
        <w:rPr>
          <w:rFonts w:asciiTheme="majorBidi" w:eastAsia="Arial" w:hAnsiTheme="majorBidi" w:cstheme="majorBidi"/>
          <w:color w:val="242424"/>
          <w:spacing w:val="-9"/>
          <w:sz w:val="14"/>
          <w:szCs w:val="14"/>
          <w:lang w:val="en-US"/>
        </w:rPr>
        <w:t xml:space="preserve"> </w:t>
      </w:r>
      <w:r w:rsidRPr="005F0A67">
        <w:rPr>
          <w:rFonts w:asciiTheme="majorBidi" w:eastAsia="Arial" w:hAnsiTheme="majorBidi" w:cstheme="majorBidi"/>
          <w:color w:val="242424"/>
          <w:sz w:val="14"/>
          <w:szCs w:val="14"/>
          <w:lang w:val="en-US"/>
        </w:rPr>
        <w:t>tenders</w:t>
      </w:r>
      <w:r w:rsidRPr="005F0A67">
        <w:rPr>
          <w:rFonts w:asciiTheme="majorBidi" w:eastAsia="Arial" w:hAnsiTheme="majorBidi" w:cstheme="majorBidi"/>
          <w:color w:val="242424"/>
          <w:spacing w:val="-9"/>
          <w:sz w:val="14"/>
          <w:szCs w:val="14"/>
          <w:lang w:val="en-US"/>
        </w:rPr>
        <w:t xml:space="preserve"> </w:t>
      </w:r>
      <w:r w:rsidRPr="005F0A67">
        <w:rPr>
          <w:rFonts w:asciiTheme="majorBidi" w:eastAsia="Arial" w:hAnsiTheme="majorBidi" w:cstheme="majorBidi"/>
          <w:color w:val="242424"/>
          <w:sz w:val="14"/>
          <w:szCs w:val="14"/>
          <w:lang w:val="en-US"/>
        </w:rPr>
        <w:t>or</w:t>
      </w:r>
      <w:r w:rsidRPr="005F0A67">
        <w:rPr>
          <w:rFonts w:asciiTheme="majorBidi" w:eastAsia="Arial" w:hAnsiTheme="majorBidi" w:cstheme="majorBidi"/>
          <w:color w:val="242424"/>
          <w:spacing w:val="-9"/>
          <w:sz w:val="14"/>
          <w:szCs w:val="14"/>
          <w:lang w:val="en-US"/>
        </w:rPr>
        <w:t xml:space="preserve"> </w:t>
      </w:r>
      <w:r w:rsidRPr="005F0A67">
        <w:rPr>
          <w:rFonts w:asciiTheme="majorBidi" w:eastAsia="Arial" w:hAnsiTheme="majorBidi" w:cstheme="majorBidi"/>
          <w:color w:val="242424"/>
          <w:sz w:val="14"/>
          <w:szCs w:val="14"/>
          <w:lang w:val="en-US"/>
        </w:rPr>
        <w:t>partnerships</w:t>
      </w:r>
      <w:r w:rsidRPr="005F0A67">
        <w:rPr>
          <w:rFonts w:asciiTheme="majorBidi" w:eastAsia="Arial" w:hAnsiTheme="majorBidi" w:cstheme="majorBidi"/>
          <w:color w:val="242424"/>
          <w:spacing w:val="40"/>
          <w:sz w:val="14"/>
          <w:szCs w:val="14"/>
          <w:lang w:val="en-US"/>
        </w:rPr>
        <w:t xml:space="preserve"> </w:t>
      </w:r>
      <w:r w:rsidRPr="005F0A67">
        <w:rPr>
          <w:rFonts w:asciiTheme="majorBidi" w:eastAsia="Arial" w:hAnsiTheme="majorBidi" w:cstheme="majorBidi"/>
          <w:noProof/>
          <w:color w:val="242424"/>
          <w:position w:val="-4"/>
          <w:sz w:val="14"/>
          <w:szCs w:val="14"/>
          <w:lang w:val="en-US"/>
        </w:rPr>
        <w:drawing>
          <wp:inline distT="0" distB="0" distL="0" distR="0" wp14:anchorId="341D87C8" wp14:editId="6BEEC4D7">
            <wp:extent cx="127000" cy="127000"/>
            <wp:effectExtent l="0" t="0" r="0" b="0"/>
            <wp:docPr id="201" name="Image 2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1" name="Image 201"/>
                    <pic:cNvPicPr/>
                  </pic:nvPicPr>
                  <pic:blipFill>
                    <a:blip r:embed="rId41" cstate="print"/>
                    <a:stretch>
                      <a:fillRect/>
                    </a:stretch>
                  </pic:blipFill>
                  <pic:spPr>
                    <a:xfrm>
                      <a:off x="0" y="0"/>
                      <a:ext cx="127000" cy="127000"/>
                    </a:xfrm>
                    <a:prstGeom prst="rect">
                      <a:avLst/>
                    </a:prstGeom>
                  </pic:spPr>
                </pic:pic>
              </a:graphicData>
            </a:graphic>
          </wp:inline>
        </w:drawing>
      </w:r>
      <w:r w:rsidRPr="005F0A67">
        <w:rPr>
          <w:rFonts w:asciiTheme="majorBidi" w:eastAsia="Arial" w:hAnsiTheme="majorBidi" w:cstheme="majorBidi"/>
          <w:color w:val="242424"/>
          <w:spacing w:val="80"/>
          <w:sz w:val="14"/>
          <w:szCs w:val="14"/>
          <w:lang w:val="en-US"/>
        </w:rPr>
        <w:t xml:space="preserve"> </w:t>
      </w:r>
      <w:r w:rsidRPr="005F0A67">
        <w:rPr>
          <w:rFonts w:asciiTheme="majorBidi" w:eastAsia="Arial" w:hAnsiTheme="majorBidi" w:cstheme="majorBidi"/>
          <w:color w:val="242424"/>
          <w:sz w:val="14"/>
          <w:szCs w:val="14"/>
          <w:lang w:val="en-US"/>
        </w:rPr>
        <w:t>Reduced regulatory or policy risk</w:t>
      </w:r>
    </w:p>
    <w:p w14:paraId="19252479" w14:textId="77777777" w:rsidR="005F0A67" w:rsidRPr="005F0A67" w:rsidRDefault="005F0A67" w:rsidP="005F0A67">
      <w:pPr>
        <w:widowControl w:val="0"/>
        <w:tabs>
          <w:tab w:val="clear" w:pos="567"/>
          <w:tab w:val="clear" w:pos="1134"/>
          <w:tab w:val="clear" w:pos="1701"/>
          <w:tab w:val="clear" w:pos="2268"/>
        </w:tabs>
        <w:ind w:left="725"/>
        <w:jc w:val="left"/>
        <w:rPr>
          <w:rFonts w:asciiTheme="majorBidi" w:eastAsia="Arial" w:hAnsiTheme="majorBidi" w:cstheme="majorBidi"/>
          <w:sz w:val="14"/>
          <w:szCs w:val="14"/>
          <w:lang w:val="en-US"/>
        </w:rPr>
      </w:pPr>
      <w:r w:rsidRPr="005F0A67">
        <w:rPr>
          <w:rFonts w:asciiTheme="majorBidi" w:eastAsia="Arial" w:hAnsiTheme="majorBidi" w:cstheme="majorBidi"/>
          <w:noProof/>
          <w:position w:val="-4"/>
          <w:sz w:val="14"/>
          <w:szCs w:val="14"/>
          <w:lang w:val="en-US"/>
        </w:rPr>
        <w:drawing>
          <wp:inline distT="0" distB="0" distL="0" distR="0" wp14:anchorId="42026D5B" wp14:editId="722A22A2">
            <wp:extent cx="127000" cy="127000"/>
            <wp:effectExtent l="0" t="0" r="0" b="0"/>
            <wp:docPr id="202" name="Image 2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2" name="Image 202"/>
                    <pic:cNvPicPr/>
                  </pic:nvPicPr>
                  <pic:blipFill>
                    <a:blip r:embed="rId40" cstate="print"/>
                    <a:stretch>
                      <a:fillRect/>
                    </a:stretch>
                  </pic:blipFill>
                  <pic:spPr>
                    <a:xfrm>
                      <a:off x="0" y="0"/>
                      <a:ext cx="127000" cy="127000"/>
                    </a:xfrm>
                    <a:prstGeom prst="rect">
                      <a:avLst/>
                    </a:prstGeom>
                  </pic:spPr>
                </pic:pic>
              </a:graphicData>
            </a:graphic>
          </wp:inline>
        </w:drawing>
      </w:r>
      <w:r w:rsidRPr="005F0A67">
        <w:rPr>
          <w:rFonts w:asciiTheme="majorBidi" w:eastAsia="Arial" w:hAnsiTheme="majorBidi" w:cstheme="majorBidi"/>
          <w:spacing w:val="80"/>
          <w:sz w:val="20"/>
          <w:szCs w:val="20"/>
          <w:lang w:val="en-US"/>
        </w:rPr>
        <w:t xml:space="preserve"> </w:t>
      </w:r>
      <w:r w:rsidRPr="005F0A67">
        <w:rPr>
          <w:rFonts w:asciiTheme="majorBidi" w:eastAsia="Arial" w:hAnsiTheme="majorBidi" w:cstheme="majorBidi"/>
          <w:color w:val="242424"/>
          <w:spacing w:val="-2"/>
          <w:sz w:val="14"/>
          <w:szCs w:val="14"/>
          <w:lang w:val="en-US"/>
        </w:rPr>
        <w:t>Improved ESG performance or access to finance</w:t>
      </w:r>
    </w:p>
    <w:p w14:paraId="40F4EE4E" w14:textId="77777777" w:rsidR="005F0A67" w:rsidRPr="005F0A67" w:rsidRDefault="005F0A67" w:rsidP="005F0A67">
      <w:pPr>
        <w:widowControl w:val="0"/>
        <w:tabs>
          <w:tab w:val="clear" w:pos="567"/>
          <w:tab w:val="clear" w:pos="1134"/>
          <w:tab w:val="clear" w:pos="1701"/>
          <w:tab w:val="clear" w:pos="2268"/>
        </w:tabs>
        <w:spacing w:before="138"/>
        <w:jc w:val="left"/>
        <w:rPr>
          <w:rFonts w:asciiTheme="majorBidi" w:eastAsia="Arial" w:hAnsiTheme="majorBidi" w:cstheme="majorBidi"/>
          <w:sz w:val="14"/>
          <w:szCs w:val="14"/>
          <w:lang w:val="en-US"/>
        </w:rPr>
      </w:pPr>
    </w:p>
    <w:p w14:paraId="0F66F098" w14:textId="77777777" w:rsidR="005F0A67" w:rsidRPr="005F0A67" w:rsidRDefault="005F0A67" w:rsidP="005F0A67">
      <w:pPr>
        <w:widowControl w:val="0"/>
        <w:tabs>
          <w:tab w:val="clear" w:pos="567"/>
          <w:tab w:val="clear" w:pos="1134"/>
          <w:tab w:val="clear" w:pos="1701"/>
          <w:tab w:val="clear" w:pos="2268"/>
        </w:tabs>
        <w:spacing w:before="1" w:line="600" w:lineRule="auto"/>
        <w:ind w:left="725" w:right="3599"/>
        <w:jc w:val="left"/>
        <w:rPr>
          <w:rFonts w:asciiTheme="majorBidi" w:eastAsia="Arial" w:hAnsiTheme="majorBidi" w:cstheme="majorBidi"/>
          <w:sz w:val="14"/>
          <w:szCs w:val="14"/>
          <w:lang w:val="en-US"/>
        </w:rPr>
      </w:pPr>
      <w:r w:rsidRPr="005F0A67">
        <w:rPr>
          <w:rFonts w:asciiTheme="majorBidi" w:eastAsia="Arial" w:hAnsiTheme="majorBidi" w:cstheme="majorBidi"/>
          <w:noProof/>
          <w:position w:val="-4"/>
          <w:sz w:val="14"/>
          <w:szCs w:val="14"/>
          <w:lang w:val="en-US"/>
        </w:rPr>
        <w:drawing>
          <wp:inline distT="0" distB="0" distL="0" distR="0" wp14:anchorId="557F943D" wp14:editId="1A66DDE0">
            <wp:extent cx="127000" cy="127000"/>
            <wp:effectExtent l="0" t="0" r="0" b="0"/>
            <wp:docPr id="203" name="Image 2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3" name="Image 203"/>
                    <pic:cNvPicPr/>
                  </pic:nvPicPr>
                  <pic:blipFill>
                    <a:blip r:embed="rId41" cstate="print"/>
                    <a:stretch>
                      <a:fillRect/>
                    </a:stretch>
                  </pic:blipFill>
                  <pic:spPr>
                    <a:xfrm>
                      <a:off x="0" y="0"/>
                      <a:ext cx="127000" cy="127000"/>
                    </a:xfrm>
                    <a:prstGeom prst="rect">
                      <a:avLst/>
                    </a:prstGeom>
                  </pic:spPr>
                </pic:pic>
              </a:graphicData>
            </a:graphic>
          </wp:inline>
        </w:drawing>
      </w:r>
      <w:r w:rsidRPr="005F0A67">
        <w:rPr>
          <w:rFonts w:asciiTheme="majorBidi" w:eastAsia="Arial" w:hAnsiTheme="majorBidi" w:cstheme="majorBidi"/>
          <w:spacing w:val="80"/>
          <w:sz w:val="20"/>
          <w:szCs w:val="20"/>
          <w:lang w:val="en-US"/>
        </w:rPr>
        <w:t xml:space="preserve"> </w:t>
      </w:r>
      <w:r w:rsidRPr="005F0A67">
        <w:rPr>
          <w:rFonts w:asciiTheme="majorBidi" w:eastAsia="Arial" w:hAnsiTheme="majorBidi" w:cstheme="majorBidi"/>
          <w:color w:val="242424"/>
          <w:sz w:val="14"/>
          <w:szCs w:val="14"/>
          <w:lang w:val="en-US"/>
        </w:rPr>
        <w:t>Improved access to knowledge, data, or technical networks</w:t>
      </w:r>
      <w:r w:rsidRPr="005F0A67">
        <w:rPr>
          <w:rFonts w:asciiTheme="majorBidi" w:eastAsia="Arial" w:hAnsiTheme="majorBidi" w:cstheme="majorBidi"/>
          <w:color w:val="242424"/>
          <w:spacing w:val="40"/>
          <w:sz w:val="14"/>
          <w:szCs w:val="14"/>
          <w:lang w:val="en-US"/>
        </w:rPr>
        <w:t xml:space="preserve"> </w:t>
      </w:r>
      <w:r w:rsidRPr="005F0A67">
        <w:rPr>
          <w:rFonts w:asciiTheme="majorBidi" w:eastAsia="Arial" w:hAnsiTheme="majorBidi" w:cstheme="majorBidi"/>
          <w:noProof/>
          <w:color w:val="242424"/>
          <w:position w:val="-4"/>
          <w:sz w:val="14"/>
          <w:szCs w:val="14"/>
          <w:lang w:val="en-US"/>
        </w:rPr>
        <w:drawing>
          <wp:inline distT="0" distB="0" distL="0" distR="0" wp14:anchorId="775A9B8F" wp14:editId="6A0EBE33">
            <wp:extent cx="127000" cy="127000"/>
            <wp:effectExtent l="0" t="0" r="0" b="0"/>
            <wp:docPr id="204" name="Image 2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4" name="Image 204"/>
                    <pic:cNvPicPr/>
                  </pic:nvPicPr>
                  <pic:blipFill>
                    <a:blip r:embed="rId41" cstate="print"/>
                    <a:stretch>
                      <a:fillRect/>
                    </a:stretch>
                  </pic:blipFill>
                  <pic:spPr>
                    <a:xfrm>
                      <a:off x="0" y="0"/>
                      <a:ext cx="127000" cy="127000"/>
                    </a:xfrm>
                    <a:prstGeom prst="rect">
                      <a:avLst/>
                    </a:prstGeom>
                  </pic:spPr>
                </pic:pic>
              </a:graphicData>
            </a:graphic>
          </wp:inline>
        </w:drawing>
      </w:r>
      <w:r w:rsidRPr="005F0A67">
        <w:rPr>
          <w:rFonts w:asciiTheme="majorBidi" w:eastAsia="Arial" w:hAnsiTheme="majorBidi" w:cstheme="majorBidi"/>
          <w:color w:val="242424"/>
          <w:spacing w:val="80"/>
          <w:sz w:val="14"/>
          <w:szCs w:val="14"/>
          <w:lang w:val="en-US"/>
        </w:rPr>
        <w:t xml:space="preserve"> </w:t>
      </w:r>
      <w:r w:rsidRPr="005F0A67">
        <w:rPr>
          <w:rFonts w:asciiTheme="majorBidi" w:eastAsia="Arial" w:hAnsiTheme="majorBidi" w:cstheme="majorBidi"/>
          <w:color w:val="242424"/>
          <w:sz w:val="14"/>
          <w:szCs w:val="14"/>
          <w:lang w:val="en-US"/>
        </w:rPr>
        <w:t>Internal</w:t>
      </w:r>
      <w:r w:rsidRPr="005F0A67">
        <w:rPr>
          <w:rFonts w:asciiTheme="majorBidi" w:eastAsia="Arial" w:hAnsiTheme="majorBidi" w:cstheme="majorBidi"/>
          <w:color w:val="242424"/>
          <w:spacing w:val="-6"/>
          <w:sz w:val="14"/>
          <w:szCs w:val="14"/>
          <w:lang w:val="en-US"/>
        </w:rPr>
        <w:t xml:space="preserve"> </w:t>
      </w:r>
      <w:r w:rsidRPr="005F0A67">
        <w:rPr>
          <w:rFonts w:asciiTheme="majorBidi" w:eastAsia="Arial" w:hAnsiTheme="majorBidi" w:cstheme="majorBidi"/>
          <w:color w:val="242424"/>
          <w:sz w:val="14"/>
          <w:szCs w:val="14"/>
          <w:lang w:val="en-US"/>
        </w:rPr>
        <w:t>or</w:t>
      </w:r>
      <w:r w:rsidRPr="005F0A67">
        <w:rPr>
          <w:rFonts w:asciiTheme="majorBidi" w:eastAsia="Arial" w:hAnsiTheme="majorBidi" w:cstheme="majorBidi"/>
          <w:color w:val="242424"/>
          <w:spacing w:val="-6"/>
          <w:sz w:val="14"/>
          <w:szCs w:val="14"/>
          <w:lang w:val="en-US"/>
        </w:rPr>
        <w:t xml:space="preserve"> </w:t>
      </w:r>
      <w:r w:rsidRPr="005F0A67">
        <w:rPr>
          <w:rFonts w:asciiTheme="majorBidi" w:eastAsia="Arial" w:hAnsiTheme="majorBidi" w:cstheme="majorBidi"/>
          <w:color w:val="242424"/>
          <w:sz w:val="14"/>
          <w:szCs w:val="14"/>
          <w:lang w:val="en-US"/>
        </w:rPr>
        <w:t>strategic</w:t>
      </w:r>
      <w:r w:rsidRPr="005F0A67">
        <w:rPr>
          <w:rFonts w:asciiTheme="majorBidi" w:eastAsia="Arial" w:hAnsiTheme="majorBidi" w:cstheme="majorBidi"/>
          <w:color w:val="242424"/>
          <w:spacing w:val="-6"/>
          <w:sz w:val="14"/>
          <w:szCs w:val="14"/>
          <w:lang w:val="en-US"/>
        </w:rPr>
        <w:t xml:space="preserve"> </w:t>
      </w:r>
      <w:r w:rsidRPr="005F0A67">
        <w:rPr>
          <w:rFonts w:asciiTheme="majorBidi" w:eastAsia="Arial" w:hAnsiTheme="majorBidi" w:cstheme="majorBidi"/>
          <w:color w:val="242424"/>
          <w:sz w:val="14"/>
          <w:szCs w:val="14"/>
          <w:lang w:val="en-US"/>
        </w:rPr>
        <w:t>benefits</w:t>
      </w:r>
      <w:r w:rsidRPr="005F0A67">
        <w:rPr>
          <w:rFonts w:asciiTheme="majorBidi" w:eastAsia="Arial" w:hAnsiTheme="majorBidi" w:cstheme="majorBidi"/>
          <w:color w:val="242424"/>
          <w:spacing w:val="-6"/>
          <w:sz w:val="14"/>
          <w:szCs w:val="14"/>
          <w:lang w:val="en-US"/>
        </w:rPr>
        <w:t xml:space="preserve"> </w:t>
      </w:r>
      <w:r w:rsidRPr="005F0A67">
        <w:rPr>
          <w:rFonts w:asciiTheme="majorBidi" w:eastAsia="Arial" w:hAnsiTheme="majorBidi" w:cstheme="majorBidi"/>
          <w:color w:val="242424"/>
          <w:sz w:val="14"/>
          <w:szCs w:val="14"/>
          <w:lang w:val="en-US"/>
        </w:rPr>
        <w:t>(e.g.</w:t>
      </w:r>
      <w:r w:rsidRPr="005F0A67">
        <w:rPr>
          <w:rFonts w:asciiTheme="majorBidi" w:eastAsia="Arial" w:hAnsiTheme="majorBidi" w:cstheme="majorBidi"/>
          <w:color w:val="242424"/>
          <w:spacing w:val="-6"/>
          <w:sz w:val="14"/>
          <w:szCs w:val="14"/>
          <w:lang w:val="en-US"/>
        </w:rPr>
        <w:t xml:space="preserve"> </w:t>
      </w:r>
      <w:r w:rsidRPr="005F0A67">
        <w:rPr>
          <w:rFonts w:asciiTheme="majorBidi" w:eastAsia="Arial" w:hAnsiTheme="majorBidi" w:cstheme="majorBidi"/>
          <w:color w:val="242424"/>
          <w:sz w:val="14"/>
          <w:szCs w:val="14"/>
          <w:lang w:val="en-US"/>
        </w:rPr>
        <w:t>learning,</w:t>
      </w:r>
      <w:r w:rsidRPr="005F0A67">
        <w:rPr>
          <w:rFonts w:asciiTheme="majorBidi" w:eastAsia="Arial" w:hAnsiTheme="majorBidi" w:cstheme="majorBidi"/>
          <w:color w:val="242424"/>
          <w:spacing w:val="-6"/>
          <w:sz w:val="14"/>
          <w:szCs w:val="14"/>
          <w:lang w:val="en-US"/>
        </w:rPr>
        <w:t xml:space="preserve"> </w:t>
      </w:r>
      <w:r w:rsidRPr="005F0A67">
        <w:rPr>
          <w:rFonts w:asciiTheme="majorBidi" w:eastAsia="Arial" w:hAnsiTheme="majorBidi" w:cstheme="majorBidi"/>
          <w:color w:val="242424"/>
          <w:sz w:val="14"/>
          <w:szCs w:val="14"/>
          <w:lang w:val="en-US"/>
        </w:rPr>
        <w:t>staff</w:t>
      </w:r>
      <w:r w:rsidRPr="005F0A67">
        <w:rPr>
          <w:rFonts w:asciiTheme="majorBidi" w:eastAsia="Arial" w:hAnsiTheme="majorBidi" w:cstheme="majorBidi"/>
          <w:color w:val="242424"/>
          <w:spacing w:val="-6"/>
          <w:sz w:val="14"/>
          <w:szCs w:val="14"/>
          <w:lang w:val="en-US"/>
        </w:rPr>
        <w:t xml:space="preserve"> </w:t>
      </w:r>
      <w:r w:rsidRPr="005F0A67">
        <w:rPr>
          <w:rFonts w:asciiTheme="majorBidi" w:eastAsia="Arial" w:hAnsiTheme="majorBidi" w:cstheme="majorBidi"/>
          <w:color w:val="242424"/>
          <w:sz w:val="14"/>
          <w:szCs w:val="14"/>
          <w:lang w:val="en-US"/>
        </w:rPr>
        <w:t>engagement)</w:t>
      </w:r>
      <w:r w:rsidRPr="005F0A67">
        <w:rPr>
          <w:rFonts w:asciiTheme="majorBidi" w:eastAsia="Arial" w:hAnsiTheme="majorBidi" w:cstheme="majorBidi"/>
          <w:color w:val="242424"/>
          <w:spacing w:val="40"/>
          <w:sz w:val="14"/>
          <w:szCs w:val="14"/>
          <w:lang w:val="en-US"/>
        </w:rPr>
        <w:t xml:space="preserve"> </w:t>
      </w:r>
      <w:r w:rsidRPr="005F0A67">
        <w:rPr>
          <w:rFonts w:asciiTheme="majorBidi" w:eastAsia="Arial" w:hAnsiTheme="majorBidi" w:cstheme="majorBidi"/>
          <w:noProof/>
          <w:color w:val="242424"/>
          <w:position w:val="-4"/>
          <w:sz w:val="14"/>
          <w:szCs w:val="14"/>
          <w:lang w:val="en-US"/>
        </w:rPr>
        <w:drawing>
          <wp:inline distT="0" distB="0" distL="0" distR="0" wp14:anchorId="52A3911A" wp14:editId="680285D5">
            <wp:extent cx="127000" cy="127000"/>
            <wp:effectExtent l="0" t="0" r="0" b="0"/>
            <wp:docPr id="205" name="Image 2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5" name="Image 205"/>
                    <pic:cNvPicPr/>
                  </pic:nvPicPr>
                  <pic:blipFill>
                    <a:blip r:embed="rId40" cstate="print"/>
                    <a:stretch>
                      <a:fillRect/>
                    </a:stretch>
                  </pic:blipFill>
                  <pic:spPr>
                    <a:xfrm>
                      <a:off x="0" y="0"/>
                      <a:ext cx="127000" cy="127000"/>
                    </a:xfrm>
                    <a:prstGeom prst="rect">
                      <a:avLst/>
                    </a:prstGeom>
                  </pic:spPr>
                </pic:pic>
              </a:graphicData>
            </a:graphic>
          </wp:inline>
        </w:drawing>
      </w:r>
      <w:r w:rsidRPr="005F0A67">
        <w:rPr>
          <w:rFonts w:asciiTheme="majorBidi" w:eastAsia="Arial" w:hAnsiTheme="majorBidi" w:cstheme="majorBidi"/>
          <w:color w:val="242424"/>
          <w:spacing w:val="80"/>
          <w:sz w:val="14"/>
          <w:szCs w:val="14"/>
          <w:lang w:val="en-US"/>
        </w:rPr>
        <w:t xml:space="preserve"> </w:t>
      </w:r>
      <w:r w:rsidRPr="005F0A67">
        <w:rPr>
          <w:rFonts w:asciiTheme="majorBidi" w:eastAsia="Arial" w:hAnsiTheme="majorBidi" w:cstheme="majorBidi"/>
          <w:color w:val="242424"/>
          <w:sz w:val="14"/>
          <w:szCs w:val="14"/>
          <w:lang w:val="en-US"/>
        </w:rPr>
        <w:t>No expected benefits</w:t>
      </w:r>
    </w:p>
    <w:p w14:paraId="7B28AAEA" w14:textId="77777777" w:rsidR="005F0A67" w:rsidRPr="005F0A67" w:rsidRDefault="005F0A67" w:rsidP="005F0A67">
      <w:pPr>
        <w:tabs>
          <w:tab w:val="clear" w:pos="567"/>
          <w:tab w:val="clear" w:pos="1134"/>
          <w:tab w:val="clear" w:pos="1701"/>
          <w:tab w:val="clear" w:pos="2268"/>
        </w:tabs>
        <w:spacing w:before="70"/>
        <w:ind w:left="725"/>
        <w:jc w:val="left"/>
        <w:rPr>
          <w:rFonts w:asciiTheme="majorBidi" w:eastAsia="Times New Roman" w:hAnsiTheme="majorBidi" w:cstheme="majorBidi"/>
          <w:sz w:val="14"/>
          <w:szCs w:val="14"/>
          <w:lang w:val="en-CA" w:eastAsia="en-GB"/>
        </w:rPr>
      </w:pPr>
      <w:r w:rsidRPr="005F0A67">
        <w:rPr>
          <w:rFonts w:asciiTheme="majorBidi" w:eastAsia="Times New Roman" w:hAnsiTheme="majorBidi" w:cstheme="majorBidi"/>
          <w:noProof/>
          <w:position w:val="-2"/>
          <w:sz w:val="24"/>
          <w:szCs w:val="24"/>
          <w:lang w:val="en-CA" w:eastAsia="en-GB"/>
        </w:rPr>
        <w:drawing>
          <wp:inline distT="0" distB="0" distL="0" distR="0" wp14:anchorId="43D53217" wp14:editId="64EF83E8">
            <wp:extent cx="127000" cy="127000"/>
            <wp:effectExtent l="0" t="0" r="0" b="0"/>
            <wp:docPr id="206" name="Image 2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6" name="Image 206"/>
                    <pic:cNvPicPr/>
                  </pic:nvPicPr>
                  <pic:blipFill>
                    <a:blip r:embed="rId40" cstate="print"/>
                    <a:stretch>
                      <a:fillRect/>
                    </a:stretch>
                  </pic:blipFill>
                  <pic:spPr>
                    <a:xfrm>
                      <a:off x="0" y="0"/>
                      <a:ext cx="127000" cy="127000"/>
                    </a:xfrm>
                    <a:prstGeom prst="rect">
                      <a:avLst/>
                    </a:prstGeom>
                  </pic:spPr>
                </pic:pic>
              </a:graphicData>
            </a:graphic>
          </wp:inline>
        </w:drawing>
      </w:r>
      <w:r w:rsidRPr="005F0A67">
        <w:rPr>
          <w:rFonts w:asciiTheme="majorBidi" w:eastAsia="Times New Roman" w:hAnsiTheme="majorBidi" w:cstheme="majorBidi"/>
          <w:spacing w:val="80"/>
          <w:sz w:val="20"/>
          <w:szCs w:val="20"/>
          <w:lang w:val="en-CA" w:eastAsia="en-GB"/>
        </w:rPr>
        <w:t xml:space="preserve"> </w:t>
      </w:r>
      <w:r w:rsidRPr="005F0A67">
        <w:rPr>
          <w:rFonts w:asciiTheme="majorBidi" w:eastAsia="Times New Roman" w:hAnsiTheme="majorBidi" w:cstheme="majorBidi"/>
          <w:color w:val="202020"/>
          <w:sz w:val="14"/>
          <w:szCs w:val="14"/>
          <w:lang w:val="en-CA" w:eastAsia="en-GB"/>
        </w:rPr>
        <w:t>Other</w:t>
      </w:r>
    </w:p>
    <w:p w14:paraId="6231DFF2" w14:textId="77777777" w:rsidR="005F0A67" w:rsidRPr="005F0A67" w:rsidRDefault="005F0A67" w:rsidP="005F0A67">
      <w:pPr>
        <w:tabs>
          <w:tab w:val="clear" w:pos="567"/>
          <w:tab w:val="clear" w:pos="1134"/>
          <w:tab w:val="clear" w:pos="1701"/>
          <w:tab w:val="clear" w:pos="2268"/>
        </w:tabs>
        <w:jc w:val="left"/>
        <w:rPr>
          <w:rFonts w:asciiTheme="majorBidi" w:eastAsia="Times New Roman" w:hAnsiTheme="majorBidi" w:cstheme="majorBidi"/>
          <w:sz w:val="14"/>
          <w:szCs w:val="14"/>
          <w:lang w:val="en-CA" w:eastAsia="en-GB"/>
        </w:rPr>
        <w:sectPr w:rsidR="005F0A67" w:rsidRPr="005F0A67" w:rsidSect="005F0A67">
          <w:pgSz w:w="11900" w:h="16840"/>
          <w:pgMar w:top="880" w:right="1700" w:bottom="280" w:left="1700" w:header="720" w:footer="720" w:gutter="0"/>
          <w:cols w:space="720"/>
        </w:sectPr>
      </w:pPr>
    </w:p>
    <w:p w14:paraId="2E693A61" w14:textId="77777777" w:rsidR="005F0A67" w:rsidRPr="005F0A67" w:rsidRDefault="005F0A67" w:rsidP="005F0A67">
      <w:pPr>
        <w:pBdr>
          <w:bottom w:val="single" w:sz="2" w:space="6" w:color="D9D9D9"/>
        </w:pBdr>
        <w:tabs>
          <w:tab w:val="clear" w:pos="567"/>
          <w:tab w:val="clear" w:pos="1134"/>
          <w:tab w:val="clear" w:pos="1701"/>
          <w:tab w:val="clear" w:pos="2268"/>
        </w:tabs>
        <w:spacing w:before="400" w:after="60"/>
        <w:ind w:left="432" w:hanging="432"/>
        <w:jc w:val="left"/>
        <w:outlineLvl w:val="0"/>
        <w:rPr>
          <w:rFonts w:asciiTheme="majorBidi" w:eastAsia="Arial" w:hAnsiTheme="majorBidi" w:cstheme="majorBidi"/>
          <w:b/>
          <w:bCs/>
          <w:color w:val="242424"/>
          <w:w w:val="90"/>
          <w:sz w:val="28"/>
          <w:szCs w:val="28"/>
          <w:lang w:val="en-CA" w:eastAsia="en-GB"/>
        </w:rPr>
      </w:pPr>
      <w:bookmarkStart w:id="287" w:name="_Toc234579641"/>
      <w:r w:rsidRPr="005F0A67">
        <w:rPr>
          <w:rFonts w:asciiTheme="majorBidi" w:eastAsia="Arial" w:hAnsiTheme="majorBidi" w:cstheme="majorBidi"/>
          <w:b/>
          <w:bCs/>
          <w:color w:val="242424"/>
          <w:w w:val="90"/>
          <w:sz w:val="28"/>
          <w:szCs w:val="28"/>
          <w:lang w:val="en-CA" w:eastAsia="en-GB"/>
        </w:rPr>
        <w:lastRenderedPageBreak/>
        <w:t>Market Competition &amp; Consumers</w:t>
      </w:r>
      <w:bookmarkEnd w:id="287"/>
    </w:p>
    <w:p w14:paraId="15F1718F" w14:textId="77777777" w:rsidR="005F0A67" w:rsidRPr="005F0A67" w:rsidRDefault="005F0A67" w:rsidP="005F0A67">
      <w:pPr>
        <w:widowControl w:val="0"/>
        <w:tabs>
          <w:tab w:val="clear" w:pos="567"/>
          <w:tab w:val="clear" w:pos="1134"/>
          <w:tab w:val="clear" w:pos="1701"/>
          <w:tab w:val="clear" w:pos="2268"/>
        </w:tabs>
        <w:spacing w:before="135" w:line="297" w:lineRule="auto"/>
        <w:ind w:left="515" w:right="484"/>
        <w:jc w:val="left"/>
        <w:rPr>
          <w:rFonts w:asciiTheme="majorBidi" w:eastAsia="Arial" w:hAnsiTheme="majorBidi" w:cstheme="majorBidi"/>
          <w:sz w:val="14"/>
          <w:szCs w:val="14"/>
          <w:lang w:val="en-US"/>
        </w:rPr>
      </w:pPr>
      <w:r w:rsidRPr="005F0A67">
        <w:rPr>
          <w:rFonts w:asciiTheme="majorBidi" w:eastAsia="Arial" w:hAnsiTheme="majorBidi" w:cstheme="majorBidi"/>
          <w:color w:val="242424"/>
          <w:spacing w:val="-4"/>
          <w:sz w:val="14"/>
          <w:szCs w:val="14"/>
          <w:lang w:val="en-US"/>
        </w:rPr>
        <w:t>These questions examine your competitive environment and customer base to understand whether firms can pass Cali Fund</w:t>
      </w:r>
      <w:r w:rsidRPr="005F0A67">
        <w:rPr>
          <w:rFonts w:asciiTheme="majorBidi" w:eastAsia="Arial" w:hAnsiTheme="majorBidi" w:cstheme="majorBidi"/>
          <w:color w:val="242424"/>
          <w:spacing w:val="40"/>
          <w:sz w:val="14"/>
          <w:szCs w:val="14"/>
          <w:lang w:val="en-US"/>
        </w:rPr>
        <w:t xml:space="preserve"> </w:t>
      </w:r>
      <w:r w:rsidRPr="005F0A67">
        <w:rPr>
          <w:rFonts w:asciiTheme="majorBidi" w:eastAsia="Arial" w:hAnsiTheme="majorBidi" w:cstheme="majorBidi"/>
          <w:color w:val="242424"/>
          <w:sz w:val="14"/>
          <w:szCs w:val="14"/>
          <w:lang w:val="en-US"/>
        </w:rPr>
        <w:t>costs</w:t>
      </w:r>
      <w:r w:rsidRPr="005F0A67">
        <w:rPr>
          <w:rFonts w:asciiTheme="majorBidi" w:eastAsia="Arial" w:hAnsiTheme="majorBidi" w:cstheme="majorBidi"/>
          <w:color w:val="242424"/>
          <w:spacing w:val="-10"/>
          <w:sz w:val="14"/>
          <w:szCs w:val="14"/>
          <w:lang w:val="en-US"/>
        </w:rPr>
        <w:t xml:space="preserve"> </w:t>
      </w:r>
      <w:r w:rsidRPr="005F0A67">
        <w:rPr>
          <w:rFonts w:asciiTheme="majorBidi" w:eastAsia="Arial" w:hAnsiTheme="majorBidi" w:cstheme="majorBidi"/>
          <w:color w:val="242424"/>
          <w:sz w:val="14"/>
          <w:szCs w:val="14"/>
          <w:lang w:val="en-US"/>
        </w:rPr>
        <w:t>to</w:t>
      </w:r>
      <w:r w:rsidRPr="005F0A67">
        <w:rPr>
          <w:rFonts w:asciiTheme="majorBidi" w:eastAsia="Arial" w:hAnsiTheme="majorBidi" w:cstheme="majorBidi"/>
          <w:color w:val="242424"/>
          <w:spacing w:val="-10"/>
          <w:sz w:val="14"/>
          <w:szCs w:val="14"/>
          <w:lang w:val="en-US"/>
        </w:rPr>
        <w:t xml:space="preserve"> </w:t>
      </w:r>
      <w:r w:rsidRPr="005F0A67">
        <w:rPr>
          <w:rFonts w:asciiTheme="majorBidi" w:eastAsia="Arial" w:hAnsiTheme="majorBidi" w:cstheme="majorBidi"/>
          <w:color w:val="242424"/>
          <w:sz w:val="14"/>
          <w:szCs w:val="14"/>
          <w:lang w:val="en-US"/>
        </w:rPr>
        <w:t>customers</w:t>
      </w:r>
      <w:r w:rsidRPr="005F0A67">
        <w:rPr>
          <w:rFonts w:asciiTheme="majorBidi" w:eastAsia="Arial" w:hAnsiTheme="majorBidi" w:cstheme="majorBidi"/>
          <w:color w:val="242424"/>
          <w:spacing w:val="-10"/>
          <w:sz w:val="14"/>
          <w:szCs w:val="14"/>
          <w:lang w:val="en-US"/>
        </w:rPr>
        <w:t xml:space="preserve"> </w:t>
      </w:r>
      <w:r w:rsidRPr="005F0A67">
        <w:rPr>
          <w:rFonts w:asciiTheme="majorBidi" w:eastAsia="Arial" w:hAnsiTheme="majorBidi" w:cstheme="majorBidi"/>
          <w:color w:val="242424"/>
          <w:sz w:val="14"/>
          <w:szCs w:val="14"/>
          <w:lang w:val="en-US"/>
        </w:rPr>
        <w:t>or</w:t>
      </w:r>
      <w:r w:rsidRPr="005F0A67">
        <w:rPr>
          <w:rFonts w:asciiTheme="majorBidi" w:eastAsia="Arial" w:hAnsiTheme="majorBidi" w:cstheme="majorBidi"/>
          <w:color w:val="242424"/>
          <w:spacing w:val="-9"/>
          <w:sz w:val="14"/>
          <w:szCs w:val="14"/>
          <w:lang w:val="en-US"/>
        </w:rPr>
        <w:t xml:space="preserve"> </w:t>
      </w:r>
      <w:r w:rsidRPr="005F0A67">
        <w:rPr>
          <w:rFonts w:asciiTheme="majorBidi" w:eastAsia="Arial" w:hAnsiTheme="majorBidi" w:cstheme="majorBidi"/>
          <w:color w:val="242424"/>
          <w:sz w:val="14"/>
          <w:szCs w:val="14"/>
          <w:lang w:val="en-US"/>
        </w:rPr>
        <w:t>must</w:t>
      </w:r>
      <w:r w:rsidRPr="005F0A67">
        <w:rPr>
          <w:rFonts w:asciiTheme="majorBidi" w:eastAsia="Arial" w:hAnsiTheme="majorBidi" w:cstheme="majorBidi"/>
          <w:color w:val="242424"/>
          <w:spacing w:val="-10"/>
          <w:sz w:val="14"/>
          <w:szCs w:val="14"/>
          <w:lang w:val="en-US"/>
        </w:rPr>
        <w:t xml:space="preserve"> </w:t>
      </w:r>
      <w:r w:rsidRPr="005F0A67">
        <w:rPr>
          <w:rFonts w:asciiTheme="majorBidi" w:eastAsia="Arial" w:hAnsiTheme="majorBidi" w:cstheme="majorBidi"/>
          <w:color w:val="242424"/>
          <w:sz w:val="14"/>
          <w:szCs w:val="14"/>
          <w:lang w:val="en-US"/>
        </w:rPr>
        <w:t>absorb</w:t>
      </w:r>
      <w:r w:rsidRPr="005F0A67">
        <w:rPr>
          <w:rFonts w:asciiTheme="majorBidi" w:eastAsia="Arial" w:hAnsiTheme="majorBidi" w:cstheme="majorBidi"/>
          <w:color w:val="242424"/>
          <w:spacing w:val="-10"/>
          <w:sz w:val="14"/>
          <w:szCs w:val="14"/>
          <w:lang w:val="en-US"/>
        </w:rPr>
        <w:t xml:space="preserve"> </w:t>
      </w:r>
      <w:r w:rsidRPr="005F0A67">
        <w:rPr>
          <w:rFonts w:asciiTheme="majorBidi" w:eastAsia="Arial" w:hAnsiTheme="majorBidi" w:cstheme="majorBidi"/>
          <w:color w:val="242424"/>
          <w:sz w:val="14"/>
          <w:szCs w:val="14"/>
          <w:lang w:val="en-US"/>
        </w:rPr>
        <w:t>them,</w:t>
      </w:r>
      <w:r w:rsidRPr="005F0A67">
        <w:rPr>
          <w:rFonts w:asciiTheme="majorBidi" w:eastAsia="Arial" w:hAnsiTheme="majorBidi" w:cstheme="majorBidi"/>
          <w:color w:val="242424"/>
          <w:spacing w:val="-10"/>
          <w:sz w:val="14"/>
          <w:szCs w:val="14"/>
          <w:lang w:val="en-US"/>
        </w:rPr>
        <w:t xml:space="preserve"> </w:t>
      </w:r>
      <w:r w:rsidRPr="005F0A67">
        <w:rPr>
          <w:rFonts w:asciiTheme="majorBidi" w:eastAsia="Arial" w:hAnsiTheme="majorBidi" w:cstheme="majorBidi"/>
          <w:color w:val="242424"/>
          <w:sz w:val="14"/>
          <w:szCs w:val="14"/>
          <w:lang w:val="en-US"/>
        </w:rPr>
        <w:t>affecting</w:t>
      </w:r>
      <w:r w:rsidRPr="005F0A67">
        <w:rPr>
          <w:rFonts w:asciiTheme="majorBidi" w:eastAsia="Arial" w:hAnsiTheme="majorBidi" w:cstheme="majorBidi"/>
          <w:color w:val="242424"/>
          <w:spacing w:val="-9"/>
          <w:sz w:val="14"/>
          <w:szCs w:val="14"/>
          <w:lang w:val="en-US"/>
        </w:rPr>
        <w:t xml:space="preserve"> </w:t>
      </w:r>
      <w:r w:rsidRPr="005F0A67">
        <w:rPr>
          <w:rFonts w:asciiTheme="majorBidi" w:eastAsia="Arial" w:hAnsiTheme="majorBidi" w:cstheme="majorBidi"/>
          <w:color w:val="242424"/>
          <w:sz w:val="14"/>
          <w:szCs w:val="14"/>
          <w:lang w:val="en-US"/>
        </w:rPr>
        <w:t>competitiveness.</w:t>
      </w:r>
    </w:p>
    <w:p w14:paraId="6A9E3803" w14:textId="77777777" w:rsidR="005F0A67" w:rsidRPr="005F0A67" w:rsidRDefault="005F0A67" w:rsidP="005F0A67">
      <w:pPr>
        <w:widowControl w:val="0"/>
        <w:tabs>
          <w:tab w:val="clear" w:pos="567"/>
          <w:tab w:val="clear" w:pos="1134"/>
          <w:tab w:val="clear" w:pos="1701"/>
          <w:tab w:val="clear" w:pos="2268"/>
        </w:tabs>
        <w:spacing w:before="141"/>
        <w:jc w:val="left"/>
        <w:rPr>
          <w:rFonts w:asciiTheme="majorBidi" w:eastAsia="Arial" w:hAnsiTheme="majorBidi" w:cstheme="majorBidi"/>
          <w:sz w:val="17"/>
          <w:szCs w:val="17"/>
          <w:lang w:val="en-US"/>
        </w:rPr>
      </w:pPr>
    </w:p>
    <w:p w14:paraId="52D7CCB7" w14:textId="77777777" w:rsidR="005F0A67" w:rsidRPr="005F0A67" w:rsidRDefault="005F0A67" w:rsidP="003A387A">
      <w:pPr>
        <w:widowControl w:val="0"/>
        <w:numPr>
          <w:ilvl w:val="0"/>
          <w:numId w:val="44"/>
        </w:numPr>
        <w:tabs>
          <w:tab w:val="clear" w:pos="567"/>
          <w:tab w:val="clear" w:pos="1134"/>
          <w:tab w:val="clear" w:pos="1701"/>
          <w:tab w:val="clear" w:pos="2268"/>
          <w:tab w:val="left" w:pos="703"/>
        </w:tabs>
        <w:autoSpaceDE w:val="0"/>
        <w:autoSpaceDN w:val="0"/>
        <w:ind w:left="703" w:hanging="279"/>
        <w:jc w:val="left"/>
        <w:rPr>
          <w:rFonts w:asciiTheme="majorBidi" w:eastAsia="Georgia" w:hAnsiTheme="majorBidi" w:cstheme="majorBidi"/>
          <w:color w:val="1A1A1A"/>
          <w:sz w:val="17"/>
          <w:szCs w:val="17"/>
          <w:lang w:val="en-CA" w:eastAsia="en-GB"/>
        </w:rPr>
      </w:pPr>
      <w:r w:rsidRPr="005F0A67">
        <w:rPr>
          <w:rFonts w:asciiTheme="majorBidi" w:eastAsia="Georgia" w:hAnsiTheme="majorBidi" w:cstheme="majorBidi"/>
          <w:color w:val="242424"/>
          <w:sz w:val="17"/>
          <w:szCs w:val="17"/>
          <w:lang w:val="en-CA" w:eastAsia="en-GB"/>
        </w:rPr>
        <w:t>Where</w:t>
      </w:r>
      <w:r w:rsidRPr="005F0A67">
        <w:rPr>
          <w:rFonts w:asciiTheme="majorBidi" w:eastAsia="Georgia" w:hAnsiTheme="majorBidi" w:cstheme="majorBidi"/>
          <w:color w:val="242424"/>
          <w:spacing w:val="-8"/>
          <w:sz w:val="17"/>
          <w:szCs w:val="17"/>
          <w:lang w:val="en-CA" w:eastAsia="en-GB"/>
        </w:rPr>
        <w:t xml:space="preserve"> </w:t>
      </w:r>
      <w:r w:rsidRPr="005F0A67">
        <w:rPr>
          <w:rFonts w:asciiTheme="majorBidi" w:eastAsia="Georgia" w:hAnsiTheme="majorBidi" w:cstheme="majorBidi"/>
          <w:color w:val="242424"/>
          <w:sz w:val="17"/>
          <w:szCs w:val="17"/>
          <w:lang w:val="en-CA" w:eastAsia="en-GB"/>
        </w:rPr>
        <w:t>are</w:t>
      </w:r>
      <w:r w:rsidRPr="005F0A67">
        <w:rPr>
          <w:rFonts w:asciiTheme="majorBidi" w:eastAsia="Georgia" w:hAnsiTheme="majorBidi" w:cstheme="majorBidi"/>
          <w:color w:val="242424"/>
          <w:spacing w:val="-8"/>
          <w:sz w:val="17"/>
          <w:szCs w:val="17"/>
          <w:lang w:val="en-CA" w:eastAsia="en-GB"/>
        </w:rPr>
        <w:t xml:space="preserve"> </w:t>
      </w:r>
      <w:r w:rsidRPr="005F0A67">
        <w:rPr>
          <w:rFonts w:asciiTheme="majorBidi" w:eastAsia="Georgia" w:hAnsiTheme="majorBidi" w:cstheme="majorBidi"/>
          <w:color w:val="242424"/>
          <w:sz w:val="17"/>
          <w:szCs w:val="17"/>
          <w:lang w:val="en-CA" w:eastAsia="en-GB"/>
        </w:rPr>
        <w:t>your</w:t>
      </w:r>
      <w:r w:rsidRPr="005F0A67">
        <w:rPr>
          <w:rFonts w:asciiTheme="majorBidi" w:eastAsia="Georgia" w:hAnsiTheme="majorBidi" w:cstheme="majorBidi"/>
          <w:color w:val="242424"/>
          <w:spacing w:val="-8"/>
          <w:sz w:val="17"/>
          <w:szCs w:val="17"/>
          <w:lang w:val="en-CA" w:eastAsia="en-GB"/>
        </w:rPr>
        <w:t xml:space="preserve"> </w:t>
      </w:r>
      <w:r w:rsidRPr="005F0A67">
        <w:rPr>
          <w:rFonts w:asciiTheme="majorBidi" w:eastAsia="Georgia" w:hAnsiTheme="majorBidi" w:cstheme="majorBidi"/>
          <w:color w:val="242424"/>
          <w:sz w:val="17"/>
          <w:szCs w:val="17"/>
          <w:lang w:val="en-CA" w:eastAsia="en-GB"/>
        </w:rPr>
        <w:t>organisation's</w:t>
      </w:r>
      <w:r w:rsidRPr="005F0A67">
        <w:rPr>
          <w:rFonts w:asciiTheme="majorBidi" w:eastAsia="Georgia" w:hAnsiTheme="majorBidi" w:cstheme="majorBidi"/>
          <w:color w:val="242424"/>
          <w:spacing w:val="-8"/>
          <w:sz w:val="17"/>
          <w:szCs w:val="17"/>
          <w:lang w:val="en-CA" w:eastAsia="en-GB"/>
        </w:rPr>
        <w:t xml:space="preserve"> </w:t>
      </w:r>
      <w:r w:rsidRPr="005F0A67">
        <w:rPr>
          <w:rFonts w:asciiTheme="majorBidi" w:eastAsia="Georgia" w:hAnsiTheme="majorBidi" w:cstheme="majorBidi"/>
          <w:b/>
          <w:bCs/>
          <w:color w:val="242424"/>
          <w:sz w:val="17"/>
          <w:szCs w:val="17"/>
          <w:lang w:val="en-CA" w:eastAsia="en-GB"/>
        </w:rPr>
        <w:t>main</w:t>
      </w:r>
      <w:r w:rsidRPr="005F0A67">
        <w:rPr>
          <w:rFonts w:asciiTheme="majorBidi" w:eastAsia="Georgia" w:hAnsiTheme="majorBidi" w:cstheme="majorBidi"/>
          <w:b/>
          <w:bCs/>
          <w:color w:val="242424"/>
          <w:spacing w:val="-8"/>
          <w:sz w:val="17"/>
          <w:szCs w:val="17"/>
          <w:lang w:val="en-CA" w:eastAsia="en-GB"/>
        </w:rPr>
        <w:t xml:space="preserve"> </w:t>
      </w:r>
      <w:r w:rsidRPr="005F0A67">
        <w:rPr>
          <w:rFonts w:asciiTheme="majorBidi" w:eastAsia="Georgia" w:hAnsiTheme="majorBidi" w:cstheme="majorBidi"/>
          <w:b/>
          <w:bCs/>
          <w:color w:val="242424"/>
          <w:sz w:val="17"/>
          <w:szCs w:val="17"/>
          <w:lang w:val="en-CA" w:eastAsia="en-GB"/>
        </w:rPr>
        <w:t>competitors</w:t>
      </w:r>
      <w:r w:rsidRPr="005F0A67">
        <w:rPr>
          <w:rFonts w:asciiTheme="majorBidi" w:eastAsia="Georgia" w:hAnsiTheme="majorBidi" w:cstheme="majorBidi"/>
          <w:b/>
          <w:bCs/>
          <w:color w:val="242424"/>
          <w:spacing w:val="-8"/>
          <w:sz w:val="17"/>
          <w:szCs w:val="17"/>
          <w:lang w:val="en-CA" w:eastAsia="en-GB"/>
        </w:rPr>
        <w:t xml:space="preserve"> </w:t>
      </w:r>
      <w:r w:rsidRPr="005F0A67">
        <w:rPr>
          <w:rFonts w:asciiTheme="majorBidi" w:eastAsia="Georgia" w:hAnsiTheme="majorBidi" w:cstheme="majorBidi"/>
          <w:color w:val="242424"/>
          <w:sz w:val="17"/>
          <w:szCs w:val="17"/>
          <w:lang w:val="en-CA" w:eastAsia="en-GB"/>
        </w:rPr>
        <w:t>located</w:t>
      </w:r>
      <w:r w:rsidRPr="005F0A67">
        <w:rPr>
          <w:rFonts w:asciiTheme="majorBidi" w:eastAsia="Georgia" w:hAnsiTheme="majorBidi" w:cstheme="majorBidi"/>
          <w:color w:val="242424"/>
          <w:spacing w:val="-8"/>
          <w:sz w:val="17"/>
          <w:szCs w:val="17"/>
          <w:lang w:val="en-CA" w:eastAsia="en-GB"/>
        </w:rPr>
        <w:t xml:space="preserve"> </w:t>
      </w:r>
      <w:r w:rsidRPr="005F0A67">
        <w:rPr>
          <w:rFonts w:asciiTheme="majorBidi" w:eastAsia="Georgia" w:hAnsiTheme="majorBidi" w:cstheme="majorBidi"/>
          <w:color w:val="242424"/>
          <w:sz w:val="17"/>
          <w:szCs w:val="17"/>
          <w:lang w:val="en-CA" w:eastAsia="en-GB"/>
        </w:rPr>
        <w:t>(Select</w:t>
      </w:r>
      <w:r w:rsidRPr="005F0A67">
        <w:rPr>
          <w:rFonts w:asciiTheme="majorBidi" w:eastAsia="Georgia" w:hAnsiTheme="majorBidi" w:cstheme="majorBidi"/>
          <w:color w:val="242424"/>
          <w:spacing w:val="-8"/>
          <w:sz w:val="17"/>
          <w:szCs w:val="17"/>
          <w:lang w:val="en-CA" w:eastAsia="en-GB"/>
        </w:rPr>
        <w:t xml:space="preserve"> </w:t>
      </w:r>
      <w:r w:rsidRPr="005F0A67">
        <w:rPr>
          <w:rFonts w:asciiTheme="majorBidi" w:eastAsia="Georgia" w:hAnsiTheme="majorBidi" w:cstheme="majorBidi"/>
          <w:color w:val="242424"/>
          <w:sz w:val="17"/>
          <w:szCs w:val="17"/>
          <w:lang w:val="en-CA" w:eastAsia="en-GB"/>
        </w:rPr>
        <w:t>all</w:t>
      </w:r>
      <w:r w:rsidRPr="005F0A67">
        <w:rPr>
          <w:rFonts w:asciiTheme="majorBidi" w:eastAsia="Georgia" w:hAnsiTheme="majorBidi" w:cstheme="majorBidi"/>
          <w:color w:val="242424"/>
          <w:spacing w:val="-8"/>
          <w:sz w:val="17"/>
          <w:szCs w:val="17"/>
          <w:lang w:val="en-CA" w:eastAsia="en-GB"/>
        </w:rPr>
        <w:t xml:space="preserve"> </w:t>
      </w:r>
      <w:r w:rsidRPr="005F0A67">
        <w:rPr>
          <w:rFonts w:asciiTheme="majorBidi" w:eastAsia="Georgia" w:hAnsiTheme="majorBidi" w:cstheme="majorBidi"/>
          <w:color w:val="242424"/>
          <w:sz w:val="17"/>
          <w:szCs w:val="17"/>
          <w:lang w:val="en-CA" w:eastAsia="en-GB"/>
        </w:rPr>
        <w:t>that</w:t>
      </w:r>
      <w:r w:rsidRPr="005F0A67">
        <w:rPr>
          <w:rFonts w:asciiTheme="majorBidi" w:eastAsia="Georgia" w:hAnsiTheme="majorBidi" w:cstheme="majorBidi"/>
          <w:color w:val="242424"/>
          <w:spacing w:val="-8"/>
          <w:sz w:val="17"/>
          <w:szCs w:val="17"/>
          <w:lang w:val="en-CA" w:eastAsia="en-GB"/>
        </w:rPr>
        <w:t xml:space="preserve"> </w:t>
      </w:r>
      <w:r w:rsidRPr="005F0A67">
        <w:rPr>
          <w:rFonts w:asciiTheme="majorBidi" w:eastAsia="Georgia" w:hAnsiTheme="majorBidi" w:cstheme="majorBidi"/>
          <w:color w:val="242424"/>
          <w:sz w:val="17"/>
          <w:szCs w:val="17"/>
          <w:lang w:val="en-CA" w:eastAsia="en-GB"/>
        </w:rPr>
        <w:t>apply)</w:t>
      </w:r>
      <w:r w:rsidRPr="005F0A67">
        <w:rPr>
          <w:rFonts w:asciiTheme="majorBidi" w:eastAsia="Georgia" w:hAnsiTheme="majorBidi" w:cstheme="majorBidi"/>
          <w:color w:val="242424"/>
          <w:spacing w:val="-8"/>
          <w:sz w:val="17"/>
          <w:szCs w:val="17"/>
          <w:lang w:val="en-CA" w:eastAsia="en-GB"/>
        </w:rPr>
        <w:t xml:space="preserve"> </w:t>
      </w:r>
      <w:r w:rsidRPr="005F0A67">
        <w:rPr>
          <w:rFonts w:asciiTheme="majorBidi" w:eastAsia="Georgia" w:hAnsiTheme="majorBidi" w:cstheme="majorBidi"/>
          <w:color w:val="AE1515"/>
          <w:spacing w:val="-10"/>
          <w:sz w:val="17"/>
          <w:szCs w:val="17"/>
          <w:lang w:val="en-CA" w:eastAsia="en-GB"/>
        </w:rPr>
        <w:t>*</w:t>
      </w:r>
    </w:p>
    <w:p w14:paraId="3BD56B76" w14:textId="77777777" w:rsidR="005F0A67" w:rsidRPr="005F0A67" w:rsidRDefault="005F0A67" w:rsidP="005F0A67">
      <w:pPr>
        <w:widowControl w:val="0"/>
        <w:tabs>
          <w:tab w:val="clear" w:pos="567"/>
          <w:tab w:val="clear" w:pos="1134"/>
          <w:tab w:val="clear" w:pos="1701"/>
          <w:tab w:val="clear" w:pos="2268"/>
        </w:tabs>
        <w:spacing w:before="123"/>
        <w:jc w:val="left"/>
        <w:rPr>
          <w:rFonts w:asciiTheme="majorBidi" w:eastAsia="Arial" w:hAnsiTheme="majorBidi" w:cstheme="majorBidi"/>
          <w:sz w:val="14"/>
          <w:szCs w:val="14"/>
          <w:lang w:val="en-US"/>
        </w:rPr>
      </w:pPr>
    </w:p>
    <w:p w14:paraId="058865B0" w14:textId="77777777" w:rsidR="005F0A67" w:rsidRPr="005F0A67" w:rsidRDefault="005F0A67" w:rsidP="005F0A67">
      <w:pPr>
        <w:widowControl w:val="0"/>
        <w:tabs>
          <w:tab w:val="clear" w:pos="567"/>
          <w:tab w:val="clear" w:pos="1134"/>
          <w:tab w:val="clear" w:pos="1701"/>
          <w:tab w:val="clear" w:pos="2268"/>
        </w:tabs>
        <w:spacing w:line="600" w:lineRule="auto"/>
        <w:ind w:left="725" w:right="6386"/>
        <w:rPr>
          <w:rFonts w:asciiTheme="majorBidi" w:eastAsia="Arial" w:hAnsiTheme="majorBidi" w:cstheme="majorBidi"/>
          <w:sz w:val="14"/>
          <w:szCs w:val="14"/>
          <w:lang w:val="en-US"/>
        </w:rPr>
      </w:pPr>
      <w:r w:rsidRPr="005F0A67">
        <w:rPr>
          <w:rFonts w:asciiTheme="majorBidi" w:eastAsia="Arial" w:hAnsiTheme="majorBidi" w:cstheme="majorBidi"/>
          <w:noProof/>
          <w:position w:val="-4"/>
          <w:sz w:val="14"/>
          <w:szCs w:val="14"/>
          <w:lang w:val="en-US"/>
        </w:rPr>
        <w:drawing>
          <wp:inline distT="0" distB="0" distL="0" distR="0" wp14:anchorId="53A4362B" wp14:editId="5DBEF61F">
            <wp:extent cx="127000" cy="127000"/>
            <wp:effectExtent l="0" t="0" r="0" b="0"/>
            <wp:docPr id="207" name="Image 2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7" name="Image 207"/>
                    <pic:cNvPicPr/>
                  </pic:nvPicPr>
                  <pic:blipFill>
                    <a:blip r:embed="rId40" cstate="print"/>
                    <a:stretch>
                      <a:fillRect/>
                    </a:stretch>
                  </pic:blipFill>
                  <pic:spPr>
                    <a:xfrm>
                      <a:off x="0" y="0"/>
                      <a:ext cx="127000" cy="127000"/>
                    </a:xfrm>
                    <a:prstGeom prst="rect">
                      <a:avLst/>
                    </a:prstGeom>
                  </pic:spPr>
                </pic:pic>
              </a:graphicData>
            </a:graphic>
          </wp:inline>
        </w:drawing>
      </w:r>
      <w:r w:rsidRPr="005F0A67">
        <w:rPr>
          <w:rFonts w:asciiTheme="majorBidi" w:eastAsia="Arial" w:hAnsiTheme="majorBidi" w:cstheme="majorBidi"/>
          <w:spacing w:val="40"/>
          <w:sz w:val="20"/>
          <w:szCs w:val="20"/>
          <w:lang w:val="en-US"/>
        </w:rPr>
        <w:t xml:space="preserve"> </w:t>
      </w:r>
      <w:r w:rsidRPr="005F0A67">
        <w:rPr>
          <w:rFonts w:asciiTheme="majorBidi" w:eastAsia="Arial" w:hAnsiTheme="majorBidi" w:cstheme="majorBidi"/>
          <w:color w:val="242424"/>
          <w:sz w:val="14"/>
          <w:szCs w:val="14"/>
          <w:lang w:val="en-US"/>
        </w:rPr>
        <w:t>Domestic</w:t>
      </w:r>
      <w:r w:rsidRPr="005F0A67">
        <w:rPr>
          <w:rFonts w:asciiTheme="majorBidi" w:eastAsia="Arial" w:hAnsiTheme="majorBidi" w:cstheme="majorBidi"/>
          <w:color w:val="242424"/>
          <w:spacing w:val="-10"/>
          <w:sz w:val="14"/>
          <w:szCs w:val="14"/>
          <w:lang w:val="en-US"/>
        </w:rPr>
        <w:t xml:space="preserve"> </w:t>
      </w:r>
      <w:r w:rsidRPr="005F0A67">
        <w:rPr>
          <w:rFonts w:asciiTheme="majorBidi" w:eastAsia="Arial" w:hAnsiTheme="majorBidi" w:cstheme="majorBidi"/>
          <w:color w:val="242424"/>
          <w:sz w:val="14"/>
          <w:szCs w:val="14"/>
          <w:lang w:val="en-US"/>
        </w:rPr>
        <w:t>market</w:t>
      </w:r>
      <w:r w:rsidRPr="005F0A67">
        <w:rPr>
          <w:rFonts w:asciiTheme="majorBidi" w:eastAsia="Arial" w:hAnsiTheme="majorBidi" w:cstheme="majorBidi"/>
          <w:color w:val="242424"/>
          <w:spacing w:val="40"/>
          <w:sz w:val="14"/>
          <w:szCs w:val="14"/>
          <w:lang w:val="en-US"/>
        </w:rPr>
        <w:t xml:space="preserve"> </w:t>
      </w:r>
      <w:r w:rsidRPr="005F0A67">
        <w:rPr>
          <w:rFonts w:asciiTheme="majorBidi" w:eastAsia="Arial" w:hAnsiTheme="majorBidi" w:cstheme="majorBidi"/>
          <w:noProof/>
          <w:color w:val="242424"/>
          <w:position w:val="-4"/>
          <w:sz w:val="14"/>
          <w:szCs w:val="14"/>
          <w:lang w:val="en-US"/>
        </w:rPr>
        <w:drawing>
          <wp:inline distT="0" distB="0" distL="0" distR="0" wp14:anchorId="01F4EFB0" wp14:editId="2C9BE00C">
            <wp:extent cx="127000" cy="127000"/>
            <wp:effectExtent l="0" t="0" r="0" b="0"/>
            <wp:docPr id="208" name="Image 2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8" name="Image 208"/>
                    <pic:cNvPicPr/>
                  </pic:nvPicPr>
                  <pic:blipFill>
                    <a:blip r:embed="rId41" cstate="print"/>
                    <a:stretch>
                      <a:fillRect/>
                    </a:stretch>
                  </pic:blipFill>
                  <pic:spPr>
                    <a:xfrm>
                      <a:off x="0" y="0"/>
                      <a:ext cx="127000" cy="127000"/>
                    </a:xfrm>
                    <a:prstGeom prst="rect">
                      <a:avLst/>
                    </a:prstGeom>
                  </pic:spPr>
                </pic:pic>
              </a:graphicData>
            </a:graphic>
          </wp:inline>
        </w:drawing>
      </w:r>
      <w:r w:rsidRPr="005F0A67">
        <w:rPr>
          <w:rFonts w:asciiTheme="majorBidi" w:eastAsia="Arial" w:hAnsiTheme="majorBidi" w:cstheme="majorBidi"/>
          <w:color w:val="242424"/>
          <w:spacing w:val="80"/>
          <w:sz w:val="14"/>
          <w:szCs w:val="14"/>
          <w:lang w:val="en-US"/>
        </w:rPr>
        <w:t xml:space="preserve"> </w:t>
      </w:r>
      <w:r w:rsidRPr="005F0A67">
        <w:rPr>
          <w:rFonts w:asciiTheme="majorBidi" w:eastAsia="Arial" w:hAnsiTheme="majorBidi" w:cstheme="majorBidi"/>
          <w:color w:val="242424"/>
          <w:sz w:val="14"/>
          <w:szCs w:val="14"/>
          <w:lang w:val="en-US"/>
        </w:rPr>
        <w:t>Europe</w:t>
      </w:r>
    </w:p>
    <w:p w14:paraId="5CB1BFEB" w14:textId="77777777" w:rsidR="005F0A67" w:rsidRPr="005F0A67" w:rsidRDefault="005F0A67" w:rsidP="005F0A67">
      <w:pPr>
        <w:widowControl w:val="0"/>
        <w:tabs>
          <w:tab w:val="clear" w:pos="567"/>
          <w:tab w:val="clear" w:pos="1134"/>
          <w:tab w:val="clear" w:pos="1701"/>
          <w:tab w:val="clear" w:pos="2268"/>
        </w:tabs>
        <w:spacing w:line="600" w:lineRule="auto"/>
        <w:ind w:left="725" w:right="6525"/>
        <w:rPr>
          <w:rFonts w:asciiTheme="majorBidi" w:eastAsia="Arial" w:hAnsiTheme="majorBidi" w:cstheme="majorBidi"/>
          <w:sz w:val="14"/>
          <w:szCs w:val="14"/>
          <w:lang w:val="en-US"/>
        </w:rPr>
      </w:pPr>
      <w:r w:rsidRPr="005F0A67">
        <w:rPr>
          <w:rFonts w:asciiTheme="majorBidi" w:eastAsia="Arial" w:hAnsiTheme="majorBidi" w:cstheme="majorBidi"/>
          <w:noProof/>
          <w:position w:val="-4"/>
          <w:sz w:val="14"/>
          <w:szCs w:val="14"/>
          <w:lang w:val="en-US"/>
        </w:rPr>
        <w:drawing>
          <wp:inline distT="0" distB="0" distL="0" distR="0" wp14:anchorId="72EEED2C" wp14:editId="530DA665">
            <wp:extent cx="127000" cy="127000"/>
            <wp:effectExtent l="0" t="0" r="0" b="0"/>
            <wp:docPr id="209" name="Image 20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9" name="Image 209"/>
                    <pic:cNvPicPr/>
                  </pic:nvPicPr>
                  <pic:blipFill>
                    <a:blip r:embed="rId41" cstate="print"/>
                    <a:stretch>
                      <a:fillRect/>
                    </a:stretch>
                  </pic:blipFill>
                  <pic:spPr>
                    <a:xfrm>
                      <a:off x="0" y="0"/>
                      <a:ext cx="127000" cy="127000"/>
                    </a:xfrm>
                    <a:prstGeom prst="rect">
                      <a:avLst/>
                    </a:prstGeom>
                  </pic:spPr>
                </pic:pic>
              </a:graphicData>
            </a:graphic>
          </wp:inline>
        </w:drawing>
      </w:r>
      <w:r w:rsidRPr="005F0A67">
        <w:rPr>
          <w:rFonts w:asciiTheme="majorBidi" w:eastAsia="Arial" w:hAnsiTheme="majorBidi" w:cstheme="majorBidi"/>
          <w:spacing w:val="40"/>
          <w:sz w:val="20"/>
          <w:szCs w:val="20"/>
          <w:lang w:val="en-US"/>
        </w:rPr>
        <w:t xml:space="preserve"> </w:t>
      </w:r>
      <w:r w:rsidRPr="005F0A67">
        <w:rPr>
          <w:rFonts w:asciiTheme="majorBidi" w:eastAsia="Arial" w:hAnsiTheme="majorBidi" w:cstheme="majorBidi"/>
          <w:color w:val="242424"/>
          <w:sz w:val="14"/>
          <w:szCs w:val="14"/>
          <w:lang w:val="en-US"/>
        </w:rPr>
        <w:t>North</w:t>
      </w:r>
      <w:r w:rsidRPr="005F0A67">
        <w:rPr>
          <w:rFonts w:asciiTheme="majorBidi" w:eastAsia="Arial" w:hAnsiTheme="majorBidi" w:cstheme="majorBidi"/>
          <w:color w:val="242424"/>
          <w:spacing w:val="-7"/>
          <w:sz w:val="14"/>
          <w:szCs w:val="14"/>
          <w:lang w:val="en-US"/>
        </w:rPr>
        <w:t xml:space="preserve"> </w:t>
      </w:r>
      <w:r w:rsidRPr="005F0A67">
        <w:rPr>
          <w:rFonts w:asciiTheme="majorBidi" w:eastAsia="Arial" w:hAnsiTheme="majorBidi" w:cstheme="majorBidi"/>
          <w:color w:val="242424"/>
          <w:sz w:val="14"/>
          <w:szCs w:val="14"/>
          <w:lang w:val="en-US"/>
        </w:rPr>
        <w:t>America</w:t>
      </w:r>
      <w:r w:rsidRPr="005F0A67">
        <w:rPr>
          <w:rFonts w:asciiTheme="majorBidi" w:eastAsia="Arial" w:hAnsiTheme="majorBidi" w:cstheme="majorBidi"/>
          <w:color w:val="242424"/>
          <w:spacing w:val="40"/>
          <w:sz w:val="14"/>
          <w:szCs w:val="14"/>
          <w:lang w:val="en-US"/>
        </w:rPr>
        <w:t xml:space="preserve"> </w:t>
      </w:r>
      <w:r w:rsidRPr="005F0A67">
        <w:rPr>
          <w:rFonts w:asciiTheme="majorBidi" w:eastAsia="Arial" w:hAnsiTheme="majorBidi" w:cstheme="majorBidi"/>
          <w:noProof/>
          <w:color w:val="242424"/>
          <w:position w:val="-4"/>
          <w:sz w:val="14"/>
          <w:szCs w:val="14"/>
          <w:lang w:val="en-US"/>
        </w:rPr>
        <w:drawing>
          <wp:inline distT="0" distB="0" distL="0" distR="0" wp14:anchorId="4DB562CF" wp14:editId="429C6B2D">
            <wp:extent cx="127000" cy="127000"/>
            <wp:effectExtent l="0" t="0" r="0" b="0"/>
            <wp:docPr id="210" name="Image 2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0" name="Image 210"/>
                    <pic:cNvPicPr/>
                  </pic:nvPicPr>
                  <pic:blipFill>
                    <a:blip r:embed="rId40" cstate="print"/>
                    <a:stretch>
                      <a:fillRect/>
                    </a:stretch>
                  </pic:blipFill>
                  <pic:spPr>
                    <a:xfrm>
                      <a:off x="0" y="0"/>
                      <a:ext cx="127000" cy="127000"/>
                    </a:xfrm>
                    <a:prstGeom prst="rect">
                      <a:avLst/>
                    </a:prstGeom>
                  </pic:spPr>
                </pic:pic>
              </a:graphicData>
            </a:graphic>
          </wp:inline>
        </w:drawing>
      </w:r>
      <w:r w:rsidRPr="005F0A67">
        <w:rPr>
          <w:rFonts w:asciiTheme="majorBidi" w:eastAsia="Arial" w:hAnsiTheme="majorBidi" w:cstheme="majorBidi"/>
          <w:color w:val="242424"/>
          <w:spacing w:val="40"/>
          <w:sz w:val="14"/>
          <w:szCs w:val="14"/>
          <w:lang w:val="en-US"/>
        </w:rPr>
        <w:t xml:space="preserve"> </w:t>
      </w:r>
      <w:r w:rsidRPr="005F0A67">
        <w:rPr>
          <w:rFonts w:asciiTheme="majorBidi" w:eastAsia="Arial" w:hAnsiTheme="majorBidi" w:cstheme="majorBidi"/>
          <w:color w:val="242424"/>
          <w:sz w:val="14"/>
          <w:szCs w:val="14"/>
          <w:lang w:val="en-US"/>
        </w:rPr>
        <w:t>South</w:t>
      </w:r>
      <w:r w:rsidRPr="005F0A67">
        <w:rPr>
          <w:rFonts w:asciiTheme="majorBidi" w:eastAsia="Arial" w:hAnsiTheme="majorBidi" w:cstheme="majorBidi"/>
          <w:color w:val="242424"/>
          <w:spacing w:val="-10"/>
          <w:sz w:val="14"/>
          <w:szCs w:val="14"/>
          <w:lang w:val="en-US"/>
        </w:rPr>
        <w:t xml:space="preserve"> </w:t>
      </w:r>
      <w:r w:rsidRPr="005F0A67">
        <w:rPr>
          <w:rFonts w:asciiTheme="majorBidi" w:eastAsia="Arial" w:hAnsiTheme="majorBidi" w:cstheme="majorBidi"/>
          <w:color w:val="242424"/>
          <w:sz w:val="14"/>
          <w:szCs w:val="14"/>
          <w:lang w:val="en-US"/>
        </w:rPr>
        <w:t>America</w:t>
      </w:r>
      <w:r w:rsidRPr="005F0A67">
        <w:rPr>
          <w:rFonts w:asciiTheme="majorBidi" w:eastAsia="Arial" w:hAnsiTheme="majorBidi" w:cstheme="majorBidi"/>
          <w:color w:val="242424"/>
          <w:spacing w:val="40"/>
          <w:sz w:val="14"/>
          <w:szCs w:val="14"/>
          <w:lang w:val="en-US"/>
        </w:rPr>
        <w:t xml:space="preserve"> </w:t>
      </w:r>
      <w:r w:rsidRPr="005F0A67">
        <w:rPr>
          <w:rFonts w:asciiTheme="majorBidi" w:eastAsia="Arial" w:hAnsiTheme="majorBidi" w:cstheme="majorBidi"/>
          <w:noProof/>
          <w:color w:val="242424"/>
          <w:position w:val="-4"/>
          <w:sz w:val="14"/>
          <w:szCs w:val="14"/>
          <w:lang w:val="en-US"/>
        </w:rPr>
        <w:drawing>
          <wp:inline distT="0" distB="0" distL="0" distR="0" wp14:anchorId="05C87E3C" wp14:editId="779F71F3">
            <wp:extent cx="127000" cy="127000"/>
            <wp:effectExtent l="0" t="0" r="0" b="0"/>
            <wp:docPr id="211" name="Image 2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1" name="Image 211"/>
                    <pic:cNvPicPr/>
                  </pic:nvPicPr>
                  <pic:blipFill>
                    <a:blip r:embed="rId41" cstate="print"/>
                    <a:stretch>
                      <a:fillRect/>
                    </a:stretch>
                  </pic:blipFill>
                  <pic:spPr>
                    <a:xfrm>
                      <a:off x="0" y="0"/>
                      <a:ext cx="127000" cy="127000"/>
                    </a:xfrm>
                    <a:prstGeom prst="rect">
                      <a:avLst/>
                    </a:prstGeom>
                  </pic:spPr>
                </pic:pic>
              </a:graphicData>
            </a:graphic>
          </wp:inline>
        </w:drawing>
      </w:r>
      <w:r w:rsidRPr="005F0A67">
        <w:rPr>
          <w:rFonts w:asciiTheme="majorBidi" w:eastAsia="Arial" w:hAnsiTheme="majorBidi" w:cstheme="majorBidi"/>
          <w:color w:val="242424"/>
          <w:spacing w:val="80"/>
          <w:sz w:val="14"/>
          <w:szCs w:val="14"/>
          <w:lang w:val="en-US"/>
        </w:rPr>
        <w:t xml:space="preserve"> </w:t>
      </w:r>
      <w:r w:rsidRPr="005F0A67">
        <w:rPr>
          <w:rFonts w:asciiTheme="majorBidi" w:eastAsia="Arial" w:hAnsiTheme="majorBidi" w:cstheme="majorBidi"/>
          <w:color w:val="242424"/>
          <w:sz w:val="14"/>
          <w:szCs w:val="14"/>
          <w:lang w:val="en-US"/>
        </w:rPr>
        <w:t>Asia</w:t>
      </w:r>
    </w:p>
    <w:p w14:paraId="2A1C6FF1" w14:textId="77777777" w:rsidR="005F0A67" w:rsidRPr="005F0A67" w:rsidRDefault="005F0A67" w:rsidP="005F0A67">
      <w:pPr>
        <w:widowControl w:val="0"/>
        <w:tabs>
          <w:tab w:val="clear" w:pos="567"/>
          <w:tab w:val="clear" w:pos="1134"/>
          <w:tab w:val="clear" w:pos="1701"/>
          <w:tab w:val="clear" w:pos="2268"/>
        </w:tabs>
        <w:spacing w:line="600" w:lineRule="auto"/>
        <w:ind w:left="725" w:right="6896"/>
        <w:jc w:val="left"/>
        <w:rPr>
          <w:rFonts w:asciiTheme="majorBidi" w:eastAsia="Arial" w:hAnsiTheme="majorBidi" w:cstheme="majorBidi"/>
          <w:sz w:val="14"/>
          <w:szCs w:val="14"/>
          <w:lang w:val="en-US"/>
        </w:rPr>
      </w:pPr>
      <w:r w:rsidRPr="005F0A67">
        <w:rPr>
          <w:rFonts w:asciiTheme="majorBidi" w:eastAsia="Arial" w:hAnsiTheme="majorBidi" w:cstheme="majorBidi"/>
          <w:noProof/>
          <w:position w:val="-4"/>
          <w:sz w:val="14"/>
          <w:szCs w:val="14"/>
          <w:lang w:val="en-US"/>
        </w:rPr>
        <w:drawing>
          <wp:inline distT="0" distB="0" distL="0" distR="0" wp14:anchorId="3AE37349" wp14:editId="42CA82AC">
            <wp:extent cx="127000" cy="127000"/>
            <wp:effectExtent l="0" t="0" r="0" b="0"/>
            <wp:docPr id="212" name="Image 2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2" name="Image 212"/>
                    <pic:cNvPicPr/>
                  </pic:nvPicPr>
                  <pic:blipFill>
                    <a:blip r:embed="rId41" cstate="print"/>
                    <a:stretch>
                      <a:fillRect/>
                    </a:stretch>
                  </pic:blipFill>
                  <pic:spPr>
                    <a:xfrm>
                      <a:off x="0" y="0"/>
                      <a:ext cx="127000" cy="127000"/>
                    </a:xfrm>
                    <a:prstGeom prst="rect">
                      <a:avLst/>
                    </a:prstGeom>
                  </pic:spPr>
                </pic:pic>
              </a:graphicData>
            </a:graphic>
          </wp:inline>
        </w:drawing>
      </w:r>
      <w:r w:rsidRPr="005F0A67">
        <w:rPr>
          <w:rFonts w:asciiTheme="majorBidi" w:eastAsia="Arial" w:hAnsiTheme="majorBidi" w:cstheme="majorBidi"/>
          <w:spacing w:val="80"/>
          <w:sz w:val="20"/>
          <w:szCs w:val="20"/>
          <w:lang w:val="en-US"/>
        </w:rPr>
        <w:t xml:space="preserve"> </w:t>
      </w:r>
      <w:r w:rsidRPr="005F0A67">
        <w:rPr>
          <w:rFonts w:asciiTheme="majorBidi" w:eastAsia="Arial" w:hAnsiTheme="majorBidi" w:cstheme="majorBidi"/>
          <w:color w:val="242424"/>
          <w:sz w:val="14"/>
          <w:szCs w:val="14"/>
          <w:lang w:val="en-US"/>
        </w:rPr>
        <w:t>Africa</w:t>
      </w:r>
      <w:r w:rsidRPr="005F0A67">
        <w:rPr>
          <w:rFonts w:asciiTheme="majorBidi" w:eastAsia="Arial" w:hAnsiTheme="majorBidi" w:cstheme="majorBidi"/>
          <w:color w:val="242424"/>
          <w:spacing w:val="40"/>
          <w:sz w:val="14"/>
          <w:szCs w:val="14"/>
          <w:lang w:val="en-US"/>
        </w:rPr>
        <w:t xml:space="preserve"> </w:t>
      </w:r>
      <w:r w:rsidRPr="005F0A67">
        <w:rPr>
          <w:rFonts w:asciiTheme="majorBidi" w:eastAsia="Arial" w:hAnsiTheme="majorBidi" w:cstheme="majorBidi"/>
          <w:noProof/>
          <w:color w:val="242424"/>
          <w:position w:val="-4"/>
          <w:sz w:val="14"/>
          <w:szCs w:val="14"/>
          <w:lang w:val="en-US"/>
        </w:rPr>
        <w:drawing>
          <wp:inline distT="0" distB="0" distL="0" distR="0" wp14:anchorId="6E03E170" wp14:editId="25EC878A">
            <wp:extent cx="127000" cy="127000"/>
            <wp:effectExtent l="0" t="0" r="0" b="0"/>
            <wp:docPr id="213" name="Image 2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3" name="Image 213"/>
                    <pic:cNvPicPr/>
                  </pic:nvPicPr>
                  <pic:blipFill>
                    <a:blip r:embed="rId40" cstate="print"/>
                    <a:stretch>
                      <a:fillRect/>
                    </a:stretch>
                  </pic:blipFill>
                  <pic:spPr>
                    <a:xfrm>
                      <a:off x="0" y="0"/>
                      <a:ext cx="127000" cy="127000"/>
                    </a:xfrm>
                    <a:prstGeom prst="rect">
                      <a:avLst/>
                    </a:prstGeom>
                  </pic:spPr>
                </pic:pic>
              </a:graphicData>
            </a:graphic>
          </wp:inline>
        </w:drawing>
      </w:r>
      <w:r w:rsidRPr="005F0A67">
        <w:rPr>
          <w:rFonts w:asciiTheme="majorBidi" w:eastAsia="Arial" w:hAnsiTheme="majorBidi" w:cstheme="majorBidi"/>
          <w:color w:val="242424"/>
          <w:spacing w:val="59"/>
          <w:sz w:val="14"/>
          <w:szCs w:val="14"/>
          <w:lang w:val="en-US"/>
        </w:rPr>
        <w:t xml:space="preserve"> </w:t>
      </w:r>
      <w:r w:rsidRPr="005F0A67">
        <w:rPr>
          <w:rFonts w:asciiTheme="majorBidi" w:eastAsia="Arial" w:hAnsiTheme="majorBidi" w:cstheme="majorBidi"/>
          <w:color w:val="242424"/>
          <w:sz w:val="14"/>
          <w:szCs w:val="14"/>
          <w:lang w:val="en-US"/>
        </w:rPr>
        <w:t>Australia</w:t>
      </w:r>
    </w:p>
    <w:p w14:paraId="1FFF34AA" w14:textId="77777777" w:rsidR="005F0A67" w:rsidRPr="005F0A67" w:rsidRDefault="005F0A67" w:rsidP="003A387A">
      <w:pPr>
        <w:numPr>
          <w:ilvl w:val="0"/>
          <w:numId w:val="44"/>
        </w:numPr>
        <w:tabs>
          <w:tab w:val="clear" w:pos="567"/>
          <w:tab w:val="clear" w:pos="1134"/>
          <w:tab w:val="clear" w:pos="1701"/>
          <w:tab w:val="clear" w:pos="2268"/>
          <w:tab w:val="num" w:pos="360"/>
          <w:tab w:val="left" w:pos="703"/>
          <w:tab w:val="left" w:pos="705"/>
        </w:tabs>
        <w:spacing w:before="320" w:after="160" w:line="271" w:lineRule="auto"/>
        <w:ind w:left="360" w:right="1452" w:hanging="281"/>
        <w:jc w:val="left"/>
        <w:outlineLvl w:val="2"/>
        <w:rPr>
          <w:rFonts w:asciiTheme="majorBidi" w:eastAsia="Arial" w:hAnsiTheme="majorBidi" w:cstheme="majorBidi"/>
          <w:b/>
          <w:bCs/>
          <w:color w:val="7F7F7F"/>
          <w:sz w:val="23"/>
          <w:szCs w:val="23"/>
          <w:lang w:val="en-CA" w:eastAsia="en-GB"/>
        </w:rPr>
      </w:pPr>
      <w:bookmarkStart w:id="288" w:name="_Toc234579642"/>
      <w:r w:rsidRPr="005F0A67">
        <w:rPr>
          <w:rFonts w:asciiTheme="majorBidi" w:eastAsia="Georgia" w:hAnsiTheme="majorBidi" w:cstheme="majorBidi"/>
          <w:color w:val="242424"/>
          <w:sz w:val="17"/>
          <w:szCs w:val="17"/>
          <w:lang w:val="en-CA" w:eastAsia="en-GB"/>
        </w:rPr>
        <w:t>To what extent does your organisation face competition from the following types of companies?</w:t>
      </w:r>
      <w:r w:rsidRPr="005F0A67">
        <w:rPr>
          <w:rFonts w:asciiTheme="majorBidi" w:eastAsia="Arial" w:hAnsiTheme="majorBidi" w:cstheme="majorBidi"/>
          <w:b/>
          <w:bCs/>
          <w:color w:val="242424"/>
          <w:sz w:val="23"/>
          <w:szCs w:val="23"/>
          <w:lang w:val="en-CA" w:eastAsia="en-GB"/>
        </w:rPr>
        <w:t xml:space="preserve"> </w:t>
      </w:r>
      <w:r w:rsidRPr="005F0A67">
        <w:rPr>
          <w:rFonts w:asciiTheme="majorBidi" w:eastAsia="Arial" w:hAnsiTheme="majorBidi" w:cstheme="majorBidi"/>
          <w:b/>
          <w:bCs/>
          <w:color w:val="AE1515"/>
          <w:sz w:val="23"/>
          <w:szCs w:val="23"/>
          <w:lang w:val="en-CA" w:eastAsia="en-GB"/>
        </w:rPr>
        <w:t>*</w:t>
      </w:r>
      <w:bookmarkEnd w:id="288"/>
    </w:p>
    <w:p w14:paraId="1C941582" w14:textId="77777777" w:rsidR="005F0A67" w:rsidRPr="005F0A67" w:rsidRDefault="005F0A67" w:rsidP="005F0A67">
      <w:pPr>
        <w:widowControl w:val="0"/>
        <w:tabs>
          <w:tab w:val="clear" w:pos="567"/>
          <w:tab w:val="clear" w:pos="1134"/>
          <w:tab w:val="clear" w:pos="1701"/>
          <w:tab w:val="clear" w:pos="2268"/>
        </w:tabs>
        <w:jc w:val="left"/>
        <w:rPr>
          <w:rFonts w:asciiTheme="majorBidi" w:eastAsia="Arial" w:hAnsiTheme="majorBidi" w:cstheme="majorBidi"/>
          <w:sz w:val="17"/>
          <w:szCs w:val="17"/>
          <w:lang w:val="en-US"/>
        </w:rPr>
        <w:sectPr w:rsidR="005F0A67" w:rsidRPr="005F0A67" w:rsidSect="005F0A67">
          <w:pgSz w:w="11900" w:h="16840"/>
          <w:pgMar w:top="1000" w:right="1700" w:bottom="280" w:left="1700" w:header="720" w:footer="720" w:gutter="0"/>
          <w:cols w:space="720"/>
        </w:sectPr>
      </w:pPr>
    </w:p>
    <w:p w14:paraId="7809D518" w14:textId="77777777" w:rsidR="005F0A67" w:rsidRPr="005F0A67" w:rsidRDefault="005F0A67" w:rsidP="005F0A67">
      <w:pPr>
        <w:widowControl w:val="0"/>
        <w:tabs>
          <w:tab w:val="clear" w:pos="567"/>
          <w:tab w:val="clear" w:pos="1134"/>
          <w:tab w:val="clear" w:pos="1701"/>
          <w:tab w:val="clear" w:pos="2268"/>
          <w:tab w:val="left" w:pos="3163"/>
          <w:tab w:val="left" w:pos="4471"/>
        </w:tabs>
        <w:spacing w:before="120"/>
        <w:ind w:left="2158"/>
        <w:jc w:val="left"/>
        <w:rPr>
          <w:rFonts w:asciiTheme="majorBidi" w:eastAsia="Arial" w:hAnsiTheme="majorBidi" w:cstheme="majorBidi"/>
          <w:position w:val="10"/>
          <w:sz w:val="14"/>
          <w:szCs w:val="14"/>
          <w:lang w:val="en-US"/>
        </w:rPr>
      </w:pPr>
      <w:r w:rsidRPr="005F0A67">
        <w:rPr>
          <w:rFonts w:asciiTheme="majorBidi" w:eastAsia="Arial" w:hAnsiTheme="majorBidi" w:cstheme="majorBidi"/>
          <w:noProof/>
          <w:position w:val="10"/>
          <w:sz w:val="14"/>
          <w:szCs w:val="14"/>
          <w:lang w:val="en-US"/>
        </w:rPr>
        <mc:AlternateContent>
          <mc:Choice Requires="wps">
            <w:drawing>
              <wp:anchor distT="0" distB="0" distL="0" distR="0" simplePos="0" relativeHeight="251658368" behindDoc="1" locked="0" layoutInCell="1" allowOverlap="1" wp14:anchorId="7E188ABA" wp14:editId="0E8EFA5C">
                <wp:simplePos x="0" y="0"/>
                <wp:positionH relativeFrom="page">
                  <wp:posOffset>4078585</wp:posOffset>
                </wp:positionH>
                <wp:positionV relativeFrom="paragraph">
                  <wp:posOffset>165188</wp:posOffset>
                </wp:positionV>
                <wp:extent cx="243840" cy="118745"/>
                <wp:effectExtent l="0" t="0" r="0" b="0"/>
                <wp:wrapNone/>
                <wp:docPr id="214" name="Textbox 2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3840" cy="118745"/>
                        </a:xfrm>
                        <a:prstGeom prst="rect">
                          <a:avLst/>
                        </a:prstGeom>
                      </wps:spPr>
                      <wps:txbx>
                        <w:txbxContent>
                          <w:p w14:paraId="3F677AD8" w14:textId="77777777" w:rsidR="005F0A67" w:rsidRDefault="005F0A67" w:rsidP="005F0A67">
                            <w:pPr>
                              <w:pStyle w:val="BodyText"/>
                              <w:spacing w:before="19"/>
                            </w:pPr>
                            <w:r>
                              <w:rPr>
                                <w:color w:val="242424"/>
                                <w:spacing w:val="-2"/>
                              </w:rPr>
                              <w:t>extent</w:t>
                            </w:r>
                          </w:p>
                        </w:txbxContent>
                      </wps:txbx>
                      <wps:bodyPr wrap="square" lIns="0" tIns="0" rIns="0" bIns="0" rtlCol="0">
                        <a:noAutofit/>
                      </wps:bodyPr>
                    </wps:wsp>
                  </a:graphicData>
                </a:graphic>
              </wp:anchor>
            </w:drawing>
          </mc:Choice>
          <mc:Fallback>
            <w:pict>
              <v:shape w14:anchorId="7E188ABA" id="Textbox 214" o:spid="_x0000_s1032" type="#_x0000_t202" style="position:absolute;left:0;text-align:left;margin-left:321.15pt;margin-top:13pt;width:19.2pt;height:9.35pt;z-index:-2516581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" filled="f" stroked="f">
                <v:textbox inset="0,0,0,0">
                  <w:txbxContent>
                    <w:p w14:paraId="3F677AD8" w14:textId="77777777" w:rsidR="005F0A67" w:rsidRDefault="005F0A67" w:rsidP="005F0A67">
                      <w:pPr>
                        <w:pStyle w:val="BodyText"/>
                        <w:spacing w:before="19"/>
                      </w:pPr>
                      <w:r>
                        <w:rPr>
                          <w:color w:val="242424"/>
                          <w:spacing w:val="-2"/>
                        </w:rPr>
                        <w:t>extent</w:t>
                      </w:r>
                    </w:p>
                  </w:txbxContent>
                </v:textbox>
                <w10:wrap anchorx="page"/>
              </v:shape>
            </w:pict>
          </mc:Fallback>
        </mc:AlternateContent>
      </w:r>
      <w:r w:rsidRPr="005F0A67">
        <w:rPr>
          <w:rFonts w:asciiTheme="majorBidi" w:eastAsia="Arial" w:hAnsiTheme="majorBidi" w:cstheme="majorBidi"/>
          <w:color w:val="242424"/>
          <w:sz w:val="14"/>
          <w:szCs w:val="14"/>
          <w:lang w:val="en-US"/>
        </w:rPr>
        <w:t>Not</w:t>
      </w:r>
      <w:r w:rsidRPr="005F0A67">
        <w:rPr>
          <w:rFonts w:asciiTheme="majorBidi" w:eastAsia="Arial" w:hAnsiTheme="majorBidi" w:cstheme="majorBidi"/>
          <w:color w:val="242424"/>
          <w:spacing w:val="7"/>
          <w:sz w:val="14"/>
          <w:szCs w:val="14"/>
          <w:lang w:val="en-US"/>
        </w:rPr>
        <w:t xml:space="preserve"> </w:t>
      </w:r>
      <w:r w:rsidRPr="005F0A67">
        <w:rPr>
          <w:rFonts w:asciiTheme="majorBidi" w:eastAsia="Arial" w:hAnsiTheme="majorBidi" w:cstheme="majorBidi"/>
          <w:color w:val="242424"/>
          <w:sz w:val="14"/>
          <w:szCs w:val="14"/>
          <w:lang w:val="en-US"/>
        </w:rPr>
        <w:t>at</w:t>
      </w:r>
      <w:r w:rsidRPr="005F0A67">
        <w:rPr>
          <w:rFonts w:asciiTheme="majorBidi" w:eastAsia="Arial" w:hAnsiTheme="majorBidi" w:cstheme="majorBidi"/>
          <w:color w:val="242424"/>
          <w:spacing w:val="7"/>
          <w:sz w:val="14"/>
          <w:szCs w:val="14"/>
          <w:lang w:val="en-US"/>
        </w:rPr>
        <w:t xml:space="preserve"> </w:t>
      </w:r>
      <w:r w:rsidRPr="005F0A67">
        <w:rPr>
          <w:rFonts w:asciiTheme="majorBidi" w:eastAsia="Arial" w:hAnsiTheme="majorBidi" w:cstheme="majorBidi"/>
          <w:color w:val="242424"/>
          <w:spacing w:val="-5"/>
          <w:sz w:val="14"/>
          <w:szCs w:val="14"/>
          <w:lang w:val="en-US"/>
        </w:rPr>
        <w:t>all</w:t>
      </w:r>
      <w:r w:rsidRPr="005F0A67">
        <w:rPr>
          <w:rFonts w:asciiTheme="majorBidi" w:eastAsia="Arial" w:hAnsiTheme="majorBidi" w:cstheme="majorBidi"/>
          <w:color w:val="242424"/>
          <w:sz w:val="14"/>
          <w:szCs w:val="14"/>
          <w:lang w:val="en-US"/>
        </w:rPr>
        <w:tab/>
      </w:r>
      <w:r w:rsidRPr="005F0A67">
        <w:rPr>
          <w:rFonts w:asciiTheme="majorBidi" w:eastAsia="Arial" w:hAnsiTheme="majorBidi" w:cstheme="majorBidi"/>
          <w:color w:val="242424"/>
          <w:spacing w:val="-4"/>
          <w:sz w:val="14"/>
          <w:szCs w:val="14"/>
          <w:lang w:val="en-US"/>
        </w:rPr>
        <w:t>To a small extent</w:t>
      </w:r>
      <w:r w:rsidRPr="005F0A67">
        <w:rPr>
          <w:rFonts w:asciiTheme="majorBidi" w:eastAsia="Arial" w:hAnsiTheme="majorBidi" w:cstheme="majorBidi"/>
          <w:color w:val="242424"/>
          <w:sz w:val="14"/>
          <w:szCs w:val="14"/>
          <w:lang w:val="en-US"/>
        </w:rPr>
        <w:tab/>
      </w:r>
      <w:r w:rsidRPr="005F0A67">
        <w:rPr>
          <w:rFonts w:asciiTheme="majorBidi" w:eastAsia="Arial" w:hAnsiTheme="majorBidi" w:cstheme="majorBidi"/>
          <w:color w:val="242424"/>
          <w:spacing w:val="-12"/>
          <w:position w:val="10"/>
          <w:sz w:val="14"/>
          <w:szCs w:val="14"/>
          <w:lang w:val="en-US"/>
        </w:rPr>
        <w:t>To</w:t>
      </w:r>
      <w:r w:rsidRPr="005F0A67">
        <w:rPr>
          <w:rFonts w:asciiTheme="majorBidi" w:eastAsia="Arial" w:hAnsiTheme="majorBidi" w:cstheme="majorBidi"/>
          <w:color w:val="242424"/>
          <w:spacing w:val="1"/>
          <w:position w:val="10"/>
          <w:sz w:val="14"/>
          <w:szCs w:val="14"/>
          <w:lang w:val="en-US"/>
        </w:rPr>
        <w:t xml:space="preserve"> </w:t>
      </w:r>
      <w:r w:rsidRPr="005F0A67">
        <w:rPr>
          <w:rFonts w:asciiTheme="majorBidi" w:eastAsia="Arial" w:hAnsiTheme="majorBidi" w:cstheme="majorBidi"/>
          <w:color w:val="242424"/>
          <w:spacing w:val="-12"/>
          <w:position w:val="10"/>
          <w:sz w:val="14"/>
          <w:szCs w:val="14"/>
          <w:lang w:val="en-US"/>
        </w:rPr>
        <w:t>a</w:t>
      </w:r>
      <w:r w:rsidRPr="005F0A67">
        <w:rPr>
          <w:rFonts w:asciiTheme="majorBidi" w:eastAsia="Arial" w:hAnsiTheme="majorBidi" w:cstheme="majorBidi"/>
          <w:color w:val="242424"/>
          <w:spacing w:val="2"/>
          <w:position w:val="10"/>
          <w:sz w:val="14"/>
          <w:szCs w:val="14"/>
          <w:lang w:val="en-US"/>
        </w:rPr>
        <w:t xml:space="preserve"> </w:t>
      </w:r>
      <w:r w:rsidRPr="005F0A67">
        <w:rPr>
          <w:rFonts w:asciiTheme="majorBidi" w:eastAsia="Arial" w:hAnsiTheme="majorBidi" w:cstheme="majorBidi"/>
          <w:color w:val="242424"/>
          <w:spacing w:val="-12"/>
          <w:position w:val="10"/>
          <w:sz w:val="14"/>
          <w:szCs w:val="14"/>
          <w:lang w:val="en-US"/>
        </w:rPr>
        <w:t>moderate</w:t>
      </w:r>
    </w:p>
    <w:p w14:paraId="2C40F4C1" w14:textId="77777777" w:rsidR="005F0A67" w:rsidRPr="005F0A67" w:rsidRDefault="005F0A67" w:rsidP="005F0A67">
      <w:pPr>
        <w:widowControl w:val="0"/>
        <w:tabs>
          <w:tab w:val="clear" w:pos="567"/>
          <w:tab w:val="clear" w:pos="1134"/>
          <w:tab w:val="clear" w:pos="1701"/>
          <w:tab w:val="clear" w:pos="2268"/>
        </w:tabs>
        <w:spacing w:before="58"/>
        <w:jc w:val="left"/>
        <w:rPr>
          <w:rFonts w:asciiTheme="majorBidi" w:eastAsia="Arial" w:hAnsiTheme="majorBidi" w:cstheme="majorBidi"/>
          <w:sz w:val="14"/>
          <w:szCs w:val="14"/>
          <w:lang w:val="en-US"/>
        </w:rPr>
      </w:pPr>
      <w:r w:rsidRPr="005F0A67">
        <w:rPr>
          <w:rFonts w:asciiTheme="majorBidi" w:eastAsia="Arial" w:hAnsiTheme="majorBidi" w:cstheme="majorBidi"/>
          <w:sz w:val="14"/>
          <w:szCs w:val="14"/>
          <w:lang w:val="en-US"/>
        </w:rPr>
        <w:br w:type="column"/>
      </w:r>
    </w:p>
    <w:p w14:paraId="52FA4D7B" w14:textId="77777777" w:rsidR="005F0A67" w:rsidRPr="005F0A67" w:rsidRDefault="005F0A67" w:rsidP="005F0A67">
      <w:pPr>
        <w:widowControl w:val="0"/>
        <w:tabs>
          <w:tab w:val="clear" w:pos="567"/>
          <w:tab w:val="clear" w:pos="1134"/>
          <w:tab w:val="clear" w:pos="1701"/>
          <w:tab w:val="clear" w:pos="2268"/>
          <w:tab w:val="left" w:pos="1637"/>
        </w:tabs>
        <w:spacing w:before="1"/>
        <w:ind w:left="243"/>
        <w:jc w:val="left"/>
        <w:rPr>
          <w:rFonts w:asciiTheme="majorBidi" w:eastAsia="Arial" w:hAnsiTheme="majorBidi" w:cstheme="majorBidi"/>
          <w:sz w:val="14"/>
          <w:szCs w:val="14"/>
          <w:lang w:val="en-US"/>
        </w:rPr>
      </w:pPr>
      <w:r w:rsidRPr="005F0A67">
        <w:rPr>
          <w:rFonts w:asciiTheme="majorBidi" w:eastAsia="Arial" w:hAnsiTheme="majorBidi" w:cstheme="majorBidi"/>
          <w:color w:val="242424"/>
          <w:spacing w:val="-4"/>
          <w:sz w:val="14"/>
          <w:szCs w:val="14"/>
          <w:lang w:val="en-US"/>
        </w:rPr>
        <w:t>To</w:t>
      </w:r>
      <w:r w:rsidRPr="005F0A67">
        <w:rPr>
          <w:rFonts w:asciiTheme="majorBidi" w:eastAsia="Arial" w:hAnsiTheme="majorBidi" w:cstheme="majorBidi"/>
          <w:color w:val="242424"/>
          <w:spacing w:val="-3"/>
          <w:sz w:val="14"/>
          <w:szCs w:val="14"/>
          <w:lang w:val="en-US"/>
        </w:rPr>
        <w:t xml:space="preserve"> </w:t>
      </w:r>
      <w:r w:rsidRPr="005F0A67">
        <w:rPr>
          <w:rFonts w:asciiTheme="majorBidi" w:eastAsia="Arial" w:hAnsiTheme="majorBidi" w:cstheme="majorBidi"/>
          <w:color w:val="242424"/>
          <w:spacing w:val="-4"/>
          <w:sz w:val="14"/>
          <w:szCs w:val="14"/>
          <w:lang w:val="en-US"/>
        </w:rPr>
        <w:t>a</w:t>
      </w:r>
      <w:r w:rsidRPr="005F0A67">
        <w:rPr>
          <w:rFonts w:asciiTheme="majorBidi" w:eastAsia="Arial" w:hAnsiTheme="majorBidi" w:cstheme="majorBidi"/>
          <w:color w:val="242424"/>
          <w:spacing w:val="-3"/>
          <w:sz w:val="14"/>
          <w:szCs w:val="14"/>
          <w:lang w:val="en-US"/>
        </w:rPr>
        <w:t xml:space="preserve"> </w:t>
      </w:r>
      <w:r w:rsidRPr="005F0A67">
        <w:rPr>
          <w:rFonts w:asciiTheme="majorBidi" w:eastAsia="Arial" w:hAnsiTheme="majorBidi" w:cstheme="majorBidi"/>
          <w:color w:val="242424"/>
          <w:spacing w:val="-4"/>
          <w:sz w:val="14"/>
          <w:szCs w:val="14"/>
          <w:lang w:val="en-US"/>
        </w:rPr>
        <w:t>large</w:t>
      </w:r>
      <w:r w:rsidRPr="005F0A67">
        <w:rPr>
          <w:rFonts w:asciiTheme="majorBidi" w:eastAsia="Arial" w:hAnsiTheme="majorBidi" w:cstheme="majorBidi"/>
          <w:color w:val="242424"/>
          <w:spacing w:val="-3"/>
          <w:sz w:val="14"/>
          <w:szCs w:val="14"/>
          <w:lang w:val="en-US"/>
        </w:rPr>
        <w:t xml:space="preserve"> </w:t>
      </w:r>
      <w:r w:rsidRPr="005F0A67">
        <w:rPr>
          <w:rFonts w:asciiTheme="majorBidi" w:eastAsia="Arial" w:hAnsiTheme="majorBidi" w:cstheme="majorBidi"/>
          <w:color w:val="242424"/>
          <w:spacing w:val="-4"/>
          <w:sz w:val="14"/>
          <w:szCs w:val="14"/>
          <w:lang w:val="en-US"/>
        </w:rPr>
        <w:t>extent</w:t>
      </w:r>
      <w:r w:rsidRPr="005F0A67">
        <w:rPr>
          <w:rFonts w:asciiTheme="majorBidi" w:eastAsia="Arial" w:hAnsiTheme="majorBidi" w:cstheme="majorBidi"/>
          <w:color w:val="242424"/>
          <w:sz w:val="14"/>
          <w:szCs w:val="14"/>
          <w:lang w:val="en-US"/>
        </w:rPr>
        <w:tab/>
        <w:t>Don't</w:t>
      </w:r>
      <w:r w:rsidRPr="005F0A67">
        <w:rPr>
          <w:rFonts w:asciiTheme="majorBidi" w:eastAsia="Arial" w:hAnsiTheme="majorBidi" w:cstheme="majorBidi"/>
          <w:color w:val="242424"/>
          <w:spacing w:val="7"/>
          <w:sz w:val="14"/>
          <w:szCs w:val="14"/>
          <w:lang w:val="en-US"/>
        </w:rPr>
        <w:t xml:space="preserve"> </w:t>
      </w:r>
      <w:r w:rsidRPr="005F0A67">
        <w:rPr>
          <w:rFonts w:asciiTheme="majorBidi" w:eastAsia="Arial" w:hAnsiTheme="majorBidi" w:cstheme="majorBidi"/>
          <w:color w:val="242424"/>
          <w:spacing w:val="-4"/>
          <w:sz w:val="14"/>
          <w:szCs w:val="14"/>
          <w:lang w:val="en-US"/>
        </w:rPr>
        <w:t>know</w:t>
      </w:r>
    </w:p>
    <w:p w14:paraId="677B3874" w14:textId="77777777" w:rsidR="005F0A67" w:rsidRPr="005F0A67" w:rsidRDefault="005F0A67" w:rsidP="005F0A67">
      <w:pPr>
        <w:widowControl w:val="0"/>
        <w:tabs>
          <w:tab w:val="clear" w:pos="567"/>
          <w:tab w:val="clear" w:pos="1134"/>
          <w:tab w:val="clear" w:pos="1701"/>
          <w:tab w:val="clear" w:pos="2268"/>
        </w:tabs>
        <w:jc w:val="left"/>
        <w:rPr>
          <w:rFonts w:asciiTheme="majorBidi" w:eastAsia="Arial" w:hAnsiTheme="majorBidi" w:cstheme="majorBidi"/>
          <w:sz w:val="14"/>
          <w:szCs w:val="14"/>
          <w:lang w:val="en-US"/>
        </w:rPr>
        <w:sectPr w:rsidR="005F0A67" w:rsidRPr="005F0A67" w:rsidSect="005F0A67">
          <w:type w:val="continuous"/>
          <w:pgSz w:w="11900" w:h="16840"/>
          <w:pgMar w:top="1360" w:right="1700" w:bottom="280" w:left="1700" w:header="720" w:footer="720" w:gutter="0"/>
          <w:cols w:num="2" w:space="720" w:equalWidth="0">
            <w:col w:w="5359" w:space="40"/>
            <w:col w:w="3101"/>
          </w:cols>
        </w:sectPr>
      </w:pPr>
    </w:p>
    <w:p w14:paraId="7D31B2FF" w14:textId="77777777" w:rsidR="005F0A67" w:rsidRPr="005F0A67" w:rsidRDefault="005F0A67" w:rsidP="005F0A67">
      <w:pPr>
        <w:widowControl w:val="0"/>
        <w:tabs>
          <w:tab w:val="clear" w:pos="567"/>
          <w:tab w:val="clear" w:pos="1134"/>
          <w:tab w:val="clear" w:pos="1701"/>
          <w:tab w:val="clear" w:pos="2268"/>
        </w:tabs>
        <w:jc w:val="left"/>
        <w:rPr>
          <w:rFonts w:asciiTheme="majorBidi" w:eastAsia="Arial" w:hAnsiTheme="majorBidi" w:cstheme="majorBidi"/>
          <w:sz w:val="14"/>
          <w:szCs w:val="14"/>
          <w:lang w:val="en-US"/>
        </w:rPr>
      </w:pPr>
    </w:p>
    <w:p w14:paraId="76ACE050" w14:textId="77777777" w:rsidR="005F0A67" w:rsidRPr="005F0A67" w:rsidRDefault="005F0A67" w:rsidP="005F0A67">
      <w:pPr>
        <w:widowControl w:val="0"/>
        <w:tabs>
          <w:tab w:val="clear" w:pos="567"/>
          <w:tab w:val="clear" w:pos="1134"/>
          <w:tab w:val="clear" w:pos="1701"/>
          <w:tab w:val="clear" w:pos="2268"/>
        </w:tabs>
        <w:spacing w:before="16"/>
        <w:jc w:val="left"/>
        <w:rPr>
          <w:rFonts w:asciiTheme="majorBidi" w:eastAsia="Arial" w:hAnsiTheme="majorBidi" w:cstheme="majorBidi"/>
          <w:sz w:val="14"/>
          <w:szCs w:val="14"/>
          <w:lang w:val="en-US"/>
        </w:rPr>
      </w:pPr>
    </w:p>
    <w:p w14:paraId="61264AAE" w14:textId="77777777" w:rsidR="005F0A67" w:rsidRPr="005F0A67" w:rsidRDefault="005F0A67" w:rsidP="005F0A67">
      <w:pPr>
        <w:widowControl w:val="0"/>
        <w:tabs>
          <w:tab w:val="clear" w:pos="567"/>
          <w:tab w:val="clear" w:pos="1134"/>
          <w:tab w:val="clear" w:pos="1701"/>
          <w:tab w:val="clear" w:pos="2268"/>
        </w:tabs>
        <w:spacing w:before="1"/>
        <w:ind w:left="825" w:right="6703"/>
        <w:jc w:val="left"/>
        <w:rPr>
          <w:rFonts w:asciiTheme="majorBidi" w:eastAsia="Arial" w:hAnsiTheme="majorBidi" w:cstheme="majorBidi"/>
          <w:sz w:val="14"/>
          <w:szCs w:val="14"/>
          <w:lang w:val="en-US"/>
        </w:rPr>
      </w:pPr>
      <w:r w:rsidRPr="005F0A67">
        <w:rPr>
          <w:rFonts w:asciiTheme="majorBidi" w:eastAsia="Arial" w:hAnsiTheme="majorBidi" w:cstheme="majorBidi"/>
          <w:noProof/>
          <w:sz w:val="14"/>
          <w:szCs w:val="14"/>
          <w:lang w:val="en-US"/>
        </w:rPr>
        <w:drawing>
          <wp:anchor distT="0" distB="0" distL="0" distR="0" simplePos="0" relativeHeight="251658351" behindDoc="0" locked="0" layoutInCell="1" allowOverlap="1" wp14:anchorId="1E274768" wp14:editId="63EB2C28">
            <wp:simplePos x="0" y="0"/>
            <wp:positionH relativeFrom="page">
              <wp:posOffset>2568575</wp:posOffset>
            </wp:positionH>
            <wp:positionV relativeFrom="paragraph">
              <wp:posOffset>58581</wp:posOffset>
            </wp:positionV>
            <wp:extent cx="127000" cy="127000"/>
            <wp:effectExtent l="0" t="0" r="0" b="0"/>
            <wp:wrapNone/>
            <wp:docPr id="215" name="Image 2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5" name="Image 215"/>
                    <pic:cNvPicPr/>
                  </pic:nvPicPr>
                  <pic:blipFill>
                    <a:blip r:embed="rId39" cstate="print"/>
                    <a:stretch>
                      <a:fillRect/>
                    </a:stretch>
                  </pic:blipFill>
                  <pic:spPr>
                    <a:xfrm>
                      <a:off x="0" y="0"/>
                      <a:ext cx="127000" cy="127000"/>
                    </a:xfrm>
                    <a:prstGeom prst="rect">
                      <a:avLst/>
                    </a:prstGeom>
                  </pic:spPr>
                </pic:pic>
              </a:graphicData>
            </a:graphic>
          </wp:anchor>
        </w:drawing>
      </w:r>
      <w:r w:rsidRPr="005F0A67">
        <w:rPr>
          <w:rFonts w:asciiTheme="majorBidi" w:eastAsia="Arial" w:hAnsiTheme="majorBidi" w:cstheme="majorBidi"/>
          <w:noProof/>
          <w:sz w:val="14"/>
          <w:szCs w:val="14"/>
          <w:lang w:val="en-US"/>
        </w:rPr>
        <w:drawing>
          <wp:anchor distT="0" distB="0" distL="0" distR="0" simplePos="0" relativeHeight="251658352" behindDoc="0" locked="0" layoutInCell="1" allowOverlap="1" wp14:anchorId="5009F065" wp14:editId="285821D1">
            <wp:simplePos x="0" y="0"/>
            <wp:positionH relativeFrom="page">
              <wp:posOffset>3349625</wp:posOffset>
            </wp:positionH>
            <wp:positionV relativeFrom="paragraph">
              <wp:posOffset>58581</wp:posOffset>
            </wp:positionV>
            <wp:extent cx="127000" cy="127000"/>
            <wp:effectExtent l="0" t="0" r="0" b="0"/>
            <wp:wrapNone/>
            <wp:docPr id="216" name="Image 2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6" name="Image 216"/>
                    <pic:cNvPicPr/>
                  </pic:nvPicPr>
                  <pic:blipFill>
                    <a:blip r:embed="rId39" cstate="print"/>
                    <a:stretch>
                      <a:fillRect/>
                    </a:stretch>
                  </pic:blipFill>
                  <pic:spPr>
                    <a:xfrm>
                      <a:off x="0" y="0"/>
                      <a:ext cx="127000" cy="127000"/>
                    </a:xfrm>
                    <a:prstGeom prst="rect">
                      <a:avLst/>
                    </a:prstGeom>
                  </pic:spPr>
                </pic:pic>
              </a:graphicData>
            </a:graphic>
          </wp:anchor>
        </w:drawing>
      </w:r>
      <w:r w:rsidRPr="005F0A67">
        <w:rPr>
          <w:rFonts w:asciiTheme="majorBidi" w:eastAsia="Arial" w:hAnsiTheme="majorBidi" w:cstheme="majorBidi"/>
          <w:noProof/>
          <w:sz w:val="14"/>
          <w:szCs w:val="14"/>
          <w:lang w:val="en-US"/>
        </w:rPr>
        <w:drawing>
          <wp:anchor distT="0" distB="0" distL="0" distR="0" simplePos="0" relativeHeight="251658353" behindDoc="0" locked="0" layoutInCell="1" allowOverlap="1" wp14:anchorId="58162192" wp14:editId="6412C54A">
            <wp:simplePos x="0" y="0"/>
            <wp:positionH relativeFrom="page">
              <wp:posOffset>4137025</wp:posOffset>
            </wp:positionH>
            <wp:positionV relativeFrom="paragraph">
              <wp:posOffset>58581</wp:posOffset>
            </wp:positionV>
            <wp:extent cx="127000" cy="127000"/>
            <wp:effectExtent l="0" t="0" r="0" b="0"/>
            <wp:wrapNone/>
            <wp:docPr id="217" name="Image 2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7" name="Image 217"/>
                    <pic:cNvPicPr/>
                  </pic:nvPicPr>
                  <pic:blipFill>
                    <a:blip r:embed="rId44" cstate="print"/>
                    <a:stretch>
                      <a:fillRect/>
                    </a:stretch>
                  </pic:blipFill>
                  <pic:spPr>
                    <a:xfrm>
                      <a:off x="0" y="0"/>
                      <a:ext cx="127000" cy="127000"/>
                    </a:xfrm>
                    <a:prstGeom prst="rect">
                      <a:avLst/>
                    </a:prstGeom>
                  </pic:spPr>
                </pic:pic>
              </a:graphicData>
            </a:graphic>
          </wp:anchor>
        </w:drawing>
      </w:r>
      <w:r w:rsidRPr="005F0A67">
        <w:rPr>
          <w:rFonts w:asciiTheme="majorBidi" w:eastAsia="Arial" w:hAnsiTheme="majorBidi" w:cstheme="majorBidi"/>
          <w:noProof/>
          <w:sz w:val="14"/>
          <w:szCs w:val="14"/>
          <w:lang w:val="en-US"/>
        </w:rPr>
        <w:drawing>
          <wp:anchor distT="0" distB="0" distL="0" distR="0" simplePos="0" relativeHeight="251658354" behindDoc="0" locked="0" layoutInCell="1" allowOverlap="1" wp14:anchorId="3F278D43" wp14:editId="6B6313F6">
            <wp:simplePos x="0" y="0"/>
            <wp:positionH relativeFrom="page">
              <wp:posOffset>4924425</wp:posOffset>
            </wp:positionH>
            <wp:positionV relativeFrom="paragraph">
              <wp:posOffset>58581</wp:posOffset>
            </wp:positionV>
            <wp:extent cx="127000" cy="127000"/>
            <wp:effectExtent l="0" t="0" r="0" b="0"/>
            <wp:wrapNone/>
            <wp:docPr id="218" name="Image 2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8" name="Image 218"/>
                    <pic:cNvPicPr/>
                  </pic:nvPicPr>
                  <pic:blipFill>
                    <a:blip r:embed="rId39" cstate="print"/>
                    <a:stretch>
                      <a:fillRect/>
                    </a:stretch>
                  </pic:blipFill>
                  <pic:spPr>
                    <a:xfrm>
                      <a:off x="0" y="0"/>
                      <a:ext cx="127000" cy="127000"/>
                    </a:xfrm>
                    <a:prstGeom prst="rect">
                      <a:avLst/>
                    </a:prstGeom>
                  </pic:spPr>
                </pic:pic>
              </a:graphicData>
            </a:graphic>
          </wp:anchor>
        </w:drawing>
      </w:r>
      <w:r w:rsidRPr="005F0A67">
        <w:rPr>
          <w:rFonts w:asciiTheme="majorBidi" w:eastAsia="Arial" w:hAnsiTheme="majorBidi" w:cstheme="majorBidi"/>
          <w:noProof/>
          <w:sz w:val="14"/>
          <w:szCs w:val="14"/>
          <w:lang w:val="en-US"/>
        </w:rPr>
        <w:drawing>
          <wp:anchor distT="0" distB="0" distL="0" distR="0" simplePos="0" relativeHeight="251658355" behindDoc="0" locked="0" layoutInCell="1" allowOverlap="1" wp14:anchorId="5301AF4A" wp14:editId="02AE8B85">
            <wp:simplePos x="0" y="0"/>
            <wp:positionH relativeFrom="page">
              <wp:posOffset>5705475</wp:posOffset>
            </wp:positionH>
            <wp:positionV relativeFrom="paragraph">
              <wp:posOffset>58581</wp:posOffset>
            </wp:positionV>
            <wp:extent cx="127000" cy="127000"/>
            <wp:effectExtent l="0" t="0" r="0" b="0"/>
            <wp:wrapNone/>
            <wp:docPr id="219" name="Image 2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9" name="Image 219"/>
                    <pic:cNvPicPr/>
                  </pic:nvPicPr>
                  <pic:blipFill>
                    <a:blip r:embed="rId39" cstate="print"/>
                    <a:stretch>
                      <a:fillRect/>
                    </a:stretch>
                  </pic:blipFill>
                  <pic:spPr>
                    <a:xfrm>
                      <a:off x="0" y="0"/>
                      <a:ext cx="127000" cy="127000"/>
                    </a:xfrm>
                    <a:prstGeom prst="rect">
                      <a:avLst/>
                    </a:prstGeom>
                  </pic:spPr>
                </pic:pic>
              </a:graphicData>
            </a:graphic>
          </wp:anchor>
        </w:drawing>
      </w:r>
      <w:r w:rsidRPr="005F0A67">
        <w:rPr>
          <w:rFonts w:asciiTheme="majorBidi" w:eastAsia="Arial" w:hAnsiTheme="majorBidi" w:cstheme="majorBidi"/>
          <w:color w:val="242424"/>
          <w:spacing w:val="-2"/>
          <w:sz w:val="14"/>
          <w:szCs w:val="14"/>
          <w:lang w:val="en-US"/>
        </w:rPr>
        <w:t>Domestic</w:t>
      </w:r>
      <w:r w:rsidRPr="005F0A67">
        <w:rPr>
          <w:rFonts w:asciiTheme="majorBidi" w:eastAsia="Arial" w:hAnsiTheme="majorBidi" w:cstheme="majorBidi"/>
          <w:color w:val="242424"/>
          <w:spacing w:val="40"/>
          <w:sz w:val="14"/>
          <w:szCs w:val="14"/>
          <w:lang w:val="en-US"/>
        </w:rPr>
        <w:t xml:space="preserve"> </w:t>
      </w:r>
      <w:r w:rsidRPr="005F0A67">
        <w:rPr>
          <w:rFonts w:asciiTheme="majorBidi" w:eastAsia="Arial" w:hAnsiTheme="majorBidi" w:cstheme="majorBidi"/>
          <w:color w:val="242424"/>
          <w:spacing w:val="-4"/>
          <w:sz w:val="14"/>
          <w:szCs w:val="14"/>
          <w:lang w:val="en-US"/>
        </w:rPr>
        <w:t>companies</w:t>
      </w:r>
    </w:p>
    <w:p w14:paraId="150BEB87" w14:textId="77777777" w:rsidR="005F0A67" w:rsidRPr="005F0A67" w:rsidRDefault="005F0A67" w:rsidP="005F0A67">
      <w:pPr>
        <w:widowControl w:val="0"/>
        <w:tabs>
          <w:tab w:val="clear" w:pos="567"/>
          <w:tab w:val="clear" w:pos="1134"/>
          <w:tab w:val="clear" w:pos="1701"/>
          <w:tab w:val="clear" w:pos="2268"/>
        </w:tabs>
        <w:jc w:val="left"/>
        <w:rPr>
          <w:rFonts w:asciiTheme="majorBidi" w:eastAsia="Arial" w:hAnsiTheme="majorBidi" w:cstheme="majorBidi"/>
          <w:sz w:val="14"/>
          <w:szCs w:val="14"/>
          <w:lang w:val="en-US"/>
        </w:rPr>
      </w:pPr>
    </w:p>
    <w:p w14:paraId="05574641" w14:textId="77777777" w:rsidR="005F0A67" w:rsidRPr="005F0A67" w:rsidRDefault="005F0A67" w:rsidP="005F0A67">
      <w:pPr>
        <w:widowControl w:val="0"/>
        <w:tabs>
          <w:tab w:val="clear" w:pos="567"/>
          <w:tab w:val="clear" w:pos="1134"/>
          <w:tab w:val="clear" w:pos="1701"/>
          <w:tab w:val="clear" w:pos="2268"/>
        </w:tabs>
        <w:spacing w:before="6"/>
        <w:jc w:val="left"/>
        <w:rPr>
          <w:rFonts w:asciiTheme="majorBidi" w:eastAsia="Arial" w:hAnsiTheme="majorBidi" w:cstheme="majorBidi"/>
          <w:sz w:val="14"/>
          <w:szCs w:val="14"/>
          <w:lang w:val="en-US"/>
        </w:rPr>
      </w:pPr>
    </w:p>
    <w:p w14:paraId="002EE589" w14:textId="77777777" w:rsidR="005F0A67" w:rsidRPr="005F0A67" w:rsidRDefault="005F0A67" w:rsidP="005F0A67">
      <w:pPr>
        <w:widowControl w:val="0"/>
        <w:tabs>
          <w:tab w:val="clear" w:pos="567"/>
          <w:tab w:val="clear" w:pos="1134"/>
          <w:tab w:val="clear" w:pos="1701"/>
          <w:tab w:val="clear" w:pos="2268"/>
        </w:tabs>
        <w:ind w:left="825" w:right="6703"/>
        <w:jc w:val="left"/>
        <w:rPr>
          <w:rFonts w:asciiTheme="majorBidi" w:eastAsia="Arial" w:hAnsiTheme="majorBidi" w:cstheme="majorBidi"/>
          <w:sz w:val="14"/>
          <w:szCs w:val="14"/>
          <w:lang w:val="en-US"/>
        </w:rPr>
      </w:pPr>
      <w:r w:rsidRPr="005F0A67">
        <w:rPr>
          <w:rFonts w:asciiTheme="majorBidi" w:eastAsia="Arial" w:hAnsiTheme="majorBidi" w:cstheme="majorBidi"/>
          <w:noProof/>
          <w:sz w:val="14"/>
          <w:szCs w:val="14"/>
          <w:lang w:val="en-US"/>
        </w:rPr>
        <w:drawing>
          <wp:anchor distT="0" distB="0" distL="0" distR="0" simplePos="0" relativeHeight="251658356" behindDoc="0" locked="0" layoutInCell="1" allowOverlap="1" wp14:anchorId="7D2B146D" wp14:editId="78BB92C2">
            <wp:simplePos x="0" y="0"/>
            <wp:positionH relativeFrom="page">
              <wp:posOffset>2568575</wp:posOffset>
            </wp:positionH>
            <wp:positionV relativeFrom="paragraph">
              <wp:posOffset>57982</wp:posOffset>
            </wp:positionV>
            <wp:extent cx="127000" cy="127000"/>
            <wp:effectExtent l="0" t="0" r="0" b="0"/>
            <wp:wrapNone/>
            <wp:docPr id="220" name="Image 2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0" name="Image 220"/>
                    <pic:cNvPicPr/>
                  </pic:nvPicPr>
                  <pic:blipFill>
                    <a:blip r:embed="rId37" cstate="print"/>
                    <a:stretch>
                      <a:fillRect/>
                    </a:stretch>
                  </pic:blipFill>
                  <pic:spPr>
                    <a:xfrm>
                      <a:off x="0" y="0"/>
                      <a:ext cx="127000" cy="127000"/>
                    </a:xfrm>
                    <a:prstGeom prst="rect">
                      <a:avLst/>
                    </a:prstGeom>
                  </pic:spPr>
                </pic:pic>
              </a:graphicData>
            </a:graphic>
          </wp:anchor>
        </w:drawing>
      </w:r>
      <w:r w:rsidRPr="005F0A67">
        <w:rPr>
          <w:rFonts w:asciiTheme="majorBidi" w:eastAsia="Arial" w:hAnsiTheme="majorBidi" w:cstheme="majorBidi"/>
          <w:noProof/>
          <w:sz w:val="14"/>
          <w:szCs w:val="14"/>
          <w:lang w:val="en-US"/>
        </w:rPr>
        <w:drawing>
          <wp:anchor distT="0" distB="0" distL="0" distR="0" simplePos="0" relativeHeight="251658357" behindDoc="0" locked="0" layoutInCell="1" allowOverlap="1" wp14:anchorId="4EFA024E" wp14:editId="68373E7A">
            <wp:simplePos x="0" y="0"/>
            <wp:positionH relativeFrom="page">
              <wp:posOffset>3349625</wp:posOffset>
            </wp:positionH>
            <wp:positionV relativeFrom="paragraph">
              <wp:posOffset>57982</wp:posOffset>
            </wp:positionV>
            <wp:extent cx="127000" cy="127000"/>
            <wp:effectExtent l="0" t="0" r="0" b="0"/>
            <wp:wrapNone/>
            <wp:docPr id="221" name="Image 2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1" name="Image 221"/>
                    <pic:cNvPicPr/>
                  </pic:nvPicPr>
                  <pic:blipFill>
                    <a:blip r:embed="rId52" cstate="print"/>
                    <a:stretch>
                      <a:fillRect/>
                    </a:stretch>
                  </pic:blipFill>
                  <pic:spPr>
                    <a:xfrm>
                      <a:off x="0" y="0"/>
                      <a:ext cx="127000" cy="127000"/>
                    </a:xfrm>
                    <a:prstGeom prst="rect">
                      <a:avLst/>
                    </a:prstGeom>
                  </pic:spPr>
                </pic:pic>
              </a:graphicData>
            </a:graphic>
          </wp:anchor>
        </w:drawing>
      </w:r>
      <w:r w:rsidRPr="005F0A67">
        <w:rPr>
          <w:rFonts w:asciiTheme="majorBidi" w:eastAsia="Arial" w:hAnsiTheme="majorBidi" w:cstheme="majorBidi"/>
          <w:noProof/>
          <w:sz w:val="14"/>
          <w:szCs w:val="14"/>
          <w:lang w:val="en-US"/>
        </w:rPr>
        <w:drawing>
          <wp:anchor distT="0" distB="0" distL="0" distR="0" simplePos="0" relativeHeight="251658358" behindDoc="0" locked="0" layoutInCell="1" allowOverlap="1" wp14:anchorId="2A64CDDA" wp14:editId="7839DD83">
            <wp:simplePos x="0" y="0"/>
            <wp:positionH relativeFrom="page">
              <wp:posOffset>4137025</wp:posOffset>
            </wp:positionH>
            <wp:positionV relativeFrom="paragraph">
              <wp:posOffset>57982</wp:posOffset>
            </wp:positionV>
            <wp:extent cx="127000" cy="127000"/>
            <wp:effectExtent l="0" t="0" r="0" b="0"/>
            <wp:wrapNone/>
            <wp:docPr id="222" name="Image 2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2" name="Image 222"/>
                    <pic:cNvPicPr/>
                  </pic:nvPicPr>
                  <pic:blipFill>
                    <a:blip r:embed="rId47" cstate="print"/>
                    <a:stretch>
                      <a:fillRect/>
                    </a:stretch>
                  </pic:blipFill>
                  <pic:spPr>
                    <a:xfrm>
                      <a:off x="0" y="0"/>
                      <a:ext cx="127000" cy="127000"/>
                    </a:xfrm>
                    <a:prstGeom prst="rect">
                      <a:avLst/>
                    </a:prstGeom>
                  </pic:spPr>
                </pic:pic>
              </a:graphicData>
            </a:graphic>
          </wp:anchor>
        </w:drawing>
      </w:r>
      <w:r w:rsidRPr="005F0A67">
        <w:rPr>
          <w:rFonts w:asciiTheme="majorBidi" w:eastAsia="Arial" w:hAnsiTheme="majorBidi" w:cstheme="majorBidi"/>
          <w:noProof/>
          <w:sz w:val="14"/>
          <w:szCs w:val="14"/>
          <w:lang w:val="en-US"/>
        </w:rPr>
        <w:drawing>
          <wp:anchor distT="0" distB="0" distL="0" distR="0" simplePos="0" relativeHeight="251658359" behindDoc="0" locked="0" layoutInCell="1" allowOverlap="1" wp14:anchorId="5EF3E911" wp14:editId="4E412264">
            <wp:simplePos x="0" y="0"/>
            <wp:positionH relativeFrom="page">
              <wp:posOffset>4924425</wp:posOffset>
            </wp:positionH>
            <wp:positionV relativeFrom="paragraph">
              <wp:posOffset>57982</wp:posOffset>
            </wp:positionV>
            <wp:extent cx="127000" cy="127000"/>
            <wp:effectExtent l="0" t="0" r="0" b="0"/>
            <wp:wrapNone/>
            <wp:docPr id="223" name="Image 2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3" name="Image 223"/>
                    <pic:cNvPicPr/>
                  </pic:nvPicPr>
                  <pic:blipFill>
                    <a:blip r:embed="rId46" cstate="print"/>
                    <a:stretch>
                      <a:fillRect/>
                    </a:stretch>
                  </pic:blipFill>
                  <pic:spPr>
                    <a:xfrm>
                      <a:off x="0" y="0"/>
                      <a:ext cx="127000" cy="127000"/>
                    </a:xfrm>
                    <a:prstGeom prst="rect">
                      <a:avLst/>
                    </a:prstGeom>
                  </pic:spPr>
                </pic:pic>
              </a:graphicData>
            </a:graphic>
          </wp:anchor>
        </w:drawing>
      </w:r>
      <w:r w:rsidRPr="005F0A67">
        <w:rPr>
          <w:rFonts w:asciiTheme="majorBidi" w:eastAsia="Arial" w:hAnsiTheme="majorBidi" w:cstheme="majorBidi"/>
          <w:noProof/>
          <w:sz w:val="14"/>
          <w:szCs w:val="14"/>
          <w:lang w:val="en-US"/>
        </w:rPr>
        <w:drawing>
          <wp:anchor distT="0" distB="0" distL="0" distR="0" simplePos="0" relativeHeight="251658360" behindDoc="0" locked="0" layoutInCell="1" allowOverlap="1" wp14:anchorId="33D141C7" wp14:editId="7DD534E6">
            <wp:simplePos x="0" y="0"/>
            <wp:positionH relativeFrom="page">
              <wp:posOffset>5705475</wp:posOffset>
            </wp:positionH>
            <wp:positionV relativeFrom="paragraph">
              <wp:posOffset>57982</wp:posOffset>
            </wp:positionV>
            <wp:extent cx="127000" cy="127000"/>
            <wp:effectExtent l="0" t="0" r="0" b="0"/>
            <wp:wrapNone/>
            <wp:docPr id="224" name="Image 2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4" name="Image 224"/>
                    <pic:cNvPicPr/>
                  </pic:nvPicPr>
                  <pic:blipFill>
                    <a:blip r:embed="rId46" cstate="print"/>
                    <a:stretch>
                      <a:fillRect/>
                    </a:stretch>
                  </pic:blipFill>
                  <pic:spPr>
                    <a:xfrm>
                      <a:off x="0" y="0"/>
                      <a:ext cx="127000" cy="127000"/>
                    </a:xfrm>
                    <a:prstGeom prst="rect">
                      <a:avLst/>
                    </a:prstGeom>
                  </pic:spPr>
                </pic:pic>
              </a:graphicData>
            </a:graphic>
          </wp:anchor>
        </w:drawing>
      </w:r>
      <w:r w:rsidRPr="005F0A67">
        <w:rPr>
          <w:rFonts w:asciiTheme="majorBidi" w:eastAsia="Arial" w:hAnsiTheme="majorBidi" w:cstheme="majorBidi"/>
          <w:color w:val="242424"/>
          <w:spacing w:val="-2"/>
          <w:sz w:val="14"/>
          <w:szCs w:val="14"/>
          <w:lang w:val="en-US"/>
        </w:rPr>
        <w:t>Foreign</w:t>
      </w:r>
      <w:r w:rsidRPr="005F0A67">
        <w:rPr>
          <w:rFonts w:asciiTheme="majorBidi" w:eastAsia="Arial" w:hAnsiTheme="majorBidi" w:cstheme="majorBidi"/>
          <w:color w:val="242424"/>
          <w:spacing w:val="40"/>
          <w:sz w:val="14"/>
          <w:szCs w:val="14"/>
          <w:lang w:val="en-US"/>
        </w:rPr>
        <w:t xml:space="preserve"> </w:t>
      </w:r>
      <w:r w:rsidRPr="005F0A67">
        <w:rPr>
          <w:rFonts w:asciiTheme="majorBidi" w:eastAsia="Arial" w:hAnsiTheme="majorBidi" w:cstheme="majorBidi"/>
          <w:color w:val="242424"/>
          <w:spacing w:val="-4"/>
          <w:sz w:val="14"/>
          <w:szCs w:val="14"/>
          <w:lang w:val="en-US"/>
        </w:rPr>
        <w:t>companies</w:t>
      </w:r>
    </w:p>
    <w:p w14:paraId="22287BE8" w14:textId="77777777" w:rsidR="005F0A67" w:rsidRPr="005F0A67" w:rsidRDefault="005F0A67" w:rsidP="005F0A67">
      <w:pPr>
        <w:widowControl w:val="0"/>
        <w:tabs>
          <w:tab w:val="clear" w:pos="567"/>
          <w:tab w:val="clear" w:pos="1134"/>
          <w:tab w:val="clear" w:pos="1701"/>
          <w:tab w:val="clear" w:pos="2268"/>
        </w:tabs>
        <w:jc w:val="left"/>
        <w:rPr>
          <w:rFonts w:asciiTheme="majorBidi" w:eastAsia="Arial" w:hAnsiTheme="majorBidi" w:cstheme="majorBidi"/>
          <w:sz w:val="17"/>
          <w:szCs w:val="17"/>
          <w:lang w:val="en-US"/>
        </w:rPr>
      </w:pPr>
    </w:p>
    <w:p w14:paraId="06264389" w14:textId="77777777" w:rsidR="005F0A67" w:rsidRPr="005F0A67" w:rsidRDefault="005F0A67" w:rsidP="005F0A67">
      <w:pPr>
        <w:widowControl w:val="0"/>
        <w:tabs>
          <w:tab w:val="clear" w:pos="567"/>
          <w:tab w:val="clear" w:pos="1134"/>
          <w:tab w:val="clear" w:pos="1701"/>
          <w:tab w:val="clear" w:pos="2268"/>
        </w:tabs>
        <w:spacing w:before="87"/>
        <w:jc w:val="left"/>
        <w:rPr>
          <w:rFonts w:asciiTheme="majorBidi" w:eastAsia="Arial" w:hAnsiTheme="majorBidi" w:cstheme="majorBidi"/>
          <w:sz w:val="17"/>
          <w:szCs w:val="17"/>
          <w:lang w:val="en-US"/>
        </w:rPr>
      </w:pPr>
    </w:p>
    <w:p w14:paraId="04F98EE1" w14:textId="77777777" w:rsidR="005F0A67" w:rsidRPr="005F0A67" w:rsidRDefault="005F0A67" w:rsidP="003A387A">
      <w:pPr>
        <w:widowControl w:val="0"/>
        <w:numPr>
          <w:ilvl w:val="0"/>
          <w:numId w:val="44"/>
        </w:numPr>
        <w:tabs>
          <w:tab w:val="clear" w:pos="567"/>
          <w:tab w:val="clear" w:pos="1134"/>
          <w:tab w:val="clear" w:pos="1701"/>
          <w:tab w:val="clear" w:pos="2268"/>
          <w:tab w:val="left" w:pos="703"/>
          <w:tab w:val="left" w:pos="705"/>
        </w:tabs>
        <w:autoSpaceDE w:val="0"/>
        <w:autoSpaceDN w:val="0"/>
        <w:spacing w:before="1" w:line="271" w:lineRule="auto"/>
        <w:ind w:right="1235" w:hanging="281"/>
        <w:jc w:val="left"/>
        <w:rPr>
          <w:rFonts w:asciiTheme="majorBidi" w:eastAsia="Georgia" w:hAnsiTheme="majorBidi" w:cstheme="majorBidi"/>
          <w:color w:val="1A1A1A"/>
          <w:sz w:val="17"/>
          <w:szCs w:val="17"/>
          <w:lang w:eastAsia="en-GB"/>
        </w:rPr>
      </w:pPr>
      <w:r w:rsidRPr="005F0A67">
        <w:rPr>
          <w:rFonts w:asciiTheme="majorBidi" w:eastAsia="Georgia" w:hAnsiTheme="majorBidi" w:cstheme="majorBidi"/>
          <w:color w:val="242424"/>
          <w:sz w:val="17"/>
          <w:szCs w:val="17"/>
          <w:lang w:eastAsia="en-GB"/>
        </w:rPr>
        <w:t>To</w:t>
      </w:r>
      <w:r w:rsidRPr="005F0A67">
        <w:rPr>
          <w:rFonts w:asciiTheme="majorBidi" w:eastAsia="Georgia" w:hAnsiTheme="majorBidi" w:cstheme="majorBidi"/>
          <w:color w:val="242424"/>
          <w:spacing w:val="-3"/>
          <w:sz w:val="17"/>
          <w:szCs w:val="17"/>
          <w:lang w:eastAsia="en-GB"/>
        </w:rPr>
        <w:t xml:space="preserve"> </w:t>
      </w:r>
      <w:r w:rsidRPr="005F0A67">
        <w:rPr>
          <w:rFonts w:asciiTheme="majorBidi" w:eastAsia="Georgia" w:hAnsiTheme="majorBidi" w:cstheme="majorBidi"/>
          <w:color w:val="242424"/>
          <w:sz w:val="17"/>
          <w:szCs w:val="17"/>
          <w:lang w:eastAsia="en-GB"/>
        </w:rPr>
        <w:t>the</w:t>
      </w:r>
      <w:r w:rsidRPr="005F0A67">
        <w:rPr>
          <w:rFonts w:asciiTheme="majorBidi" w:eastAsia="Georgia" w:hAnsiTheme="majorBidi" w:cstheme="majorBidi"/>
          <w:color w:val="242424"/>
          <w:spacing w:val="-3"/>
          <w:sz w:val="17"/>
          <w:szCs w:val="17"/>
          <w:lang w:eastAsia="en-GB"/>
        </w:rPr>
        <w:t xml:space="preserve"> </w:t>
      </w:r>
      <w:r w:rsidRPr="005F0A67">
        <w:rPr>
          <w:rFonts w:asciiTheme="majorBidi" w:eastAsia="Georgia" w:hAnsiTheme="majorBidi" w:cstheme="majorBidi"/>
          <w:color w:val="242424"/>
          <w:sz w:val="17"/>
          <w:szCs w:val="17"/>
          <w:lang w:eastAsia="en-GB"/>
        </w:rPr>
        <w:t>best</w:t>
      </w:r>
      <w:r w:rsidRPr="005F0A67">
        <w:rPr>
          <w:rFonts w:asciiTheme="majorBidi" w:eastAsia="Georgia" w:hAnsiTheme="majorBidi" w:cstheme="majorBidi"/>
          <w:color w:val="242424"/>
          <w:spacing w:val="-3"/>
          <w:sz w:val="17"/>
          <w:szCs w:val="17"/>
          <w:lang w:eastAsia="en-GB"/>
        </w:rPr>
        <w:t xml:space="preserve"> </w:t>
      </w:r>
      <w:r w:rsidRPr="005F0A67">
        <w:rPr>
          <w:rFonts w:asciiTheme="majorBidi" w:eastAsia="Georgia" w:hAnsiTheme="majorBidi" w:cstheme="majorBidi"/>
          <w:color w:val="242424"/>
          <w:sz w:val="17"/>
          <w:szCs w:val="17"/>
          <w:lang w:eastAsia="en-GB"/>
        </w:rPr>
        <w:t>of</w:t>
      </w:r>
      <w:r w:rsidRPr="005F0A67">
        <w:rPr>
          <w:rFonts w:asciiTheme="majorBidi" w:eastAsia="Georgia" w:hAnsiTheme="majorBidi" w:cstheme="majorBidi"/>
          <w:color w:val="242424"/>
          <w:spacing w:val="-3"/>
          <w:sz w:val="17"/>
          <w:szCs w:val="17"/>
          <w:lang w:eastAsia="en-GB"/>
        </w:rPr>
        <w:t xml:space="preserve"> </w:t>
      </w:r>
      <w:r w:rsidRPr="005F0A67">
        <w:rPr>
          <w:rFonts w:asciiTheme="majorBidi" w:eastAsia="Georgia" w:hAnsiTheme="majorBidi" w:cstheme="majorBidi"/>
          <w:color w:val="242424"/>
          <w:sz w:val="17"/>
          <w:szCs w:val="17"/>
          <w:lang w:eastAsia="en-GB"/>
        </w:rPr>
        <w:t>your</w:t>
      </w:r>
      <w:r w:rsidRPr="005F0A67">
        <w:rPr>
          <w:rFonts w:asciiTheme="majorBidi" w:eastAsia="Georgia" w:hAnsiTheme="majorBidi" w:cstheme="majorBidi"/>
          <w:color w:val="242424"/>
          <w:spacing w:val="-3"/>
          <w:sz w:val="17"/>
          <w:szCs w:val="17"/>
          <w:lang w:eastAsia="en-GB"/>
        </w:rPr>
        <w:t xml:space="preserve"> </w:t>
      </w:r>
      <w:r w:rsidRPr="005F0A67">
        <w:rPr>
          <w:rFonts w:asciiTheme="majorBidi" w:eastAsia="Georgia" w:hAnsiTheme="majorBidi" w:cstheme="majorBidi"/>
          <w:color w:val="242424"/>
          <w:sz w:val="17"/>
          <w:szCs w:val="17"/>
          <w:lang w:eastAsia="en-GB"/>
        </w:rPr>
        <w:t>knowledge,</w:t>
      </w:r>
      <w:r w:rsidRPr="005F0A67">
        <w:rPr>
          <w:rFonts w:asciiTheme="majorBidi" w:eastAsia="Georgia" w:hAnsiTheme="majorBidi" w:cstheme="majorBidi"/>
          <w:color w:val="242424"/>
          <w:spacing w:val="-3"/>
          <w:sz w:val="17"/>
          <w:szCs w:val="17"/>
          <w:lang w:eastAsia="en-GB"/>
        </w:rPr>
        <w:t xml:space="preserve"> </w:t>
      </w:r>
      <w:r w:rsidRPr="005F0A67">
        <w:rPr>
          <w:rFonts w:asciiTheme="majorBidi" w:eastAsia="Georgia" w:hAnsiTheme="majorBidi" w:cstheme="majorBidi"/>
          <w:b/>
          <w:bCs/>
          <w:color w:val="242424"/>
          <w:sz w:val="17"/>
          <w:szCs w:val="17"/>
          <w:lang w:eastAsia="en-GB"/>
        </w:rPr>
        <w:t>to</w:t>
      </w:r>
      <w:r w:rsidRPr="005F0A67">
        <w:rPr>
          <w:rFonts w:asciiTheme="majorBidi" w:eastAsia="Georgia" w:hAnsiTheme="majorBidi" w:cstheme="majorBidi"/>
          <w:b/>
          <w:bCs/>
          <w:color w:val="242424"/>
          <w:spacing w:val="-3"/>
          <w:sz w:val="17"/>
          <w:szCs w:val="17"/>
          <w:lang w:eastAsia="en-GB"/>
        </w:rPr>
        <w:t xml:space="preserve"> </w:t>
      </w:r>
      <w:r w:rsidRPr="005F0A67">
        <w:rPr>
          <w:rFonts w:asciiTheme="majorBidi" w:eastAsia="Georgia" w:hAnsiTheme="majorBidi" w:cstheme="majorBidi"/>
          <w:b/>
          <w:bCs/>
          <w:color w:val="242424"/>
          <w:sz w:val="17"/>
          <w:szCs w:val="17"/>
          <w:lang w:eastAsia="en-GB"/>
        </w:rPr>
        <w:t>what</w:t>
      </w:r>
      <w:r w:rsidRPr="005F0A67">
        <w:rPr>
          <w:rFonts w:asciiTheme="majorBidi" w:eastAsia="Georgia" w:hAnsiTheme="majorBidi" w:cstheme="majorBidi"/>
          <w:b/>
          <w:bCs/>
          <w:color w:val="242424"/>
          <w:spacing w:val="-3"/>
          <w:sz w:val="17"/>
          <w:szCs w:val="17"/>
          <w:lang w:eastAsia="en-GB"/>
        </w:rPr>
        <w:t xml:space="preserve"> </w:t>
      </w:r>
      <w:r w:rsidRPr="005F0A67">
        <w:rPr>
          <w:rFonts w:asciiTheme="majorBidi" w:eastAsia="Georgia" w:hAnsiTheme="majorBidi" w:cstheme="majorBidi"/>
          <w:b/>
          <w:bCs/>
          <w:color w:val="242424"/>
          <w:sz w:val="17"/>
          <w:szCs w:val="17"/>
          <w:lang w:eastAsia="en-GB"/>
        </w:rPr>
        <w:t>extent</w:t>
      </w:r>
      <w:r w:rsidRPr="005F0A67">
        <w:rPr>
          <w:rFonts w:asciiTheme="majorBidi" w:eastAsia="Georgia" w:hAnsiTheme="majorBidi" w:cstheme="majorBidi"/>
          <w:b/>
          <w:bCs/>
          <w:color w:val="242424"/>
          <w:spacing w:val="-3"/>
          <w:sz w:val="17"/>
          <w:szCs w:val="17"/>
          <w:lang w:eastAsia="en-GB"/>
        </w:rPr>
        <w:t xml:space="preserve"> </w:t>
      </w:r>
      <w:r w:rsidRPr="005F0A67">
        <w:rPr>
          <w:rFonts w:asciiTheme="majorBidi" w:eastAsia="Georgia" w:hAnsiTheme="majorBidi" w:cstheme="majorBidi"/>
          <w:b/>
          <w:bCs/>
          <w:color w:val="242424"/>
          <w:sz w:val="17"/>
          <w:szCs w:val="17"/>
          <w:lang w:eastAsia="en-GB"/>
        </w:rPr>
        <w:t>do</w:t>
      </w:r>
      <w:r w:rsidRPr="005F0A67">
        <w:rPr>
          <w:rFonts w:asciiTheme="majorBidi" w:eastAsia="Georgia" w:hAnsiTheme="majorBidi" w:cstheme="majorBidi"/>
          <w:b/>
          <w:bCs/>
          <w:color w:val="242424"/>
          <w:spacing w:val="-3"/>
          <w:sz w:val="17"/>
          <w:szCs w:val="17"/>
          <w:lang w:eastAsia="en-GB"/>
        </w:rPr>
        <w:t xml:space="preserve"> </w:t>
      </w:r>
      <w:r w:rsidRPr="005F0A67">
        <w:rPr>
          <w:rFonts w:asciiTheme="majorBidi" w:eastAsia="Georgia" w:hAnsiTheme="majorBidi" w:cstheme="majorBidi"/>
          <w:b/>
          <w:bCs/>
          <w:color w:val="242424"/>
          <w:sz w:val="17"/>
          <w:szCs w:val="17"/>
          <w:lang w:eastAsia="en-GB"/>
        </w:rPr>
        <w:t>your</w:t>
      </w:r>
      <w:r w:rsidRPr="005F0A67">
        <w:rPr>
          <w:rFonts w:asciiTheme="majorBidi" w:eastAsia="Georgia" w:hAnsiTheme="majorBidi" w:cstheme="majorBidi"/>
          <w:b/>
          <w:bCs/>
          <w:color w:val="242424"/>
          <w:spacing w:val="-3"/>
          <w:sz w:val="17"/>
          <w:szCs w:val="17"/>
          <w:lang w:eastAsia="en-GB"/>
        </w:rPr>
        <w:t xml:space="preserve"> </w:t>
      </w:r>
      <w:r w:rsidRPr="005F0A67">
        <w:rPr>
          <w:rFonts w:asciiTheme="majorBidi" w:eastAsia="Georgia" w:hAnsiTheme="majorBidi" w:cstheme="majorBidi"/>
          <w:b/>
          <w:bCs/>
          <w:color w:val="242424"/>
          <w:sz w:val="17"/>
          <w:szCs w:val="17"/>
          <w:lang w:eastAsia="en-GB"/>
        </w:rPr>
        <w:t>main</w:t>
      </w:r>
      <w:r w:rsidRPr="005F0A67">
        <w:rPr>
          <w:rFonts w:asciiTheme="majorBidi" w:eastAsia="Georgia" w:hAnsiTheme="majorBidi" w:cstheme="majorBidi"/>
          <w:b/>
          <w:bCs/>
          <w:color w:val="242424"/>
          <w:spacing w:val="-3"/>
          <w:sz w:val="17"/>
          <w:szCs w:val="17"/>
          <w:lang w:eastAsia="en-GB"/>
        </w:rPr>
        <w:t xml:space="preserve"> </w:t>
      </w:r>
      <w:r w:rsidRPr="005F0A67">
        <w:rPr>
          <w:rFonts w:asciiTheme="majorBidi" w:eastAsia="Georgia" w:hAnsiTheme="majorBidi" w:cstheme="majorBidi"/>
          <w:b/>
          <w:bCs/>
          <w:color w:val="242424"/>
          <w:sz w:val="17"/>
          <w:szCs w:val="17"/>
          <w:lang w:eastAsia="en-GB"/>
        </w:rPr>
        <w:t>competitors</w:t>
      </w:r>
      <w:r w:rsidRPr="005F0A67">
        <w:rPr>
          <w:rFonts w:asciiTheme="majorBidi" w:eastAsia="Georgia" w:hAnsiTheme="majorBidi" w:cstheme="majorBidi"/>
          <w:b/>
          <w:bCs/>
          <w:color w:val="242424"/>
          <w:spacing w:val="-3"/>
          <w:sz w:val="17"/>
          <w:szCs w:val="17"/>
          <w:lang w:eastAsia="en-GB"/>
        </w:rPr>
        <w:t xml:space="preserve"> </w:t>
      </w:r>
      <w:r w:rsidRPr="005F0A67">
        <w:rPr>
          <w:rFonts w:asciiTheme="majorBidi" w:eastAsia="Georgia" w:hAnsiTheme="majorBidi" w:cstheme="majorBidi"/>
          <w:b/>
          <w:bCs/>
          <w:color w:val="242424"/>
          <w:sz w:val="17"/>
          <w:szCs w:val="17"/>
          <w:lang w:eastAsia="en-GB"/>
        </w:rPr>
        <w:t>depend</w:t>
      </w:r>
      <w:r w:rsidRPr="005F0A67">
        <w:rPr>
          <w:rFonts w:asciiTheme="majorBidi" w:eastAsia="Georgia" w:hAnsiTheme="majorBidi" w:cstheme="majorBidi"/>
          <w:b/>
          <w:bCs/>
          <w:color w:val="242424"/>
          <w:spacing w:val="-3"/>
          <w:sz w:val="17"/>
          <w:szCs w:val="17"/>
          <w:lang w:eastAsia="en-GB"/>
        </w:rPr>
        <w:t xml:space="preserve"> </w:t>
      </w:r>
      <w:r w:rsidRPr="005F0A67">
        <w:rPr>
          <w:rFonts w:asciiTheme="majorBidi" w:eastAsia="Georgia" w:hAnsiTheme="majorBidi" w:cstheme="majorBidi"/>
          <w:b/>
          <w:bCs/>
          <w:color w:val="242424"/>
          <w:sz w:val="17"/>
          <w:szCs w:val="17"/>
          <w:lang w:eastAsia="en-GB"/>
        </w:rPr>
        <w:t>on DSI?</w:t>
      </w:r>
      <w:r w:rsidRPr="005F0A67">
        <w:rPr>
          <w:rFonts w:asciiTheme="majorBidi" w:eastAsia="Georgia" w:hAnsiTheme="majorBidi" w:cstheme="majorBidi"/>
          <w:b/>
          <w:bCs/>
          <w:color w:val="242424"/>
          <w:spacing w:val="40"/>
          <w:sz w:val="17"/>
          <w:szCs w:val="17"/>
          <w:lang w:eastAsia="en-GB"/>
        </w:rPr>
        <w:t xml:space="preserve"> </w:t>
      </w:r>
      <w:r w:rsidRPr="005F0A67">
        <w:rPr>
          <w:rFonts w:asciiTheme="majorBidi" w:eastAsia="Georgia" w:hAnsiTheme="majorBidi" w:cstheme="majorBidi"/>
          <w:color w:val="AE1515"/>
          <w:sz w:val="17"/>
          <w:szCs w:val="17"/>
          <w:lang w:eastAsia="en-GB"/>
        </w:rPr>
        <w:t>*</w:t>
      </w:r>
    </w:p>
    <w:p w14:paraId="74EAF260" w14:textId="77777777" w:rsidR="005F0A67" w:rsidRPr="005F0A67" w:rsidRDefault="005F0A67" w:rsidP="005F0A67">
      <w:pPr>
        <w:widowControl w:val="0"/>
        <w:tabs>
          <w:tab w:val="clear" w:pos="567"/>
          <w:tab w:val="clear" w:pos="1134"/>
          <w:tab w:val="clear" w:pos="1701"/>
          <w:tab w:val="clear" w:pos="2268"/>
        </w:tabs>
        <w:spacing w:before="96"/>
        <w:jc w:val="left"/>
        <w:rPr>
          <w:rFonts w:asciiTheme="majorBidi" w:eastAsia="Arial" w:hAnsiTheme="majorBidi" w:cstheme="majorBidi"/>
          <w:sz w:val="14"/>
          <w:szCs w:val="14"/>
          <w:lang w:val="en-US"/>
        </w:rPr>
      </w:pPr>
    </w:p>
    <w:p w14:paraId="74614642" w14:textId="77777777" w:rsidR="005F0A67" w:rsidRPr="005F0A67" w:rsidRDefault="005F0A67" w:rsidP="005F0A67">
      <w:pPr>
        <w:widowControl w:val="0"/>
        <w:tabs>
          <w:tab w:val="clear" w:pos="567"/>
          <w:tab w:val="clear" w:pos="1134"/>
          <w:tab w:val="clear" w:pos="1701"/>
          <w:tab w:val="clear" w:pos="2268"/>
        </w:tabs>
        <w:ind w:left="725"/>
        <w:jc w:val="left"/>
        <w:rPr>
          <w:rFonts w:asciiTheme="majorBidi" w:eastAsia="Arial" w:hAnsiTheme="majorBidi" w:cstheme="majorBidi"/>
          <w:sz w:val="14"/>
          <w:szCs w:val="14"/>
          <w:lang w:val="en-US"/>
        </w:rPr>
      </w:pPr>
      <w:r w:rsidRPr="005F0A67">
        <w:rPr>
          <w:rFonts w:asciiTheme="majorBidi" w:eastAsia="Arial" w:hAnsiTheme="majorBidi" w:cstheme="majorBidi"/>
          <w:noProof/>
          <w:position w:val="-4"/>
          <w:sz w:val="14"/>
          <w:szCs w:val="14"/>
          <w:lang w:val="en-US"/>
        </w:rPr>
        <w:drawing>
          <wp:inline distT="0" distB="0" distL="0" distR="0" wp14:anchorId="775B51F0" wp14:editId="05636418">
            <wp:extent cx="127000" cy="127000"/>
            <wp:effectExtent l="0" t="0" r="0" b="0"/>
            <wp:docPr id="225" name="Image 2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5" name="Image 225"/>
                    <pic:cNvPicPr/>
                  </pic:nvPicPr>
                  <pic:blipFill>
                    <a:blip r:embed="rId42" cstate="print"/>
                    <a:stretch>
                      <a:fillRect/>
                    </a:stretch>
                  </pic:blipFill>
                  <pic:spPr>
                    <a:xfrm>
                      <a:off x="0" y="0"/>
                      <a:ext cx="127000" cy="127000"/>
                    </a:xfrm>
                    <a:prstGeom prst="rect">
                      <a:avLst/>
                    </a:prstGeom>
                  </pic:spPr>
                </pic:pic>
              </a:graphicData>
            </a:graphic>
          </wp:inline>
        </w:drawing>
      </w:r>
      <w:r w:rsidRPr="005F0A67">
        <w:rPr>
          <w:rFonts w:asciiTheme="majorBidi" w:eastAsia="Arial" w:hAnsiTheme="majorBidi" w:cstheme="majorBidi"/>
          <w:spacing w:val="80"/>
          <w:w w:val="105"/>
          <w:sz w:val="20"/>
          <w:szCs w:val="20"/>
          <w:lang w:val="en-US"/>
        </w:rPr>
        <w:t xml:space="preserve"> </w:t>
      </w:r>
      <w:r w:rsidRPr="005F0A67">
        <w:rPr>
          <w:rFonts w:asciiTheme="majorBidi" w:eastAsia="Arial" w:hAnsiTheme="majorBidi" w:cstheme="majorBidi"/>
          <w:color w:val="242424"/>
          <w:w w:val="105"/>
          <w:sz w:val="14"/>
          <w:szCs w:val="14"/>
          <w:lang w:val="en-US"/>
        </w:rPr>
        <w:t>Not at all</w:t>
      </w:r>
    </w:p>
    <w:p w14:paraId="52D135B5" w14:textId="77777777" w:rsidR="005F0A67" w:rsidRPr="005F0A67" w:rsidRDefault="005F0A67" w:rsidP="005F0A67">
      <w:pPr>
        <w:widowControl w:val="0"/>
        <w:tabs>
          <w:tab w:val="clear" w:pos="567"/>
          <w:tab w:val="clear" w:pos="1134"/>
          <w:tab w:val="clear" w:pos="1701"/>
          <w:tab w:val="clear" w:pos="2268"/>
        </w:tabs>
        <w:spacing w:before="139"/>
        <w:jc w:val="left"/>
        <w:rPr>
          <w:rFonts w:asciiTheme="majorBidi" w:eastAsia="Arial" w:hAnsiTheme="majorBidi" w:cstheme="majorBidi"/>
          <w:sz w:val="14"/>
          <w:szCs w:val="14"/>
          <w:lang w:val="en-US"/>
        </w:rPr>
      </w:pPr>
    </w:p>
    <w:p w14:paraId="3F06319A" w14:textId="77777777" w:rsidR="005F0A67" w:rsidRPr="005F0A67" w:rsidRDefault="005F0A67" w:rsidP="005F0A67">
      <w:pPr>
        <w:widowControl w:val="0"/>
        <w:tabs>
          <w:tab w:val="clear" w:pos="567"/>
          <w:tab w:val="clear" w:pos="1134"/>
          <w:tab w:val="clear" w:pos="1701"/>
          <w:tab w:val="clear" w:pos="2268"/>
        </w:tabs>
        <w:ind w:left="725"/>
        <w:jc w:val="left"/>
        <w:rPr>
          <w:rFonts w:asciiTheme="majorBidi" w:eastAsia="Arial" w:hAnsiTheme="majorBidi" w:cstheme="majorBidi"/>
          <w:sz w:val="14"/>
          <w:szCs w:val="14"/>
          <w:lang w:val="en-US"/>
        </w:rPr>
      </w:pPr>
      <w:r w:rsidRPr="005F0A67">
        <w:rPr>
          <w:rFonts w:asciiTheme="majorBidi" w:eastAsia="Arial" w:hAnsiTheme="majorBidi" w:cstheme="majorBidi"/>
          <w:noProof/>
          <w:position w:val="-4"/>
          <w:sz w:val="14"/>
          <w:szCs w:val="14"/>
          <w:lang w:val="en-US"/>
        </w:rPr>
        <w:drawing>
          <wp:inline distT="0" distB="0" distL="0" distR="0" wp14:anchorId="5103A297" wp14:editId="13816BB3">
            <wp:extent cx="127000" cy="127000"/>
            <wp:effectExtent l="0" t="0" r="0" b="0"/>
            <wp:docPr id="226" name="Image 2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6" name="Image 226"/>
                    <pic:cNvPicPr/>
                  </pic:nvPicPr>
                  <pic:blipFill>
                    <a:blip r:embed="rId49" cstate="print"/>
                    <a:stretch>
                      <a:fillRect/>
                    </a:stretch>
                  </pic:blipFill>
                  <pic:spPr>
                    <a:xfrm>
                      <a:off x="0" y="0"/>
                      <a:ext cx="127000" cy="127000"/>
                    </a:xfrm>
                    <a:prstGeom prst="rect">
                      <a:avLst/>
                    </a:prstGeom>
                  </pic:spPr>
                </pic:pic>
              </a:graphicData>
            </a:graphic>
          </wp:inline>
        </w:drawing>
      </w:r>
      <w:r w:rsidRPr="005F0A67">
        <w:rPr>
          <w:rFonts w:asciiTheme="majorBidi" w:eastAsia="Arial" w:hAnsiTheme="majorBidi" w:cstheme="majorBidi"/>
          <w:spacing w:val="80"/>
          <w:sz w:val="20"/>
          <w:szCs w:val="20"/>
          <w:lang w:val="en-US"/>
        </w:rPr>
        <w:t xml:space="preserve"> </w:t>
      </w:r>
      <w:r w:rsidRPr="005F0A67">
        <w:rPr>
          <w:rFonts w:asciiTheme="majorBidi" w:eastAsia="Arial" w:hAnsiTheme="majorBidi" w:cstheme="majorBidi"/>
          <w:color w:val="242424"/>
          <w:spacing w:val="-4"/>
          <w:sz w:val="14"/>
          <w:szCs w:val="14"/>
          <w:lang w:val="en-US"/>
        </w:rPr>
        <w:t>To a small extent</w:t>
      </w:r>
    </w:p>
    <w:p w14:paraId="6BA9BA68" w14:textId="77777777" w:rsidR="005F0A67" w:rsidRPr="005F0A67" w:rsidRDefault="005F0A67" w:rsidP="005F0A67">
      <w:pPr>
        <w:widowControl w:val="0"/>
        <w:tabs>
          <w:tab w:val="clear" w:pos="567"/>
          <w:tab w:val="clear" w:pos="1134"/>
          <w:tab w:val="clear" w:pos="1701"/>
          <w:tab w:val="clear" w:pos="2268"/>
        </w:tabs>
        <w:spacing w:before="139"/>
        <w:jc w:val="left"/>
        <w:rPr>
          <w:rFonts w:asciiTheme="majorBidi" w:eastAsia="Arial" w:hAnsiTheme="majorBidi" w:cstheme="majorBidi"/>
          <w:sz w:val="14"/>
          <w:szCs w:val="14"/>
          <w:lang w:val="en-US"/>
        </w:rPr>
      </w:pPr>
    </w:p>
    <w:p w14:paraId="69612356" w14:textId="77777777" w:rsidR="005F0A67" w:rsidRPr="005F0A67" w:rsidRDefault="005F0A67" w:rsidP="005F0A67">
      <w:pPr>
        <w:widowControl w:val="0"/>
        <w:tabs>
          <w:tab w:val="clear" w:pos="567"/>
          <w:tab w:val="clear" w:pos="1134"/>
          <w:tab w:val="clear" w:pos="1701"/>
          <w:tab w:val="clear" w:pos="2268"/>
        </w:tabs>
        <w:spacing w:line="600" w:lineRule="auto"/>
        <w:ind w:left="725" w:right="6105"/>
        <w:jc w:val="left"/>
        <w:rPr>
          <w:rFonts w:asciiTheme="majorBidi" w:eastAsia="Arial" w:hAnsiTheme="majorBidi" w:cstheme="majorBidi"/>
          <w:sz w:val="14"/>
          <w:szCs w:val="14"/>
          <w:lang w:val="en-US"/>
        </w:rPr>
      </w:pPr>
      <w:r w:rsidRPr="005F0A67">
        <w:rPr>
          <w:rFonts w:asciiTheme="majorBidi" w:eastAsia="Arial" w:hAnsiTheme="majorBidi" w:cstheme="majorBidi"/>
          <w:noProof/>
          <w:position w:val="-4"/>
          <w:sz w:val="14"/>
          <w:szCs w:val="14"/>
          <w:lang w:val="en-US"/>
        </w:rPr>
        <w:drawing>
          <wp:inline distT="0" distB="0" distL="0" distR="0" wp14:anchorId="670D7AA1" wp14:editId="0B267312">
            <wp:extent cx="127000" cy="127000"/>
            <wp:effectExtent l="0" t="0" r="0" b="0"/>
            <wp:docPr id="227" name="Image 2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7" name="Image 227"/>
                    <pic:cNvPicPr/>
                  </pic:nvPicPr>
                  <pic:blipFill>
                    <a:blip r:embed="rId39" cstate="print"/>
                    <a:stretch>
                      <a:fillRect/>
                    </a:stretch>
                  </pic:blipFill>
                  <pic:spPr>
                    <a:xfrm>
                      <a:off x="0" y="0"/>
                      <a:ext cx="127000" cy="127000"/>
                    </a:xfrm>
                    <a:prstGeom prst="rect">
                      <a:avLst/>
                    </a:prstGeom>
                  </pic:spPr>
                </pic:pic>
              </a:graphicData>
            </a:graphic>
          </wp:inline>
        </w:drawing>
      </w:r>
      <w:r w:rsidRPr="005F0A67">
        <w:rPr>
          <w:rFonts w:asciiTheme="majorBidi" w:eastAsia="Arial" w:hAnsiTheme="majorBidi" w:cstheme="majorBidi"/>
          <w:spacing w:val="59"/>
          <w:sz w:val="20"/>
          <w:szCs w:val="20"/>
          <w:lang w:val="en-US"/>
        </w:rPr>
        <w:t xml:space="preserve"> </w:t>
      </w:r>
      <w:r w:rsidRPr="005F0A67">
        <w:rPr>
          <w:rFonts w:asciiTheme="majorBidi" w:eastAsia="Arial" w:hAnsiTheme="majorBidi" w:cstheme="majorBidi"/>
          <w:color w:val="242424"/>
          <w:sz w:val="14"/>
          <w:szCs w:val="14"/>
          <w:lang w:val="en-US"/>
        </w:rPr>
        <w:t>To</w:t>
      </w:r>
      <w:r w:rsidRPr="005F0A67">
        <w:rPr>
          <w:rFonts w:asciiTheme="majorBidi" w:eastAsia="Arial" w:hAnsiTheme="majorBidi" w:cstheme="majorBidi"/>
          <w:color w:val="242424"/>
          <w:spacing w:val="-10"/>
          <w:sz w:val="14"/>
          <w:szCs w:val="14"/>
          <w:lang w:val="en-US"/>
        </w:rPr>
        <w:t xml:space="preserve"> </w:t>
      </w:r>
      <w:r w:rsidRPr="005F0A67">
        <w:rPr>
          <w:rFonts w:asciiTheme="majorBidi" w:eastAsia="Arial" w:hAnsiTheme="majorBidi" w:cstheme="majorBidi"/>
          <w:color w:val="242424"/>
          <w:sz w:val="14"/>
          <w:szCs w:val="14"/>
          <w:lang w:val="en-US"/>
        </w:rPr>
        <w:t>a</w:t>
      </w:r>
      <w:r w:rsidRPr="005F0A67">
        <w:rPr>
          <w:rFonts w:asciiTheme="majorBidi" w:eastAsia="Arial" w:hAnsiTheme="majorBidi" w:cstheme="majorBidi"/>
          <w:color w:val="242424"/>
          <w:spacing w:val="-10"/>
          <w:sz w:val="14"/>
          <w:szCs w:val="14"/>
          <w:lang w:val="en-US"/>
        </w:rPr>
        <w:t xml:space="preserve"> </w:t>
      </w:r>
      <w:r w:rsidRPr="005F0A67">
        <w:rPr>
          <w:rFonts w:asciiTheme="majorBidi" w:eastAsia="Arial" w:hAnsiTheme="majorBidi" w:cstheme="majorBidi"/>
          <w:color w:val="242424"/>
          <w:sz w:val="14"/>
          <w:szCs w:val="14"/>
          <w:lang w:val="en-US"/>
        </w:rPr>
        <w:t>moderate</w:t>
      </w:r>
      <w:r w:rsidRPr="005F0A67">
        <w:rPr>
          <w:rFonts w:asciiTheme="majorBidi" w:eastAsia="Arial" w:hAnsiTheme="majorBidi" w:cstheme="majorBidi"/>
          <w:color w:val="242424"/>
          <w:spacing w:val="-9"/>
          <w:sz w:val="14"/>
          <w:szCs w:val="14"/>
          <w:lang w:val="en-US"/>
        </w:rPr>
        <w:t xml:space="preserve"> </w:t>
      </w:r>
      <w:r w:rsidRPr="005F0A67">
        <w:rPr>
          <w:rFonts w:asciiTheme="majorBidi" w:eastAsia="Arial" w:hAnsiTheme="majorBidi" w:cstheme="majorBidi"/>
          <w:color w:val="242424"/>
          <w:sz w:val="14"/>
          <w:szCs w:val="14"/>
          <w:lang w:val="en-US"/>
        </w:rPr>
        <w:t>extent</w:t>
      </w:r>
      <w:r w:rsidRPr="005F0A67">
        <w:rPr>
          <w:rFonts w:asciiTheme="majorBidi" w:eastAsia="Arial" w:hAnsiTheme="majorBidi" w:cstheme="majorBidi"/>
          <w:color w:val="242424"/>
          <w:spacing w:val="40"/>
          <w:sz w:val="14"/>
          <w:szCs w:val="14"/>
          <w:lang w:val="en-US"/>
        </w:rPr>
        <w:t xml:space="preserve"> </w:t>
      </w:r>
      <w:r w:rsidRPr="005F0A67">
        <w:rPr>
          <w:rFonts w:asciiTheme="majorBidi" w:eastAsia="Arial" w:hAnsiTheme="majorBidi" w:cstheme="majorBidi"/>
          <w:noProof/>
          <w:color w:val="242424"/>
          <w:position w:val="-4"/>
          <w:sz w:val="14"/>
          <w:szCs w:val="14"/>
          <w:lang w:val="en-US"/>
        </w:rPr>
        <w:drawing>
          <wp:inline distT="0" distB="0" distL="0" distR="0" wp14:anchorId="5D192153" wp14:editId="2820584D">
            <wp:extent cx="127000" cy="127000"/>
            <wp:effectExtent l="0" t="0" r="0" b="0"/>
            <wp:docPr id="228" name="Image 2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8" name="Image 228"/>
                    <pic:cNvPicPr/>
                  </pic:nvPicPr>
                  <pic:blipFill>
                    <a:blip r:embed="rId37" cstate="print"/>
                    <a:stretch>
                      <a:fillRect/>
                    </a:stretch>
                  </pic:blipFill>
                  <pic:spPr>
                    <a:xfrm>
                      <a:off x="0" y="0"/>
                      <a:ext cx="127000" cy="127000"/>
                    </a:xfrm>
                    <a:prstGeom prst="rect">
                      <a:avLst/>
                    </a:prstGeom>
                  </pic:spPr>
                </pic:pic>
              </a:graphicData>
            </a:graphic>
          </wp:inline>
        </w:drawing>
      </w:r>
      <w:r w:rsidRPr="005F0A67">
        <w:rPr>
          <w:rFonts w:asciiTheme="majorBidi" w:eastAsia="Arial" w:hAnsiTheme="majorBidi" w:cstheme="majorBidi"/>
          <w:color w:val="242424"/>
          <w:spacing w:val="80"/>
          <w:sz w:val="14"/>
          <w:szCs w:val="14"/>
          <w:lang w:val="en-US"/>
        </w:rPr>
        <w:t xml:space="preserve"> </w:t>
      </w:r>
      <w:r w:rsidRPr="005F0A67">
        <w:rPr>
          <w:rFonts w:asciiTheme="majorBidi" w:eastAsia="Arial" w:hAnsiTheme="majorBidi" w:cstheme="majorBidi"/>
          <w:color w:val="242424"/>
          <w:sz w:val="14"/>
          <w:szCs w:val="14"/>
          <w:lang w:val="en-US"/>
        </w:rPr>
        <w:t>To a large extent</w:t>
      </w:r>
    </w:p>
    <w:p w14:paraId="4E958850" w14:textId="77777777" w:rsidR="005F0A67" w:rsidRPr="005F0A67" w:rsidRDefault="005F0A67" w:rsidP="005F0A67">
      <w:pPr>
        <w:widowControl w:val="0"/>
        <w:tabs>
          <w:tab w:val="clear" w:pos="567"/>
          <w:tab w:val="clear" w:pos="1134"/>
          <w:tab w:val="clear" w:pos="1701"/>
          <w:tab w:val="clear" w:pos="2268"/>
        </w:tabs>
        <w:ind w:left="725"/>
        <w:jc w:val="left"/>
        <w:rPr>
          <w:rFonts w:asciiTheme="majorBidi" w:eastAsia="Arial" w:hAnsiTheme="majorBidi" w:cstheme="majorBidi"/>
          <w:sz w:val="14"/>
          <w:szCs w:val="14"/>
          <w:lang w:val="en-US"/>
        </w:rPr>
      </w:pPr>
      <w:r w:rsidRPr="005F0A67">
        <w:rPr>
          <w:rFonts w:asciiTheme="majorBidi" w:eastAsia="Arial" w:hAnsiTheme="majorBidi" w:cstheme="majorBidi"/>
          <w:noProof/>
          <w:position w:val="-4"/>
          <w:sz w:val="14"/>
          <w:szCs w:val="14"/>
          <w:lang w:val="en-US"/>
        </w:rPr>
        <w:drawing>
          <wp:inline distT="0" distB="0" distL="0" distR="0" wp14:anchorId="7BE85211" wp14:editId="1AA15D0D">
            <wp:extent cx="127000" cy="127000"/>
            <wp:effectExtent l="0" t="0" r="0" b="0"/>
            <wp:docPr id="229" name="Image 2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9" name="Image 229"/>
                    <pic:cNvPicPr/>
                  </pic:nvPicPr>
                  <pic:blipFill>
                    <a:blip r:embed="rId42" cstate="print"/>
                    <a:stretch>
                      <a:fillRect/>
                    </a:stretch>
                  </pic:blipFill>
                  <pic:spPr>
                    <a:xfrm>
                      <a:off x="0" y="0"/>
                      <a:ext cx="127000" cy="127000"/>
                    </a:xfrm>
                    <a:prstGeom prst="rect">
                      <a:avLst/>
                    </a:prstGeom>
                  </pic:spPr>
                </pic:pic>
              </a:graphicData>
            </a:graphic>
          </wp:inline>
        </w:drawing>
      </w:r>
      <w:r w:rsidRPr="005F0A67">
        <w:rPr>
          <w:rFonts w:asciiTheme="majorBidi" w:eastAsia="Arial" w:hAnsiTheme="majorBidi" w:cstheme="majorBidi"/>
          <w:spacing w:val="80"/>
          <w:w w:val="105"/>
          <w:sz w:val="20"/>
          <w:szCs w:val="20"/>
          <w:lang w:val="en-US"/>
        </w:rPr>
        <w:t xml:space="preserve"> </w:t>
      </w:r>
      <w:r w:rsidRPr="005F0A67">
        <w:rPr>
          <w:rFonts w:asciiTheme="majorBidi" w:eastAsia="Arial" w:hAnsiTheme="majorBidi" w:cstheme="majorBidi"/>
          <w:color w:val="242424"/>
          <w:spacing w:val="-2"/>
          <w:w w:val="105"/>
          <w:sz w:val="14"/>
          <w:szCs w:val="14"/>
          <w:lang w:val="en-US"/>
        </w:rPr>
        <w:t xml:space="preserve">Don't </w:t>
      </w:r>
      <w:r w:rsidRPr="005F0A67">
        <w:rPr>
          <w:rFonts w:asciiTheme="majorBidi" w:eastAsia="Arial" w:hAnsiTheme="majorBidi" w:cstheme="majorBidi"/>
          <w:color w:val="242424"/>
          <w:w w:val="105"/>
          <w:sz w:val="14"/>
          <w:szCs w:val="14"/>
          <w:lang w:val="en-US"/>
        </w:rPr>
        <w:t>know</w:t>
      </w:r>
    </w:p>
    <w:p w14:paraId="599B3862" w14:textId="77777777" w:rsidR="005F0A67" w:rsidRPr="005F0A67" w:rsidRDefault="005F0A67" w:rsidP="005F0A67">
      <w:pPr>
        <w:widowControl w:val="0"/>
        <w:tabs>
          <w:tab w:val="clear" w:pos="567"/>
          <w:tab w:val="clear" w:pos="1134"/>
          <w:tab w:val="clear" w:pos="1701"/>
          <w:tab w:val="clear" w:pos="2268"/>
        </w:tabs>
        <w:jc w:val="left"/>
        <w:rPr>
          <w:rFonts w:asciiTheme="majorBidi" w:eastAsia="Arial" w:hAnsiTheme="majorBidi" w:cstheme="majorBidi"/>
          <w:sz w:val="14"/>
          <w:szCs w:val="14"/>
          <w:lang w:val="en-US"/>
        </w:rPr>
        <w:sectPr w:rsidR="005F0A67" w:rsidRPr="005F0A67" w:rsidSect="005F0A67">
          <w:type w:val="continuous"/>
          <w:pgSz w:w="11900" w:h="16840"/>
          <w:pgMar w:top="1360" w:right="1700" w:bottom="280" w:left="1700" w:header="720" w:footer="720" w:gutter="0"/>
          <w:cols w:space="720"/>
        </w:sectPr>
      </w:pPr>
    </w:p>
    <w:p w14:paraId="32CEE0D8" w14:textId="77777777" w:rsidR="005F0A67" w:rsidRPr="005F0A67" w:rsidRDefault="005F0A67" w:rsidP="003A387A">
      <w:pPr>
        <w:widowControl w:val="0"/>
        <w:numPr>
          <w:ilvl w:val="0"/>
          <w:numId w:val="44"/>
        </w:numPr>
        <w:tabs>
          <w:tab w:val="clear" w:pos="567"/>
          <w:tab w:val="clear" w:pos="1134"/>
          <w:tab w:val="clear" w:pos="1701"/>
          <w:tab w:val="clear" w:pos="2268"/>
          <w:tab w:val="left" w:pos="703"/>
        </w:tabs>
        <w:autoSpaceDE w:val="0"/>
        <w:autoSpaceDN w:val="0"/>
        <w:spacing w:before="97"/>
        <w:ind w:left="703" w:hanging="279"/>
        <w:jc w:val="left"/>
        <w:rPr>
          <w:rFonts w:asciiTheme="majorBidi" w:eastAsia="Georgia" w:hAnsiTheme="majorBidi" w:cstheme="majorBidi"/>
          <w:color w:val="1A1A1A"/>
          <w:sz w:val="17"/>
          <w:szCs w:val="17"/>
          <w:lang w:eastAsia="en-GB"/>
        </w:rPr>
      </w:pPr>
      <w:r w:rsidRPr="005F0A67">
        <w:rPr>
          <w:rFonts w:asciiTheme="majorBidi" w:eastAsia="Georgia" w:hAnsiTheme="majorBidi" w:cstheme="majorBidi"/>
          <w:color w:val="242424"/>
          <w:sz w:val="17"/>
          <w:szCs w:val="17"/>
          <w:lang w:eastAsia="en-GB"/>
        </w:rPr>
        <w:lastRenderedPageBreak/>
        <w:t>How</w:t>
      </w:r>
      <w:r w:rsidRPr="005F0A67">
        <w:rPr>
          <w:rFonts w:asciiTheme="majorBidi" w:eastAsia="Georgia" w:hAnsiTheme="majorBidi" w:cstheme="majorBidi"/>
          <w:color w:val="242424"/>
          <w:spacing w:val="-9"/>
          <w:sz w:val="17"/>
          <w:szCs w:val="17"/>
          <w:lang w:eastAsia="en-GB"/>
        </w:rPr>
        <w:t xml:space="preserve"> </w:t>
      </w:r>
      <w:r w:rsidRPr="005F0A67">
        <w:rPr>
          <w:rFonts w:asciiTheme="majorBidi" w:eastAsia="Georgia" w:hAnsiTheme="majorBidi" w:cstheme="majorBidi"/>
          <w:color w:val="242424"/>
          <w:sz w:val="17"/>
          <w:szCs w:val="17"/>
          <w:lang w:eastAsia="en-GB"/>
        </w:rPr>
        <w:t>many</w:t>
      </w:r>
      <w:r w:rsidRPr="005F0A67">
        <w:rPr>
          <w:rFonts w:asciiTheme="majorBidi" w:eastAsia="Georgia" w:hAnsiTheme="majorBidi" w:cstheme="majorBidi"/>
          <w:color w:val="242424"/>
          <w:spacing w:val="-9"/>
          <w:sz w:val="17"/>
          <w:szCs w:val="17"/>
          <w:lang w:eastAsia="en-GB"/>
        </w:rPr>
        <w:t xml:space="preserve"> </w:t>
      </w:r>
      <w:r w:rsidRPr="005F0A67">
        <w:rPr>
          <w:rFonts w:asciiTheme="majorBidi" w:eastAsia="Georgia" w:hAnsiTheme="majorBidi" w:cstheme="majorBidi"/>
          <w:b/>
          <w:bCs/>
          <w:color w:val="242424"/>
          <w:sz w:val="17"/>
          <w:szCs w:val="17"/>
          <w:lang w:eastAsia="en-GB"/>
        </w:rPr>
        <w:t>significant</w:t>
      </w:r>
      <w:r w:rsidRPr="005F0A67">
        <w:rPr>
          <w:rFonts w:asciiTheme="majorBidi" w:eastAsia="Georgia" w:hAnsiTheme="majorBidi" w:cstheme="majorBidi"/>
          <w:b/>
          <w:bCs/>
          <w:color w:val="242424"/>
          <w:spacing w:val="-9"/>
          <w:sz w:val="17"/>
          <w:szCs w:val="17"/>
          <w:lang w:eastAsia="en-GB"/>
        </w:rPr>
        <w:t xml:space="preserve"> </w:t>
      </w:r>
      <w:r w:rsidRPr="005F0A67">
        <w:rPr>
          <w:rFonts w:asciiTheme="majorBidi" w:eastAsia="Georgia" w:hAnsiTheme="majorBidi" w:cstheme="majorBidi"/>
          <w:b/>
          <w:bCs/>
          <w:color w:val="242424"/>
          <w:sz w:val="17"/>
          <w:szCs w:val="17"/>
          <w:lang w:eastAsia="en-GB"/>
        </w:rPr>
        <w:t>competitors</w:t>
      </w:r>
      <w:r w:rsidRPr="005F0A67">
        <w:rPr>
          <w:rFonts w:asciiTheme="majorBidi" w:eastAsia="Georgia" w:hAnsiTheme="majorBidi" w:cstheme="majorBidi"/>
          <w:b/>
          <w:bCs/>
          <w:color w:val="242424"/>
          <w:spacing w:val="-9"/>
          <w:sz w:val="17"/>
          <w:szCs w:val="17"/>
          <w:lang w:eastAsia="en-GB"/>
        </w:rPr>
        <w:t xml:space="preserve"> </w:t>
      </w:r>
      <w:r w:rsidRPr="005F0A67">
        <w:rPr>
          <w:rFonts w:asciiTheme="majorBidi" w:eastAsia="Georgia" w:hAnsiTheme="majorBidi" w:cstheme="majorBidi"/>
          <w:color w:val="242424"/>
          <w:sz w:val="17"/>
          <w:szCs w:val="17"/>
          <w:lang w:eastAsia="en-GB"/>
        </w:rPr>
        <w:t>does</w:t>
      </w:r>
      <w:r w:rsidRPr="005F0A67">
        <w:rPr>
          <w:rFonts w:asciiTheme="majorBidi" w:eastAsia="Georgia" w:hAnsiTheme="majorBidi" w:cstheme="majorBidi"/>
          <w:color w:val="242424"/>
          <w:spacing w:val="-8"/>
          <w:sz w:val="17"/>
          <w:szCs w:val="17"/>
          <w:lang w:eastAsia="en-GB"/>
        </w:rPr>
        <w:t xml:space="preserve"> </w:t>
      </w:r>
      <w:r w:rsidRPr="005F0A67">
        <w:rPr>
          <w:rFonts w:asciiTheme="majorBidi" w:eastAsia="Georgia" w:hAnsiTheme="majorBidi" w:cstheme="majorBidi"/>
          <w:color w:val="242424"/>
          <w:sz w:val="17"/>
          <w:szCs w:val="17"/>
          <w:lang w:eastAsia="en-GB"/>
        </w:rPr>
        <w:t>your</w:t>
      </w:r>
      <w:r w:rsidRPr="005F0A67">
        <w:rPr>
          <w:rFonts w:asciiTheme="majorBidi" w:eastAsia="Georgia" w:hAnsiTheme="majorBidi" w:cstheme="majorBidi"/>
          <w:color w:val="242424"/>
          <w:spacing w:val="-9"/>
          <w:sz w:val="17"/>
          <w:szCs w:val="17"/>
          <w:lang w:eastAsia="en-GB"/>
        </w:rPr>
        <w:t xml:space="preserve"> </w:t>
      </w:r>
      <w:r w:rsidRPr="005F0A67">
        <w:rPr>
          <w:rFonts w:asciiTheme="majorBidi" w:eastAsia="Georgia" w:hAnsiTheme="majorBidi" w:cstheme="majorBidi"/>
          <w:color w:val="242424"/>
          <w:sz w:val="17"/>
          <w:szCs w:val="17"/>
          <w:lang w:eastAsia="en-GB"/>
        </w:rPr>
        <w:t>main</w:t>
      </w:r>
      <w:r w:rsidRPr="005F0A67">
        <w:rPr>
          <w:rFonts w:asciiTheme="majorBidi" w:eastAsia="Georgia" w:hAnsiTheme="majorBidi" w:cstheme="majorBidi"/>
          <w:color w:val="242424"/>
          <w:spacing w:val="-9"/>
          <w:sz w:val="17"/>
          <w:szCs w:val="17"/>
          <w:lang w:eastAsia="en-GB"/>
        </w:rPr>
        <w:t xml:space="preserve"> </w:t>
      </w:r>
      <w:r w:rsidRPr="005F0A67">
        <w:rPr>
          <w:rFonts w:asciiTheme="majorBidi" w:eastAsia="Georgia" w:hAnsiTheme="majorBidi" w:cstheme="majorBidi"/>
          <w:color w:val="242424"/>
          <w:sz w:val="17"/>
          <w:szCs w:val="17"/>
          <w:lang w:eastAsia="en-GB"/>
        </w:rPr>
        <w:t>product/service</w:t>
      </w:r>
      <w:r w:rsidRPr="005F0A67">
        <w:rPr>
          <w:rFonts w:asciiTheme="majorBidi" w:eastAsia="Georgia" w:hAnsiTheme="majorBidi" w:cstheme="majorBidi"/>
          <w:color w:val="242424"/>
          <w:spacing w:val="-9"/>
          <w:sz w:val="17"/>
          <w:szCs w:val="17"/>
          <w:lang w:eastAsia="en-GB"/>
        </w:rPr>
        <w:t xml:space="preserve"> </w:t>
      </w:r>
      <w:r w:rsidRPr="005F0A67">
        <w:rPr>
          <w:rFonts w:asciiTheme="majorBidi" w:eastAsia="Georgia" w:hAnsiTheme="majorBidi" w:cstheme="majorBidi"/>
          <w:color w:val="242424"/>
          <w:sz w:val="17"/>
          <w:szCs w:val="17"/>
          <w:lang w:eastAsia="en-GB"/>
        </w:rPr>
        <w:t>face?</w:t>
      </w:r>
      <w:r w:rsidRPr="005F0A67">
        <w:rPr>
          <w:rFonts w:asciiTheme="majorBidi" w:eastAsia="Georgia" w:hAnsiTheme="majorBidi" w:cstheme="majorBidi"/>
          <w:color w:val="242424"/>
          <w:spacing w:val="-9"/>
          <w:sz w:val="17"/>
          <w:szCs w:val="17"/>
          <w:lang w:eastAsia="en-GB"/>
        </w:rPr>
        <w:t xml:space="preserve"> </w:t>
      </w:r>
      <w:r w:rsidRPr="005F0A67">
        <w:rPr>
          <w:rFonts w:asciiTheme="majorBidi" w:eastAsia="Georgia" w:hAnsiTheme="majorBidi" w:cstheme="majorBidi"/>
          <w:color w:val="AE1515"/>
          <w:spacing w:val="-10"/>
          <w:sz w:val="17"/>
          <w:szCs w:val="17"/>
          <w:lang w:eastAsia="en-GB"/>
        </w:rPr>
        <w:t>*</w:t>
      </w:r>
    </w:p>
    <w:p w14:paraId="45947EC2" w14:textId="77777777" w:rsidR="005F0A67" w:rsidRPr="005F0A67" w:rsidRDefault="005F0A67" w:rsidP="005F0A67">
      <w:pPr>
        <w:widowControl w:val="0"/>
        <w:tabs>
          <w:tab w:val="clear" w:pos="567"/>
          <w:tab w:val="clear" w:pos="1134"/>
          <w:tab w:val="clear" w:pos="1701"/>
          <w:tab w:val="clear" w:pos="2268"/>
        </w:tabs>
        <w:spacing w:before="123"/>
        <w:jc w:val="left"/>
        <w:rPr>
          <w:rFonts w:asciiTheme="majorBidi" w:eastAsia="Arial" w:hAnsiTheme="majorBidi" w:cstheme="majorBidi"/>
          <w:sz w:val="14"/>
          <w:szCs w:val="14"/>
          <w:lang w:val="en-US"/>
        </w:rPr>
      </w:pPr>
    </w:p>
    <w:p w14:paraId="6CCFAC78" w14:textId="77777777" w:rsidR="005F0A67" w:rsidRPr="005F0A67" w:rsidRDefault="005F0A67" w:rsidP="005F0A67">
      <w:pPr>
        <w:widowControl w:val="0"/>
        <w:tabs>
          <w:tab w:val="clear" w:pos="567"/>
          <w:tab w:val="clear" w:pos="1134"/>
          <w:tab w:val="clear" w:pos="1701"/>
          <w:tab w:val="clear" w:pos="2268"/>
        </w:tabs>
        <w:ind w:left="725"/>
        <w:jc w:val="left"/>
        <w:rPr>
          <w:rFonts w:asciiTheme="majorBidi" w:eastAsia="Arial" w:hAnsiTheme="majorBidi" w:cstheme="majorBidi"/>
          <w:sz w:val="14"/>
          <w:szCs w:val="14"/>
          <w:lang w:val="en-US"/>
        </w:rPr>
      </w:pPr>
      <w:r w:rsidRPr="005F0A67">
        <w:rPr>
          <w:rFonts w:asciiTheme="majorBidi" w:eastAsia="Arial" w:hAnsiTheme="majorBidi" w:cstheme="majorBidi"/>
          <w:noProof/>
          <w:position w:val="-4"/>
          <w:sz w:val="14"/>
          <w:szCs w:val="14"/>
          <w:lang w:val="en-US"/>
        </w:rPr>
        <w:drawing>
          <wp:inline distT="0" distB="0" distL="0" distR="0" wp14:anchorId="3B7B6D67" wp14:editId="0920CC4F">
            <wp:extent cx="127000" cy="127000"/>
            <wp:effectExtent l="0" t="0" r="0" b="0"/>
            <wp:docPr id="230" name="Image 2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0" name="Image 230"/>
                    <pic:cNvPicPr/>
                  </pic:nvPicPr>
                  <pic:blipFill>
                    <a:blip r:embed="rId53" cstate="print"/>
                    <a:stretch>
                      <a:fillRect/>
                    </a:stretch>
                  </pic:blipFill>
                  <pic:spPr>
                    <a:xfrm>
                      <a:off x="0" y="0"/>
                      <a:ext cx="127000" cy="127000"/>
                    </a:xfrm>
                    <a:prstGeom prst="rect">
                      <a:avLst/>
                    </a:prstGeom>
                  </pic:spPr>
                </pic:pic>
              </a:graphicData>
            </a:graphic>
          </wp:inline>
        </w:drawing>
      </w:r>
      <w:r w:rsidRPr="005F0A67">
        <w:rPr>
          <w:rFonts w:asciiTheme="majorBidi" w:eastAsia="Arial" w:hAnsiTheme="majorBidi" w:cstheme="majorBidi"/>
          <w:spacing w:val="80"/>
          <w:sz w:val="20"/>
          <w:szCs w:val="20"/>
          <w:lang w:val="en-US"/>
        </w:rPr>
        <w:t xml:space="preserve"> </w:t>
      </w:r>
      <w:r w:rsidRPr="005F0A67">
        <w:rPr>
          <w:rFonts w:asciiTheme="majorBidi" w:eastAsia="Arial" w:hAnsiTheme="majorBidi" w:cstheme="majorBidi"/>
          <w:color w:val="242424"/>
          <w:sz w:val="14"/>
          <w:szCs w:val="14"/>
          <w:lang w:val="en-US"/>
        </w:rPr>
        <w:t>None (monopoly)</w:t>
      </w:r>
    </w:p>
    <w:p w14:paraId="7618692F" w14:textId="77777777" w:rsidR="005F0A67" w:rsidRPr="005F0A67" w:rsidRDefault="005F0A67" w:rsidP="005F0A67">
      <w:pPr>
        <w:widowControl w:val="0"/>
        <w:tabs>
          <w:tab w:val="clear" w:pos="567"/>
          <w:tab w:val="clear" w:pos="1134"/>
          <w:tab w:val="clear" w:pos="1701"/>
          <w:tab w:val="clear" w:pos="2268"/>
        </w:tabs>
        <w:spacing w:before="139"/>
        <w:jc w:val="left"/>
        <w:rPr>
          <w:rFonts w:asciiTheme="majorBidi" w:eastAsia="Arial" w:hAnsiTheme="majorBidi" w:cstheme="majorBidi"/>
          <w:sz w:val="14"/>
          <w:szCs w:val="14"/>
          <w:lang w:val="en-US"/>
        </w:rPr>
      </w:pPr>
    </w:p>
    <w:p w14:paraId="21881800" w14:textId="77777777" w:rsidR="005F0A67" w:rsidRPr="005F0A67" w:rsidRDefault="005F0A67" w:rsidP="005F0A67">
      <w:pPr>
        <w:widowControl w:val="0"/>
        <w:tabs>
          <w:tab w:val="clear" w:pos="567"/>
          <w:tab w:val="clear" w:pos="1134"/>
          <w:tab w:val="clear" w:pos="1701"/>
          <w:tab w:val="clear" w:pos="2268"/>
        </w:tabs>
        <w:ind w:left="725"/>
        <w:jc w:val="left"/>
        <w:rPr>
          <w:rFonts w:asciiTheme="majorBidi" w:eastAsia="Arial" w:hAnsiTheme="majorBidi" w:cstheme="majorBidi"/>
          <w:sz w:val="14"/>
          <w:szCs w:val="14"/>
          <w:lang w:val="en-US"/>
        </w:rPr>
      </w:pPr>
      <w:r w:rsidRPr="005F0A67">
        <w:rPr>
          <w:rFonts w:asciiTheme="majorBidi" w:eastAsia="Arial" w:hAnsiTheme="majorBidi" w:cstheme="majorBidi"/>
          <w:noProof/>
          <w:position w:val="-4"/>
          <w:sz w:val="14"/>
          <w:szCs w:val="14"/>
          <w:lang w:val="en-US"/>
        </w:rPr>
        <w:drawing>
          <wp:inline distT="0" distB="0" distL="0" distR="0" wp14:anchorId="4A4A958A" wp14:editId="2A57BABB">
            <wp:extent cx="127000" cy="127000"/>
            <wp:effectExtent l="0" t="0" r="0" b="0"/>
            <wp:docPr id="231" name="Image 2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1" name="Image 231"/>
                    <pic:cNvPicPr/>
                  </pic:nvPicPr>
                  <pic:blipFill>
                    <a:blip r:embed="rId37" cstate="print"/>
                    <a:stretch>
                      <a:fillRect/>
                    </a:stretch>
                  </pic:blipFill>
                  <pic:spPr>
                    <a:xfrm>
                      <a:off x="0" y="0"/>
                      <a:ext cx="127000" cy="127000"/>
                    </a:xfrm>
                    <a:prstGeom prst="rect">
                      <a:avLst/>
                    </a:prstGeom>
                  </pic:spPr>
                </pic:pic>
              </a:graphicData>
            </a:graphic>
          </wp:inline>
        </w:drawing>
      </w:r>
      <w:r w:rsidRPr="005F0A67">
        <w:rPr>
          <w:rFonts w:asciiTheme="majorBidi" w:eastAsia="Arial" w:hAnsiTheme="majorBidi" w:cstheme="majorBidi"/>
          <w:spacing w:val="80"/>
          <w:sz w:val="20"/>
          <w:szCs w:val="20"/>
          <w:lang w:val="en-US"/>
        </w:rPr>
        <w:t xml:space="preserve"> </w:t>
      </w:r>
      <w:r w:rsidRPr="005F0A67">
        <w:rPr>
          <w:rFonts w:asciiTheme="majorBidi" w:eastAsia="Arial" w:hAnsiTheme="majorBidi" w:cstheme="majorBidi"/>
          <w:color w:val="242424"/>
          <w:sz w:val="14"/>
          <w:szCs w:val="14"/>
          <w:lang w:val="en-US"/>
        </w:rPr>
        <w:t>1 competitor (duopoly)</w:t>
      </w:r>
    </w:p>
    <w:p w14:paraId="7D0D8F70" w14:textId="77777777" w:rsidR="005F0A67" w:rsidRPr="005F0A67" w:rsidRDefault="005F0A67" w:rsidP="005F0A67">
      <w:pPr>
        <w:widowControl w:val="0"/>
        <w:tabs>
          <w:tab w:val="clear" w:pos="567"/>
          <w:tab w:val="clear" w:pos="1134"/>
          <w:tab w:val="clear" w:pos="1701"/>
          <w:tab w:val="clear" w:pos="2268"/>
        </w:tabs>
        <w:spacing w:before="139"/>
        <w:jc w:val="left"/>
        <w:rPr>
          <w:rFonts w:asciiTheme="majorBidi" w:eastAsia="Arial" w:hAnsiTheme="majorBidi" w:cstheme="majorBidi"/>
          <w:sz w:val="14"/>
          <w:szCs w:val="14"/>
          <w:lang w:val="en-US"/>
        </w:rPr>
      </w:pPr>
    </w:p>
    <w:p w14:paraId="0C44BAEB" w14:textId="77777777" w:rsidR="005F0A67" w:rsidRPr="005F0A67" w:rsidRDefault="005F0A67" w:rsidP="005F0A67">
      <w:pPr>
        <w:widowControl w:val="0"/>
        <w:tabs>
          <w:tab w:val="clear" w:pos="567"/>
          <w:tab w:val="clear" w:pos="1134"/>
          <w:tab w:val="clear" w:pos="1701"/>
          <w:tab w:val="clear" w:pos="2268"/>
        </w:tabs>
        <w:ind w:left="725"/>
        <w:jc w:val="left"/>
        <w:rPr>
          <w:rFonts w:asciiTheme="majorBidi" w:eastAsia="Arial" w:hAnsiTheme="majorBidi" w:cstheme="majorBidi"/>
          <w:sz w:val="14"/>
          <w:szCs w:val="14"/>
          <w:lang w:val="en-US"/>
        </w:rPr>
      </w:pPr>
      <w:r w:rsidRPr="005F0A67">
        <w:rPr>
          <w:rFonts w:asciiTheme="majorBidi" w:eastAsia="Arial" w:hAnsiTheme="majorBidi" w:cstheme="majorBidi"/>
          <w:noProof/>
          <w:position w:val="-4"/>
          <w:sz w:val="14"/>
          <w:szCs w:val="14"/>
          <w:lang w:val="en-US"/>
        </w:rPr>
        <w:drawing>
          <wp:inline distT="0" distB="0" distL="0" distR="0" wp14:anchorId="02A36B7C" wp14:editId="525F1577">
            <wp:extent cx="127000" cy="127000"/>
            <wp:effectExtent l="0" t="0" r="0" b="0"/>
            <wp:docPr id="232" name="Image 2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2" name="Image 232"/>
                    <pic:cNvPicPr/>
                  </pic:nvPicPr>
                  <pic:blipFill>
                    <a:blip r:embed="rId37" cstate="print"/>
                    <a:stretch>
                      <a:fillRect/>
                    </a:stretch>
                  </pic:blipFill>
                  <pic:spPr>
                    <a:xfrm>
                      <a:off x="0" y="0"/>
                      <a:ext cx="127000" cy="127000"/>
                    </a:xfrm>
                    <a:prstGeom prst="rect">
                      <a:avLst/>
                    </a:prstGeom>
                  </pic:spPr>
                </pic:pic>
              </a:graphicData>
            </a:graphic>
          </wp:inline>
        </w:drawing>
      </w:r>
      <w:r w:rsidRPr="005F0A67">
        <w:rPr>
          <w:rFonts w:asciiTheme="majorBidi" w:eastAsia="Arial" w:hAnsiTheme="majorBidi" w:cstheme="majorBidi"/>
          <w:spacing w:val="80"/>
          <w:sz w:val="20"/>
          <w:szCs w:val="20"/>
          <w:lang w:val="en-US"/>
        </w:rPr>
        <w:t xml:space="preserve"> </w:t>
      </w:r>
      <w:r w:rsidRPr="005F0A67">
        <w:rPr>
          <w:rFonts w:asciiTheme="majorBidi" w:eastAsia="Arial" w:hAnsiTheme="majorBidi" w:cstheme="majorBidi"/>
          <w:color w:val="242424"/>
          <w:sz w:val="14"/>
          <w:szCs w:val="14"/>
          <w:lang w:val="en-US"/>
        </w:rPr>
        <w:t>2-5 competitors</w:t>
      </w:r>
    </w:p>
    <w:p w14:paraId="43C38D55" w14:textId="77777777" w:rsidR="005F0A67" w:rsidRPr="005F0A67" w:rsidRDefault="005F0A67" w:rsidP="005F0A67">
      <w:pPr>
        <w:widowControl w:val="0"/>
        <w:tabs>
          <w:tab w:val="clear" w:pos="567"/>
          <w:tab w:val="clear" w:pos="1134"/>
          <w:tab w:val="clear" w:pos="1701"/>
          <w:tab w:val="clear" w:pos="2268"/>
        </w:tabs>
        <w:spacing w:before="139"/>
        <w:jc w:val="left"/>
        <w:rPr>
          <w:rFonts w:asciiTheme="majorBidi" w:eastAsia="Arial" w:hAnsiTheme="majorBidi" w:cstheme="majorBidi"/>
          <w:sz w:val="14"/>
          <w:szCs w:val="14"/>
          <w:lang w:val="en-US"/>
        </w:rPr>
      </w:pPr>
    </w:p>
    <w:p w14:paraId="4011C60D" w14:textId="77777777" w:rsidR="005F0A67" w:rsidRPr="005F0A67" w:rsidRDefault="005F0A67" w:rsidP="005F0A67">
      <w:pPr>
        <w:widowControl w:val="0"/>
        <w:tabs>
          <w:tab w:val="clear" w:pos="567"/>
          <w:tab w:val="clear" w:pos="1134"/>
          <w:tab w:val="clear" w:pos="1701"/>
          <w:tab w:val="clear" w:pos="2268"/>
        </w:tabs>
        <w:spacing w:line="600" w:lineRule="auto"/>
        <w:ind w:left="725" w:right="5767"/>
        <w:jc w:val="left"/>
        <w:rPr>
          <w:rFonts w:asciiTheme="majorBidi" w:eastAsia="Arial" w:hAnsiTheme="majorBidi" w:cstheme="majorBidi"/>
          <w:sz w:val="14"/>
          <w:szCs w:val="14"/>
          <w:lang w:val="en-US"/>
        </w:rPr>
      </w:pPr>
      <w:r w:rsidRPr="005F0A67">
        <w:rPr>
          <w:rFonts w:asciiTheme="majorBidi" w:eastAsia="Arial" w:hAnsiTheme="majorBidi" w:cstheme="majorBidi"/>
          <w:noProof/>
          <w:position w:val="-4"/>
          <w:sz w:val="14"/>
          <w:szCs w:val="14"/>
          <w:lang w:val="en-US"/>
        </w:rPr>
        <w:drawing>
          <wp:inline distT="0" distB="0" distL="0" distR="0" wp14:anchorId="24C75086" wp14:editId="0D68EA71">
            <wp:extent cx="127000" cy="127000"/>
            <wp:effectExtent l="0" t="0" r="0" b="0"/>
            <wp:docPr id="233" name="Image 2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3" name="Image 233"/>
                    <pic:cNvPicPr/>
                  </pic:nvPicPr>
                  <pic:blipFill>
                    <a:blip r:embed="rId53" cstate="print"/>
                    <a:stretch>
                      <a:fillRect/>
                    </a:stretch>
                  </pic:blipFill>
                  <pic:spPr>
                    <a:xfrm>
                      <a:off x="0" y="0"/>
                      <a:ext cx="127000" cy="127000"/>
                    </a:xfrm>
                    <a:prstGeom prst="rect">
                      <a:avLst/>
                    </a:prstGeom>
                  </pic:spPr>
                </pic:pic>
              </a:graphicData>
            </a:graphic>
          </wp:inline>
        </w:drawing>
      </w:r>
      <w:r w:rsidRPr="005F0A67">
        <w:rPr>
          <w:rFonts w:asciiTheme="majorBidi" w:eastAsia="Arial" w:hAnsiTheme="majorBidi" w:cstheme="majorBidi"/>
          <w:spacing w:val="80"/>
          <w:sz w:val="20"/>
          <w:szCs w:val="20"/>
          <w:lang w:val="en-US"/>
        </w:rPr>
        <w:t xml:space="preserve"> </w:t>
      </w:r>
      <w:r w:rsidRPr="005F0A67">
        <w:rPr>
          <w:rFonts w:asciiTheme="majorBidi" w:eastAsia="Arial" w:hAnsiTheme="majorBidi" w:cstheme="majorBidi"/>
          <w:color w:val="242424"/>
          <w:sz w:val="14"/>
          <w:szCs w:val="14"/>
          <w:lang w:val="en-US"/>
        </w:rPr>
        <w:t>More</w:t>
      </w:r>
      <w:r w:rsidRPr="005F0A67">
        <w:rPr>
          <w:rFonts w:asciiTheme="majorBidi" w:eastAsia="Arial" w:hAnsiTheme="majorBidi" w:cstheme="majorBidi"/>
          <w:color w:val="242424"/>
          <w:spacing w:val="-3"/>
          <w:sz w:val="14"/>
          <w:szCs w:val="14"/>
          <w:lang w:val="en-US"/>
        </w:rPr>
        <w:t xml:space="preserve"> </w:t>
      </w:r>
      <w:r w:rsidRPr="005F0A67">
        <w:rPr>
          <w:rFonts w:asciiTheme="majorBidi" w:eastAsia="Arial" w:hAnsiTheme="majorBidi" w:cstheme="majorBidi"/>
          <w:color w:val="242424"/>
          <w:sz w:val="14"/>
          <w:szCs w:val="14"/>
          <w:lang w:val="en-US"/>
        </w:rPr>
        <w:t>than</w:t>
      </w:r>
      <w:r w:rsidRPr="005F0A67">
        <w:rPr>
          <w:rFonts w:asciiTheme="majorBidi" w:eastAsia="Arial" w:hAnsiTheme="majorBidi" w:cstheme="majorBidi"/>
          <w:color w:val="242424"/>
          <w:spacing w:val="-3"/>
          <w:sz w:val="14"/>
          <w:szCs w:val="14"/>
          <w:lang w:val="en-US"/>
        </w:rPr>
        <w:t xml:space="preserve"> </w:t>
      </w:r>
      <w:r w:rsidRPr="005F0A67">
        <w:rPr>
          <w:rFonts w:asciiTheme="majorBidi" w:eastAsia="Arial" w:hAnsiTheme="majorBidi" w:cstheme="majorBidi"/>
          <w:color w:val="242424"/>
          <w:sz w:val="14"/>
          <w:szCs w:val="14"/>
          <w:lang w:val="en-US"/>
        </w:rPr>
        <w:t>5</w:t>
      </w:r>
      <w:r w:rsidRPr="005F0A67">
        <w:rPr>
          <w:rFonts w:asciiTheme="majorBidi" w:eastAsia="Arial" w:hAnsiTheme="majorBidi" w:cstheme="majorBidi"/>
          <w:color w:val="242424"/>
          <w:spacing w:val="-3"/>
          <w:sz w:val="14"/>
          <w:szCs w:val="14"/>
          <w:lang w:val="en-US"/>
        </w:rPr>
        <w:t xml:space="preserve"> </w:t>
      </w:r>
      <w:r w:rsidRPr="005F0A67">
        <w:rPr>
          <w:rFonts w:asciiTheme="majorBidi" w:eastAsia="Arial" w:hAnsiTheme="majorBidi" w:cstheme="majorBidi"/>
          <w:color w:val="242424"/>
          <w:sz w:val="14"/>
          <w:szCs w:val="14"/>
          <w:lang w:val="en-US"/>
        </w:rPr>
        <w:t>competitors</w:t>
      </w:r>
      <w:r w:rsidRPr="005F0A67">
        <w:rPr>
          <w:rFonts w:asciiTheme="majorBidi" w:eastAsia="Arial" w:hAnsiTheme="majorBidi" w:cstheme="majorBidi"/>
          <w:color w:val="242424"/>
          <w:spacing w:val="40"/>
          <w:sz w:val="14"/>
          <w:szCs w:val="14"/>
          <w:lang w:val="en-US"/>
        </w:rPr>
        <w:t xml:space="preserve"> </w:t>
      </w:r>
      <w:r w:rsidRPr="005F0A67">
        <w:rPr>
          <w:rFonts w:asciiTheme="majorBidi" w:eastAsia="Arial" w:hAnsiTheme="majorBidi" w:cstheme="majorBidi"/>
          <w:noProof/>
          <w:color w:val="242424"/>
          <w:position w:val="-4"/>
          <w:sz w:val="14"/>
          <w:szCs w:val="14"/>
          <w:lang w:val="en-US"/>
        </w:rPr>
        <w:drawing>
          <wp:inline distT="0" distB="0" distL="0" distR="0" wp14:anchorId="0CF6A8A7" wp14:editId="6DB0B999">
            <wp:extent cx="127000" cy="127000"/>
            <wp:effectExtent l="0" t="0" r="0" b="0"/>
            <wp:docPr id="234" name="Image 2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4" name="Image 234"/>
                    <pic:cNvPicPr/>
                  </pic:nvPicPr>
                  <pic:blipFill>
                    <a:blip r:embed="rId42" cstate="print"/>
                    <a:stretch>
                      <a:fillRect/>
                    </a:stretch>
                  </pic:blipFill>
                  <pic:spPr>
                    <a:xfrm>
                      <a:off x="0" y="0"/>
                      <a:ext cx="127000" cy="127000"/>
                    </a:xfrm>
                    <a:prstGeom prst="rect">
                      <a:avLst/>
                    </a:prstGeom>
                  </pic:spPr>
                </pic:pic>
              </a:graphicData>
            </a:graphic>
          </wp:inline>
        </w:drawing>
      </w:r>
      <w:r w:rsidRPr="005F0A67">
        <w:rPr>
          <w:rFonts w:asciiTheme="majorBidi" w:eastAsia="Arial" w:hAnsiTheme="majorBidi" w:cstheme="majorBidi"/>
          <w:color w:val="242424"/>
          <w:spacing w:val="80"/>
          <w:sz w:val="14"/>
          <w:szCs w:val="14"/>
          <w:lang w:val="en-US"/>
        </w:rPr>
        <w:t xml:space="preserve"> </w:t>
      </w:r>
      <w:r w:rsidRPr="005F0A67">
        <w:rPr>
          <w:rFonts w:asciiTheme="majorBidi" w:eastAsia="Arial" w:hAnsiTheme="majorBidi" w:cstheme="majorBidi"/>
          <w:color w:val="242424"/>
          <w:sz w:val="14"/>
          <w:szCs w:val="14"/>
          <w:lang w:val="en-US"/>
        </w:rPr>
        <w:t>Don't know</w:t>
      </w:r>
    </w:p>
    <w:p w14:paraId="04E7C834" w14:textId="77777777" w:rsidR="005F0A67" w:rsidRPr="005F0A67" w:rsidRDefault="005F0A67" w:rsidP="003A387A">
      <w:pPr>
        <w:widowControl w:val="0"/>
        <w:numPr>
          <w:ilvl w:val="0"/>
          <w:numId w:val="44"/>
        </w:numPr>
        <w:tabs>
          <w:tab w:val="clear" w:pos="567"/>
          <w:tab w:val="clear" w:pos="1134"/>
          <w:tab w:val="clear" w:pos="1701"/>
          <w:tab w:val="clear" w:pos="2268"/>
          <w:tab w:val="left" w:pos="703"/>
          <w:tab w:val="left" w:pos="705"/>
        </w:tabs>
        <w:autoSpaceDE w:val="0"/>
        <w:autoSpaceDN w:val="0"/>
        <w:spacing w:line="271" w:lineRule="auto"/>
        <w:ind w:right="1234" w:hanging="281"/>
        <w:jc w:val="left"/>
        <w:rPr>
          <w:rFonts w:asciiTheme="majorBidi" w:eastAsia="Georgia" w:hAnsiTheme="majorBidi" w:cstheme="majorBidi"/>
          <w:color w:val="1A1A1A"/>
          <w:sz w:val="17"/>
          <w:szCs w:val="17"/>
          <w:lang w:eastAsia="en-GB"/>
        </w:rPr>
      </w:pPr>
      <w:r w:rsidRPr="005F0A67">
        <w:rPr>
          <w:rFonts w:asciiTheme="majorBidi" w:eastAsia="Georgia" w:hAnsiTheme="majorBidi" w:cstheme="majorBidi"/>
          <w:color w:val="242424"/>
          <w:sz w:val="17"/>
          <w:szCs w:val="17"/>
          <w:lang w:eastAsia="en-GB"/>
        </w:rPr>
        <w:t xml:space="preserve">Would potential Cali Fund contributions affect your organisation </w:t>
      </w:r>
      <w:r w:rsidRPr="005F0A67">
        <w:rPr>
          <w:rFonts w:asciiTheme="majorBidi" w:eastAsia="Georgia" w:hAnsiTheme="majorBidi" w:cstheme="majorBidi"/>
          <w:b/>
          <w:bCs/>
          <w:color w:val="242424"/>
          <w:sz w:val="17"/>
          <w:szCs w:val="17"/>
          <w:lang w:eastAsia="en-GB"/>
        </w:rPr>
        <w:t>differently from your competitors</w:t>
      </w:r>
      <w:r w:rsidRPr="005F0A67">
        <w:rPr>
          <w:rFonts w:asciiTheme="majorBidi" w:eastAsia="Georgia" w:hAnsiTheme="majorBidi" w:cstheme="majorBidi"/>
          <w:color w:val="242424"/>
          <w:sz w:val="17"/>
          <w:szCs w:val="17"/>
          <w:lang w:eastAsia="en-GB"/>
        </w:rPr>
        <w:t xml:space="preserve">? </w:t>
      </w:r>
      <w:r w:rsidRPr="005F0A67">
        <w:rPr>
          <w:rFonts w:asciiTheme="majorBidi" w:eastAsia="Georgia" w:hAnsiTheme="majorBidi" w:cstheme="majorBidi"/>
          <w:color w:val="AE1515"/>
          <w:sz w:val="17"/>
          <w:szCs w:val="17"/>
          <w:lang w:eastAsia="en-GB"/>
        </w:rPr>
        <w:t>*</w:t>
      </w:r>
    </w:p>
    <w:p w14:paraId="4AF82072" w14:textId="77777777" w:rsidR="005F0A67" w:rsidRPr="005F0A67" w:rsidRDefault="005F0A67" w:rsidP="005F0A67">
      <w:pPr>
        <w:widowControl w:val="0"/>
        <w:tabs>
          <w:tab w:val="clear" w:pos="567"/>
          <w:tab w:val="clear" w:pos="1134"/>
          <w:tab w:val="clear" w:pos="1701"/>
          <w:tab w:val="clear" w:pos="2268"/>
        </w:tabs>
        <w:spacing w:before="97"/>
        <w:jc w:val="left"/>
        <w:rPr>
          <w:rFonts w:asciiTheme="majorBidi" w:eastAsia="Arial" w:hAnsiTheme="majorBidi" w:cstheme="majorBidi"/>
          <w:sz w:val="14"/>
          <w:szCs w:val="14"/>
          <w:lang w:val="en-US"/>
        </w:rPr>
      </w:pPr>
    </w:p>
    <w:p w14:paraId="2C01A00A" w14:textId="77777777" w:rsidR="005F0A67" w:rsidRPr="005F0A67" w:rsidRDefault="005F0A67" w:rsidP="005F0A67">
      <w:pPr>
        <w:widowControl w:val="0"/>
        <w:tabs>
          <w:tab w:val="clear" w:pos="567"/>
          <w:tab w:val="clear" w:pos="1134"/>
          <w:tab w:val="clear" w:pos="1701"/>
          <w:tab w:val="clear" w:pos="2268"/>
        </w:tabs>
        <w:spacing w:line="600" w:lineRule="auto"/>
        <w:ind w:left="725" w:right="3599"/>
        <w:jc w:val="left"/>
        <w:rPr>
          <w:rFonts w:asciiTheme="majorBidi" w:eastAsia="Arial" w:hAnsiTheme="majorBidi" w:cstheme="majorBidi"/>
          <w:sz w:val="14"/>
          <w:szCs w:val="14"/>
          <w:lang w:val="en-US"/>
        </w:rPr>
      </w:pPr>
      <w:r w:rsidRPr="005F0A67">
        <w:rPr>
          <w:rFonts w:asciiTheme="majorBidi" w:eastAsia="Arial" w:hAnsiTheme="majorBidi" w:cstheme="majorBidi"/>
          <w:noProof/>
          <w:position w:val="-4"/>
          <w:sz w:val="14"/>
          <w:szCs w:val="14"/>
          <w:lang w:val="en-US"/>
        </w:rPr>
        <w:drawing>
          <wp:inline distT="0" distB="0" distL="0" distR="0" wp14:anchorId="2FCD25DC" wp14:editId="6C322563">
            <wp:extent cx="127000" cy="127000"/>
            <wp:effectExtent l="0" t="0" r="0" b="0"/>
            <wp:docPr id="235" name="Image 2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5" name="Image 235"/>
                    <pic:cNvPicPr/>
                  </pic:nvPicPr>
                  <pic:blipFill>
                    <a:blip r:embed="rId37" cstate="print"/>
                    <a:stretch>
                      <a:fillRect/>
                    </a:stretch>
                  </pic:blipFill>
                  <pic:spPr>
                    <a:xfrm>
                      <a:off x="0" y="0"/>
                      <a:ext cx="127000" cy="127000"/>
                    </a:xfrm>
                    <a:prstGeom prst="rect">
                      <a:avLst/>
                    </a:prstGeom>
                  </pic:spPr>
                </pic:pic>
              </a:graphicData>
            </a:graphic>
          </wp:inline>
        </w:drawing>
      </w:r>
      <w:r w:rsidRPr="005F0A67">
        <w:rPr>
          <w:rFonts w:asciiTheme="majorBidi" w:eastAsia="Arial" w:hAnsiTheme="majorBidi" w:cstheme="majorBidi"/>
          <w:spacing w:val="73"/>
          <w:sz w:val="20"/>
          <w:szCs w:val="20"/>
          <w:lang w:val="en-US"/>
        </w:rPr>
        <w:t xml:space="preserve"> </w:t>
      </w:r>
      <w:r w:rsidRPr="005F0A67">
        <w:rPr>
          <w:rFonts w:asciiTheme="majorBidi" w:eastAsia="Arial" w:hAnsiTheme="majorBidi" w:cstheme="majorBidi"/>
          <w:color w:val="242424"/>
          <w:sz w:val="14"/>
          <w:szCs w:val="14"/>
          <w:lang w:val="en-US"/>
        </w:rPr>
        <w:t>We'd</w:t>
      </w:r>
      <w:r w:rsidRPr="005F0A67">
        <w:rPr>
          <w:rFonts w:asciiTheme="majorBidi" w:eastAsia="Arial" w:hAnsiTheme="majorBidi" w:cstheme="majorBidi"/>
          <w:color w:val="242424"/>
          <w:spacing w:val="-6"/>
          <w:sz w:val="14"/>
          <w:szCs w:val="14"/>
          <w:lang w:val="en-US"/>
        </w:rPr>
        <w:t xml:space="preserve"> </w:t>
      </w:r>
      <w:r w:rsidRPr="005F0A67">
        <w:rPr>
          <w:rFonts w:asciiTheme="majorBidi" w:eastAsia="Arial" w:hAnsiTheme="majorBidi" w:cstheme="majorBidi"/>
          <w:color w:val="242424"/>
          <w:sz w:val="14"/>
          <w:szCs w:val="14"/>
          <w:lang w:val="en-US"/>
        </w:rPr>
        <w:t>be</w:t>
      </w:r>
      <w:r w:rsidRPr="005F0A67">
        <w:rPr>
          <w:rFonts w:asciiTheme="majorBidi" w:eastAsia="Arial" w:hAnsiTheme="majorBidi" w:cstheme="majorBidi"/>
          <w:color w:val="242424"/>
          <w:spacing w:val="-6"/>
          <w:sz w:val="14"/>
          <w:szCs w:val="14"/>
          <w:lang w:val="en-US"/>
        </w:rPr>
        <w:t xml:space="preserve"> </w:t>
      </w:r>
      <w:r w:rsidRPr="005F0A67">
        <w:rPr>
          <w:rFonts w:asciiTheme="majorBidi" w:eastAsia="Arial" w:hAnsiTheme="majorBidi" w:cstheme="majorBidi"/>
          <w:color w:val="242424"/>
          <w:sz w:val="14"/>
          <w:szCs w:val="14"/>
          <w:lang w:val="en-US"/>
        </w:rPr>
        <w:t>more</w:t>
      </w:r>
      <w:r w:rsidRPr="005F0A67">
        <w:rPr>
          <w:rFonts w:asciiTheme="majorBidi" w:eastAsia="Arial" w:hAnsiTheme="majorBidi" w:cstheme="majorBidi"/>
          <w:color w:val="242424"/>
          <w:spacing w:val="-6"/>
          <w:sz w:val="14"/>
          <w:szCs w:val="14"/>
          <w:lang w:val="en-US"/>
        </w:rPr>
        <w:t xml:space="preserve"> </w:t>
      </w:r>
      <w:r w:rsidRPr="005F0A67">
        <w:rPr>
          <w:rFonts w:asciiTheme="majorBidi" w:eastAsia="Arial" w:hAnsiTheme="majorBidi" w:cstheme="majorBidi"/>
          <w:color w:val="242424"/>
          <w:sz w:val="14"/>
          <w:szCs w:val="14"/>
          <w:lang w:val="en-US"/>
        </w:rPr>
        <w:t>negatively</w:t>
      </w:r>
      <w:r w:rsidRPr="005F0A67">
        <w:rPr>
          <w:rFonts w:asciiTheme="majorBidi" w:eastAsia="Arial" w:hAnsiTheme="majorBidi" w:cstheme="majorBidi"/>
          <w:color w:val="242424"/>
          <w:spacing w:val="-6"/>
          <w:sz w:val="14"/>
          <w:szCs w:val="14"/>
          <w:lang w:val="en-US"/>
        </w:rPr>
        <w:t xml:space="preserve"> </w:t>
      </w:r>
      <w:r w:rsidRPr="005F0A67">
        <w:rPr>
          <w:rFonts w:asciiTheme="majorBidi" w:eastAsia="Arial" w:hAnsiTheme="majorBidi" w:cstheme="majorBidi"/>
          <w:color w:val="242424"/>
          <w:sz w:val="14"/>
          <w:szCs w:val="14"/>
          <w:lang w:val="en-US"/>
        </w:rPr>
        <w:t>affected</w:t>
      </w:r>
      <w:r w:rsidRPr="005F0A67">
        <w:rPr>
          <w:rFonts w:asciiTheme="majorBidi" w:eastAsia="Arial" w:hAnsiTheme="majorBidi" w:cstheme="majorBidi"/>
          <w:color w:val="242424"/>
          <w:spacing w:val="-6"/>
          <w:sz w:val="14"/>
          <w:szCs w:val="14"/>
          <w:lang w:val="en-US"/>
        </w:rPr>
        <w:t xml:space="preserve"> </w:t>
      </w:r>
      <w:r w:rsidRPr="005F0A67">
        <w:rPr>
          <w:rFonts w:asciiTheme="majorBidi" w:eastAsia="Arial" w:hAnsiTheme="majorBidi" w:cstheme="majorBidi"/>
          <w:color w:val="242424"/>
          <w:sz w:val="14"/>
          <w:szCs w:val="14"/>
          <w:lang w:val="en-US"/>
        </w:rPr>
        <w:t>(competitive</w:t>
      </w:r>
      <w:r w:rsidRPr="005F0A67">
        <w:rPr>
          <w:rFonts w:asciiTheme="majorBidi" w:eastAsia="Arial" w:hAnsiTheme="majorBidi" w:cstheme="majorBidi"/>
          <w:color w:val="242424"/>
          <w:spacing w:val="-6"/>
          <w:sz w:val="14"/>
          <w:szCs w:val="14"/>
          <w:lang w:val="en-US"/>
        </w:rPr>
        <w:t xml:space="preserve"> </w:t>
      </w:r>
      <w:r w:rsidRPr="005F0A67">
        <w:rPr>
          <w:rFonts w:asciiTheme="majorBidi" w:eastAsia="Arial" w:hAnsiTheme="majorBidi" w:cstheme="majorBidi"/>
          <w:color w:val="242424"/>
          <w:sz w:val="14"/>
          <w:szCs w:val="14"/>
          <w:lang w:val="en-US"/>
        </w:rPr>
        <w:t>disadvantage)</w:t>
      </w:r>
      <w:r w:rsidRPr="005F0A67">
        <w:rPr>
          <w:rFonts w:asciiTheme="majorBidi" w:eastAsia="Arial" w:hAnsiTheme="majorBidi" w:cstheme="majorBidi"/>
          <w:color w:val="242424"/>
          <w:spacing w:val="40"/>
          <w:sz w:val="14"/>
          <w:szCs w:val="14"/>
          <w:lang w:val="en-US"/>
        </w:rPr>
        <w:t xml:space="preserve"> </w:t>
      </w:r>
      <w:r w:rsidRPr="005F0A67">
        <w:rPr>
          <w:rFonts w:asciiTheme="majorBidi" w:eastAsia="Arial" w:hAnsiTheme="majorBidi" w:cstheme="majorBidi"/>
          <w:noProof/>
          <w:color w:val="242424"/>
          <w:position w:val="-4"/>
          <w:sz w:val="14"/>
          <w:szCs w:val="14"/>
          <w:lang w:val="en-US"/>
        </w:rPr>
        <w:drawing>
          <wp:inline distT="0" distB="0" distL="0" distR="0" wp14:anchorId="5AD13735" wp14:editId="273FC9FE">
            <wp:extent cx="127000" cy="127000"/>
            <wp:effectExtent l="0" t="0" r="0" b="0"/>
            <wp:docPr id="236" name="Image 2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6" name="Image 236"/>
                    <pic:cNvPicPr/>
                  </pic:nvPicPr>
                  <pic:blipFill>
                    <a:blip r:embed="rId53" cstate="print"/>
                    <a:stretch>
                      <a:fillRect/>
                    </a:stretch>
                  </pic:blipFill>
                  <pic:spPr>
                    <a:xfrm>
                      <a:off x="0" y="0"/>
                      <a:ext cx="127000" cy="127000"/>
                    </a:xfrm>
                    <a:prstGeom prst="rect">
                      <a:avLst/>
                    </a:prstGeom>
                  </pic:spPr>
                </pic:pic>
              </a:graphicData>
            </a:graphic>
          </wp:inline>
        </w:drawing>
      </w:r>
      <w:r w:rsidRPr="005F0A67">
        <w:rPr>
          <w:rFonts w:asciiTheme="majorBidi" w:eastAsia="Arial" w:hAnsiTheme="majorBidi" w:cstheme="majorBidi"/>
          <w:color w:val="242424"/>
          <w:spacing w:val="80"/>
          <w:sz w:val="14"/>
          <w:szCs w:val="14"/>
          <w:lang w:val="en-US"/>
        </w:rPr>
        <w:t xml:space="preserve"> </w:t>
      </w:r>
      <w:r w:rsidRPr="005F0A67">
        <w:rPr>
          <w:rFonts w:asciiTheme="majorBidi" w:eastAsia="Arial" w:hAnsiTheme="majorBidi" w:cstheme="majorBidi"/>
          <w:color w:val="242424"/>
          <w:sz w:val="14"/>
          <w:szCs w:val="14"/>
          <w:lang w:val="en-US"/>
        </w:rPr>
        <w:t>About the same impact</w:t>
      </w:r>
    </w:p>
    <w:p w14:paraId="55656551" w14:textId="77777777" w:rsidR="005F0A67" w:rsidRPr="005F0A67" w:rsidRDefault="005F0A67" w:rsidP="005F0A67">
      <w:pPr>
        <w:widowControl w:val="0"/>
        <w:tabs>
          <w:tab w:val="clear" w:pos="567"/>
          <w:tab w:val="clear" w:pos="1134"/>
          <w:tab w:val="clear" w:pos="1701"/>
          <w:tab w:val="clear" w:pos="2268"/>
        </w:tabs>
        <w:spacing w:line="600" w:lineRule="auto"/>
        <w:ind w:left="725" w:right="3750"/>
        <w:jc w:val="left"/>
        <w:rPr>
          <w:rFonts w:asciiTheme="majorBidi" w:eastAsia="Arial" w:hAnsiTheme="majorBidi" w:cstheme="majorBidi"/>
          <w:sz w:val="14"/>
          <w:szCs w:val="14"/>
          <w:lang w:val="en-US"/>
        </w:rPr>
      </w:pPr>
      <w:r w:rsidRPr="005F0A67">
        <w:rPr>
          <w:rFonts w:asciiTheme="majorBidi" w:eastAsia="Arial" w:hAnsiTheme="majorBidi" w:cstheme="majorBidi"/>
          <w:noProof/>
          <w:position w:val="-4"/>
          <w:sz w:val="14"/>
          <w:szCs w:val="14"/>
          <w:lang w:val="en-US"/>
        </w:rPr>
        <w:drawing>
          <wp:inline distT="0" distB="0" distL="0" distR="0" wp14:anchorId="5534D1AA" wp14:editId="665C5008">
            <wp:extent cx="127000" cy="127000"/>
            <wp:effectExtent l="0" t="0" r="0" b="0"/>
            <wp:docPr id="237" name="Image 2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7" name="Image 237"/>
                    <pic:cNvPicPr/>
                  </pic:nvPicPr>
                  <pic:blipFill>
                    <a:blip r:embed="rId42" cstate="print"/>
                    <a:stretch>
                      <a:fillRect/>
                    </a:stretch>
                  </pic:blipFill>
                  <pic:spPr>
                    <a:xfrm>
                      <a:off x="0" y="0"/>
                      <a:ext cx="127000" cy="127000"/>
                    </a:xfrm>
                    <a:prstGeom prst="rect">
                      <a:avLst/>
                    </a:prstGeom>
                  </pic:spPr>
                </pic:pic>
              </a:graphicData>
            </a:graphic>
          </wp:inline>
        </w:drawing>
      </w:r>
      <w:r w:rsidRPr="005F0A67">
        <w:rPr>
          <w:rFonts w:asciiTheme="majorBidi" w:eastAsia="Arial" w:hAnsiTheme="majorBidi" w:cstheme="majorBidi"/>
          <w:spacing w:val="67"/>
          <w:sz w:val="20"/>
          <w:szCs w:val="20"/>
          <w:lang w:val="en-US"/>
        </w:rPr>
        <w:t xml:space="preserve"> </w:t>
      </w:r>
      <w:r w:rsidRPr="005F0A67">
        <w:rPr>
          <w:rFonts w:asciiTheme="majorBidi" w:eastAsia="Arial" w:hAnsiTheme="majorBidi" w:cstheme="majorBidi"/>
          <w:color w:val="242424"/>
          <w:sz w:val="14"/>
          <w:szCs w:val="14"/>
          <w:lang w:val="en-US"/>
        </w:rPr>
        <w:t>We'd</w:t>
      </w:r>
      <w:r w:rsidRPr="005F0A67">
        <w:rPr>
          <w:rFonts w:asciiTheme="majorBidi" w:eastAsia="Arial" w:hAnsiTheme="majorBidi" w:cstheme="majorBidi"/>
          <w:color w:val="242424"/>
          <w:spacing w:val="-8"/>
          <w:sz w:val="14"/>
          <w:szCs w:val="14"/>
          <w:lang w:val="en-US"/>
        </w:rPr>
        <w:t xml:space="preserve"> </w:t>
      </w:r>
      <w:r w:rsidRPr="005F0A67">
        <w:rPr>
          <w:rFonts w:asciiTheme="majorBidi" w:eastAsia="Arial" w:hAnsiTheme="majorBidi" w:cstheme="majorBidi"/>
          <w:color w:val="242424"/>
          <w:sz w:val="14"/>
          <w:szCs w:val="14"/>
          <w:lang w:val="en-US"/>
        </w:rPr>
        <w:t>be</w:t>
      </w:r>
      <w:r w:rsidRPr="005F0A67">
        <w:rPr>
          <w:rFonts w:asciiTheme="majorBidi" w:eastAsia="Arial" w:hAnsiTheme="majorBidi" w:cstheme="majorBidi"/>
          <w:color w:val="242424"/>
          <w:spacing w:val="-8"/>
          <w:sz w:val="14"/>
          <w:szCs w:val="14"/>
          <w:lang w:val="en-US"/>
        </w:rPr>
        <w:t xml:space="preserve"> </w:t>
      </w:r>
      <w:r w:rsidRPr="005F0A67">
        <w:rPr>
          <w:rFonts w:asciiTheme="majorBidi" w:eastAsia="Arial" w:hAnsiTheme="majorBidi" w:cstheme="majorBidi"/>
          <w:color w:val="242424"/>
          <w:sz w:val="14"/>
          <w:szCs w:val="14"/>
          <w:lang w:val="en-US"/>
        </w:rPr>
        <w:t>less</w:t>
      </w:r>
      <w:r w:rsidRPr="005F0A67">
        <w:rPr>
          <w:rFonts w:asciiTheme="majorBidi" w:eastAsia="Arial" w:hAnsiTheme="majorBidi" w:cstheme="majorBidi"/>
          <w:color w:val="242424"/>
          <w:spacing w:val="-8"/>
          <w:sz w:val="14"/>
          <w:szCs w:val="14"/>
          <w:lang w:val="en-US"/>
        </w:rPr>
        <w:t xml:space="preserve"> </w:t>
      </w:r>
      <w:r w:rsidRPr="005F0A67">
        <w:rPr>
          <w:rFonts w:asciiTheme="majorBidi" w:eastAsia="Arial" w:hAnsiTheme="majorBidi" w:cstheme="majorBidi"/>
          <w:color w:val="242424"/>
          <w:sz w:val="14"/>
          <w:szCs w:val="14"/>
          <w:lang w:val="en-US"/>
        </w:rPr>
        <w:t>negatively</w:t>
      </w:r>
      <w:r w:rsidRPr="005F0A67">
        <w:rPr>
          <w:rFonts w:asciiTheme="majorBidi" w:eastAsia="Arial" w:hAnsiTheme="majorBidi" w:cstheme="majorBidi"/>
          <w:color w:val="242424"/>
          <w:spacing w:val="-8"/>
          <w:sz w:val="14"/>
          <w:szCs w:val="14"/>
          <w:lang w:val="en-US"/>
        </w:rPr>
        <w:t xml:space="preserve"> </w:t>
      </w:r>
      <w:r w:rsidRPr="005F0A67">
        <w:rPr>
          <w:rFonts w:asciiTheme="majorBidi" w:eastAsia="Arial" w:hAnsiTheme="majorBidi" w:cstheme="majorBidi"/>
          <w:color w:val="242424"/>
          <w:sz w:val="14"/>
          <w:szCs w:val="14"/>
          <w:lang w:val="en-US"/>
        </w:rPr>
        <w:t>affected</w:t>
      </w:r>
      <w:r w:rsidRPr="005F0A67">
        <w:rPr>
          <w:rFonts w:asciiTheme="majorBidi" w:eastAsia="Arial" w:hAnsiTheme="majorBidi" w:cstheme="majorBidi"/>
          <w:color w:val="242424"/>
          <w:spacing w:val="-8"/>
          <w:sz w:val="14"/>
          <w:szCs w:val="14"/>
          <w:lang w:val="en-US"/>
        </w:rPr>
        <w:t xml:space="preserve"> </w:t>
      </w:r>
      <w:r w:rsidRPr="005F0A67">
        <w:rPr>
          <w:rFonts w:asciiTheme="majorBidi" w:eastAsia="Arial" w:hAnsiTheme="majorBidi" w:cstheme="majorBidi"/>
          <w:color w:val="242424"/>
          <w:sz w:val="14"/>
          <w:szCs w:val="14"/>
          <w:lang w:val="en-US"/>
        </w:rPr>
        <w:t>(competitive</w:t>
      </w:r>
      <w:r w:rsidRPr="005F0A67">
        <w:rPr>
          <w:rFonts w:asciiTheme="majorBidi" w:eastAsia="Arial" w:hAnsiTheme="majorBidi" w:cstheme="majorBidi"/>
          <w:color w:val="242424"/>
          <w:spacing w:val="-8"/>
          <w:sz w:val="14"/>
          <w:szCs w:val="14"/>
          <w:lang w:val="en-US"/>
        </w:rPr>
        <w:t xml:space="preserve"> </w:t>
      </w:r>
      <w:r w:rsidRPr="005F0A67">
        <w:rPr>
          <w:rFonts w:asciiTheme="majorBidi" w:eastAsia="Arial" w:hAnsiTheme="majorBidi" w:cstheme="majorBidi"/>
          <w:color w:val="242424"/>
          <w:sz w:val="14"/>
          <w:szCs w:val="14"/>
          <w:lang w:val="en-US"/>
        </w:rPr>
        <w:t>advantage)</w:t>
      </w:r>
      <w:r w:rsidRPr="005F0A67">
        <w:rPr>
          <w:rFonts w:asciiTheme="majorBidi" w:eastAsia="Arial" w:hAnsiTheme="majorBidi" w:cstheme="majorBidi"/>
          <w:color w:val="242424"/>
          <w:spacing w:val="40"/>
          <w:sz w:val="14"/>
          <w:szCs w:val="14"/>
          <w:lang w:val="en-US"/>
        </w:rPr>
        <w:t xml:space="preserve"> </w:t>
      </w:r>
      <w:r w:rsidRPr="005F0A67">
        <w:rPr>
          <w:rFonts w:asciiTheme="majorBidi" w:eastAsia="Arial" w:hAnsiTheme="majorBidi" w:cstheme="majorBidi"/>
          <w:noProof/>
          <w:color w:val="242424"/>
          <w:position w:val="-4"/>
          <w:sz w:val="14"/>
          <w:szCs w:val="14"/>
          <w:lang w:val="en-US"/>
        </w:rPr>
        <w:drawing>
          <wp:inline distT="0" distB="0" distL="0" distR="0" wp14:anchorId="7E77249C" wp14:editId="3BC46F7B">
            <wp:extent cx="127000" cy="127000"/>
            <wp:effectExtent l="0" t="0" r="0" b="0"/>
            <wp:docPr id="238" name="Image 2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8" name="Image 238"/>
                    <pic:cNvPicPr/>
                  </pic:nvPicPr>
                  <pic:blipFill>
                    <a:blip r:embed="rId37" cstate="print"/>
                    <a:stretch>
                      <a:fillRect/>
                    </a:stretch>
                  </pic:blipFill>
                  <pic:spPr>
                    <a:xfrm>
                      <a:off x="0" y="0"/>
                      <a:ext cx="127000" cy="127000"/>
                    </a:xfrm>
                    <a:prstGeom prst="rect">
                      <a:avLst/>
                    </a:prstGeom>
                  </pic:spPr>
                </pic:pic>
              </a:graphicData>
            </a:graphic>
          </wp:inline>
        </w:drawing>
      </w:r>
      <w:r w:rsidRPr="005F0A67">
        <w:rPr>
          <w:rFonts w:asciiTheme="majorBidi" w:eastAsia="Arial" w:hAnsiTheme="majorBidi" w:cstheme="majorBidi"/>
          <w:color w:val="242424"/>
          <w:spacing w:val="80"/>
          <w:sz w:val="14"/>
          <w:szCs w:val="14"/>
          <w:lang w:val="en-US"/>
        </w:rPr>
        <w:t xml:space="preserve"> </w:t>
      </w:r>
      <w:r w:rsidRPr="005F0A67">
        <w:rPr>
          <w:rFonts w:asciiTheme="majorBidi" w:eastAsia="Arial" w:hAnsiTheme="majorBidi" w:cstheme="majorBidi"/>
          <w:color w:val="242424"/>
          <w:sz w:val="14"/>
          <w:szCs w:val="14"/>
          <w:lang w:val="en-US"/>
        </w:rPr>
        <w:t>Don't know</w:t>
      </w:r>
    </w:p>
    <w:p w14:paraId="2DECAB6B" w14:textId="77777777" w:rsidR="005F0A67" w:rsidRPr="005F0A67" w:rsidRDefault="005F0A67" w:rsidP="003A387A">
      <w:pPr>
        <w:numPr>
          <w:ilvl w:val="0"/>
          <w:numId w:val="44"/>
        </w:numPr>
        <w:tabs>
          <w:tab w:val="clear" w:pos="567"/>
          <w:tab w:val="clear" w:pos="1134"/>
          <w:tab w:val="clear" w:pos="1701"/>
          <w:tab w:val="clear" w:pos="2268"/>
          <w:tab w:val="num" w:pos="360"/>
          <w:tab w:val="left" w:pos="703"/>
          <w:tab w:val="left" w:pos="705"/>
        </w:tabs>
        <w:spacing w:before="320" w:after="160" w:line="271" w:lineRule="auto"/>
        <w:ind w:left="360" w:right="976" w:hanging="281"/>
        <w:jc w:val="left"/>
        <w:outlineLvl w:val="2"/>
        <w:rPr>
          <w:rFonts w:asciiTheme="majorBidi" w:eastAsia="Arial" w:hAnsiTheme="majorBidi" w:cstheme="majorBidi"/>
          <w:b/>
          <w:bCs/>
          <w:color w:val="7F7F7F"/>
          <w:sz w:val="23"/>
          <w:szCs w:val="23"/>
          <w:lang w:val="en-CA" w:eastAsia="en-GB"/>
        </w:rPr>
      </w:pPr>
      <w:bookmarkStart w:id="289" w:name="_Toc234579643"/>
      <w:r w:rsidRPr="005F0A67">
        <w:rPr>
          <w:rFonts w:asciiTheme="majorBidi" w:eastAsia="Georgia" w:hAnsiTheme="majorBidi" w:cstheme="majorBidi"/>
          <w:color w:val="242424"/>
          <w:sz w:val="17"/>
          <w:szCs w:val="17"/>
          <w:lang w:val="en-CA" w:eastAsia="en-GB"/>
        </w:rPr>
        <w:t>Who are the typical buyers of your organisation's products and/or services? (Select all that apply)</w:t>
      </w:r>
      <w:r w:rsidRPr="005F0A67">
        <w:rPr>
          <w:rFonts w:asciiTheme="majorBidi" w:eastAsia="Arial" w:hAnsiTheme="majorBidi" w:cstheme="majorBidi"/>
          <w:b/>
          <w:bCs/>
          <w:color w:val="242424"/>
          <w:sz w:val="23"/>
          <w:szCs w:val="23"/>
          <w:lang w:val="en-CA" w:eastAsia="en-GB"/>
        </w:rPr>
        <w:t xml:space="preserve"> </w:t>
      </w:r>
      <w:r w:rsidRPr="005F0A67">
        <w:rPr>
          <w:rFonts w:asciiTheme="majorBidi" w:eastAsia="Arial" w:hAnsiTheme="majorBidi" w:cstheme="majorBidi"/>
          <w:b/>
          <w:bCs/>
          <w:color w:val="AE1515"/>
          <w:sz w:val="23"/>
          <w:szCs w:val="23"/>
          <w:lang w:val="en-CA" w:eastAsia="en-GB"/>
        </w:rPr>
        <w:t>*</w:t>
      </w:r>
      <w:bookmarkEnd w:id="289"/>
    </w:p>
    <w:p w14:paraId="6B78FD49" w14:textId="77777777" w:rsidR="005F0A67" w:rsidRPr="005F0A67" w:rsidRDefault="005F0A67" w:rsidP="005F0A67">
      <w:pPr>
        <w:widowControl w:val="0"/>
        <w:tabs>
          <w:tab w:val="clear" w:pos="567"/>
          <w:tab w:val="clear" w:pos="1134"/>
          <w:tab w:val="clear" w:pos="1701"/>
          <w:tab w:val="clear" w:pos="2268"/>
        </w:tabs>
        <w:spacing w:before="96"/>
        <w:jc w:val="left"/>
        <w:rPr>
          <w:rFonts w:asciiTheme="majorBidi" w:eastAsia="Arial" w:hAnsiTheme="majorBidi" w:cstheme="majorBidi"/>
          <w:sz w:val="14"/>
          <w:szCs w:val="14"/>
          <w:lang w:val="en-US"/>
        </w:rPr>
      </w:pPr>
    </w:p>
    <w:p w14:paraId="1B99DC6C" w14:textId="77777777" w:rsidR="005F0A67" w:rsidRPr="005F0A67" w:rsidRDefault="005F0A67" w:rsidP="005F0A67">
      <w:pPr>
        <w:widowControl w:val="0"/>
        <w:tabs>
          <w:tab w:val="clear" w:pos="567"/>
          <w:tab w:val="clear" w:pos="1134"/>
          <w:tab w:val="clear" w:pos="1701"/>
          <w:tab w:val="clear" w:pos="2268"/>
        </w:tabs>
        <w:spacing w:line="600" w:lineRule="auto"/>
        <w:ind w:left="725" w:right="6105"/>
        <w:jc w:val="left"/>
        <w:rPr>
          <w:rFonts w:asciiTheme="majorBidi" w:eastAsia="Arial" w:hAnsiTheme="majorBidi" w:cstheme="majorBidi"/>
          <w:sz w:val="14"/>
          <w:szCs w:val="14"/>
          <w:lang w:val="en-US"/>
        </w:rPr>
      </w:pPr>
      <w:r w:rsidRPr="005F0A67">
        <w:rPr>
          <w:rFonts w:asciiTheme="majorBidi" w:eastAsia="Arial" w:hAnsiTheme="majorBidi" w:cstheme="majorBidi"/>
          <w:noProof/>
          <w:position w:val="-4"/>
          <w:sz w:val="14"/>
          <w:szCs w:val="14"/>
          <w:lang w:val="en-US"/>
        </w:rPr>
        <w:drawing>
          <wp:inline distT="0" distB="0" distL="0" distR="0" wp14:anchorId="79F5906E" wp14:editId="5CB2C87E">
            <wp:extent cx="127000" cy="127000"/>
            <wp:effectExtent l="0" t="0" r="0" b="0"/>
            <wp:docPr id="239" name="Image 2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9" name="Image 239"/>
                    <pic:cNvPicPr/>
                  </pic:nvPicPr>
                  <pic:blipFill>
                    <a:blip r:embed="rId40" cstate="print"/>
                    <a:stretch>
                      <a:fillRect/>
                    </a:stretch>
                  </pic:blipFill>
                  <pic:spPr>
                    <a:xfrm>
                      <a:off x="0" y="0"/>
                      <a:ext cx="127000" cy="127000"/>
                    </a:xfrm>
                    <a:prstGeom prst="rect">
                      <a:avLst/>
                    </a:prstGeom>
                  </pic:spPr>
                </pic:pic>
              </a:graphicData>
            </a:graphic>
          </wp:inline>
        </w:drawing>
      </w:r>
      <w:r w:rsidRPr="005F0A67">
        <w:rPr>
          <w:rFonts w:asciiTheme="majorBidi" w:eastAsia="Arial" w:hAnsiTheme="majorBidi" w:cstheme="majorBidi"/>
          <w:spacing w:val="80"/>
          <w:sz w:val="20"/>
          <w:szCs w:val="20"/>
          <w:lang w:val="en-US"/>
        </w:rPr>
        <w:t xml:space="preserve"> </w:t>
      </w:r>
      <w:r w:rsidRPr="005F0A67">
        <w:rPr>
          <w:rFonts w:asciiTheme="majorBidi" w:eastAsia="Arial" w:hAnsiTheme="majorBidi" w:cstheme="majorBidi"/>
          <w:color w:val="242424"/>
          <w:sz w:val="14"/>
          <w:szCs w:val="14"/>
          <w:lang w:val="en-US"/>
        </w:rPr>
        <w:t>Private consumers</w:t>
      </w:r>
      <w:r w:rsidRPr="005F0A67">
        <w:rPr>
          <w:rFonts w:asciiTheme="majorBidi" w:eastAsia="Arial" w:hAnsiTheme="majorBidi" w:cstheme="majorBidi"/>
          <w:color w:val="242424"/>
          <w:spacing w:val="40"/>
          <w:sz w:val="14"/>
          <w:szCs w:val="14"/>
          <w:lang w:val="en-US"/>
        </w:rPr>
        <w:t xml:space="preserve"> </w:t>
      </w:r>
      <w:r w:rsidRPr="005F0A67">
        <w:rPr>
          <w:rFonts w:asciiTheme="majorBidi" w:eastAsia="Arial" w:hAnsiTheme="majorBidi" w:cstheme="majorBidi"/>
          <w:noProof/>
          <w:color w:val="242424"/>
          <w:position w:val="-4"/>
          <w:sz w:val="14"/>
          <w:szCs w:val="14"/>
          <w:lang w:val="en-US"/>
        </w:rPr>
        <w:drawing>
          <wp:inline distT="0" distB="0" distL="0" distR="0" wp14:anchorId="51C25F6A" wp14:editId="28D356F3">
            <wp:extent cx="127000" cy="127000"/>
            <wp:effectExtent l="0" t="0" r="0" b="0"/>
            <wp:docPr id="240" name="Image 2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0" name="Image 240"/>
                    <pic:cNvPicPr/>
                  </pic:nvPicPr>
                  <pic:blipFill>
                    <a:blip r:embed="rId41" cstate="print"/>
                    <a:stretch>
                      <a:fillRect/>
                    </a:stretch>
                  </pic:blipFill>
                  <pic:spPr>
                    <a:xfrm>
                      <a:off x="0" y="0"/>
                      <a:ext cx="127000" cy="127000"/>
                    </a:xfrm>
                    <a:prstGeom prst="rect">
                      <a:avLst/>
                    </a:prstGeom>
                  </pic:spPr>
                </pic:pic>
              </a:graphicData>
            </a:graphic>
          </wp:inline>
        </w:drawing>
      </w:r>
      <w:r w:rsidRPr="005F0A67">
        <w:rPr>
          <w:rFonts w:asciiTheme="majorBidi" w:eastAsia="Arial" w:hAnsiTheme="majorBidi" w:cstheme="majorBidi"/>
          <w:color w:val="242424"/>
          <w:spacing w:val="78"/>
          <w:sz w:val="14"/>
          <w:szCs w:val="14"/>
          <w:lang w:val="en-US"/>
        </w:rPr>
        <w:t xml:space="preserve"> </w:t>
      </w:r>
      <w:r w:rsidRPr="005F0A67">
        <w:rPr>
          <w:rFonts w:asciiTheme="majorBidi" w:eastAsia="Arial" w:hAnsiTheme="majorBidi" w:cstheme="majorBidi"/>
          <w:color w:val="242424"/>
          <w:sz w:val="14"/>
          <w:szCs w:val="14"/>
          <w:lang w:val="en-US"/>
        </w:rPr>
        <w:t>Public</w:t>
      </w:r>
      <w:r w:rsidRPr="005F0A67">
        <w:rPr>
          <w:rFonts w:asciiTheme="majorBidi" w:eastAsia="Arial" w:hAnsiTheme="majorBidi" w:cstheme="majorBidi"/>
          <w:color w:val="242424"/>
          <w:spacing w:val="-8"/>
          <w:sz w:val="14"/>
          <w:szCs w:val="14"/>
          <w:lang w:val="en-US"/>
        </w:rPr>
        <w:t xml:space="preserve"> </w:t>
      </w:r>
      <w:r w:rsidRPr="005F0A67">
        <w:rPr>
          <w:rFonts w:asciiTheme="majorBidi" w:eastAsia="Arial" w:hAnsiTheme="majorBidi" w:cstheme="majorBidi"/>
          <w:color w:val="242424"/>
          <w:sz w:val="14"/>
          <w:szCs w:val="14"/>
          <w:lang w:val="en-US"/>
        </w:rPr>
        <w:t>sector</w:t>
      </w:r>
      <w:r w:rsidRPr="005F0A67">
        <w:rPr>
          <w:rFonts w:asciiTheme="majorBidi" w:eastAsia="Arial" w:hAnsiTheme="majorBidi" w:cstheme="majorBidi"/>
          <w:color w:val="242424"/>
          <w:spacing w:val="-8"/>
          <w:sz w:val="14"/>
          <w:szCs w:val="14"/>
          <w:lang w:val="en-US"/>
        </w:rPr>
        <w:t xml:space="preserve"> </w:t>
      </w:r>
      <w:r w:rsidRPr="005F0A67">
        <w:rPr>
          <w:rFonts w:asciiTheme="majorBidi" w:eastAsia="Arial" w:hAnsiTheme="majorBidi" w:cstheme="majorBidi"/>
          <w:color w:val="242424"/>
          <w:sz w:val="14"/>
          <w:szCs w:val="14"/>
          <w:lang w:val="en-US"/>
        </w:rPr>
        <w:t>entities</w:t>
      </w:r>
      <w:r w:rsidRPr="005F0A67">
        <w:rPr>
          <w:rFonts w:asciiTheme="majorBidi" w:eastAsia="Arial" w:hAnsiTheme="majorBidi" w:cstheme="majorBidi"/>
          <w:color w:val="242424"/>
          <w:spacing w:val="40"/>
          <w:sz w:val="14"/>
          <w:szCs w:val="14"/>
          <w:lang w:val="en-US"/>
        </w:rPr>
        <w:t xml:space="preserve"> </w:t>
      </w:r>
      <w:r w:rsidRPr="005F0A67">
        <w:rPr>
          <w:rFonts w:asciiTheme="majorBidi" w:eastAsia="Arial" w:hAnsiTheme="majorBidi" w:cstheme="majorBidi"/>
          <w:noProof/>
          <w:color w:val="242424"/>
          <w:position w:val="-4"/>
          <w:sz w:val="14"/>
          <w:szCs w:val="14"/>
          <w:lang w:val="en-US"/>
        </w:rPr>
        <w:drawing>
          <wp:inline distT="0" distB="0" distL="0" distR="0" wp14:anchorId="4EBB8244" wp14:editId="0A814A51">
            <wp:extent cx="127000" cy="127000"/>
            <wp:effectExtent l="0" t="0" r="0" b="0"/>
            <wp:docPr id="241" name="Image 2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1" name="Image 241"/>
                    <pic:cNvPicPr/>
                  </pic:nvPicPr>
                  <pic:blipFill>
                    <a:blip r:embed="rId41" cstate="print"/>
                    <a:stretch>
                      <a:fillRect/>
                    </a:stretch>
                  </pic:blipFill>
                  <pic:spPr>
                    <a:xfrm>
                      <a:off x="0" y="0"/>
                      <a:ext cx="127000" cy="127000"/>
                    </a:xfrm>
                    <a:prstGeom prst="rect">
                      <a:avLst/>
                    </a:prstGeom>
                  </pic:spPr>
                </pic:pic>
              </a:graphicData>
            </a:graphic>
          </wp:inline>
        </w:drawing>
      </w:r>
      <w:r w:rsidRPr="005F0A67">
        <w:rPr>
          <w:rFonts w:asciiTheme="majorBidi" w:eastAsia="Arial" w:hAnsiTheme="majorBidi" w:cstheme="majorBidi"/>
          <w:color w:val="242424"/>
          <w:spacing w:val="80"/>
          <w:sz w:val="14"/>
          <w:szCs w:val="14"/>
          <w:lang w:val="en-US"/>
        </w:rPr>
        <w:t xml:space="preserve"> </w:t>
      </w:r>
      <w:r w:rsidRPr="005F0A67">
        <w:rPr>
          <w:rFonts w:asciiTheme="majorBidi" w:eastAsia="Arial" w:hAnsiTheme="majorBidi" w:cstheme="majorBidi"/>
          <w:color w:val="242424"/>
          <w:sz w:val="14"/>
          <w:szCs w:val="14"/>
          <w:lang w:val="en-US"/>
        </w:rPr>
        <w:t>Other companies</w:t>
      </w:r>
    </w:p>
    <w:p w14:paraId="78A9DB4C" w14:textId="77777777" w:rsidR="005F0A67" w:rsidRPr="005F0A67" w:rsidRDefault="005F0A67" w:rsidP="005F0A67">
      <w:pPr>
        <w:tabs>
          <w:tab w:val="clear" w:pos="567"/>
          <w:tab w:val="clear" w:pos="1134"/>
          <w:tab w:val="clear" w:pos="1701"/>
          <w:tab w:val="clear" w:pos="2268"/>
        </w:tabs>
        <w:spacing w:before="70"/>
        <w:ind w:left="725"/>
        <w:jc w:val="left"/>
        <w:rPr>
          <w:rFonts w:asciiTheme="majorBidi" w:eastAsia="Times New Roman" w:hAnsiTheme="majorBidi" w:cstheme="majorBidi"/>
          <w:sz w:val="14"/>
          <w:szCs w:val="14"/>
          <w:lang w:val="en-CA" w:eastAsia="en-GB"/>
        </w:rPr>
      </w:pPr>
      <w:r w:rsidRPr="005F0A67">
        <w:rPr>
          <w:rFonts w:asciiTheme="majorBidi" w:eastAsia="Times New Roman" w:hAnsiTheme="majorBidi" w:cstheme="majorBidi"/>
          <w:noProof/>
          <w:position w:val="-2"/>
          <w:sz w:val="24"/>
          <w:szCs w:val="24"/>
          <w:lang w:val="en-CA" w:eastAsia="en-GB"/>
        </w:rPr>
        <w:drawing>
          <wp:inline distT="0" distB="0" distL="0" distR="0" wp14:anchorId="1D0CB036" wp14:editId="0AD0D698">
            <wp:extent cx="127000" cy="127000"/>
            <wp:effectExtent l="0" t="0" r="0" b="0"/>
            <wp:docPr id="242" name="Image 2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2" name="Image 242"/>
                    <pic:cNvPicPr/>
                  </pic:nvPicPr>
                  <pic:blipFill>
                    <a:blip r:embed="rId41" cstate="print"/>
                    <a:stretch>
                      <a:fillRect/>
                    </a:stretch>
                  </pic:blipFill>
                  <pic:spPr>
                    <a:xfrm>
                      <a:off x="0" y="0"/>
                      <a:ext cx="127000" cy="127000"/>
                    </a:xfrm>
                    <a:prstGeom prst="rect">
                      <a:avLst/>
                    </a:prstGeom>
                  </pic:spPr>
                </pic:pic>
              </a:graphicData>
            </a:graphic>
          </wp:inline>
        </w:drawing>
      </w:r>
      <w:r w:rsidRPr="005F0A67">
        <w:rPr>
          <w:rFonts w:asciiTheme="majorBidi" w:eastAsia="Times New Roman" w:hAnsiTheme="majorBidi" w:cstheme="majorBidi"/>
          <w:spacing w:val="80"/>
          <w:sz w:val="20"/>
          <w:szCs w:val="20"/>
          <w:lang w:val="en-CA" w:eastAsia="en-GB"/>
        </w:rPr>
        <w:t xml:space="preserve"> </w:t>
      </w:r>
      <w:r w:rsidRPr="005F0A67">
        <w:rPr>
          <w:rFonts w:asciiTheme="majorBidi" w:eastAsia="Times New Roman" w:hAnsiTheme="majorBidi" w:cstheme="majorBidi"/>
          <w:color w:val="202020"/>
          <w:sz w:val="14"/>
          <w:szCs w:val="14"/>
          <w:lang w:val="en-CA" w:eastAsia="en-GB"/>
        </w:rPr>
        <w:t>Other</w:t>
      </w:r>
    </w:p>
    <w:p w14:paraId="274ED810" w14:textId="77777777" w:rsidR="005F0A67" w:rsidRPr="005F0A67" w:rsidRDefault="005F0A67" w:rsidP="005F0A67">
      <w:pPr>
        <w:widowControl w:val="0"/>
        <w:tabs>
          <w:tab w:val="clear" w:pos="567"/>
          <w:tab w:val="clear" w:pos="1134"/>
          <w:tab w:val="clear" w:pos="1701"/>
          <w:tab w:val="clear" w:pos="2268"/>
        </w:tabs>
        <w:spacing w:before="174"/>
        <w:jc w:val="left"/>
        <w:rPr>
          <w:rFonts w:asciiTheme="majorBidi" w:eastAsia="Arial" w:hAnsiTheme="majorBidi" w:cstheme="majorBidi"/>
          <w:sz w:val="17"/>
          <w:szCs w:val="17"/>
          <w:lang w:val="en-US"/>
        </w:rPr>
      </w:pPr>
    </w:p>
    <w:p w14:paraId="16C3B58E" w14:textId="77777777" w:rsidR="005F0A67" w:rsidRPr="005F0A67" w:rsidRDefault="005F0A67" w:rsidP="003A387A">
      <w:pPr>
        <w:widowControl w:val="0"/>
        <w:numPr>
          <w:ilvl w:val="0"/>
          <w:numId w:val="44"/>
        </w:numPr>
        <w:tabs>
          <w:tab w:val="clear" w:pos="567"/>
          <w:tab w:val="clear" w:pos="1134"/>
          <w:tab w:val="clear" w:pos="1701"/>
          <w:tab w:val="clear" w:pos="2268"/>
          <w:tab w:val="left" w:pos="703"/>
        </w:tabs>
        <w:autoSpaceDE w:val="0"/>
        <w:autoSpaceDN w:val="0"/>
        <w:ind w:left="703" w:hanging="279"/>
        <w:jc w:val="left"/>
        <w:rPr>
          <w:rFonts w:asciiTheme="majorBidi" w:eastAsia="Georgia" w:hAnsiTheme="majorBidi" w:cstheme="majorBidi"/>
          <w:color w:val="1A1A1A"/>
          <w:sz w:val="17"/>
          <w:szCs w:val="17"/>
          <w:lang w:eastAsia="en-GB"/>
        </w:rPr>
      </w:pPr>
      <w:r w:rsidRPr="005F0A67">
        <w:rPr>
          <w:rFonts w:asciiTheme="majorBidi" w:eastAsia="Georgia" w:hAnsiTheme="majorBidi" w:cstheme="majorBidi"/>
          <w:color w:val="242424"/>
          <w:spacing w:val="-2"/>
          <w:sz w:val="17"/>
          <w:szCs w:val="17"/>
          <w:lang w:eastAsia="en-GB"/>
        </w:rPr>
        <w:t>Do</w:t>
      </w:r>
      <w:r w:rsidRPr="005F0A67">
        <w:rPr>
          <w:rFonts w:asciiTheme="majorBidi" w:eastAsia="Georgia" w:hAnsiTheme="majorBidi" w:cstheme="majorBidi"/>
          <w:color w:val="242424"/>
          <w:spacing w:val="-6"/>
          <w:sz w:val="17"/>
          <w:szCs w:val="17"/>
          <w:lang w:eastAsia="en-GB"/>
        </w:rPr>
        <w:t xml:space="preserve"> </w:t>
      </w:r>
      <w:r w:rsidRPr="005F0A67">
        <w:rPr>
          <w:rFonts w:asciiTheme="majorBidi" w:eastAsia="Georgia" w:hAnsiTheme="majorBidi" w:cstheme="majorBidi"/>
          <w:color w:val="242424"/>
          <w:spacing w:val="-2"/>
          <w:sz w:val="17"/>
          <w:szCs w:val="17"/>
          <w:lang w:eastAsia="en-GB"/>
        </w:rPr>
        <w:t>you</w:t>
      </w:r>
      <w:r w:rsidRPr="005F0A67">
        <w:rPr>
          <w:rFonts w:asciiTheme="majorBidi" w:eastAsia="Georgia" w:hAnsiTheme="majorBidi" w:cstheme="majorBidi"/>
          <w:color w:val="242424"/>
          <w:spacing w:val="-6"/>
          <w:sz w:val="17"/>
          <w:szCs w:val="17"/>
          <w:lang w:eastAsia="en-GB"/>
        </w:rPr>
        <w:t xml:space="preserve"> </w:t>
      </w:r>
      <w:r w:rsidRPr="005F0A67">
        <w:rPr>
          <w:rFonts w:asciiTheme="majorBidi" w:eastAsia="Georgia" w:hAnsiTheme="majorBidi" w:cstheme="majorBidi"/>
          <w:color w:val="242424"/>
          <w:spacing w:val="-2"/>
          <w:sz w:val="17"/>
          <w:szCs w:val="17"/>
          <w:lang w:eastAsia="en-GB"/>
        </w:rPr>
        <w:t>consider</w:t>
      </w:r>
      <w:r w:rsidRPr="005F0A67">
        <w:rPr>
          <w:rFonts w:asciiTheme="majorBidi" w:eastAsia="Georgia" w:hAnsiTheme="majorBidi" w:cstheme="majorBidi"/>
          <w:color w:val="242424"/>
          <w:spacing w:val="-5"/>
          <w:sz w:val="17"/>
          <w:szCs w:val="17"/>
          <w:lang w:eastAsia="en-GB"/>
        </w:rPr>
        <w:t xml:space="preserve"> </w:t>
      </w:r>
      <w:r w:rsidRPr="005F0A67">
        <w:rPr>
          <w:rFonts w:asciiTheme="majorBidi" w:eastAsia="Georgia" w:hAnsiTheme="majorBidi" w:cstheme="majorBidi"/>
          <w:color w:val="242424"/>
          <w:spacing w:val="-2"/>
          <w:sz w:val="17"/>
          <w:szCs w:val="17"/>
          <w:lang w:eastAsia="en-GB"/>
        </w:rPr>
        <w:t>your</w:t>
      </w:r>
      <w:r w:rsidRPr="005F0A67">
        <w:rPr>
          <w:rFonts w:asciiTheme="majorBidi" w:eastAsia="Georgia" w:hAnsiTheme="majorBidi" w:cstheme="majorBidi"/>
          <w:color w:val="242424"/>
          <w:spacing w:val="-6"/>
          <w:sz w:val="17"/>
          <w:szCs w:val="17"/>
          <w:lang w:eastAsia="en-GB"/>
        </w:rPr>
        <w:t xml:space="preserve"> </w:t>
      </w:r>
      <w:r w:rsidRPr="005F0A67">
        <w:rPr>
          <w:rFonts w:asciiTheme="majorBidi" w:eastAsia="Georgia" w:hAnsiTheme="majorBidi" w:cstheme="majorBidi"/>
          <w:b/>
          <w:bCs/>
          <w:color w:val="242424"/>
          <w:spacing w:val="-2"/>
          <w:sz w:val="17"/>
          <w:szCs w:val="17"/>
          <w:lang w:eastAsia="en-GB"/>
        </w:rPr>
        <w:t>customers</w:t>
      </w:r>
      <w:r w:rsidRPr="005F0A67">
        <w:rPr>
          <w:rFonts w:asciiTheme="majorBidi" w:eastAsia="Georgia" w:hAnsiTheme="majorBidi" w:cstheme="majorBidi"/>
          <w:b/>
          <w:bCs/>
          <w:color w:val="242424"/>
          <w:spacing w:val="-6"/>
          <w:sz w:val="17"/>
          <w:szCs w:val="17"/>
          <w:lang w:eastAsia="en-GB"/>
        </w:rPr>
        <w:t xml:space="preserve"> </w:t>
      </w:r>
      <w:r w:rsidRPr="005F0A67">
        <w:rPr>
          <w:rFonts w:asciiTheme="majorBidi" w:eastAsia="Georgia" w:hAnsiTheme="majorBidi" w:cstheme="majorBidi"/>
          <w:b/>
          <w:bCs/>
          <w:color w:val="242424"/>
          <w:spacing w:val="-2"/>
          <w:sz w:val="17"/>
          <w:szCs w:val="17"/>
          <w:lang w:eastAsia="en-GB"/>
        </w:rPr>
        <w:t>price-sensitive</w:t>
      </w:r>
      <w:r w:rsidRPr="005F0A67">
        <w:rPr>
          <w:rFonts w:asciiTheme="majorBidi" w:eastAsia="Georgia" w:hAnsiTheme="majorBidi" w:cstheme="majorBidi"/>
          <w:color w:val="242424"/>
          <w:spacing w:val="-2"/>
          <w:sz w:val="17"/>
          <w:szCs w:val="17"/>
          <w:lang w:eastAsia="en-GB"/>
        </w:rPr>
        <w:t>?</w:t>
      </w:r>
      <w:r w:rsidRPr="005F0A67">
        <w:rPr>
          <w:rFonts w:asciiTheme="majorBidi" w:eastAsia="Georgia" w:hAnsiTheme="majorBidi" w:cstheme="majorBidi"/>
          <w:color w:val="242424"/>
          <w:spacing w:val="-6"/>
          <w:sz w:val="17"/>
          <w:szCs w:val="17"/>
          <w:lang w:eastAsia="en-GB"/>
        </w:rPr>
        <w:t xml:space="preserve"> </w:t>
      </w:r>
      <w:r w:rsidRPr="005F0A67">
        <w:rPr>
          <w:rFonts w:asciiTheme="majorBidi" w:eastAsia="Georgia" w:hAnsiTheme="majorBidi" w:cstheme="majorBidi"/>
          <w:color w:val="AE1515"/>
          <w:spacing w:val="-10"/>
          <w:sz w:val="17"/>
          <w:szCs w:val="17"/>
          <w:lang w:eastAsia="en-GB"/>
        </w:rPr>
        <w:t>*</w:t>
      </w:r>
    </w:p>
    <w:p w14:paraId="6D18D6F5" w14:textId="77777777" w:rsidR="005F0A67" w:rsidRPr="005F0A67" w:rsidRDefault="005F0A67" w:rsidP="005F0A67">
      <w:pPr>
        <w:widowControl w:val="0"/>
        <w:tabs>
          <w:tab w:val="clear" w:pos="567"/>
          <w:tab w:val="clear" w:pos="1134"/>
          <w:tab w:val="clear" w:pos="1701"/>
          <w:tab w:val="clear" w:pos="2268"/>
        </w:tabs>
        <w:spacing w:before="113" w:line="297" w:lineRule="auto"/>
        <w:ind w:left="705" w:right="940"/>
        <w:rPr>
          <w:rFonts w:asciiTheme="majorBidi" w:eastAsia="Arial" w:hAnsiTheme="majorBidi" w:cstheme="majorBidi"/>
          <w:sz w:val="14"/>
          <w:szCs w:val="14"/>
          <w:lang w:val="en-US"/>
        </w:rPr>
      </w:pPr>
      <w:r w:rsidRPr="005F0A67">
        <w:rPr>
          <w:rFonts w:asciiTheme="majorBidi" w:eastAsia="Arial" w:hAnsiTheme="majorBidi" w:cstheme="majorBidi"/>
          <w:color w:val="242424"/>
          <w:sz w:val="14"/>
          <w:szCs w:val="14"/>
          <w:lang w:val="en-US"/>
        </w:rPr>
        <w:t>Consumers</w:t>
      </w:r>
      <w:r w:rsidRPr="005F0A67">
        <w:rPr>
          <w:rFonts w:asciiTheme="majorBidi" w:eastAsia="Arial" w:hAnsiTheme="majorBidi" w:cstheme="majorBidi"/>
          <w:color w:val="242424"/>
          <w:spacing w:val="-10"/>
          <w:sz w:val="14"/>
          <w:szCs w:val="14"/>
          <w:lang w:val="en-US"/>
        </w:rPr>
        <w:t xml:space="preserve"> </w:t>
      </w:r>
      <w:r w:rsidRPr="005F0A67">
        <w:rPr>
          <w:rFonts w:asciiTheme="majorBidi" w:eastAsia="Arial" w:hAnsiTheme="majorBidi" w:cstheme="majorBidi"/>
          <w:color w:val="242424"/>
          <w:sz w:val="14"/>
          <w:szCs w:val="14"/>
          <w:lang w:val="en-US"/>
        </w:rPr>
        <w:t>are</w:t>
      </w:r>
      <w:r w:rsidRPr="005F0A67">
        <w:rPr>
          <w:rFonts w:asciiTheme="majorBidi" w:eastAsia="Arial" w:hAnsiTheme="majorBidi" w:cstheme="majorBidi"/>
          <w:color w:val="242424"/>
          <w:spacing w:val="-10"/>
          <w:sz w:val="14"/>
          <w:szCs w:val="14"/>
          <w:lang w:val="en-US"/>
        </w:rPr>
        <w:t xml:space="preserve"> </w:t>
      </w:r>
      <w:r w:rsidRPr="005F0A67">
        <w:rPr>
          <w:rFonts w:asciiTheme="majorBidi" w:eastAsia="Arial" w:hAnsiTheme="majorBidi" w:cstheme="majorBidi"/>
          <w:color w:val="242424"/>
          <w:sz w:val="14"/>
          <w:szCs w:val="14"/>
          <w:lang w:val="en-US"/>
        </w:rPr>
        <w:t>price-sensitive</w:t>
      </w:r>
      <w:r w:rsidRPr="005F0A67">
        <w:rPr>
          <w:rFonts w:asciiTheme="majorBidi" w:eastAsia="Arial" w:hAnsiTheme="majorBidi" w:cstheme="majorBidi"/>
          <w:color w:val="242424"/>
          <w:spacing w:val="-10"/>
          <w:sz w:val="14"/>
          <w:szCs w:val="14"/>
          <w:lang w:val="en-US"/>
        </w:rPr>
        <w:t xml:space="preserve"> </w:t>
      </w:r>
      <w:r w:rsidRPr="005F0A67">
        <w:rPr>
          <w:rFonts w:asciiTheme="majorBidi" w:eastAsia="Arial" w:hAnsiTheme="majorBidi" w:cstheme="majorBidi"/>
          <w:color w:val="242424"/>
          <w:sz w:val="14"/>
          <w:szCs w:val="14"/>
          <w:lang w:val="en-US"/>
        </w:rPr>
        <w:t>when</w:t>
      </w:r>
      <w:r w:rsidRPr="005F0A67">
        <w:rPr>
          <w:rFonts w:asciiTheme="majorBidi" w:eastAsia="Arial" w:hAnsiTheme="majorBidi" w:cstheme="majorBidi"/>
          <w:color w:val="242424"/>
          <w:spacing w:val="-9"/>
          <w:sz w:val="14"/>
          <w:szCs w:val="14"/>
          <w:lang w:val="en-US"/>
        </w:rPr>
        <w:t xml:space="preserve"> </w:t>
      </w:r>
      <w:r w:rsidRPr="005F0A67">
        <w:rPr>
          <w:rFonts w:asciiTheme="majorBidi" w:eastAsia="Arial" w:hAnsiTheme="majorBidi" w:cstheme="majorBidi"/>
          <w:color w:val="242424"/>
          <w:sz w:val="14"/>
          <w:szCs w:val="14"/>
          <w:lang w:val="en-US"/>
        </w:rPr>
        <w:t>their</w:t>
      </w:r>
      <w:r w:rsidRPr="005F0A67">
        <w:rPr>
          <w:rFonts w:asciiTheme="majorBidi" w:eastAsia="Arial" w:hAnsiTheme="majorBidi" w:cstheme="majorBidi"/>
          <w:color w:val="242424"/>
          <w:spacing w:val="-10"/>
          <w:sz w:val="14"/>
          <w:szCs w:val="14"/>
          <w:lang w:val="en-US"/>
        </w:rPr>
        <w:t xml:space="preserve"> </w:t>
      </w:r>
      <w:r w:rsidRPr="005F0A67">
        <w:rPr>
          <w:rFonts w:asciiTheme="majorBidi" w:eastAsia="Arial" w:hAnsiTheme="majorBidi" w:cstheme="majorBidi"/>
          <w:color w:val="242424"/>
          <w:sz w:val="14"/>
          <w:szCs w:val="14"/>
          <w:lang w:val="en-US"/>
        </w:rPr>
        <w:t>purchasing</w:t>
      </w:r>
      <w:r w:rsidRPr="005F0A67">
        <w:rPr>
          <w:rFonts w:asciiTheme="majorBidi" w:eastAsia="Arial" w:hAnsiTheme="majorBidi" w:cstheme="majorBidi"/>
          <w:color w:val="242424"/>
          <w:spacing w:val="-10"/>
          <w:sz w:val="14"/>
          <w:szCs w:val="14"/>
          <w:lang w:val="en-US"/>
        </w:rPr>
        <w:t xml:space="preserve"> </w:t>
      </w:r>
      <w:r w:rsidRPr="005F0A67">
        <w:rPr>
          <w:rFonts w:asciiTheme="majorBidi" w:eastAsia="Arial" w:hAnsiTheme="majorBidi" w:cstheme="majorBidi"/>
          <w:color w:val="242424"/>
          <w:sz w:val="14"/>
          <w:szCs w:val="14"/>
          <w:lang w:val="en-US"/>
        </w:rPr>
        <w:t>decisions</w:t>
      </w:r>
      <w:r w:rsidRPr="005F0A67">
        <w:rPr>
          <w:rFonts w:asciiTheme="majorBidi" w:eastAsia="Arial" w:hAnsiTheme="majorBidi" w:cstheme="majorBidi"/>
          <w:color w:val="242424"/>
          <w:spacing w:val="-10"/>
          <w:sz w:val="14"/>
          <w:szCs w:val="14"/>
          <w:lang w:val="en-US"/>
        </w:rPr>
        <w:t xml:space="preserve"> </w:t>
      </w:r>
      <w:r w:rsidRPr="005F0A67">
        <w:rPr>
          <w:rFonts w:asciiTheme="majorBidi" w:eastAsia="Arial" w:hAnsiTheme="majorBidi" w:cstheme="majorBidi"/>
          <w:color w:val="242424"/>
          <w:sz w:val="14"/>
          <w:szCs w:val="14"/>
          <w:lang w:val="en-US"/>
        </w:rPr>
        <w:t>change</w:t>
      </w:r>
      <w:r w:rsidRPr="005F0A67">
        <w:rPr>
          <w:rFonts w:asciiTheme="majorBidi" w:eastAsia="Arial" w:hAnsiTheme="majorBidi" w:cstheme="majorBidi"/>
          <w:color w:val="242424"/>
          <w:spacing w:val="-9"/>
          <w:sz w:val="14"/>
          <w:szCs w:val="14"/>
          <w:lang w:val="en-US"/>
        </w:rPr>
        <w:t xml:space="preserve"> </w:t>
      </w:r>
      <w:r w:rsidRPr="005F0A67">
        <w:rPr>
          <w:rFonts w:asciiTheme="majorBidi" w:eastAsia="Arial" w:hAnsiTheme="majorBidi" w:cstheme="majorBidi"/>
          <w:color w:val="242424"/>
          <w:sz w:val="14"/>
          <w:szCs w:val="14"/>
          <w:lang w:val="en-US"/>
        </w:rPr>
        <w:t>noticeably</w:t>
      </w:r>
      <w:r w:rsidRPr="005F0A67">
        <w:rPr>
          <w:rFonts w:asciiTheme="majorBidi" w:eastAsia="Arial" w:hAnsiTheme="majorBidi" w:cstheme="majorBidi"/>
          <w:color w:val="242424"/>
          <w:spacing w:val="-10"/>
          <w:sz w:val="14"/>
          <w:szCs w:val="14"/>
          <w:lang w:val="en-US"/>
        </w:rPr>
        <w:t xml:space="preserve"> </w:t>
      </w:r>
      <w:r w:rsidRPr="005F0A67">
        <w:rPr>
          <w:rFonts w:asciiTheme="majorBidi" w:eastAsia="Arial" w:hAnsiTheme="majorBidi" w:cstheme="majorBidi"/>
          <w:color w:val="242424"/>
          <w:sz w:val="14"/>
          <w:szCs w:val="14"/>
          <w:lang w:val="en-US"/>
        </w:rPr>
        <w:t>in</w:t>
      </w:r>
      <w:r w:rsidRPr="005F0A67">
        <w:rPr>
          <w:rFonts w:asciiTheme="majorBidi" w:eastAsia="Arial" w:hAnsiTheme="majorBidi" w:cstheme="majorBidi"/>
          <w:color w:val="242424"/>
          <w:spacing w:val="-10"/>
          <w:sz w:val="14"/>
          <w:szCs w:val="14"/>
          <w:lang w:val="en-US"/>
        </w:rPr>
        <w:t xml:space="preserve"> </w:t>
      </w:r>
      <w:r w:rsidRPr="005F0A67">
        <w:rPr>
          <w:rFonts w:asciiTheme="majorBidi" w:eastAsia="Arial" w:hAnsiTheme="majorBidi" w:cstheme="majorBidi"/>
          <w:color w:val="242424"/>
          <w:sz w:val="14"/>
          <w:szCs w:val="14"/>
          <w:lang w:val="en-US"/>
        </w:rPr>
        <w:t>response</w:t>
      </w:r>
      <w:r w:rsidRPr="005F0A67">
        <w:rPr>
          <w:rFonts w:asciiTheme="majorBidi" w:eastAsia="Arial" w:hAnsiTheme="majorBidi" w:cstheme="majorBidi"/>
          <w:color w:val="242424"/>
          <w:spacing w:val="-9"/>
          <w:sz w:val="14"/>
          <w:szCs w:val="14"/>
          <w:lang w:val="en-US"/>
        </w:rPr>
        <w:t xml:space="preserve"> </w:t>
      </w:r>
      <w:r w:rsidRPr="005F0A67">
        <w:rPr>
          <w:rFonts w:asciiTheme="majorBidi" w:eastAsia="Arial" w:hAnsiTheme="majorBidi" w:cstheme="majorBidi"/>
          <w:color w:val="242424"/>
          <w:sz w:val="14"/>
          <w:szCs w:val="14"/>
          <w:lang w:val="en-US"/>
        </w:rPr>
        <w:t>to</w:t>
      </w:r>
      <w:r w:rsidRPr="005F0A67">
        <w:rPr>
          <w:rFonts w:asciiTheme="majorBidi" w:eastAsia="Arial" w:hAnsiTheme="majorBidi" w:cstheme="majorBidi"/>
          <w:color w:val="242424"/>
          <w:spacing w:val="-10"/>
          <w:sz w:val="14"/>
          <w:szCs w:val="14"/>
          <w:lang w:val="en-US"/>
        </w:rPr>
        <w:t xml:space="preserve"> </w:t>
      </w:r>
      <w:r w:rsidRPr="005F0A67">
        <w:rPr>
          <w:rFonts w:asciiTheme="majorBidi" w:eastAsia="Arial" w:hAnsiTheme="majorBidi" w:cstheme="majorBidi"/>
          <w:color w:val="242424"/>
          <w:sz w:val="14"/>
          <w:szCs w:val="14"/>
          <w:lang w:val="en-US"/>
        </w:rPr>
        <w:t>price</w:t>
      </w:r>
      <w:r w:rsidRPr="005F0A67">
        <w:rPr>
          <w:rFonts w:asciiTheme="majorBidi" w:eastAsia="Arial" w:hAnsiTheme="majorBidi" w:cstheme="majorBidi"/>
          <w:color w:val="242424"/>
          <w:spacing w:val="-10"/>
          <w:sz w:val="14"/>
          <w:szCs w:val="14"/>
          <w:lang w:val="en-US"/>
        </w:rPr>
        <w:t xml:space="preserve"> </w:t>
      </w:r>
      <w:r w:rsidRPr="005F0A67">
        <w:rPr>
          <w:rFonts w:asciiTheme="majorBidi" w:eastAsia="Arial" w:hAnsiTheme="majorBidi" w:cstheme="majorBidi"/>
          <w:color w:val="242424"/>
          <w:sz w:val="14"/>
          <w:szCs w:val="14"/>
          <w:lang w:val="en-US"/>
        </w:rPr>
        <w:t>changes,</w:t>
      </w:r>
      <w:r w:rsidRPr="005F0A67">
        <w:rPr>
          <w:rFonts w:asciiTheme="majorBidi" w:eastAsia="Arial" w:hAnsiTheme="majorBidi" w:cstheme="majorBidi"/>
          <w:color w:val="242424"/>
          <w:spacing w:val="40"/>
          <w:sz w:val="14"/>
          <w:szCs w:val="14"/>
          <w:lang w:val="en-US"/>
        </w:rPr>
        <w:t xml:space="preserve"> </w:t>
      </w:r>
      <w:r w:rsidRPr="005F0A67">
        <w:rPr>
          <w:rFonts w:asciiTheme="majorBidi" w:eastAsia="Arial" w:hAnsiTheme="majorBidi" w:cstheme="majorBidi"/>
          <w:color w:val="242424"/>
          <w:sz w:val="14"/>
          <w:szCs w:val="14"/>
          <w:lang w:val="en-US"/>
        </w:rPr>
        <w:t>meaning</w:t>
      </w:r>
      <w:r w:rsidRPr="005F0A67">
        <w:rPr>
          <w:rFonts w:asciiTheme="majorBidi" w:eastAsia="Arial" w:hAnsiTheme="majorBidi" w:cstheme="majorBidi"/>
          <w:color w:val="242424"/>
          <w:spacing w:val="-3"/>
          <w:sz w:val="14"/>
          <w:szCs w:val="14"/>
          <w:lang w:val="en-US"/>
        </w:rPr>
        <w:t xml:space="preserve"> </w:t>
      </w:r>
      <w:r w:rsidRPr="005F0A67">
        <w:rPr>
          <w:rFonts w:asciiTheme="majorBidi" w:eastAsia="Arial" w:hAnsiTheme="majorBidi" w:cstheme="majorBidi"/>
          <w:color w:val="242424"/>
          <w:sz w:val="14"/>
          <w:szCs w:val="14"/>
          <w:lang w:val="en-US"/>
        </w:rPr>
        <w:t>even</w:t>
      </w:r>
      <w:r w:rsidRPr="005F0A67">
        <w:rPr>
          <w:rFonts w:asciiTheme="majorBidi" w:eastAsia="Arial" w:hAnsiTheme="majorBidi" w:cstheme="majorBidi"/>
          <w:color w:val="242424"/>
          <w:spacing w:val="-3"/>
          <w:sz w:val="14"/>
          <w:szCs w:val="14"/>
          <w:lang w:val="en-US"/>
        </w:rPr>
        <w:t xml:space="preserve"> </w:t>
      </w:r>
      <w:r w:rsidRPr="005F0A67">
        <w:rPr>
          <w:rFonts w:asciiTheme="majorBidi" w:eastAsia="Arial" w:hAnsiTheme="majorBidi" w:cstheme="majorBidi"/>
          <w:color w:val="242424"/>
          <w:sz w:val="14"/>
          <w:szCs w:val="14"/>
          <w:lang w:val="en-US"/>
        </w:rPr>
        <w:t>small</w:t>
      </w:r>
      <w:r w:rsidRPr="005F0A67">
        <w:rPr>
          <w:rFonts w:asciiTheme="majorBidi" w:eastAsia="Arial" w:hAnsiTheme="majorBidi" w:cstheme="majorBidi"/>
          <w:color w:val="242424"/>
          <w:spacing w:val="-3"/>
          <w:sz w:val="14"/>
          <w:szCs w:val="14"/>
          <w:lang w:val="en-US"/>
        </w:rPr>
        <w:t xml:space="preserve"> </w:t>
      </w:r>
      <w:r w:rsidRPr="005F0A67">
        <w:rPr>
          <w:rFonts w:asciiTheme="majorBidi" w:eastAsia="Arial" w:hAnsiTheme="majorBidi" w:cstheme="majorBidi"/>
          <w:color w:val="242424"/>
          <w:sz w:val="14"/>
          <w:szCs w:val="14"/>
          <w:lang w:val="en-US"/>
        </w:rPr>
        <w:t>price</w:t>
      </w:r>
      <w:r w:rsidRPr="005F0A67">
        <w:rPr>
          <w:rFonts w:asciiTheme="majorBidi" w:eastAsia="Arial" w:hAnsiTheme="majorBidi" w:cstheme="majorBidi"/>
          <w:color w:val="242424"/>
          <w:spacing w:val="-3"/>
          <w:sz w:val="14"/>
          <w:szCs w:val="14"/>
          <w:lang w:val="en-US"/>
        </w:rPr>
        <w:t xml:space="preserve"> </w:t>
      </w:r>
      <w:r w:rsidRPr="005F0A67">
        <w:rPr>
          <w:rFonts w:asciiTheme="majorBidi" w:eastAsia="Arial" w:hAnsiTheme="majorBidi" w:cstheme="majorBidi"/>
          <w:color w:val="242424"/>
          <w:sz w:val="14"/>
          <w:szCs w:val="14"/>
          <w:lang w:val="en-US"/>
        </w:rPr>
        <w:t>increases</w:t>
      </w:r>
      <w:r w:rsidRPr="005F0A67">
        <w:rPr>
          <w:rFonts w:asciiTheme="majorBidi" w:eastAsia="Arial" w:hAnsiTheme="majorBidi" w:cstheme="majorBidi"/>
          <w:color w:val="242424"/>
          <w:spacing w:val="-3"/>
          <w:sz w:val="14"/>
          <w:szCs w:val="14"/>
          <w:lang w:val="en-US"/>
        </w:rPr>
        <w:t xml:space="preserve"> </w:t>
      </w:r>
      <w:r w:rsidRPr="005F0A67">
        <w:rPr>
          <w:rFonts w:asciiTheme="majorBidi" w:eastAsia="Arial" w:hAnsiTheme="majorBidi" w:cstheme="majorBidi"/>
          <w:color w:val="242424"/>
          <w:sz w:val="14"/>
          <w:szCs w:val="14"/>
          <w:lang w:val="en-US"/>
        </w:rPr>
        <w:t>or</w:t>
      </w:r>
      <w:r w:rsidRPr="005F0A67">
        <w:rPr>
          <w:rFonts w:asciiTheme="majorBidi" w:eastAsia="Arial" w:hAnsiTheme="majorBidi" w:cstheme="majorBidi"/>
          <w:color w:val="242424"/>
          <w:spacing w:val="-3"/>
          <w:sz w:val="14"/>
          <w:szCs w:val="14"/>
          <w:lang w:val="en-US"/>
        </w:rPr>
        <w:t xml:space="preserve"> </w:t>
      </w:r>
      <w:r w:rsidRPr="005F0A67">
        <w:rPr>
          <w:rFonts w:asciiTheme="majorBidi" w:eastAsia="Arial" w:hAnsiTheme="majorBidi" w:cstheme="majorBidi"/>
          <w:color w:val="242424"/>
          <w:sz w:val="14"/>
          <w:szCs w:val="14"/>
          <w:lang w:val="en-US"/>
        </w:rPr>
        <w:t>discounts</w:t>
      </w:r>
      <w:r w:rsidRPr="005F0A67">
        <w:rPr>
          <w:rFonts w:asciiTheme="majorBidi" w:eastAsia="Arial" w:hAnsiTheme="majorBidi" w:cstheme="majorBidi"/>
          <w:color w:val="242424"/>
          <w:spacing w:val="-3"/>
          <w:sz w:val="14"/>
          <w:szCs w:val="14"/>
          <w:lang w:val="en-US"/>
        </w:rPr>
        <w:t xml:space="preserve"> </w:t>
      </w:r>
      <w:r w:rsidRPr="005F0A67">
        <w:rPr>
          <w:rFonts w:asciiTheme="majorBidi" w:eastAsia="Arial" w:hAnsiTheme="majorBidi" w:cstheme="majorBidi"/>
          <w:color w:val="242424"/>
          <w:sz w:val="14"/>
          <w:szCs w:val="14"/>
          <w:lang w:val="en-US"/>
        </w:rPr>
        <w:t>can</w:t>
      </w:r>
      <w:r w:rsidRPr="005F0A67">
        <w:rPr>
          <w:rFonts w:asciiTheme="majorBidi" w:eastAsia="Arial" w:hAnsiTheme="majorBidi" w:cstheme="majorBidi"/>
          <w:color w:val="242424"/>
          <w:spacing w:val="-3"/>
          <w:sz w:val="14"/>
          <w:szCs w:val="14"/>
          <w:lang w:val="en-US"/>
        </w:rPr>
        <w:t xml:space="preserve"> </w:t>
      </w:r>
      <w:r w:rsidRPr="005F0A67">
        <w:rPr>
          <w:rFonts w:asciiTheme="majorBidi" w:eastAsia="Arial" w:hAnsiTheme="majorBidi" w:cstheme="majorBidi"/>
          <w:color w:val="242424"/>
          <w:sz w:val="14"/>
          <w:szCs w:val="14"/>
          <w:lang w:val="en-US"/>
        </w:rPr>
        <w:t>strongly</w:t>
      </w:r>
      <w:r w:rsidRPr="005F0A67">
        <w:rPr>
          <w:rFonts w:asciiTheme="majorBidi" w:eastAsia="Arial" w:hAnsiTheme="majorBidi" w:cstheme="majorBidi"/>
          <w:color w:val="242424"/>
          <w:spacing w:val="-3"/>
          <w:sz w:val="14"/>
          <w:szCs w:val="14"/>
          <w:lang w:val="en-US"/>
        </w:rPr>
        <w:t xml:space="preserve"> </w:t>
      </w:r>
      <w:r w:rsidRPr="005F0A67">
        <w:rPr>
          <w:rFonts w:asciiTheme="majorBidi" w:eastAsia="Arial" w:hAnsiTheme="majorBidi" w:cstheme="majorBidi"/>
          <w:color w:val="242424"/>
          <w:sz w:val="14"/>
          <w:szCs w:val="14"/>
          <w:lang w:val="en-US"/>
        </w:rPr>
        <w:t>affect</w:t>
      </w:r>
      <w:r w:rsidRPr="005F0A67">
        <w:rPr>
          <w:rFonts w:asciiTheme="majorBidi" w:eastAsia="Arial" w:hAnsiTheme="majorBidi" w:cstheme="majorBidi"/>
          <w:color w:val="242424"/>
          <w:spacing w:val="-3"/>
          <w:sz w:val="14"/>
          <w:szCs w:val="14"/>
          <w:lang w:val="en-US"/>
        </w:rPr>
        <w:t xml:space="preserve"> </w:t>
      </w:r>
      <w:r w:rsidRPr="005F0A67">
        <w:rPr>
          <w:rFonts w:asciiTheme="majorBidi" w:eastAsia="Arial" w:hAnsiTheme="majorBidi" w:cstheme="majorBidi"/>
          <w:color w:val="242424"/>
          <w:sz w:val="14"/>
          <w:szCs w:val="14"/>
          <w:lang w:val="en-US"/>
        </w:rPr>
        <w:t>how</w:t>
      </w:r>
      <w:r w:rsidRPr="005F0A67">
        <w:rPr>
          <w:rFonts w:asciiTheme="majorBidi" w:eastAsia="Arial" w:hAnsiTheme="majorBidi" w:cstheme="majorBidi"/>
          <w:color w:val="242424"/>
          <w:spacing w:val="-3"/>
          <w:sz w:val="14"/>
          <w:szCs w:val="14"/>
          <w:lang w:val="en-US"/>
        </w:rPr>
        <w:t xml:space="preserve"> </w:t>
      </w:r>
      <w:r w:rsidRPr="005F0A67">
        <w:rPr>
          <w:rFonts w:asciiTheme="majorBidi" w:eastAsia="Arial" w:hAnsiTheme="majorBidi" w:cstheme="majorBidi"/>
          <w:color w:val="242424"/>
          <w:sz w:val="14"/>
          <w:szCs w:val="14"/>
          <w:lang w:val="en-US"/>
        </w:rPr>
        <w:t>much</w:t>
      </w:r>
      <w:r w:rsidRPr="005F0A67">
        <w:rPr>
          <w:rFonts w:asciiTheme="majorBidi" w:eastAsia="Arial" w:hAnsiTheme="majorBidi" w:cstheme="majorBidi"/>
          <w:color w:val="242424"/>
          <w:spacing w:val="-3"/>
          <w:sz w:val="14"/>
          <w:szCs w:val="14"/>
          <w:lang w:val="en-US"/>
        </w:rPr>
        <w:t xml:space="preserve"> </w:t>
      </w:r>
      <w:r w:rsidRPr="005F0A67">
        <w:rPr>
          <w:rFonts w:asciiTheme="majorBidi" w:eastAsia="Arial" w:hAnsiTheme="majorBidi" w:cstheme="majorBidi"/>
          <w:color w:val="242424"/>
          <w:sz w:val="14"/>
          <w:szCs w:val="14"/>
          <w:lang w:val="en-US"/>
        </w:rPr>
        <w:t>they</w:t>
      </w:r>
      <w:r w:rsidRPr="005F0A67">
        <w:rPr>
          <w:rFonts w:asciiTheme="majorBidi" w:eastAsia="Arial" w:hAnsiTheme="majorBidi" w:cstheme="majorBidi"/>
          <w:color w:val="242424"/>
          <w:spacing w:val="-3"/>
          <w:sz w:val="14"/>
          <w:szCs w:val="14"/>
          <w:lang w:val="en-US"/>
        </w:rPr>
        <w:t xml:space="preserve"> </w:t>
      </w:r>
      <w:r w:rsidRPr="005F0A67">
        <w:rPr>
          <w:rFonts w:asciiTheme="majorBidi" w:eastAsia="Arial" w:hAnsiTheme="majorBidi" w:cstheme="majorBidi"/>
          <w:color w:val="242424"/>
          <w:sz w:val="14"/>
          <w:szCs w:val="14"/>
          <w:lang w:val="en-US"/>
        </w:rPr>
        <w:t>buy</w:t>
      </w:r>
      <w:r w:rsidRPr="005F0A67">
        <w:rPr>
          <w:rFonts w:asciiTheme="majorBidi" w:eastAsia="Arial" w:hAnsiTheme="majorBidi" w:cstheme="majorBidi"/>
          <w:color w:val="242424"/>
          <w:spacing w:val="-3"/>
          <w:sz w:val="14"/>
          <w:szCs w:val="14"/>
          <w:lang w:val="en-US"/>
        </w:rPr>
        <w:t xml:space="preserve"> </w:t>
      </w:r>
      <w:r w:rsidRPr="005F0A67">
        <w:rPr>
          <w:rFonts w:asciiTheme="majorBidi" w:eastAsia="Arial" w:hAnsiTheme="majorBidi" w:cstheme="majorBidi"/>
          <w:color w:val="242424"/>
          <w:sz w:val="14"/>
          <w:szCs w:val="14"/>
          <w:lang w:val="en-US"/>
        </w:rPr>
        <w:t>or</w:t>
      </w:r>
      <w:r w:rsidRPr="005F0A67">
        <w:rPr>
          <w:rFonts w:asciiTheme="majorBidi" w:eastAsia="Arial" w:hAnsiTheme="majorBidi" w:cstheme="majorBidi"/>
          <w:color w:val="242424"/>
          <w:spacing w:val="-3"/>
          <w:sz w:val="14"/>
          <w:szCs w:val="14"/>
          <w:lang w:val="en-US"/>
        </w:rPr>
        <w:t xml:space="preserve"> </w:t>
      </w:r>
      <w:r w:rsidRPr="005F0A67">
        <w:rPr>
          <w:rFonts w:asciiTheme="majorBidi" w:eastAsia="Arial" w:hAnsiTheme="majorBidi" w:cstheme="majorBidi"/>
          <w:color w:val="242424"/>
          <w:sz w:val="14"/>
          <w:szCs w:val="14"/>
          <w:lang w:val="en-US"/>
        </w:rPr>
        <w:t>whether</w:t>
      </w:r>
      <w:r w:rsidRPr="005F0A67">
        <w:rPr>
          <w:rFonts w:asciiTheme="majorBidi" w:eastAsia="Arial" w:hAnsiTheme="majorBidi" w:cstheme="majorBidi"/>
          <w:color w:val="242424"/>
          <w:spacing w:val="-3"/>
          <w:sz w:val="14"/>
          <w:szCs w:val="14"/>
          <w:lang w:val="en-US"/>
        </w:rPr>
        <w:t xml:space="preserve"> </w:t>
      </w:r>
      <w:r w:rsidRPr="005F0A67">
        <w:rPr>
          <w:rFonts w:asciiTheme="majorBidi" w:eastAsia="Arial" w:hAnsiTheme="majorBidi" w:cstheme="majorBidi"/>
          <w:color w:val="242424"/>
          <w:sz w:val="14"/>
          <w:szCs w:val="14"/>
          <w:lang w:val="en-US"/>
        </w:rPr>
        <w:t>they</w:t>
      </w:r>
      <w:r w:rsidRPr="005F0A67">
        <w:rPr>
          <w:rFonts w:asciiTheme="majorBidi" w:eastAsia="Arial" w:hAnsiTheme="majorBidi" w:cstheme="majorBidi"/>
          <w:color w:val="242424"/>
          <w:spacing w:val="-3"/>
          <w:sz w:val="14"/>
          <w:szCs w:val="14"/>
          <w:lang w:val="en-US"/>
        </w:rPr>
        <w:t xml:space="preserve"> </w:t>
      </w:r>
      <w:r w:rsidRPr="005F0A67">
        <w:rPr>
          <w:rFonts w:asciiTheme="majorBidi" w:eastAsia="Arial" w:hAnsiTheme="majorBidi" w:cstheme="majorBidi"/>
          <w:color w:val="242424"/>
          <w:sz w:val="14"/>
          <w:szCs w:val="14"/>
          <w:lang w:val="en-US"/>
        </w:rPr>
        <w:t>buy</w:t>
      </w:r>
      <w:r w:rsidRPr="005F0A67">
        <w:rPr>
          <w:rFonts w:asciiTheme="majorBidi" w:eastAsia="Arial" w:hAnsiTheme="majorBidi" w:cstheme="majorBidi"/>
          <w:color w:val="242424"/>
          <w:spacing w:val="-3"/>
          <w:sz w:val="14"/>
          <w:szCs w:val="14"/>
          <w:lang w:val="en-US"/>
        </w:rPr>
        <w:t xml:space="preserve"> </w:t>
      </w:r>
      <w:r w:rsidRPr="005F0A67">
        <w:rPr>
          <w:rFonts w:asciiTheme="majorBidi" w:eastAsia="Arial" w:hAnsiTheme="majorBidi" w:cstheme="majorBidi"/>
          <w:color w:val="242424"/>
          <w:sz w:val="14"/>
          <w:szCs w:val="14"/>
          <w:lang w:val="en-US"/>
        </w:rPr>
        <w:t>at</w:t>
      </w:r>
      <w:r w:rsidRPr="005F0A67">
        <w:rPr>
          <w:rFonts w:asciiTheme="majorBidi" w:eastAsia="Arial" w:hAnsiTheme="majorBidi" w:cstheme="majorBidi"/>
          <w:color w:val="242424"/>
          <w:spacing w:val="40"/>
          <w:sz w:val="14"/>
          <w:szCs w:val="14"/>
          <w:lang w:val="en-US"/>
        </w:rPr>
        <w:t xml:space="preserve"> </w:t>
      </w:r>
      <w:r w:rsidRPr="005F0A67">
        <w:rPr>
          <w:rFonts w:asciiTheme="majorBidi" w:eastAsia="Arial" w:hAnsiTheme="majorBidi" w:cstheme="majorBidi"/>
          <w:color w:val="242424"/>
          <w:spacing w:val="-4"/>
          <w:sz w:val="14"/>
          <w:szCs w:val="14"/>
          <w:lang w:val="en-US"/>
        </w:rPr>
        <w:t>all.</w:t>
      </w:r>
    </w:p>
    <w:p w14:paraId="6CFB750E" w14:textId="77777777" w:rsidR="005F0A67" w:rsidRPr="005F0A67" w:rsidRDefault="005F0A67" w:rsidP="005F0A67">
      <w:pPr>
        <w:widowControl w:val="0"/>
        <w:tabs>
          <w:tab w:val="clear" w:pos="567"/>
          <w:tab w:val="clear" w:pos="1134"/>
          <w:tab w:val="clear" w:pos="1701"/>
          <w:tab w:val="clear" w:pos="2268"/>
        </w:tabs>
        <w:spacing w:before="91"/>
        <w:jc w:val="left"/>
        <w:rPr>
          <w:rFonts w:asciiTheme="majorBidi" w:eastAsia="Arial" w:hAnsiTheme="majorBidi" w:cstheme="majorBidi"/>
          <w:sz w:val="14"/>
          <w:szCs w:val="14"/>
          <w:lang w:val="en-US"/>
        </w:rPr>
      </w:pPr>
    </w:p>
    <w:p w14:paraId="05C68443" w14:textId="77777777" w:rsidR="005F0A67" w:rsidRPr="005F0A67" w:rsidRDefault="005F0A67" w:rsidP="005F0A67">
      <w:pPr>
        <w:widowControl w:val="0"/>
        <w:tabs>
          <w:tab w:val="clear" w:pos="567"/>
          <w:tab w:val="clear" w:pos="1134"/>
          <w:tab w:val="clear" w:pos="1701"/>
          <w:tab w:val="clear" w:pos="2268"/>
        </w:tabs>
        <w:spacing w:before="1"/>
        <w:ind w:left="725"/>
        <w:jc w:val="left"/>
        <w:rPr>
          <w:rFonts w:asciiTheme="majorBidi" w:eastAsia="Arial" w:hAnsiTheme="majorBidi" w:cstheme="majorBidi"/>
          <w:sz w:val="14"/>
          <w:szCs w:val="14"/>
          <w:lang w:val="en-US"/>
        </w:rPr>
      </w:pPr>
      <w:r w:rsidRPr="005F0A67">
        <w:rPr>
          <w:rFonts w:asciiTheme="majorBidi" w:eastAsia="Arial" w:hAnsiTheme="majorBidi" w:cstheme="majorBidi"/>
          <w:noProof/>
          <w:position w:val="-4"/>
          <w:sz w:val="14"/>
          <w:szCs w:val="14"/>
          <w:lang w:val="en-US"/>
        </w:rPr>
        <w:drawing>
          <wp:inline distT="0" distB="0" distL="0" distR="0" wp14:anchorId="08C549EF" wp14:editId="13B1F898">
            <wp:extent cx="127000" cy="127000"/>
            <wp:effectExtent l="0" t="0" r="0" b="0"/>
            <wp:docPr id="243" name="Image 2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3" name="Image 243"/>
                    <pic:cNvPicPr/>
                  </pic:nvPicPr>
                  <pic:blipFill>
                    <a:blip r:embed="rId39" cstate="print"/>
                    <a:stretch>
                      <a:fillRect/>
                    </a:stretch>
                  </pic:blipFill>
                  <pic:spPr>
                    <a:xfrm>
                      <a:off x="0" y="0"/>
                      <a:ext cx="127000" cy="127000"/>
                    </a:xfrm>
                    <a:prstGeom prst="rect">
                      <a:avLst/>
                    </a:prstGeom>
                  </pic:spPr>
                </pic:pic>
              </a:graphicData>
            </a:graphic>
          </wp:inline>
        </w:drawing>
      </w:r>
      <w:r w:rsidRPr="005F0A67">
        <w:rPr>
          <w:rFonts w:asciiTheme="majorBidi" w:eastAsia="Arial" w:hAnsiTheme="majorBidi" w:cstheme="majorBidi"/>
          <w:spacing w:val="80"/>
          <w:sz w:val="20"/>
          <w:szCs w:val="20"/>
          <w:lang w:val="en-US"/>
        </w:rPr>
        <w:t xml:space="preserve"> </w:t>
      </w:r>
      <w:r w:rsidRPr="005F0A67">
        <w:rPr>
          <w:rFonts w:asciiTheme="majorBidi" w:eastAsia="Arial" w:hAnsiTheme="majorBidi" w:cstheme="majorBidi"/>
          <w:color w:val="242424"/>
          <w:spacing w:val="-2"/>
          <w:sz w:val="14"/>
          <w:szCs w:val="14"/>
          <w:lang w:val="en-US"/>
        </w:rPr>
        <w:t>Very price sensitive</w:t>
      </w:r>
    </w:p>
    <w:p w14:paraId="2BCCC0A7" w14:textId="77777777" w:rsidR="005F0A67" w:rsidRPr="005F0A67" w:rsidRDefault="005F0A67" w:rsidP="005F0A67">
      <w:pPr>
        <w:widowControl w:val="0"/>
        <w:tabs>
          <w:tab w:val="clear" w:pos="567"/>
          <w:tab w:val="clear" w:pos="1134"/>
          <w:tab w:val="clear" w:pos="1701"/>
          <w:tab w:val="clear" w:pos="2268"/>
        </w:tabs>
        <w:spacing w:before="138"/>
        <w:jc w:val="left"/>
        <w:rPr>
          <w:rFonts w:asciiTheme="majorBidi" w:eastAsia="Arial" w:hAnsiTheme="majorBidi" w:cstheme="majorBidi"/>
          <w:sz w:val="14"/>
          <w:szCs w:val="14"/>
          <w:lang w:val="en-US"/>
        </w:rPr>
      </w:pPr>
    </w:p>
    <w:p w14:paraId="690796FD" w14:textId="77777777" w:rsidR="005F0A67" w:rsidRPr="005F0A67" w:rsidRDefault="005F0A67" w:rsidP="005F0A67">
      <w:pPr>
        <w:widowControl w:val="0"/>
        <w:tabs>
          <w:tab w:val="clear" w:pos="567"/>
          <w:tab w:val="clear" w:pos="1134"/>
          <w:tab w:val="clear" w:pos="1701"/>
          <w:tab w:val="clear" w:pos="2268"/>
        </w:tabs>
        <w:spacing w:before="1" w:line="600" w:lineRule="auto"/>
        <w:ind w:left="725" w:right="5767"/>
        <w:jc w:val="left"/>
        <w:rPr>
          <w:rFonts w:asciiTheme="majorBidi" w:eastAsia="Arial" w:hAnsiTheme="majorBidi" w:cstheme="majorBidi"/>
          <w:sz w:val="14"/>
          <w:szCs w:val="14"/>
          <w:lang w:val="en-US"/>
        </w:rPr>
      </w:pPr>
      <w:r w:rsidRPr="005F0A67">
        <w:rPr>
          <w:rFonts w:asciiTheme="majorBidi" w:eastAsia="Arial" w:hAnsiTheme="majorBidi" w:cstheme="majorBidi"/>
          <w:noProof/>
          <w:position w:val="-4"/>
          <w:sz w:val="14"/>
          <w:szCs w:val="14"/>
          <w:lang w:val="en-US"/>
        </w:rPr>
        <w:drawing>
          <wp:inline distT="0" distB="0" distL="0" distR="0" wp14:anchorId="2D9A9D7C" wp14:editId="1F9875B7">
            <wp:extent cx="127000" cy="127000"/>
            <wp:effectExtent l="0" t="0" r="0" b="0"/>
            <wp:docPr id="244" name="Image 2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4" name="Image 244"/>
                    <pic:cNvPicPr/>
                  </pic:nvPicPr>
                  <pic:blipFill>
                    <a:blip r:embed="rId37" cstate="print"/>
                    <a:stretch>
                      <a:fillRect/>
                    </a:stretch>
                  </pic:blipFill>
                  <pic:spPr>
                    <a:xfrm>
                      <a:off x="0" y="0"/>
                      <a:ext cx="127000" cy="127000"/>
                    </a:xfrm>
                    <a:prstGeom prst="rect">
                      <a:avLst/>
                    </a:prstGeom>
                  </pic:spPr>
                </pic:pic>
              </a:graphicData>
            </a:graphic>
          </wp:inline>
        </w:drawing>
      </w:r>
      <w:r w:rsidRPr="005F0A67">
        <w:rPr>
          <w:rFonts w:asciiTheme="majorBidi" w:eastAsia="Arial" w:hAnsiTheme="majorBidi" w:cstheme="majorBidi"/>
          <w:spacing w:val="61"/>
          <w:sz w:val="20"/>
          <w:szCs w:val="20"/>
          <w:lang w:val="en-US"/>
        </w:rPr>
        <w:t xml:space="preserve"> </w:t>
      </w:r>
      <w:r w:rsidRPr="005F0A67">
        <w:rPr>
          <w:rFonts w:asciiTheme="majorBidi" w:eastAsia="Arial" w:hAnsiTheme="majorBidi" w:cstheme="majorBidi"/>
          <w:color w:val="242424"/>
          <w:sz w:val="14"/>
          <w:szCs w:val="14"/>
          <w:lang w:val="en-US"/>
        </w:rPr>
        <w:t>Moderately</w:t>
      </w:r>
      <w:r w:rsidRPr="005F0A67">
        <w:rPr>
          <w:rFonts w:asciiTheme="majorBidi" w:eastAsia="Arial" w:hAnsiTheme="majorBidi" w:cstheme="majorBidi"/>
          <w:color w:val="242424"/>
          <w:spacing w:val="-9"/>
          <w:sz w:val="14"/>
          <w:szCs w:val="14"/>
          <w:lang w:val="en-US"/>
        </w:rPr>
        <w:t xml:space="preserve"> </w:t>
      </w:r>
      <w:r w:rsidRPr="005F0A67">
        <w:rPr>
          <w:rFonts w:asciiTheme="majorBidi" w:eastAsia="Arial" w:hAnsiTheme="majorBidi" w:cstheme="majorBidi"/>
          <w:color w:val="242424"/>
          <w:sz w:val="14"/>
          <w:szCs w:val="14"/>
          <w:lang w:val="en-US"/>
        </w:rPr>
        <w:t>price</w:t>
      </w:r>
      <w:r w:rsidRPr="005F0A67">
        <w:rPr>
          <w:rFonts w:asciiTheme="majorBidi" w:eastAsia="Arial" w:hAnsiTheme="majorBidi" w:cstheme="majorBidi"/>
          <w:color w:val="242424"/>
          <w:spacing w:val="-9"/>
          <w:sz w:val="14"/>
          <w:szCs w:val="14"/>
          <w:lang w:val="en-US"/>
        </w:rPr>
        <w:t xml:space="preserve"> </w:t>
      </w:r>
      <w:r w:rsidRPr="005F0A67">
        <w:rPr>
          <w:rFonts w:asciiTheme="majorBidi" w:eastAsia="Arial" w:hAnsiTheme="majorBidi" w:cstheme="majorBidi"/>
          <w:color w:val="242424"/>
          <w:sz w:val="14"/>
          <w:szCs w:val="14"/>
          <w:lang w:val="en-US"/>
        </w:rPr>
        <w:t>sensitive</w:t>
      </w:r>
      <w:r w:rsidRPr="005F0A67">
        <w:rPr>
          <w:rFonts w:asciiTheme="majorBidi" w:eastAsia="Arial" w:hAnsiTheme="majorBidi" w:cstheme="majorBidi"/>
          <w:color w:val="242424"/>
          <w:spacing w:val="40"/>
          <w:sz w:val="14"/>
          <w:szCs w:val="14"/>
          <w:lang w:val="en-US"/>
        </w:rPr>
        <w:t xml:space="preserve"> </w:t>
      </w:r>
      <w:r w:rsidRPr="005F0A67">
        <w:rPr>
          <w:rFonts w:asciiTheme="majorBidi" w:eastAsia="Arial" w:hAnsiTheme="majorBidi" w:cstheme="majorBidi"/>
          <w:noProof/>
          <w:color w:val="242424"/>
          <w:position w:val="-4"/>
          <w:sz w:val="14"/>
          <w:szCs w:val="14"/>
          <w:lang w:val="en-US"/>
        </w:rPr>
        <w:drawing>
          <wp:inline distT="0" distB="0" distL="0" distR="0" wp14:anchorId="36E8B4E3" wp14:editId="18704647">
            <wp:extent cx="127000" cy="127000"/>
            <wp:effectExtent l="0" t="0" r="0" b="0"/>
            <wp:docPr id="245" name="Image 2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5" name="Image 245"/>
                    <pic:cNvPicPr/>
                  </pic:nvPicPr>
                  <pic:blipFill>
                    <a:blip r:embed="rId42" cstate="print"/>
                    <a:stretch>
                      <a:fillRect/>
                    </a:stretch>
                  </pic:blipFill>
                  <pic:spPr>
                    <a:xfrm>
                      <a:off x="0" y="0"/>
                      <a:ext cx="127000" cy="127000"/>
                    </a:xfrm>
                    <a:prstGeom prst="rect">
                      <a:avLst/>
                    </a:prstGeom>
                  </pic:spPr>
                </pic:pic>
              </a:graphicData>
            </a:graphic>
          </wp:inline>
        </w:drawing>
      </w:r>
      <w:r w:rsidRPr="005F0A67">
        <w:rPr>
          <w:rFonts w:asciiTheme="majorBidi" w:eastAsia="Arial" w:hAnsiTheme="majorBidi" w:cstheme="majorBidi"/>
          <w:color w:val="242424"/>
          <w:spacing w:val="80"/>
          <w:sz w:val="14"/>
          <w:szCs w:val="14"/>
          <w:lang w:val="en-US"/>
        </w:rPr>
        <w:t xml:space="preserve"> </w:t>
      </w:r>
      <w:r w:rsidRPr="005F0A67">
        <w:rPr>
          <w:rFonts w:asciiTheme="majorBidi" w:eastAsia="Arial" w:hAnsiTheme="majorBidi" w:cstheme="majorBidi"/>
          <w:color w:val="242424"/>
          <w:sz w:val="14"/>
          <w:szCs w:val="14"/>
          <w:lang w:val="en-US"/>
        </w:rPr>
        <w:t>Not very sensitive</w:t>
      </w:r>
    </w:p>
    <w:p w14:paraId="63385D52" w14:textId="77777777" w:rsidR="005F0A67" w:rsidRPr="005F0A67" w:rsidRDefault="005F0A67" w:rsidP="005F0A67">
      <w:pPr>
        <w:widowControl w:val="0"/>
        <w:tabs>
          <w:tab w:val="clear" w:pos="567"/>
          <w:tab w:val="clear" w:pos="1134"/>
          <w:tab w:val="clear" w:pos="1701"/>
          <w:tab w:val="clear" w:pos="2268"/>
        </w:tabs>
        <w:spacing w:line="684" w:lineRule="auto"/>
        <w:ind w:left="725" w:right="6703"/>
        <w:jc w:val="left"/>
        <w:rPr>
          <w:rFonts w:asciiTheme="majorBidi" w:eastAsia="Arial" w:hAnsiTheme="majorBidi" w:cstheme="majorBidi"/>
          <w:sz w:val="14"/>
          <w:szCs w:val="14"/>
          <w:lang w:val="en-US"/>
        </w:rPr>
      </w:pPr>
      <w:r w:rsidRPr="005F0A67">
        <w:rPr>
          <w:rFonts w:asciiTheme="majorBidi" w:eastAsia="Arial" w:hAnsiTheme="majorBidi" w:cstheme="majorBidi"/>
          <w:noProof/>
          <w:position w:val="-4"/>
          <w:sz w:val="14"/>
          <w:szCs w:val="14"/>
          <w:lang w:val="en-US"/>
        </w:rPr>
        <w:drawing>
          <wp:inline distT="0" distB="0" distL="0" distR="0" wp14:anchorId="2644D528" wp14:editId="39B21E52">
            <wp:extent cx="127000" cy="127000"/>
            <wp:effectExtent l="0" t="0" r="0" b="0"/>
            <wp:docPr id="246" name="Image 2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6" name="Image 246"/>
                    <pic:cNvPicPr/>
                  </pic:nvPicPr>
                  <pic:blipFill>
                    <a:blip r:embed="rId39" cstate="print"/>
                    <a:stretch>
                      <a:fillRect/>
                    </a:stretch>
                  </pic:blipFill>
                  <pic:spPr>
                    <a:xfrm>
                      <a:off x="0" y="0"/>
                      <a:ext cx="127000" cy="127000"/>
                    </a:xfrm>
                    <a:prstGeom prst="rect">
                      <a:avLst/>
                    </a:prstGeom>
                  </pic:spPr>
                </pic:pic>
              </a:graphicData>
            </a:graphic>
          </wp:inline>
        </w:drawing>
      </w:r>
      <w:r w:rsidRPr="005F0A67">
        <w:rPr>
          <w:rFonts w:asciiTheme="majorBidi" w:eastAsia="Arial" w:hAnsiTheme="majorBidi" w:cstheme="majorBidi"/>
          <w:spacing w:val="40"/>
          <w:w w:val="105"/>
          <w:sz w:val="20"/>
          <w:szCs w:val="20"/>
          <w:lang w:val="en-US"/>
        </w:rPr>
        <w:t xml:space="preserve"> </w:t>
      </w:r>
      <w:r w:rsidRPr="005F0A67">
        <w:rPr>
          <w:rFonts w:asciiTheme="majorBidi" w:eastAsia="Arial" w:hAnsiTheme="majorBidi" w:cstheme="majorBidi"/>
          <w:color w:val="242424"/>
          <w:w w:val="105"/>
          <w:sz w:val="14"/>
          <w:szCs w:val="14"/>
          <w:lang w:val="en-US"/>
        </w:rPr>
        <w:t>Don't</w:t>
      </w:r>
      <w:r w:rsidRPr="005F0A67">
        <w:rPr>
          <w:rFonts w:asciiTheme="majorBidi" w:eastAsia="Arial" w:hAnsiTheme="majorBidi" w:cstheme="majorBidi"/>
          <w:color w:val="242424"/>
          <w:spacing w:val="-10"/>
          <w:w w:val="105"/>
          <w:sz w:val="14"/>
          <w:szCs w:val="14"/>
          <w:lang w:val="en-US"/>
        </w:rPr>
        <w:t xml:space="preserve"> </w:t>
      </w:r>
      <w:r w:rsidRPr="005F0A67">
        <w:rPr>
          <w:rFonts w:asciiTheme="majorBidi" w:eastAsia="Arial" w:hAnsiTheme="majorBidi" w:cstheme="majorBidi"/>
          <w:color w:val="242424"/>
          <w:w w:val="105"/>
          <w:sz w:val="14"/>
          <w:szCs w:val="14"/>
          <w:lang w:val="en-US"/>
        </w:rPr>
        <w:t xml:space="preserve">know </w:t>
      </w:r>
      <w:r w:rsidRPr="005F0A67">
        <w:rPr>
          <w:rFonts w:asciiTheme="majorBidi" w:eastAsia="Arial" w:hAnsiTheme="majorBidi" w:cstheme="majorBidi"/>
          <w:noProof/>
          <w:color w:val="242424"/>
          <w:position w:val="-2"/>
          <w:sz w:val="14"/>
          <w:szCs w:val="14"/>
          <w:lang w:val="en-US"/>
        </w:rPr>
        <w:drawing>
          <wp:inline distT="0" distB="0" distL="0" distR="0" wp14:anchorId="014211E0" wp14:editId="5EB468EF">
            <wp:extent cx="127000" cy="127000"/>
            <wp:effectExtent l="0" t="0" r="0" b="0"/>
            <wp:docPr id="247" name="Image 2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7" name="Image 247"/>
                    <pic:cNvPicPr/>
                  </pic:nvPicPr>
                  <pic:blipFill>
                    <a:blip r:embed="rId39" cstate="print"/>
                    <a:stretch>
                      <a:fillRect/>
                    </a:stretch>
                  </pic:blipFill>
                  <pic:spPr>
                    <a:xfrm>
                      <a:off x="0" y="0"/>
                      <a:ext cx="127000" cy="127000"/>
                    </a:xfrm>
                    <a:prstGeom prst="rect">
                      <a:avLst/>
                    </a:prstGeom>
                  </pic:spPr>
                </pic:pic>
              </a:graphicData>
            </a:graphic>
          </wp:inline>
        </w:drawing>
      </w:r>
      <w:r w:rsidRPr="005F0A67">
        <w:rPr>
          <w:rFonts w:asciiTheme="majorBidi" w:eastAsia="Arial" w:hAnsiTheme="majorBidi" w:cstheme="majorBidi"/>
          <w:color w:val="242424"/>
          <w:spacing w:val="80"/>
          <w:w w:val="105"/>
          <w:sz w:val="14"/>
          <w:szCs w:val="14"/>
          <w:lang w:val="en-US"/>
        </w:rPr>
        <w:t xml:space="preserve"> </w:t>
      </w:r>
      <w:r w:rsidRPr="005F0A67">
        <w:rPr>
          <w:rFonts w:asciiTheme="majorBidi" w:eastAsia="Arial" w:hAnsiTheme="majorBidi" w:cstheme="majorBidi"/>
          <w:color w:val="202020"/>
          <w:w w:val="105"/>
          <w:sz w:val="14"/>
          <w:szCs w:val="14"/>
          <w:lang w:val="en-US"/>
        </w:rPr>
        <w:t>Other</w:t>
      </w:r>
    </w:p>
    <w:p w14:paraId="046104D5" w14:textId="77777777" w:rsidR="005F0A67" w:rsidRPr="005F0A67" w:rsidRDefault="005F0A67" w:rsidP="005F0A67">
      <w:pPr>
        <w:widowControl w:val="0"/>
        <w:tabs>
          <w:tab w:val="clear" w:pos="567"/>
          <w:tab w:val="clear" w:pos="1134"/>
          <w:tab w:val="clear" w:pos="1701"/>
          <w:tab w:val="clear" w:pos="2268"/>
        </w:tabs>
        <w:spacing w:line="684" w:lineRule="auto"/>
        <w:jc w:val="left"/>
        <w:rPr>
          <w:rFonts w:asciiTheme="majorBidi" w:eastAsia="Arial" w:hAnsiTheme="majorBidi" w:cstheme="majorBidi"/>
          <w:sz w:val="14"/>
          <w:szCs w:val="14"/>
          <w:lang w:val="en-US"/>
        </w:rPr>
        <w:sectPr w:rsidR="005F0A67" w:rsidRPr="005F0A67" w:rsidSect="005F0A67">
          <w:pgSz w:w="11900" w:h="16840"/>
          <w:pgMar w:top="880" w:right="1700" w:bottom="280" w:left="1700" w:header="720" w:footer="720" w:gutter="0"/>
          <w:cols w:space="720"/>
        </w:sectPr>
      </w:pPr>
    </w:p>
    <w:p w14:paraId="19032464" w14:textId="77777777" w:rsidR="005F0A67" w:rsidRPr="005F0A67" w:rsidRDefault="005F0A67" w:rsidP="005F0A67">
      <w:pPr>
        <w:pBdr>
          <w:bottom w:val="single" w:sz="2" w:space="6" w:color="D9D9D9"/>
        </w:pBdr>
        <w:tabs>
          <w:tab w:val="clear" w:pos="567"/>
          <w:tab w:val="clear" w:pos="1134"/>
          <w:tab w:val="clear" w:pos="1701"/>
          <w:tab w:val="clear" w:pos="2268"/>
        </w:tabs>
        <w:spacing w:before="400" w:after="60"/>
        <w:ind w:left="432" w:hanging="432"/>
        <w:jc w:val="left"/>
        <w:outlineLvl w:val="0"/>
        <w:rPr>
          <w:rFonts w:asciiTheme="majorBidi" w:eastAsia="Arial" w:hAnsiTheme="majorBidi" w:cstheme="majorBidi"/>
          <w:b/>
          <w:bCs/>
          <w:color w:val="242424"/>
          <w:w w:val="90"/>
          <w:sz w:val="28"/>
          <w:szCs w:val="28"/>
          <w:lang w:val="en-CA" w:eastAsia="en-GB"/>
        </w:rPr>
      </w:pPr>
      <w:bookmarkStart w:id="290" w:name="_Toc234579644"/>
      <w:r w:rsidRPr="005F0A67">
        <w:rPr>
          <w:rFonts w:asciiTheme="majorBidi" w:eastAsia="Arial" w:hAnsiTheme="majorBidi" w:cstheme="majorBidi"/>
          <w:b/>
          <w:bCs/>
          <w:color w:val="242424"/>
          <w:w w:val="90"/>
          <w:sz w:val="28"/>
          <w:szCs w:val="28"/>
          <w:lang w:val="en-CA" w:eastAsia="en-GB"/>
        </w:rPr>
        <w:lastRenderedPageBreak/>
        <w:t>Financial Information</w:t>
      </w:r>
      <w:bookmarkEnd w:id="290"/>
    </w:p>
    <w:p w14:paraId="2897CEF8" w14:textId="77777777" w:rsidR="005F0A67" w:rsidRPr="005F0A67" w:rsidRDefault="005F0A67" w:rsidP="005F0A67">
      <w:pPr>
        <w:widowControl w:val="0"/>
        <w:tabs>
          <w:tab w:val="clear" w:pos="567"/>
          <w:tab w:val="clear" w:pos="1134"/>
          <w:tab w:val="clear" w:pos="1701"/>
          <w:tab w:val="clear" w:pos="2268"/>
        </w:tabs>
        <w:spacing w:before="135" w:line="297" w:lineRule="auto"/>
        <w:ind w:left="515" w:right="484"/>
        <w:jc w:val="left"/>
        <w:rPr>
          <w:rFonts w:asciiTheme="majorBidi" w:eastAsia="Arial" w:hAnsiTheme="majorBidi" w:cstheme="majorBidi"/>
          <w:sz w:val="14"/>
          <w:szCs w:val="14"/>
          <w:lang w:val="en-US"/>
        </w:rPr>
      </w:pPr>
      <w:r w:rsidRPr="005F0A67">
        <w:rPr>
          <w:rFonts w:asciiTheme="majorBidi" w:eastAsia="Arial" w:hAnsiTheme="majorBidi" w:cstheme="majorBidi"/>
          <w:color w:val="242424"/>
          <w:spacing w:val="-2"/>
          <w:sz w:val="14"/>
          <w:szCs w:val="14"/>
          <w:lang w:val="en-US"/>
        </w:rPr>
        <w:t>This</w:t>
      </w:r>
      <w:r w:rsidRPr="005F0A67">
        <w:rPr>
          <w:rFonts w:asciiTheme="majorBidi" w:eastAsia="Arial" w:hAnsiTheme="majorBidi" w:cstheme="majorBidi"/>
          <w:color w:val="242424"/>
          <w:spacing w:val="-8"/>
          <w:sz w:val="14"/>
          <w:szCs w:val="14"/>
          <w:lang w:val="en-US"/>
        </w:rPr>
        <w:t xml:space="preserve"> </w:t>
      </w:r>
      <w:r w:rsidRPr="005F0A67">
        <w:rPr>
          <w:rFonts w:asciiTheme="majorBidi" w:eastAsia="Arial" w:hAnsiTheme="majorBidi" w:cstheme="majorBidi"/>
          <w:color w:val="242424"/>
          <w:spacing w:val="-2"/>
          <w:sz w:val="14"/>
          <w:szCs w:val="14"/>
          <w:lang w:val="en-US"/>
        </w:rPr>
        <w:t>section</w:t>
      </w:r>
      <w:r w:rsidRPr="005F0A67">
        <w:rPr>
          <w:rFonts w:asciiTheme="majorBidi" w:eastAsia="Arial" w:hAnsiTheme="majorBidi" w:cstheme="majorBidi"/>
          <w:color w:val="242424"/>
          <w:spacing w:val="-7"/>
          <w:sz w:val="14"/>
          <w:szCs w:val="14"/>
          <w:lang w:val="en-US"/>
        </w:rPr>
        <w:t xml:space="preserve"> </w:t>
      </w:r>
      <w:r w:rsidRPr="005F0A67">
        <w:rPr>
          <w:rFonts w:asciiTheme="majorBidi" w:eastAsia="Arial" w:hAnsiTheme="majorBidi" w:cstheme="majorBidi"/>
          <w:color w:val="242424"/>
          <w:spacing w:val="-2"/>
          <w:sz w:val="14"/>
          <w:szCs w:val="14"/>
          <w:lang w:val="en-US"/>
        </w:rPr>
        <w:t>requests</w:t>
      </w:r>
      <w:r w:rsidRPr="005F0A67">
        <w:rPr>
          <w:rFonts w:asciiTheme="majorBidi" w:eastAsia="Arial" w:hAnsiTheme="majorBidi" w:cstheme="majorBidi"/>
          <w:color w:val="242424"/>
          <w:spacing w:val="-8"/>
          <w:sz w:val="14"/>
          <w:szCs w:val="14"/>
          <w:lang w:val="en-US"/>
        </w:rPr>
        <w:t xml:space="preserve"> </w:t>
      </w:r>
      <w:r w:rsidRPr="005F0A67">
        <w:rPr>
          <w:rFonts w:asciiTheme="majorBidi" w:eastAsia="Arial" w:hAnsiTheme="majorBidi" w:cstheme="majorBidi"/>
          <w:color w:val="242424"/>
          <w:spacing w:val="-2"/>
          <w:sz w:val="14"/>
          <w:szCs w:val="14"/>
          <w:lang w:val="en-US"/>
        </w:rPr>
        <w:t>financial</w:t>
      </w:r>
      <w:r w:rsidRPr="005F0A67">
        <w:rPr>
          <w:rFonts w:asciiTheme="majorBidi" w:eastAsia="Arial" w:hAnsiTheme="majorBidi" w:cstheme="majorBidi"/>
          <w:color w:val="242424"/>
          <w:spacing w:val="-7"/>
          <w:sz w:val="14"/>
          <w:szCs w:val="14"/>
          <w:lang w:val="en-US"/>
        </w:rPr>
        <w:t xml:space="preserve"> </w:t>
      </w:r>
      <w:r w:rsidRPr="005F0A67">
        <w:rPr>
          <w:rFonts w:asciiTheme="majorBidi" w:eastAsia="Arial" w:hAnsiTheme="majorBidi" w:cstheme="majorBidi"/>
          <w:color w:val="242424"/>
          <w:spacing w:val="-2"/>
          <w:sz w:val="14"/>
          <w:szCs w:val="14"/>
          <w:lang w:val="en-US"/>
        </w:rPr>
        <w:t>data</w:t>
      </w:r>
      <w:r w:rsidRPr="005F0A67">
        <w:rPr>
          <w:rFonts w:asciiTheme="majorBidi" w:eastAsia="Arial" w:hAnsiTheme="majorBidi" w:cstheme="majorBidi"/>
          <w:color w:val="242424"/>
          <w:spacing w:val="-8"/>
          <w:sz w:val="14"/>
          <w:szCs w:val="14"/>
          <w:lang w:val="en-US"/>
        </w:rPr>
        <w:t xml:space="preserve"> </w:t>
      </w:r>
      <w:r w:rsidRPr="005F0A67">
        <w:rPr>
          <w:rFonts w:asciiTheme="majorBidi" w:eastAsia="Arial" w:hAnsiTheme="majorBidi" w:cstheme="majorBidi"/>
          <w:color w:val="242424"/>
          <w:spacing w:val="-2"/>
          <w:sz w:val="14"/>
          <w:szCs w:val="14"/>
          <w:lang w:val="en-US"/>
        </w:rPr>
        <w:t>to</w:t>
      </w:r>
      <w:r w:rsidRPr="005F0A67">
        <w:rPr>
          <w:rFonts w:asciiTheme="majorBidi" w:eastAsia="Arial" w:hAnsiTheme="majorBidi" w:cstheme="majorBidi"/>
          <w:color w:val="242424"/>
          <w:spacing w:val="-7"/>
          <w:sz w:val="14"/>
          <w:szCs w:val="14"/>
          <w:lang w:val="en-US"/>
        </w:rPr>
        <w:t xml:space="preserve"> </w:t>
      </w:r>
      <w:r w:rsidRPr="005F0A67">
        <w:rPr>
          <w:rFonts w:asciiTheme="majorBidi" w:eastAsia="Arial" w:hAnsiTheme="majorBidi" w:cstheme="majorBidi"/>
          <w:color w:val="242424"/>
          <w:spacing w:val="-2"/>
          <w:sz w:val="14"/>
          <w:szCs w:val="14"/>
          <w:lang w:val="en-US"/>
        </w:rPr>
        <w:t>help</w:t>
      </w:r>
      <w:r w:rsidRPr="005F0A67">
        <w:rPr>
          <w:rFonts w:asciiTheme="majorBidi" w:eastAsia="Arial" w:hAnsiTheme="majorBidi" w:cstheme="majorBidi"/>
          <w:color w:val="242424"/>
          <w:spacing w:val="-8"/>
          <w:sz w:val="14"/>
          <w:szCs w:val="14"/>
          <w:lang w:val="en-US"/>
        </w:rPr>
        <w:t xml:space="preserve"> </w:t>
      </w:r>
      <w:r w:rsidRPr="005F0A67">
        <w:rPr>
          <w:rFonts w:asciiTheme="majorBidi" w:eastAsia="Arial" w:hAnsiTheme="majorBidi" w:cstheme="majorBidi"/>
          <w:color w:val="242424"/>
          <w:spacing w:val="-2"/>
          <w:sz w:val="14"/>
          <w:szCs w:val="14"/>
          <w:lang w:val="en-US"/>
        </w:rPr>
        <w:t>model</w:t>
      </w:r>
      <w:r w:rsidRPr="005F0A67">
        <w:rPr>
          <w:rFonts w:asciiTheme="majorBidi" w:eastAsia="Arial" w:hAnsiTheme="majorBidi" w:cstheme="majorBidi"/>
          <w:color w:val="242424"/>
          <w:spacing w:val="-7"/>
          <w:sz w:val="14"/>
          <w:szCs w:val="14"/>
          <w:lang w:val="en-US"/>
        </w:rPr>
        <w:t xml:space="preserve"> </w:t>
      </w:r>
      <w:r w:rsidRPr="005F0A67">
        <w:rPr>
          <w:rFonts w:asciiTheme="majorBidi" w:eastAsia="Arial" w:hAnsiTheme="majorBidi" w:cstheme="majorBidi"/>
          <w:color w:val="242424"/>
          <w:spacing w:val="-2"/>
          <w:sz w:val="14"/>
          <w:szCs w:val="14"/>
          <w:lang w:val="en-US"/>
        </w:rPr>
        <w:t>aggregate</w:t>
      </w:r>
      <w:r w:rsidRPr="005F0A67">
        <w:rPr>
          <w:rFonts w:asciiTheme="majorBidi" w:eastAsia="Arial" w:hAnsiTheme="majorBidi" w:cstheme="majorBidi"/>
          <w:color w:val="242424"/>
          <w:spacing w:val="-8"/>
          <w:sz w:val="14"/>
          <w:szCs w:val="14"/>
          <w:lang w:val="en-US"/>
        </w:rPr>
        <w:t xml:space="preserve"> </w:t>
      </w:r>
      <w:r w:rsidRPr="005F0A67">
        <w:rPr>
          <w:rFonts w:asciiTheme="majorBidi" w:eastAsia="Arial" w:hAnsiTheme="majorBidi" w:cstheme="majorBidi"/>
          <w:color w:val="242424"/>
          <w:spacing w:val="-2"/>
          <w:sz w:val="14"/>
          <w:szCs w:val="14"/>
          <w:lang w:val="en-US"/>
        </w:rPr>
        <w:t>industry</w:t>
      </w:r>
      <w:r w:rsidRPr="005F0A67">
        <w:rPr>
          <w:rFonts w:asciiTheme="majorBidi" w:eastAsia="Arial" w:hAnsiTheme="majorBidi" w:cstheme="majorBidi"/>
          <w:color w:val="242424"/>
          <w:spacing w:val="-7"/>
          <w:sz w:val="14"/>
          <w:szCs w:val="14"/>
          <w:lang w:val="en-US"/>
        </w:rPr>
        <w:t xml:space="preserve"> </w:t>
      </w:r>
      <w:r w:rsidRPr="005F0A67">
        <w:rPr>
          <w:rFonts w:asciiTheme="majorBidi" w:eastAsia="Arial" w:hAnsiTheme="majorBidi" w:cstheme="majorBidi"/>
          <w:color w:val="242424"/>
          <w:spacing w:val="-2"/>
          <w:sz w:val="14"/>
          <w:szCs w:val="14"/>
          <w:lang w:val="en-US"/>
        </w:rPr>
        <w:t>impacts</w:t>
      </w:r>
      <w:r w:rsidRPr="005F0A67">
        <w:rPr>
          <w:rFonts w:asciiTheme="majorBidi" w:eastAsia="Arial" w:hAnsiTheme="majorBidi" w:cstheme="majorBidi"/>
          <w:color w:val="242424"/>
          <w:spacing w:val="-8"/>
          <w:sz w:val="14"/>
          <w:szCs w:val="14"/>
          <w:lang w:val="en-US"/>
        </w:rPr>
        <w:t xml:space="preserve"> </w:t>
      </w:r>
      <w:r w:rsidRPr="005F0A67">
        <w:rPr>
          <w:rFonts w:asciiTheme="majorBidi" w:eastAsia="Arial" w:hAnsiTheme="majorBidi" w:cstheme="majorBidi"/>
          <w:color w:val="242424"/>
          <w:spacing w:val="-2"/>
          <w:sz w:val="14"/>
          <w:szCs w:val="14"/>
          <w:lang w:val="en-US"/>
        </w:rPr>
        <w:t>and</w:t>
      </w:r>
      <w:r w:rsidRPr="005F0A67">
        <w:rPr>
          <w:rFonts w:asciiTheme="majorBidi" w:eastAsia="Arial" w:hAnsiTheme="majorBidi" w:cstheme="majorBidi"/>
          <w:color w:val="242424"/>
          <w:spacing w:val="-7"/>
          <w:sz w:val="14"/>
          <w:szCs w:val="14"/>
          <w:lang w:val="en-US"/>
        </w:rPr>
        <w:t xml:space="preserve"> </w:t>
      </w:r>
      <w:r w:rsidRPr="005F0A67">
        <w:rPr>
          <w:rFonts w:asciiTheme="majorBidi" w:eastAsia="Arial" w:hAnsiTheme="majorBidi" w:cstheme="majorBidi"/>
          <w:color w:val="242424"/>
          <w:spacing w:val="-2"/>
          <w:sz w:val="14"/>
          <w:szCs w:val="14"/>
          <w:lang w:val="en-US"/>
        </w:rPr>
        <w:t>potential</w:t>
      </w:r>
      <w:r w:rsidRPr="005F0A67">
        <w:rPr>
          <w:rFonts w:asciiTheme="majorBidi" w:eastAsia="Arial" w:hAnsiTheme="majorBidi" w:cstheme="majorBidi"/>
          <w:color w:val="242424"/>
          <w:spacing w:val="-8"/>
          <w:sz w:val="14"/>
          <w:szCs w:val="14"/>
          <w:lang w:val="en-US"/>
        </w:rPr>
        <w:t xml:space="preserve"> </w:t>
      </w:r>
      <w:r w:rsidRPr="005F0A67">
        <w:rPr>
          <w:rFonts w:asciiTheme="majorBidi" w:eastAsia="Arial" w:hAnsiTheme="majorBidi" w:cstheme="majorBidi"/>
          <w:color w:val="242424"/>
          <w:spacing w:val="-2"/>
          <w:sz w:val="14"/>
          <w:szCs w:val="14"/>
          <w:lang w:val="en-US"/>
        </w:rPr>
        <w:t>Cali</w:t>
      </w:r>
      <w:r w:rsidRPr="005F0A67">
        <w:rPr>
          <w:rFonts w:asciiTheme="majorBidi" w:eastAsia="Arial" w:hAnsiTheme="majorBidi" w:cstheme="majorBidi"/>
          <w:color w:val="242424"/>
          <w:spacing w:val="-7"/>
          <w:sz w:val="14"/>
          <w:szCs w:val="14"/>
          <w:lang w:val="en-US"/>
        </w:rPr>
        <w:t xml:space="preserve"> </w:t>
      </w:r>
      <w:r w:rsidRPr="005F0A67">
        <w:rPr>
          <w:rFonts w:asciiTheme="majorBidi" w:eastAsia="Arial" w:hAnsiTheme="majorBidi" w:cstheme="majorBidi"/>
          <w:color w:val="242424"/>
          <w:spacing w:val="-2"/>
          <w:sz w:val="14"/>
          <w:szCs w:val="14"/>
          <w:lang w:val="en-US"/>
        </w:rPr>
        <w:t>Fund</w:t>
      </w:r>
      <w:r w:rsidRPr="005F0A67">
        <w:rPr>
          <w:rFonts w:asciiTheme="majorBidi" w:eastAsia="Arial" w:hAnsiTheme="majorBidi" w:cstheme="majorBidi"/>
          <w:color w:val="242424"/>
          <w:spacing w:val="-8"/>
          <w:sz w:val="14"/>
          <w:szCs w:val="14"/>
          <w:lang w:val="en-US"/>
        </w:rPr>
        <w:t xml:space="preserve"> </w:t>
      </w:r>
      <w:r w:rsidRPr="005F0A67">
        <w:rPr>
          <w:rFonts w:asciiTheme="majorBidi" w:eastAsia="Arial" w:hAnsiTheme="majorBidi" w:cstheme="majorBidi"/>
          <w:color w:val="242424"/>
          <w:spacing w:val="-2"/>
          <w:sz w:val="14"/>
          <w:szCs w:val="14"/>
          <w:lang w:val="en-US"/>
        </w:rPr>
        <w:t>contribution</w:t>
      </w:r>
      <w:r w:rsidRPr="005F0A67">
        <w:rPr>
          <w:rFonts w:asciiTheme="majorBidi" w:eastAsia="Arial" w:hAnsiTheme="majorBidi" w:cstheme="majorBidi"/>
          <w:color w:val="242424"/>
          <w:spacing w:val="-7"/>
          <w:sz w:val="14"/>
          <w:szCs w:val="14"/>
          <w:lang w:val="en-US"/>
        </w:rPr>
        <w:t xml:space="preserve"> </w:t>
      </w:r>
      <w:r w:rsidRPr="005F0A67">
        <w:rPr>
          <w:rFonts w:asciiTheme="majorBidi" w:eastAsia="Arial" w:hAnsiTheme="majorBidi" w:cstheme="majorBidi"/>
          <w:color w:val="242424"/>
          <w:spacing w:val="-2"/>
          <w:sz w:val="14"/>
          <w:szCs w:val="14"/>
          <w:lang w:val="en-US"/>
        </w:rPr>
        <w:t>flows.</w:t>
      </w:r>
      <w:r w:rsidRPr="005F0A67">
        <w:rPr>
          <w:rFonts w:asciiTheme="majorBidi" w:eastAsia="Arial" w:hAnsiTheme="majorBidi" w:cstheme="majorBidi"/>
          <w:color w:val="242424"/>
          <w:spacing w:val="-8"/>
          <w:sz w:val="14"/>
          <w:szCs w:val="14"/>
          <w:lang w:val="en-US"/>
        </w:rPr>
        <w:t xml:space="preserve"> </w:t>
      </w:r>
      <w:r w:rsidRPr="005F0A67">
        <w:rPr>
          <w:rFonts w:asciiTheme="majorBidi" w:eastAsia="Arial" w:hAnsiTheme="majorBidi" w:cstheme="majorBidi"/>
          <w:color w:val="242424"/>
          <w:spacing w:val="-2"/>
          <w:sz w:val="14"/>
          <w:szCs w:val="14"/>
          <w:lang w:val="en-US"/>
        </w:rPr>
        <w:t>We</w:t>
      </w:r>
      <w:r w:rsidRPr="005F0A67">
        <w:rPr>
          <w:rFonts w:asciiTheme="majorBidi" w:eastAsia="Arial" w:hAnsiTheme="majorBidi" w:cstheme="majorBidi"/>
          <w:color w:val="242424"/>
          <w:spacing w:val="40"/>
          <w:sz w:val="14"/>
          <w:szCs w:val="14"/>
          <w:lang w:val="en-US"/>
        </w:rPr>
        <w:t xml:space="preserve"> </w:t>
      </w:r>
      <w:r w:rsidRPr="005F0A67">
        <w:rPr>
          <w:rFonts w:asciiTheme="majorBidi" w:eastAsia="Arial" w:hAnsiTheme="majorBidi" w:cstheme="majorBidi"/>
          <w:color w:val="242424"/>
          <w:sz w:val="14"/>
          <w:szCs w:val="14"/>
          <w:lang w:val="en-US"/>
        </w:rPr>
        <w:t>recognize</w:t>
      </w:r>
      <w:r w:rsidRPr="005F0A67">
        <w:rPr>
          <w:rFonts w:asciiTheme="majorBidi" w:eastAsia="Arial" w:hAnsiTheme="majorBidi" w:cstheme="majorBidi"/>
          <w:color w:val="242424"/>
          <w:spacing w:val="-10"/>
          <w:sz w:val="14"/>
          <w:szCs w:val="14"/>
          <w:lang w:val="en-US"/>
        </w:rPr>
        <w:t xml:space="preserve"> </w:t>
      </w:r>
      <w:r w:rsidRPr="005F0A67">
        <w:rPr>
          <w:rFonts w:asciiTheme="majorBidi" w:eastAsia="Arial" w:hAnsiTheme="majorBidi" w:cstheme="majorBidi"/>
          <w:color w:val="242424"/>
          <w:sz w:val="14"/>
          <w:szCs w:val="14"/>
          <w:lang w:val="en-US"/>
        </w:rPr>
        <w:t>this</w:t>
      </w:r>
      <w:r w:rsidRPr="005F0A67">
        <w:rPr>
          <w:rFonts w:asciiTheme="majorBidi" w:eastAsia="Arial" w:hAnsiTheme="majorBidi" w:cstheme="majorBidi"/>
          <w:color w:val="242424"/>
          <w:spacing w:val="-10"/>
          <w:sz w:val="14"/>
          <w:szCs w:val="14"/>
          <w:lang w:val="en-US"/>
        </w:rPr>
        <w:t xml:space="preserve"> </w:t>
      </w:r>
      <w:r w:rsidRPr="005F0A67">
        <w:rPr>
          <w:rFonts w:asciiTheme="majorBidi" w:eastAsia="Arial" w:hAnsiTheme="majorBidi" w:cstheme="majorBidi"/>
          <w:color w:val="242424"/>
          <w:sz w:val="14"/>
          <w:szCs w:val="14"/>
          <w:lang w:val="en-US"/>
        </w:rPr>
        <w:t>information</w:t>
      </w:r>
      <w:r w:rsidRPr="005F0A67">
        <w:rPr>
          <w:rFonts w:asciiTheme="majorBidi" w:eastAsia="Arial" w:hAnsiTheme="majorBidi" w:cstheme="majorBidi"/>
          <w:color w:val="242424"/>
          <w:spacing w:val="-10"/>
          <w:sz w:val="14"/>
          <w:szCs w:val="14"/>
          <w:lang w:val="en-US"/>
        </w:rPr>
        <w:t xml:space="preserve"> </w:t>
      </w:r>
      <w:r w:rsidRPr="005F0A67">
        <w:rPr>
          <w:rFonts w:asciiTheme="majorBidi" w:eastAsia="Arial" w:hAnsiTheme="majorBidi" w:cstheme="majorBidi"/>
          <w:color w:val="242424"/>
          <w:sz w:val="14"/>
          <w:szCs w:val="14"/>
          <w:lang w:val="en-US"/>
        </w:rPr>
        <w:t>is</w:t>
      </w:r>
      <w:r w:rsidRPr="005F0A67">
        <w:rPr>
          <w:rFonts w:asciiTheme="majorBidi" w:eastAsia="Arial" w:hAnsiTheme="majorBidi" w:cstheme="majorBidi"/>
          <w:color w:val="242424"/>
          <w:spacing w:val="-9"/>
          <w:sz w:val="14"/>
          <w:szCs w:val="14"/>
          <w:lang w:val="en-US"/>
        </w:rPr>
        <w:t xml:space="preserve"> </w:t>
      </w:r>
      <w:r w:rsidRPr="005F0A67">
        <w:rPr>
          <w:rFonts w:asciiTheme="majorBidi" w:eastAsia="Arial" w:hAnsiTheme="majorBidi" w:cstheme="majorBidi"/>
          <w:color w:val="242424"/>
          <w:sz w:val="14"/>
          <w:szCs w:val="14"/>
          <w:lang w:val="en-US"/>
        </w:rPr>
        <w:t>commercially</w:t>
      </w:r>
      <w:r w:rsidRPr="005F0A67">
        <w:rPr>
          <w:rFonts w:asciiTheme="majorBidi" w:eastAsia="Arial" w:hAnsiTheme="majorBidi" w:cstheme="majorBidi"/>
          <w:color w:val="242424"/>
          <w:spacing w:val="-10"/>
          <w:sz w:val="14"/>
          <w:szCs w:val="14"/>
          <w:lang w:val="en-US"/>
        </w:rPr>
        <w:t xml:space="preserve"> </w:t>
      </w:r>
      <w:r w:rsidRPr="005F0A67">
        <w:rPr>
          <w:rFonts w:asciiTheme="majorBidi" w:eastAsia="Arial" w:hAnsiTheme="majorBidi" w:cstheme="majorBidi"/>
          <w:color w:val="242424"/>
          <w:sz w:val="14"/>
          <w:szCs w:val="14"/>
          <w:lang w:val="en-US"/>
        </w:rPr>
        <w:t>sensitive.</w:t>
      </w:r>
    </w:p>
    <w:p w14:paraId="62EBD43D" w14:textId="77777777" w:rsidR="005F0A67" w:rsidRPr="005F0A67" w:rsidRDefault="005F0A67" w:rsidP="005F0A67">
      <w:pPr>
        <w:widowControl w:val="0"/>
        <w:tabs>
          <w:tab w:val="clear" w:pos="567"/>
          <w:tab w:val="clear" w:pos="1134"/>
          <w:tab w:val="clear" w:pos="1701"/>
          <w:tab w:val="clear" w:pos="2268"/>
        </w:tabs>
        <w:spacing w:line="297" w:lineRule="auto"/>
        <w:ind w:left="515" w:right="484"/>
        <w:jc w:val="left"/>
        <w:rPr>
          <w:rFonts w:asciiTheme="majorBidi" w:eastAsia="Arial" w:hAnsiTheme="majorBidi" w:cstheme="majorBidi"/>
          <w:sz w:val="14"/>
          <w:szCs w:val="14"/>
          <w:lang w:val="en-US"/>
        </w:rPr>
      </w:pPr>
      <w:r w:rsidRPr="005F0A67">
        <w:rPr>
          <w:rFonts w:asciiTheme="majorBidi" w:eastAsia="Arial" w:hAnsiTheme="majorBidi" w:cstheme="majorBidi"/>
          <w:color w:val="242424"/>
          <w:spacing w:val="-4"/>
          <w:sz w:val="14"/>
          <w:szCs w:val="14"/>
          <w:lang w:val="en-US"/>
        </w:rPr>
        <w:t>Please provide financial data at the appropriate level (consolidated for group-level assessment or unconsolidated accounts</w:t>
      </w:r>
      <w:r w:rsidRPr="005F0A67">
        <w:rPr>
          <w:rFonts w:asciiTheme="majorBidi" w:eastAsia="Arial" w:hAnsiTheme="majorBidi" w:cstheme="majorBidi"/>
          <w:color w:val="242424"/>
          <w:spacing w:val="40"/>
          <w:sz w:val="14"/>
          <w:szCs w:val="14"/>
          <w:lang w:val="en-US"/>
        </w:rPr>
        <w:t xml:space="preserve"> </w:t>
      </w:r>
      <w:r w:rsidRPr="005F0A67">
        <w:rPr>
          <w:rFonts w:asciiTheme="majorBidi" w:eastAsia="Arial" w:hAnsiTheme="majorBidi" w:cstheme="majorBidi"/>
          <w:color w:val="242424"/>
          <w:sz w:val="14"/>
          <w:szCs w:val="14"/>
          <w:lang w:val="en-US"/>
        </w:rPr>
        <w:t>figures</w:t>
      </w:r>
      <w:r w:rsidRPr="005F0A67">
        <w:rPr>
          <w:rFonts w:asciiTheme="majorBidi" w:eastAsia="Arial" w:hAnsiTheme="majorBidi" w:cstheme="majorBidi"/>
          <w:color w:val="242424"/>
          <w:spacing w:val="-9"/>
          <w:sz w:val="14"/>
          <w:szCs w:val="14"/>
          <w:lang w:val="en-US"/>
        </w:rPr>
        <w:t xml:space="preserve"> </w:t>
      </w:r>
      <w:r w:rsidRPr="005F0A67">
        <w:rPr>
          <w:rFonts w:asciiTheme="majorBidi" w:eastAsia="Arial" w:hAnsiTheme="majorBidi" w:cstheme="majorBidi"/>
          <w:color w:val="242424"/>
          <w:sz w:val="14"/>
          <w:szCs w:val="14"/>
          <w:lang w:val="en-US"/>
        </w:rPr>
        <w:t>for</w:t>
      </w:r>
      <w:r w:rsidRPr="005F0A67">
        <w:rPr>
          <w:rFonts w:asciiTheme="majorBidi" w:eastAsia="Arial" w:hAnsiTheme="majorBidi" w:cstheme="majorBidi"/>
          <w:color w:val="242424"/>
          <w:spacing w:val="-9"/>
          <w:sz w:val="14"/>
          <w:szCs w:val="14"/>
          <w:lang w:val="en-US"/>
        </w:rPr>
        <w:t xml:space="preserve"> </w:t>
      </w:r>
      <w:r w:rsidRPr="005F0A67">
        <w:rPr>
          <w:rFonts w:asciiTheme="majorBidi" w:eastAsia="Arial" w:hAnsiTheme="majorBidi" w:cstheme="majorBidi"/>
          <w:color w:val="242424"/>
          <w:sz w:val="14"/>
          <w:szCs w:val="14"/>
          <w:lang w:val="en-US"/>
        </w:rPr>
        <w:t>subsidiaries/individual</w:t>
      </w:r>
      <w:r w:rsidRPr="005F0A67">
        <w:rPr>
          <w:rFonts w:asciiTheme="majorBidi" w:eastAsia="Arial" w:hAnsiTheme="majorBidi" w:cstheme="majorBidi"/>
          <w:color w:val="242424"/>
          <w:spacing w:val="-9"/>
          <w:sz w:val="14"/>
          <w:szCs w:val="14"/>
          <w:lang w:val="en-US"/>
        </w:rPr>
        <w:t xml:space="preserve"> </w:t>
      </w:r>
      <w:r w:rsidRPr="005F0A67">
        <w:rPr>
          <w:rFonts w:asciiTheme="majorBidi" w:eastAsia="Arial" w:hAnsiTheme="majorBidi" w:cstheme="majorBidi"/>
          <w:color w:val="242424"/>
          <w:sz w:val="14"/>
          <w:szCs w:val="14"/>
          <w:lang w:val="en-US"/>
        </w:rPr>
        <w:t>companies).</w:t>
      </w:r>
    </w:p>
    <w:p w14:paraId="0C3A0154" w14:textId="77777777" w:rsidR="005F0A67" w:rsidRPr="005F0A67" w:rsidRDefault="005F0A67" w:rsidP="005F0A67">
      <w:pPr>
        <w:widowControl w:val="0"/>
        <w:tabs>
          <w:tab w:val="clear" w:pos="567"/>
          <w:tab w:val="clear" w:pos="1134"/>
          <w:tab w:val="clear" w:pos="1701"/>
          <w:tab w:val="clear" w:pos="2268"/>
        </w:tabs>
        <w:spacing w:before="82"/>
        <w:jc w:val="left"/>
        <w:rPr>
          <w:rFonts w:asciiTheme="majorBidi" w:eastAsia="Arial" w:hAnsiTheme="majorBidi" w:cstheme="majorBidi"/>
          <w:sz w:val="17"/>
          <w:szCs w:val="17"/>
          <w:lang w:val="en-US"/>
        </w:rPr>
      </w:pPr>
    </w:p>
    <w:p w14:paraId="2851ACD6" w14:textId="77777777" w:rsidR="005F0A67" w:rsidRPr="005F0A67" w:rsidRDefault="005F0A67" w:rsidP="003A387A">
      <w:pPr>
        <w:widowControl w:val="0"/>
        <w:numPr>
          <w:ilvl w:val="0"/>
          <w:numId w:val="44"/>
        </w:numPr>
        <w:tabs>
          <w:tab w:val="clear" w:pos="567"/>
          <w:tab w:val="clear" w:pos="1134"/>
          <w:tab w:val="clear" w:pos="1701"/>
          <w:tab w:val="clear" w:pos="2268"/>
          <w:tab w:val="left" w:pos="703"/>
        </w:tabs>
        <w:autoSpaceDE w:val="0"/>
        <w:autoSpaceDN w:val="0"/>
        <w:ind w:left="703" w:hanging="279"/>
        <w:jc w:val="left"/>
        <w:rPr>
          <w:rFonts w:asciiTheme="majorBidi" w:eastAsia="Georgia" w:hAnsiTheme="majorBidi" w:cstheme="majorBidi"/>
          <w:color w:val="1A1A1A"/>
          <w:sz w:val="17"/>
          <w:szCs w:val="17"/>
          <w:lang w:eastAsia="en-GB"/>
        </w:rPr>
      </w:pPr>
      <w:r w:rsidRPr="005F0A67">
        <w:rPr>
          <w:rFonts w:asciiTheme="majorBidi" w:eastAsia="Georgia" w:hAnsiTheme="majorBidi" w:cstheme="majorBidi"/>
          <w:color w:val="242424"/>
          <w:sz w:val="17"/>
          <w:szCs w:val="17"/>
          <w:lang w:eastAsia="en-GB"/>
        </w:rPr>
        <w:t>What</w:t>
      </w:r>
      <w:r w:rsidRPr="005F0A67">
        <w:rPr>
          <w:rFonts w:asciiTheme="majorBidi" w:eastAsia="Georgia" w:hAnsiTheme="majorBidi" w:cstheme="majorBidi"/>
          <w:color w:val="242424"/>
          <w:spacing w:val="-9"/>
          <w:sz w:val="17"/>
          <w:szCs w:val="17"/>
          <w:lang w:eastAsia="en-GB"/>
        </w:rPr>
        <w:t xml:space="preserve"> </w:t>
      </w:r>
      <w:r w:rsidRPr="005F0A67">
        <w:rPr>
          <w:rFonts w:asciiTheme="majorBidi" w:eastAsia="Georgia" w:hAnsiTheme="majorBidi" w:cstheme="majorBidi"/>
          <w:color w:val="242424"/>
          <w:sz w:val="17"/>
          <w:szCs w:val="17"/>
          <w:lang w:eastAsia="en-GB"/>
        </w:rPr>
        <w:t>was</w:t>
      </w:r>
      <w:r w:rsidRPr="005F0A67">
        <w:rPr>
          <w:rFonts w:asciiTheme="majorBidi" w:eastAsia="Georgia" w:hAnsiTheme="majorBidi" w:cstheme="majorBidi"/>
          <w:color w:val="242424"/>
          <w:spacing w:val="-9"/>
          <w:sz w:val="17"/>
          <w:szCs w:val="17"/>
          <w:lang w:eastAsia="en-GB"/>
        </w:rPr>
        <w:t xml:space="preserve"> </w:t>
      </w:r>
      <w:r w:rsidRPr="005F0A67">
        <w:rPr>
          <w:rFonts w:asciiTheme="majorBidi" w:eastAsia="Georgia" w:hAnsiTheme="majorBidi" w:cstheme="majorBidi"/>
          <w:color w:val="242424"/>
          <w:sz w:val="17"/>
          <w:szCs w:val="17"/>
          <w:lang w:eastAsia="en-GB"/>
        </w:rPr>
        <w:t>your</w:t>
      </w:r>
      <w:r w:rsidRPr="005F0A67">
        <w:rPr>
          <w:rFonts w:asciiTheme="majorBidi" w:eastAsia="Georgia" w:hAnsiTheme="majorBidi" w:cstheme="majorBidi"/>
          <w:color w:val="242424"/>
          <w:spacing w:val="-8"/>
          <w:sz w:val="17"/>
          <w:szCs w:val="17"/>
          <w:lang w:eastAsia="en-GB"/>
        </w:rPr>
        <w:t xml:space="preserve"> </w:t>
      </w:r>
      <w:r w:rsidRPr="005F0A67">
        <w:rPr>
          <w:rFonts w:asciiTheme="majorBidi" w:eastAsia="Georgia" w:hAnsiTheme="majorBidi" w:cstheme="majorBidi"/>
          <w:color w:val="242424"/>
          <w:sz w:val="17"/>
          <w:szCs w:val="17"/>
          <w:lang w:eastAsia="en-GB"/>
        </w:rPr>
        <w:t>organisation's</w:t>
      </w:r>
      <w:r w:rsidRPr="005F0A67">
        <w:rPr>
          <w:rFonts w:asciiTheme="majorBidi" w:eastAsia="Georgia" w:hAnsiTheme="majorBidi" w:cstheme="majorBidi"/>
          <w:color w:val="242424"/>
          <w:spacing w:val="-9"/>
          <w:sz w:val="17"/>
          <w:szCs w:val="17"/>
          <w:lang w:eastAsia="en-GB"/>
        </w:rPr>
        <w:t xml:space="preserve"> </w:t>
      </w:r>
      <w:r w:rsidRPr="005F0A67">
        <w:rPr>
          <w:rFonts w:asciiTheme="majorBidi" w:eastAsia="Georgia" w:hAnsiTheme="majorBidi" w:cstheme="majorBidi"/>
          <w:b/>
          <w:bCs/>
          <w:color w:val="242424"/>
          <w:sz w:val="17"/>
          <w:szCs w:val="17"/>
          <w:lang w:eastAsia="en-GB"/>
        </w:rPr>
        <w:t>average</w:t>
      </w:r>
      <w:r w:rsidRPr="005F0A67">
        <w:rPr>
          <w:rFonts w:asciiTheme="majorBidi" w:eastAsia="Georgia" w:hAnsiTheme="majorBidi" w:cstheme="majorBidi"/>
          <w:b/>
          <w:bCs/>
          <w:color w:val="242424"/>
          <w:spacing w:val="-8"/>
          <w:sz w:val="17"/>
          <w:szCs w:val="17"/>
          <w:lang w:eastAsia="en-GB"/>
        </w:rPr>
        <w:t xml:space="preserve"> </w:t>
      </w:r>
      <w:r w:rsidRPr="005F0A67">
        <w:rPr>
          <w:rFonts w:asciiTheme="majorBidi" w:eastAsia="Georgia" w:hAnsiTheme="majorBidi" w:cstheme="majorBidi"/>
          <w:b/>
          <w:bCs/>
          <w:color w:val="242424"/>
          <w:sz w:val="17"/>
          <w:szCs w:val="17"/>
          <w:lang w:eastAsia="en-GB"/>
        </w:rPr>
        <w:t>profit</w:t>
      </w:r>
      <w:r w:rsidRPr="005F0A67">
        <w:rPr>
          <w:rFonts w:asciiTheme="majorBidi" w:eastAsia="Georgia" w:hAnsiTheme="majorBidi" w:cstheme="majorBidi"/>
          <w:b/>
          <w:bCs/>
          <w:color w:val="242424"/>
          <w:spacing w:val="-9"/>
          <w:sz w:val="17"/>
          <w:szCs w:val="17"/>
          <w:lang w:eastAsia="en-GB"/>
        </w:rPr>
        <w:t xml:space="preserve"> </w:t>
      </w:r>
      <w:r w:rsidRPr="005F0A67">
        <w:rPr>
          <w:rFonts w:asciiTheme="majorBidi" w:eastAsia="Georgia" w:hAnsiTheme="majorBidi" w:cstheme="majorBidi"/>
          <w:b/>
          <w:bCs/>
          <w:color w:val="242424"/>
          <w:sz w:val="17"/>
          <w:szCs w:val="17"/>
          <w:lang w:eastAsia="en-GB"/>
        </w:rPr>
        <w:t>(net</w:t>
      </w:r>
      <w:r w:rsidRPr="005F0A67">
        <w:rPr>
          <w:rFonts w:asciiTheme="majorBidi" w:eastAsia="Georgia" w:hAnsiTheme="majorBidi" w:cstheme="majorBidi"/>
          <w:b/>
          <w:bCs/>
          <w:color w:val="242424"/>
          <w:spacing w:val="-8"/>
          <w:sz w:val="17"/>
          <w:szCs w:val="17"/>
          <w:lang w:eastAsia="en-GB"/>
        </w:rPr>
        <w:t xml:space="preserve"> </w:t>
      </w:r>
      <w:r w:rsidRPr="005F0A67">
        <w:rPr>
          <w:rFonts w:asciiTheme="majorBidi" w:eastAsia="Georgia" w:hAnsiTheme="majorBidi" w:cstheme="majorBidi"/>
          <w:b/>
          <w:bCs/>
          <w:color w:val="242424"/>
          <w:sz w:val="17"/>
          <w:szCs w:val="17"/>
          <w:lang w:eastAsia="en-GB"/>
        </w:rPr>
        <w:t>income)</w:t>
      </w:r>
      <w:r w:rsidRPr="005F0A67">
        <w:rPr>
          <w:rFonts w:asciiTheme="majorBidi" w:eastAsia="Georgia" w:hAnsiTheme="majorBidi" w:cstheme="majorBidi"/>
          <w:b/>
          <w:bCs/>
          <w:color w:val="242424"/>
          <w:spacing w:val="-9"/>
          <w:sz w:val="17"/>
          <w:szCs w:val="17"/>
          <w:lang w:eastAsia="en-GB"/>
        </w:rPr>
        <w:t xml:space="preserve"> </w:t>
      </w:r>
      <w:r w:rsidRPr="005F0A67">
        <w:rPr>
          <w:rFonts w:asciiTheme="majorBidi" w:eastAsia="Georgia" w:hAnsiTheme="majorBidi" w:cstheme="majorBidi"/>
          <w:color w:val="242424"/>
          <w:sz w:val="17"/>
          <w:szCs w:val="17"/>
          <w:lang w:eastAsia="en-GB"/>
        </w:rPr>
        <w:t>over</w:t>
      </w:r>
      <w:r w:rsidRPr="005F0A67">
        <w:rPr>
          <w:rFonts w:asciiTheme="majorBidi" w:eastAsia="Georgia" w:hAnsiTheme="majorBidi" w:cstheme="majorBidi"/>
          <w:color w:val="242424"/>
          <w:spacing w:val="-8"/>
          <w:sz w:val="17"/>
          <w:szCs w:val="17"/>
          <w:lang w:eastAsia="en-GB"/>
        </w:rPr>
        <w:t xml:space="preserve"> </w:t>
      </w:r>
      <w:r w:rsidRPr="005F0A67">
        <w:rPr>
          <w:rFonts w:asciiTheme="majorBidi" w:eastAsia="Georgia" w:hAnsiTheme="majorBidi" w:cstheme="majorBidi"/>
          <w:color w:val="242424"/>
          <w:sz w:val="17"/>
          <w:szCs w:val="17"/>
          <w:lang w:eastAsia="en-GB"/>
        </w:rPr>
        <w:t>the</w:t>
      </w:r>
      <w:r w:rsidRPr="005F0A67">
        <w:rPr>
          <w:rFonts w:asciiTheme="majorBidi" w:eastAsia="Georgia" w:hAnsiTheme="majorBidi" w:cstheme="majorBidi"/>
          <w:color w:val="242424"/>
          <w:spacing w:val="-9"/>
          <w:sz w:val="17"/>
          <w:szCs w:val="17"/>
          <w:lang w:eastAsia="en-GB"/>
        </w:rPr>
        <w:t xml:space="preserve"> </w:t>
      </w:r>
      <w:r w:rsidRPr="005F0A67">
        <w:rPr>
          <w:rFonts w:asciiTheme="majorBidi" w:eastAsia="Georgia" w:hAnsiTheme="majorBidi" w:cstheme="majorBidi"/>
          <w:b/>
          <w:bCs/>
          <w:color w:val="242424"/>
          <w:sz w:val="17"/>
          <w:szCs w:val="17"/>
          <w:lang w:eastAsia="en-GB"/>
        </w:rPr>
        <w:t>past</w:t>
      </w:r>
      <w:r w:rsidRPr="005F0A67">
        <w:rPr>
          <w:rFonts w:asciiTheme="majorBidi" w:eastAsia="Georgia" w:hAnsiTheme="majorBidi" w:cstheme="majorBidi"/>
          <w:b/>
          <w:bCs/>
          <w:color w:val="242424"/>
          <w:spacing w:val="-9"/>
          <w:sz w:val="17"/>
          <w:szCs w:val="17"/>
          <w:lang w:eastAsia="en-GB"/>
        </w:rPr>
        <w:t xml:space="preserve"> </w:t>
      </w:r>
      <w:r w:rsidRPr="005F0A67">
        <w:rPr>
          <w:rFonts w:asciiTheme="majorBidi" w:eastAsia="Georgia" w:hAnsiTheme="majorBidi" w:cstheme="majorBidi"/>
          <w:b/>
          <w:bCs/>
          <w:color w:val="242424"/>
          <w:sz w:val="17"/>
          <w:szCs w:val="17"/>
          <w:lang w:eastAsia="en-GB"/>
        </w:rPr>
        <w:t>3</w:t>
      </w:r>
      <w:r w:rsidRPr="005F0A67">
        <w:rPr>
          <w:rFonts w:asciiTheme="majorBidi" w:eastAsia="Georgia" w:hAnsiTheme="majorBidi" w:cstheme="majorBidi"/>
          <w:b/>
          <w:bCs/>
          <w:color w:val="242424"/>
          <w:spacing w:val="-8"/>
          <w:sz w:val="17"/>
          <w:szCs w:val="17"/>
          <w:lang w:eastAsia="en-GB"/>
        </w:rPr>
        <w:t xml:space="preserve"> </w:t>
      </w:r>
      <w:r w:rsidRPr="005F0A67">
        <w:rPr>
          <w:rFonts w:asciiTheme="majorBidi" w:eastAsia="Georgia" w:hAnsiTheme="majorBidi" w:cstheme="majorBidi"/>
          <w:b/>
          <w:bCs/>
          <w:color w:val="242424"/>
          <w:sz w:val="17"/>
          <w:szCs w:val="17"/>
          <w:lang w:eastAsia="en-GB"/>
        </w:rPr>
        <w:t>years</w:t>
      </w:r>
      <w:r w:rsidRPr="005F0A67">
        <w:rPr>
          <w:rFonts w:asciiTheme="majorBidi" w:eastAsia="Georgia" w:hAnsiTheme="majorBidi" w:cstheme="majorBidi"/>
          <w:color w:val="242424"/>
          <w:sz w:val="17"/>
          <w:szCs w:val="17"/>
          <w:lang w:eastAsia="en-GB"/>
        </w:rPr>
        <w:t>?</w:t>
      </w:r>
      <w:r w:rsidRPr="005F0A67">
        <w:rPr>
          <w:rFonts w:asciiTheme="majorBidi" w:eastAsia="Georgia" w:hAnsiTheme="majorBidi" w:cstheme="majorBidi"/>
          <w:color w:val="242424"/>
          <w:spacing w:val="-9"/>
          <w:sz w:val="17"/>
          <w:szCs w:val="17"/>
          <w:lang w:eastAsia="en-GB"/>
        </w:rPr>
        <w:t xml:space="preserve"> </w:t>
      </w:r>
      <w:r w:rsidRPr="005F0A67">
        <w:rPr>
          <w:rFonts w:asciiTheme="majorBidi" w:eastAsia="Georgia" w:hAnsiTheme="majorBidi" w:cstheme="majorBidi"/>
          <w:color w:val="AE1515"/>
          <w:spacing w:val="-10"/>
          <w:sz w:val="17"/>
          <w:szCs w:val="17"/>
          <w:lang w:eastAsia="en-GB"/>
        </w:rPr>
        <w:t>*</w:t>
      </w:r>
    </w:p>
    <w:p w14:paraId="606065DB" w14:textId="77777777" w:rsidR="005F0A67" w:rsidRPr="005F0A67" w:rsidRDefault="005F0A67" w:rsidP="005F0A67">
      <w:pPr>
        <w:widowControl w:val="0"/>
        <w:tabs>
          <w:tab w:val="clear" w:pos="567"/>
          <w:tab w:val="clear" w:pos="1134"/>
          <w:tab w:val="clear" w:pos="1701"/>
          <w:tab w:val="clear" w:pos="2268"/>
        </w:tabs>
        <w:spacing w:before="123"/>
        <w:jc w:val="left"/>
        <w:rPr>
          <w:rFonts w:asciiTheme="majorBidi" w:eastAsia="Arial" w:hAnsiTheme="majorBidi" w:cstheme="majorBidi"/>
          <w:sz w:val="14"/>
          <w:szCs w:val="14"/>
          <w:lang w:val="en-US"/>
        </w:rPr>
      </w:pPr>
    </w:p>
    <w:p w14:paraId="6D3073C6" w14:textId="77777777" w:rsidR="005F0A67" w:rsidRPr="005F0A67" w:rsidRDefault="005F0A67" w:rsidP="005F0A67">
      <w:pPr>
        <w:widowControl w:val="0"/>
        <w:tabs>
          <w:tab w:val="clear" w:pos="567"/>
          <w:tab w:val="clear" w:pos="1134"/>
          <w:tab w:val="clear" w:pos="1701"/>
          <w:tab w:val="clear" w:pos="2268"/>
        </w:tabs>
        <w:spacing w:line="600" w:lineRule="auto"/>
        <w:ind w:left="725" w:right="5767"/>
        <w:jc w:val="left"/>
        <w:rPr>
          <w:rFonts w:asciiTheme="majorBidi" w:eastAsia="Arial" w:hAnsiTheme="majorBidi" w:cstheme="majorBidi"/>
          <w:sz w:val="14"/>
          <w:szCs w:val="14"/>
          <w:lang w:val="en-US"/>
        </w:rPr>
      </w:pPr>
      <w:r w:rsidRPr="005F0A67">
        <w:rPr>
          <w:rFonts w:asciiTheme="majorBidi" w:eastAsia="Arial" w:hAnsiTheme="majorBidi" w:cstheme="majorBidi"/>
          <w:noProof/>
          <w:position w:val="-4"/>
          <w:sz w:val="14"/>
          <w:szCs w:val="14"/>
          <w:lang w:val="en-US"/>
        </w:rPr>
        <w:drawing>
          <wp:inline distT="0" distB="0" distL="0" distR="0" wp14:anchorId="4A2A7942" wp14:editId="5A7AB583">
            <wp:extent cx="127000" cy="127000"/>
            <wp:effectExtent l="0" t="0" r="0" b="0"/>
            <wp:docPr id="248" name="Image 2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8" name="Image 248"/>
                    <pic:cNvPicPr/>
                  </pic:nvPicPr>
                  <pic:blipFill>
                    <a:blip r:embed="rId37" cstate="print"/>
                    <a:stretch>
                      <a:fillRect/>
                    </a:stretch>
                  </pic:blipFill>
                  <pic:spPr>
                    <a:xfrm>
                      <a:off x="0" y="0"/>
                      <a:ext cx="127000" cy="127000"/>
                    </a:xfrm>
                    <a:prstGeom prst="rect">
                      <a:avLst/>
                    </a:prstGeom>
                  </pic:spPr>
                </pic:pic>
              </a:graphicData>
            </a:graphic>
          </wp:inline>
        </w:drawing>
      </w:r>
      <w:r w:rsidRPr="005F0A67">
        <w:rPr>
          <w:rFonts w:asciiTheme="majorBidi" w:eastAsia="Arial" w:hAnsiTheme="majorBidi" w:cstheme="majorBidi"/>
          <w:spacing w:val="45"/>
          <w:sz w:val="20"/>
          <w:szCs w:val="20"/>
          <w:lang w:val="en-US"/>
        </w:rPr>
        <w:t xml:space="preserve"> </w:t>
      </w:r>
      <w:r w:rsidRPr="005F0A67">
        <w:rPr>
          <w:rFonts w:asciiTheme="majorBidi" w:eastAsia="Arial" w:hAnsiTheme="majorBidi" w:cstheme="majorBidi"/>
          <w:color w:val="242424"/>
          <w:sz w:val="14"/>
          <w:szCs w:val="14"/>
          <w:lang w:val="en-US"/>
        </w:rPr>
        <w:t>Less</w:t>
      </w:r>
      <w:r w:rsidRPr="005F0A67">
        <w:rPr>
          <w:rFonts w:asciiTheme="majorBidi" w:eastAsia="Arial" w:hAnsiTheme="majorBidi" w:cstheme="majorBidi"/>
          <w:color w:val="242424"/>
          <w:spacing w:val="-9"/>
          <w:sz w:val="14"/>
          <w:szCs w:val="14"/>
          <w:lang w:val="en-US"/>
        </w:rPr>
        <w:t xml:space="preserve"> </w:t>
      </w:r>
      <w:r w:rsidRPr="005F0A67">
        <w:rPr>
          <w:rFonts w:asciiTheme="majorBidi" w:eastAsia="Arial" w:hAnsiTheme="majorBidi" w:cstheme="majorBidi"/>
          <w:color w:val="242424"/>
          <w:sz w:val="14"/>
          <w:szCs w:val="14"/>
          <w:lang w:val="en-US"/>
        </w:rPr>
        <w:t>than</w:t>
      </w:r>
      <w:r w:rsidRPr="005F0A67">
        <w:rPr>
          <w:rFonts w:asciiTheme="majorBidi" w:eastAsia="Arial" w:hAnsiTheme="majorBidi" w:cstheme="majorBidi"/>
          <w:color w:val="242424"/>
          <w:spacing w:val="-10"/>
          <w:sz w:val="14"/>
          <w:szCs w:val="14"/>
          <w:lang w:val="en-US"/>
        </w:rPr>
        <w:t xml:space="preserve"> </w:t>
      </w:r>
      <w:r w:rsidRPr="005F0A67">
        <w:rPr>
          <w:rFonts w:asciiTheme="majorBidi" w:eastAsia="Arial" w:hAnsiTheme="majorBidi" w:cstheme="majorBidi"/>
          <w:color w:val="242424"/>
          <w:sz w:val="14"/>
          <w:szCs w:val="14"/>
          <w:lang w:val="en-US"/>
        </w:rPr>
        <w:t>$5</w:t>
      </w:r>
      <w:r w:rsidRPr="005F0A67">
        <w:rPr>
          <w:rFonts w:asciiTheme="majorBidi" w:eastAsia="Arial" w:hAnsiTheme="majorBidi" w:cstheme="majorBidi"/>
          <w:color w:val="242424"/>
          <w:spacing w:val="-10"/>
          <w:sz w:val="14"/>
          <w:szCs w:val="14"/>
          <w:lang w:val="en-US"/>
        </w:rPr>
        <w:t xml:space="preserve"> </w:t>
      </w:r>
      <w:r w:rsidRPr="005F0A67">
        <w:rPr>
          <w:rFonts w:asciiTheme="majorBidi" w:eastAsia="Arial" w:hAnsiTheme="majorBidi" w:cstheme="majorBidi"/>
          <w:color w:val="242424"/>
          <w:sz w:val="14"/>
          <w:szCs w:val="14"/>
          <w:lang w:val="en-US"/>
        </w:rPr>
        <w:t>million</w:t>
      </w:r>
      <w:r w:rsidRPr="005F0A67">
        <w:rPr>
          <w:rFonts w:asciiTheme="majorBidi" w:eastAsia="Arial" w:hAnsiTheme="majorBidi" w:cstheme="majorBidi"/>
          <w:color w:val="242424"/>
          <w:spacing w:val="-10"/>
          <w:sz w:val="14"/>
          <w:szCs w:val="14"/>
          <w:lang w:val="en-US"/>
        </w:rPr>
        <w:t xml:space="preserve"> </w:t>
      </w:r>
      <w:r w:rsidRPr="005F0A67">
        <w:rPr>
          <w:rFonts w:asciiTheme="majorBidi" w:eastAsia="Arial" w:hAnsiTheme="majorBidi" w:cstheme="majorBidi"/>
          <w:color w:val="242424"/>
          <w:sz w:val="14"/>
          <w:szCs w:val="14"/>
          <w:lang w:val="en-US"/>
        </w:rPr>
        <w:t>USD</w:t>
      </w:r>
      <w:r w:rsidRPr="005F0A67">
        <w:rPr>
          <w:rFonts w:asciiTheme="majorBidi" w:eastAsia="Arial" w:hAnsiTheme="majorBidi" w:cstheme="majorBidi"/>
          <w:color w:val="242424"/>
          <w:spacing w:val="40"/>
          <w:sz w:val="14"/>
          <w:szCs w:val="14"/>
          <w:lang w:val="en-US"/>
        </w:rPr>
        <w:t xml:space="preserve"> </w:t>
      </w:r>
      <w:r w:rsidRPr="005F0A67">
        <w:rPr>
          <w:rFonts w:asciiTheme="majorBidi" w:eastAsia="Arial" w:hAnsiTheme="majorBidi" w:cstheme="majorBidi"/>
          <w:noProof/>
          <w:color w:val="242424"/>
          <w:position w:val="-4"/>
          <w:sz w:val="14"/>
          <w:szCs w:val="14"/>
          <w:lang w:val="en-US"/>
        </w:rPr>
        <w:drawing>
          <wp:inline distT="0" distB="0" distL="0" distR="0" wp14:anchorId="309248F1" wp14:editId="77052408">
            <wp:extent cx="127000" cy="127000"/>
            <wp:effectExtent l="0" t="0" r="0" b="0"/>
            <wp:docPr id="249" name="Image 2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9" name="Image 249"/>
                    <pic:cNvPicPr/>
                  </pic:nvPicPr>
                  <pic:blipFill>
                    <a:blip r:embed="rId53" cstate="print"/>
                    <a:stretch>
                      <a:fillRect/>
                    </a:stretch>
                  </pic:blipFill>
                  <pic:spPr>
                    <a:xfrm>
                      <a:off x="0" y="0"/>
                      <a:ext cx="127000" cy="127000"/>
                    </a:xfrm>
                    <a:prstGeom prst="rect">
                      <a:avLst/>
                    </a:prstGeom>
                  </pic:spPr>
                </pic:pic>
              </a:graphicData>
            </a:graphic>
          </wp:inline>
        </w:drawing>
      </w:r>
      <w:r w:rsidRPr="005F0A67">
        <w:rPr>
          <w:rFonts w:asciiTheme="majorBidi" w:eastAsia="Arial" w:hAnsiTheme="majorBidi" w:cstheme="majorBidi"/>
          <w:color w:val="242424"/>
          <w:spacing w:val="80"/>
          <w:sz w:val="14"/>
          <w:szCs w:val="14"/>
          <w:lang w:val="en-US"/>
        </w:rPr>
        <w:t xml:space="preserve"> </w:t>
      </w:r>
      <w:r w:rsidRPr="005F0A67">
        <w:rPr>
          <w:rFonts w:asciiTheme="majorBidi" w:eastAsia="Arial" w:hAnsiTheme="majorBidi" w:cstheme="majorBidi"/>
          <w:color w:val="242424"/>
          <w:sz w:val="14"/>
          <w:szCs w:val="14"/>
          <w:lang w:val="en-US"/>
        </w:rPr>
        <w:t>$5 million USD or more</w:t>
      </w:r>
    </w:p>
    <w:p w14:paraId="76D65E60" w14:textId="77777777" w:rsidR="005F0A67" w:rsidRPr="005F0A67" w:rsidRDefault="005F0A67" w:rsidP="005F0A67">
      <w:pPr>
        <w:widowControl w:val="0"/>
        <w:tabs>
          <w:tab w:val="clear" w:pos="567"/>
          <w:tab w:val="clear" w:pos="1134"/>
          <w:tab w:val="clear" w:pos="1701"/>
          <w:tab w:val="clear" w:pos="2268"/>
        </w:tabs>
        <w:spacing w:line="600" w:lineRule="auto"/>
        <w:ind w:left="725" w:right="5490"/>
        <w:jc w:val="left"/>
        <w:rPr>
          <w:rFonts w:asciiTheme="majorBidi" w:eastAsia="Arial" w:hAnsiTheme="majorBidi" w:cstheme="majorBidi"/>
          <w:sz w:val="14"/>
          <w:szCs w:val="14"/>
          <w:lang w:val="en-US"/>
        </w:rPr>
      </w:pPr>
      <w:r w:rsidRPr="005F0A67">
        <w:rPr>
          <w:rFonts w:asciiTheme="majorBidi" w:eastAsia="Arial" w:hAnsiTheme="majorBidi" w:cstheme="majorBidi"/>
          <w:noProof/>
          <w:position w:val="-4"/>
          <w:sz w:val="14"/>
          <w:szCs w:val="14"/>
          <w:lang w:val="en-US"/>
        </w:rPr>
        <w:drawing>
          <wp:inline distT="0" distB="0" distL="0" distR="0" wp14:anchorId="1B4448FC" wp14:editId="25B0AB9D">
            <wp:extent cx="127000" cy="127000"/>
            <wp:effectExtent l="0" t="0" r="0" b="0"/>
            <wp:docPr id="250" name="Image 2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0" name="Image 250"/>
                    <pic:cNvPicPr/>
                  </pic:nvPicPr>
                  <pic:blipFill>
                    <a:blip r:embed="rId43" cstate="print"/>
                    <a:stretch>
                      <a:fillRect/>
                    </a:stretch>
                  </pic:blipFill>
                  <pic:spPr>
                    <a:xfrm>
                      <a:off x="0" y="0"/>
                      <a:ext cx="127000" cy="127000"/>
                    </a:xfrm>
                    <a:prstGeom prst="rect">
                      <a:avLst/>
                    </a:prstGeom>
                  </pic:spPr>
                </pic:pic>
              </a:graphicData>
            </a:graphic>
          </wp:inline>
        </w:drawing>
      </w:r>
      <w:r w:rsidRPr="005F0A67">
        <w:rPr>
          <w:rFonts w:asciiTheme="majorBidi" w:eastAsia="Arial" w:hAnsiTheme="majorBidi" w:cstheme="majorBidi"/>
          <w:spacing w:val="65"/>
          <w:sz w:val="20"/>
          <w:szCs w:val="20"/>
          <w:lang w:val="en-US"/>
        </w:rPr>
        <w:t xml:space="preserve"> </w:t>
      </w:r>
      <w:r w:rsidRPr="005F0A67">
        <w:rPr>
          <w:rFonts w:asciiTheme="majorBidi" w:eastAsia="Arial" w:hAnsiTheme="majorBidi" w:cstheme="majorBidi"/>
          <w:color w:val="242424"/>
          <w:sz w:val="14"/>
          <w:szCs w:val="14"/>
          <w:lang w:val="en-US"/>
        </w:rPr>
        <w:t>Loss-making</w:t>
      </w:r>
      <w:r w:rsidRPr="005F0A67">
        <w:rPr>
          <w:rFonts w:asciiTheme="majorBidi" w:eastAsia="Arial" w:hAnsiTheme="majorBidi" w:cstheme="majorBidi"/>
          <w:color w:val="242424"/>
          <w:spacing w:val="-8"/>
          <w:sz w:val="14"/>
          <w:szCs w:val="14"/>
          <w:lang w:val="en-US"/>
        </w:rPr>
        <w:t xml:space="preserve"> </w:t>
      </w:r>
      <w:r w:rsidRPr="005F0A67">
        <w:rPr>
          <w:rFonts w:asciiTheme="majorBidi" w:eastAsia="Arial" w:hAnsiTheme="majorBidi" w:cstheme="majorBidi"/>
          <w:color w:val="242424"/>
          <w:sz w:val="14"/>
          <w:szCs w:val="14"/>
          <w:lang w:val="en-US"/>
        </w:rPr>
        <w:t>(negative</w:t>
      </w:r>
      <w:r w:rsidRPr="005F0A67">
        <w:rPr>
          <w:rFonts w:asciiTheme="majorBidi" w:eastAsia="Arial" w:hAnsiTheme="majorBidi" w:cstheme="majorBidi"/>
          <w:color w:val="242424"/>
          <w:spacing w:val="-8"/>
          <w:sz w:val="14"/>
          <w:szCs w:val="14"/>
          <w:lang w:val="en-US"/>
        </w:rPr>
        <w:t xml:space="preserve"> </w:t>
      </w:r>
      <w:r w:rsidRPr="005F0A67">
        <w:rPr>
          <w:rFonts w:asciiTheme="majorBidi" w:eastAsia="Arial" w:hAnsiTheme="majorBidi" w:cstheme="majorBidi"/>
          <w:color w:val="242424"/>
          <w:sz w:val="14"/>
          <w:szCs w:val="14"/>
          <w:lang w:val="en-US"/>
        </w:rPr>
        <w:t>profit)</w:t>
      </w:r>
      <w:r w:rsidRPr="005F0A67">
        <w:rPr>
          <w:rFonts w:asciiTheme="majorBidi" w:eastAsia="Arial" w:hAnsiTheme="majorBidi" w:cstheme="majorBidi"/>
          <w:color w:val="242424"/>
          <w:spacing w:val="40"/>
          <w:sz w:val="14"/>
          <w:szCs w:val="14"/>
          <w:lang w:val="en-US"/>
        </w:rPr>
        <w:t xml:space="preserve"> </w:t>
      </w:r>
      <w:r w:rsidRPr="005F0A67">
        <w:rPr>
          <w:rFonts w:asciiTheme="majorBidi" w:eastAsia="Arial" w:hAnsiTheme="majorBidi" w:cstheme="majorBidi"/>
          <w:noProof/>
          <w:color w:val="242424"/>
          <w:position w:val="-4"/>
          <w:sz w:val="14"/>
          <w:szCs w:val="14"/>
          <w:lang w:val="en-US"/>
        </w:rPr>
        <w:drawing>
          <wp:inline distT="0" distB="0" distL="0" distR="0" wp14:anchorId="05B46521" wp14:editId="74985437">
            <wp:extent cx="127000" cy="127000"/>
            <wp:effectExtent l="0" t="0" r="0" b="0"/>
            <wp:docPr id="251" name="Image 2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1" name="Image 251"/>
                    <pic:cNvPicPr/>
                  </pic:nvPicPr>
                  <pic:blipFill>
                    <a:blip r:embed="rId37" cstate="print"/>
                    <a:stretch>
                      <a:fillRect/>
                    </a:stretch>
                  </pic:blipFill>
                  <pic:spPr>
                    <a:xfrm>
                      <a:off x="0" y="0"/>
                      <a:ext cx="127000" cy="127000"/>
                    </a:xfrm>
                    <a:prstGeom prst="rect">
                      <a:avLst/>
                    </a:prstGeom>
                  </pic:spPr>
                </pic:pic>
              </a:graphicData>
            </a:graphic>
          </wp:inline>
        </w:drawing>
      </w:r>
      <w:r w:rsidRPr="005F0A67">
        <w:rPr>
          <w:rFonts w:asciiTheme="majorBidi" w:eastAsia="Arial" w:hAnsiTheme="majorBidi" w:cstheme="majorBidi"/>
          <w:color w:val="242424"/>
          <w:spacing w:val="80"/>
          <w:sz w:val="14"/>
          <w:szCs w:val="14"/>
          <w:lang w:val="en-US"/>
        </w:rPr>
        <w:t xml:space="preserve"> </w:t>
      </w:r>
      <w:r w:rsidRPr="005F0A67">
        <w:rPr>
          <w:rFonts w:asciiTheme="majorBidi" w:eastAsia="Arial" w:hAnsiTheme="majorBidi" w:cstheme="majorBidi"/>
          <w:color w:val="242424"/>
          <w:sz w:val="14"/>
          <w:szCs w:val="14"/>
          <w:lang w:val="en-US"/>
        </w:rPr>
        <w:t>Don't know</w:t>
      </w:r>
    </w:p>
    <w:p w14:paraId="18EF7500" w14:textId="77777777" w:rsidR="005F0A67" w:rsidRPr="005F0A67" w:rsidRDefault="005F0A67" w:rsidP="005F0A67">
      <w:pPr>
        <w:widowControl w:val="0"/>
        <w:tabs>
          <w:tab w:val="clear" w:pos="567"/>
          <w:tab w:val="clear" w:pos="1134"/>
          <w:tab w:val="clear" w:pos="1701"/>
          <w:tab w:val="clear" w:pos="2268"/>
        </w:tabs>
        <w:ind w:left="725"/>
        <w:jc w:val="left"/>
        <w:rPr>
          <w:rFonts w:asciiTheme="majorBidi" w:eastAsia="Arial" w:hAnsiTheme="majorBidi" w:cstheme="majorBidi"/>
          <w:sz w:val="14"/>
          <w:szCs w:val="14"/>
          <w:lang w:val="en-US"/>
        </w:rPr>
      </w:pPr>
      <w:r w:rsidRPr="005F0A67">
        <w:rPr>
          <w:rFonts w:asciiTheme="majorBidi" w:eastAsia="Arial" w:hAnsiTheme="majorBidi" w:cstheme="majorBidi"/>
          <w:noProof/>
          <w:position w:val="-4"/>
          <w:sz w:val="14"/>
          <w:szCs w:val="14"/>
          <w:lang w:val="en-US"/>
        </w:rPr>
        <w:drawing>
          <wp:inline distT="0" distB="0" distL="0" distR="0" wp14:anchorId="12E3A8C9" wp14:editId="42CEE296">
            <wp:extent cx="127000" cy="127000"/>
            <wp:effectExtent l="0" t="0" r="0" b="0"/>
            <wp:docPr id="252" name="Image 2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2" name="Image 252"/>
                    <pic:cNvPicPr/>
                  </pic:nvPicPr>
                  <pic:blipFill>
                    <a:blip r:embed="rId53" cstate="print"/>
                    <a:stretch>
                      <a:fillRect/>
                    </a:stretch>
                  </pic:blipFill>
                  <pic:spPr>
                    <a:xfrm>
                      <a:off x="0" y="0"/>
                      <a:ext cx="127000" cy="127000"/>
                    </a:xfrm>
                    <a:prstGeom prst="rect">
                      <a:avLst/>
                    </a:prstGeom>
                  </pic:spPr>
                </pic:pic>
              </a:graphicData>
            </a:graphic>
          </wp:inline>
        </w:drawing>
      </w:r>
      <w:r w:rsidRPr="005F0A67">
        <w:rPr>
          <w:rFonts w:asciiTheme="majorBidi" w:eastAsia="Arial" w:hAnsiTheme="majorBidi" w:cstheme="majorBidi"/>
          <w:spacing w:val="80"/>
          <w:sz w:val="20"/>
          <w:szCs w:val="20"/>
          <w:lang w:val="en-US"/>
        </w:rPr>
        <w:t xml:space="preserve"> </w:t>
      </w:r>
      <w:r w:rsidRPr="005F0A67">
        <w:rPr>
          <w:rFonts w:asciiTheme="majorBidi" w:eastAsia="Arial" w:hAnsiTheme="majorBidi" w:cstheme="majorBidi"/>
          <w:color w:val="242424"/>
          <w:sz w:val="14"/>
          <w:szCs w:val="14"/>
          <w:lang w:val="en-US"/>
        </w:rPr>
        <w:t>Prefer not to say</w:t>
      </w:r>
    </w:p>
    <w:p w14:paraId="356838AC" w14:textId="77777777" w:rsidR="005F0A67" w:rsidRPr="005F0A67" w:rsidRDefault="005F0A67" w:rsidP="005F0A67">
      <w:pPr>
        <w:widowControl w:val="0"/>
        <w:tabs>
          <w:tab w:val="clear" w:pos="567"/>
          <w:tab w:val="clear" w:pos="1134"/>
          <w:tab w:val="clear" w:pos="1701"/>
          <w:tab w:val="clear" w:pos="2268"/>
        </w:tabs>
        <w:spacing w:before="48"/>
        <w:jc w:val="left"/>
        <w:rPr>
          <w:rFonts w:asciiTheme="majorBidi" w:eastAsia="Arial" w:hAnsiTheme="majorBidi" w:cstheme="majorBidi"/>
          <w:sz w:val="17"/>
          <w:szCs w:val="17"/>
          <w:lang w:val="en-US"/>
        </w:rPr>
      </w:pPr>
    </w:p>
    <w:p w14:paraId="7A52F6BF" w14:textId="77777777" w:rsidR="005F0A67" w:rsidRPr="005F0A67" w:rsidRDefault="005F0A67" w:rsidP="003A387A">
      <w:pPr>
        <w:widowControl w:val="0"/>
        <w:numPr>
          <w:ilvl w:val="0"/>
          <w:numId w:val="44"/>
        </w:numPr>
        <w:tabs>
          <w:tab w:val="clear" w:pos="567"/>
          <w:tab w:val="clear" w:pos="1134"/>
          <w:tab w:val="clear" w:pos="1701"/>
          <w:tab w:val="clear" w:pos="2268"/>
          <w:tab w:val="left" w:pos="703"/>
        </w:tabs>
        <w:autoSpaceDE w:val="0"/>
        <w:autoSpaceDN w:val="0"/>
        <w:spacing w:before="1"/>
        <w:ind w:left="703" w:hanging="279"/>
        <w:jc w:val="left"/>
        <w:rPr>
          <w:rFonts w:asciiTheme="majorBidi" w:eastAsia="Georgia" w:hAnsiTheme="majorBidi" w:cstheme="majorBidi"/>
          <w:color w:val="1A1A1A"/>
          <w:sz w:val="17"/>
          <w:szCs w:val="17"/>
          <w:lang w:eastAsia="en-GB"/>
        </w:rPr>
      </w:pPr>
      <w:r w:rsidRPr="005F0A67">
        <w:rPr>
          <w:rFonts w:asciiTheme="majorBidi" w:eastAsia="Georgia" w:hAnsiTheme="majorBidi" w:cstheme="majorBidi"/>
          <w:color w:val="242424"/>
          <w:sz w:val="17"/>
          <w:szCs w:val="17"/>
          <w:lang w:eastAsia="en-GB"/>
        </w:rPr>
        <w:t>What</w:t>
      </w:r>
      <w:r w:rsidRPr="005F0A67">
        <w:rPr>
          <w:rFonts w:asciiTheme="majorBidi" w:eastAsia="Georgia" w:hAnsiTheme="majorBidi" w:cstheme="majorBidi"/>
          <w:color w:val="242424"/>
          <w:spacing w:val="-8"/>
          <w:sz w:val="17"/>
          <w:szCs w:val="17"/>
          <w:lang w:eastAsia="en-GB"/>
        </w:rPr>
        <w:t xml:space="preserve"> </w:t>
      </w:r>
      <w:r w:rsidRPr="005F0A67">
        <w:rPr>
          <w:rFonts w:asciiTheme="majorBidi" w:eastAsia="Georgia" w:hAnsiTheme="majorBidi" w:cstheme="majorBidi"/>
          <w:color w:val="242424"/>
          <w:sz w:val="17"/>
          <w:szCs w:val="17"/>
          <w:lang w:eastAsia="en-GB"/>
        </w:rPr>
        <w:t>was</w:t>
      </w:r>
      <w:r w:rsidRPr="005F0A67">
        <w:rPr>
          <w:rFonts w:asciiTheme="majorBidi" w:eastAsia="Georgia" w:hAnsiTheme="majorBidi" w:cstheme="majorBidi"/>
          <w:color w:val="242424"/>
          <w:spacing w:val="-8"/>
          <w:sz w:val="17"/>
          <w:szCs w:val="17"/>
          <w:lang w:eastAsia="en-GB"/>
        </w:rPr>
        <w:t xml:space="preserve"> </w:t>
      </w:r>
      <w:r w:rsidRPr="005F0A67">
        <w:rPr>
          <w:rFonts w:asciiTheme="majorBidi" w:eastAsia="Georgia" w:hAnsiTheme="majorBidi" w:cstheme="majorBidi"/>
          <w:color w:val="242424"/>
          <w:sz w:val="17"/>
          <w:szCs w:val="17"/>
          <w:lang w:eastAsia="en-GB"/>
        </w:rPr>
        <w:t>your</w:t>
      </w:r>
      <w:r w:rsidRPr="005F0A67">
        <w:rPr>
          <w:rFonts w:asciiTheme="majorBidi" w:eastAsia="Georgia" w:hAnsiTheme="majorBidi" w:cstheme="majorBidi"/>
          <w:color w:val="242424"/>
          <w:spacing w:val="-7"/>
          <w:sz w:val="17"/>
          <w:szCs w:val="17"/>
          <w:lang w:eastAsia="en-GB"/>
        </w:rPr>
        <w:t xml:space="preserve"> </w:t>
      </w:r>
      <w:r w:rsidRPr="005F0A67">
        <w:rPr>
          <w:rFonts w:asciiTheme="majorBidi" w:eastAsia="Georgia" w:hAnsiTheme="majorBidi" w:cstheme="majorBidi"/>
          <w:color w:val="242424"/>
          <w:sz w:val="17"/>
          <w:szCs w:val="17"/>
          <w:lang w:eastAsia="en-GB"/>
        </w:rPr>
        <w:t>organisation's</w:t>
      </w:r>
      <w:r w:rsidRPr="005F0A67">
        <w:rPr>
          <w:rFonts w:asciiTheme="majorBidi" w:eastAsia="Georgia" w:hAnsiTheme="majorBidi" w:cstheme="majorBidi"/>
          <w:color w:val="242424"/>
          <w:spacing w:val="-8"/>
          <w:sz w:val="17"/>
          <w:szCs w:val="17"/>
          <w:lang w:eastAsia="en-GB"/>
        </w:rPr>
        <w:t xml:space="preserve"> </w:t>
      </w:r>
      <w:r w:rsidRPr="005F0A67">
        <w:rPr>
          <w:rFonts w:asciiTheme="majorBidi" w:eastAsia="Georgia" w:hAnsiTheme="majorBidi" w:cstheme="majorBidi"/>
          <w:b/>
          <w:bCs/>
          <w:color w:val="242424"/>
          <w:sz w:val="17"/>
          <w:szCs w:val="17"/>
          <w:lang w:eastAsia="en-GB"/>
        </w:rPr>
        <w:t>average</w:t>
      </w:r>
      <w:r w:rsidRPr="005F0A67">
        <w:rPr>
          <w:rFonts w:asciiTheme="majorBidi" w:eastAsia="Georgia" w:hAnsiTheme="majorBidi" w:cstheme="majorBidi"/>
          <w:b/>
          <w:bCs/>
          <w:color w:val="242424"/>
          <w:spacing w:val="-8"/>
          <w:sz w:val="17"/>
          <w:szCs w:val="17"/>
          <w:lang w:eastAsia="en-GB"/>
        </w:rPr>
        <w:t xml:space="preserve"> </w:t>
      </w:r>
      <w:r w:rsidRPr="005F0A67">
        <w:rPr>
          <w:rFonts w:asciiTheme="majorBidi" w:eastAsia="Georgia" w:hAnsiTheme="majorBidi" w:cstheme="majorBidi"/>
          <w:b/>
          <w:bCs/>
          <w:color w:val="242424"/>
          <w:sz w:val="17"/>
          <w:szCs w:val="17"/>
          <w:lang w:eastAsia="en-GB"/>
        </w:rPr>
        <w:t>revenue</w:t>
      </w:r>
      <w:r w:rsidRPr="005F0A67">
        <w:rPr>
          <w:rFonts w:asciiTheme="majorBidi" w:eastAsia="Georgia" w:hAnsiTheme="majorBidi" w:cstheme="majorBidi"/>
          <w:b/>
          <w:bCs/>
          <w:color w:val="242424"/>
          <w:spacing w:val="-7"/>
          <w:sz w:val="17"/>
          <w:szCs w:val="17"/>
          <w:lang w:eastAsia="en-GB"/>
        </w:rPr>
        <w:t xml:space="preserve"> </w:t>
      </w:r>
      <w:r w:rsidRPr="005F0A67">
        <w:rPr>
          <w:rFonts w:asciiTheme="majorBidi" w:eastAsia="Georgia" w:hAnsiTheme="majorBidi" w:cstheme="majorBidi"/>
          <w:b/>
          <w:bCs/>
          <w:color w:val="242424"/>
          <w:sz w:val="17"/>
          <w:szCs w:val="17"/>
          <w:lang w:eastAsia="en-GB"/>
        </w:rPr>
        <w:t>(sales/net</w:t>
      </w:r>
      <w:r w:rsidRPr="005F0A67">
        <w:rPr>
          <w:rFonts w:asciiTheme="majorBidi" w:eastAsia="Georgia" w:hAnsiTheme="majorBidi" w:cstheme="majorBidi"/>
          <w:b/>
          <w:bCs/>
          <w:color w:val="242424"/>
          <w:spacing w:val="-8"/>
          <w:sz w:val="17"/>
          <w:szCs w:val="17"/>
          <w:lang w:eastAsia="en-GB"/>
        </w:rPr>
        <w:t xml:space="preserve"> </w:t>
      </w:r>
      <w:r w:rsidRPr="005F0A67">
        <w:rPr>
          <w:rFonts w:asciiTheme="majorBidi" w:eastAsia="Georgia" w:hAnsiTheme="majorBidi" w:cstheme="majorBidi"/>
          <w:b/>
          <w:bCs/>
          <w:color w:val="242424"/>
          <w:sz w:val="17"/>
          <w:szCs w:val="17"/>
          <w:lang w:eastAsia="en-GB"/>
        </w:rPr>
        <w:t>turnover)</w:t>
      </w:r>
      <w:r w:rsidRPr="005F0A67">
        <w:rPr>
          <w:rFonts w:asciiTheme="majorBidi" w:eastAsia="Georgia" w:hAnsiTheme="majorBidi" w:cstheme="majorBidi"/>
          <w:b/>
          <w:bCs/>
          <w:color w:val="242424"/>
          <w:spacing w:val="-7"/>
          <w:sz w:val="17"/>
          <w:szCs w:val="17"/>
          <w:lang w:eastAsia="en-GB"/>
        </w:rPr>
        <w:t xml:space="preserve"> </w:t>
      </w:r>
      <w:r w:rsidRPr="005F0A67">
        <w:rPr>
          <w:rFonts w:asciiTheme="majorBidi" w:eastAsia="Georgia" w:hAnsiTheme="majorBidi" w:cstheme="majorBidi"/>
          <w:color w:val="242424"/>
          <w:sz w:val="17"/>
          <w:szCs w:val="17"/>
          <w:lang w:eastAsia="en-GB"/>
        </w:rPr>
        <w:t>over</w:t>
      </w:r>
      <w:r w:rsidRPr="005F0A67">
        <w:rPr>
          <w:rFonts w:asciiTheme="majorBidi" w:eastAsia="Georgia" w:hAnsiTheme="majorBidi" w:cstheme="majorBidi"/>
          <w:color w:val="242424"/>
          <w:spacing w:val="-8"/>
          <w:sz w:val="17"/>
          <w:szCs w:val="17"/>
          <w:lang w:eastAsia="en-GB"/>
        </w:rPr>
        <w:t xml:space="preserve"> </w:t>
      </w:r>
      <w:r w:rsidRPr="005F0A67">
        <w:rPr>
          <w:rFonts w:asciiTheme="majorBidi" w:eastAsia="Georgia" w:hAnsiTheme="majorBidi" w:cstheme="majorBidi"/>
          <w:color w:val="242424"/>
          <w:sz w:val="17"/>
          <w:szCs w:val="17"/>
          <w:lang w:eastAsia="en-GB"/>
        </w:rPr>
        <w:t>the</w:t>
      </w:r>
      <w:r w:rsidRPr="005F0A67">
        <w:rPr>
          <w:rFonts w:asciiTheme="majorBidi" w:eastAsia="Georgia" w:hAnsiTheme="majorBidi" w:cstheme="majorBidi"/>
          <w:color w:val="242424"/>
          <w:spacing w:val="-8"/>
          <w:sz w:val="17"/>
          <w:szCs w:val="17"/>
          <w:lang w:eastAsia="en-GB"/>
        </w:rPr>
        <w:t xml:space="preserve"> </w:t>
      </w:r>
      <w:r w:rsidRPr="005F0A67">
        <w:rPr>
          <w:rFonts w:asciiTheme="majorBidi" w:eastAsia="Georgia" w:hAnsiTheme="majorBidi" w:cstheme="majorBidi"/>
          <w:color w:val="242424"/>
          <w:sz w:val="17"/>
          <w:szCs w:val="17"/>
          <w:lang w:eastAsia="en-GB"/>
        </w:rPr>
        <w:t>past</w:t>
      </w:r>
      <w:r w:rsidRPr="005F0A67">
        <w:rPr>
          <w:rFonts w:asciiTheme="majorBidi" w:eastAsia="Georgia" w:hAnsiTheme="majorBidi" w:cstheme="majorBidi"/>
          <w:color w:val="242424"/>
          <w:spacing w:val="-7"/>
          <w:sz w:val="17"/>
          <w:szCs w:val="17"/>
          <w:lang w:eastAsia="en-GB"/>
        </w:rPr>
        <w:t xml:space="preserve"> </w:t>
      </w:r>
      <w:r w:rsidRPr="005F0A67">
        <w:rPr>
          <w:rFonts w:asciiTheme="majorBidi" w:eastAsia="Georgia" w:hAnsiTheme="majorBidi" w:cstheme="majorBidi"/>
          <w:b/>
          <w:bCs/>
          <w:color w:val="242424"/>
          <w:sz w:val="17"/>
          <w:szCs w:val="17"/>
          <w:lang w:eastAsia="en-GB"/>
        </w:rPr>
        <w:t>3</w:t>
      </w:r>
      <w:r w:rsidRPr="005F0A67">
        <w:rPr>
          <w:rFonts w:asciiTheme="majorBidi" w:eastAsia="Georgia" w:hAnsiTheme="majorBidi" w:cstheme="majorBidi"/>
          <w:b/>
          <w:bCs/>
          <w:color w:val="242424"/>
          <w:spacing w:val="-8"/>
          <w:sz w:val="17"/>
          <w:szCs w:val="17"/>
          <w:lang w:eastAsia="en-GB"/>
        </w:rPr>
        <w:t xml:space="preserve"> </w:t>
      </w:r>
      <w:r w:rsidRPr="005F0A67">
        <w:rPr>
          <w:rFonts w:asciiTheme="majorBidi" w:eastAsia="Georgia" w:hAnsiTheme="majorBidi" w:cstheme="majorBidi"/>
          <w:b/>
          <w:bCs/>
          <w:color w:val="242424"/>
          <w:spacing w:val="-2"/>
          <w:sz w:val="17"/>
          <w:szCs w:val="17"/>
          <w:lang w:eastAsia="en-GB"/>
        </w:rPr>
        <w:t>years</w:t>
      </w:r>
      <w:r w:rsidRPr="005F0A67">
        <w:rPr>
          <w:rFonts w:asciiTheme="majorBidi" w:eastAsia="Georgia" w:hAnsiTheme="majorBidi" w:cstheme="majorBidi"/>
          <w:color w:val="242424"/>
          <w:spacing w:val="-2"/>
          <w:sz w:val="17"/>
          <w:szCs w:val="17"/>
          <w:lang w:eastAsia="en-GB"/>
        </w:rPr>
        <w:t>?</w:t>
      </w:r>
    </w:p>
    <w:p w14:paraId="5BD0FC8A" w14:textId="77777777" w:rsidR="005F0A67" w:rsidRPr="005F0A67" w:rsidRDefault="005F0A67" w:rsidP="005F0A67">
      <w:pPr>
        <w:tabs>
          <w:tab w:val="clear" w:pos="567"/>
          <w:tab w:val="clear" w:pos="1134"/>
          <w:tab w:val="clear" w:pos="1701"/>
          <w:tab w:val="clear" w:pos="2268"/>
        </w:tabs>
        <w:spacing w:before="24"/>
        <w:ind w:left="705"/>
        <w:jc w:val="left"/>
        <w:rPr>
          <w:rFonts w:asciiTheme="majorBidi" w:eastAsia="Times New Roman" w:hAnsiTheme="majorBidi" w:cstheme="majorBidi"/>
          <w:sz w:val="17"/>
          <w:szCs w:val="17"/>
          <w:lang w:val="en-CA" w:eastAsia="en-GB"/>
        </w:rPr>
      </w:pPr>
      <w:r w:rsidRPr="005F0A67">
        <w:rPr>
          <w:rFonts w:asciiTheme="majorBidi" w:eastAsia="Times New Roman" w:hAnsiTheme="majorBidi" w:cstheme="majorBidi"/>
          <w:color w:val="AE1515"/>
          <w:spacing w:val="-10"/>
          <w:w w:val="105"/>
          <w:sz w:val="17"/>
          <w:szCs w:val="17"/>
          <w:lang w:val="en-CA" w:eastAsia="en-GB"/>
        </w:rPr>
        <w:t>*</w:t>
      </w:r>
    </w:p>
    <w:p w14:paraId="7B751D69" w14:textId="77777777" w:rsidR="005F0A67" w:rsidRPr="005F0A67" w:rsidRDefault="005F0A67" w:rsidP="005F0A67">
      <w:pPr>
        <w:widowControl w:val="0"/>
        <w:tabs>
          <w:tab w:val="clear" w:pos="567"/>
          <w:tab w:val="clear" w:pos="1134"/>
          <w:tab w:val="clear" w:pos="1701"/>
          <w:tab w:val="clear" w:pos="2268"/>
        </w:tabs>
        <w:spacing w:before="123"/>
        <w:jc w:val="left"/>
        <w:rPr>
          <w:rFonts w:asciiTheme="majorBidi" w:eastAsia="Arial" w:hAnsiTheme="majorBidi" w:cstheme="majorBidi"/>
          <w:sz w:val="14"/>
          <w:szCs w:val="14"/>
          <w:lang w:val="en-US"/>
        </w:rPr>
      </w:pPr>
    </w:p>
    <w:p w14:paraId="56F638D5" w14:textId="77777777" w:rsidR="005F0A67" w:rsidRPr="005F0A67" w:rsidRDefault="005F0A67" w:rsidP="005F0A67">
      <w:pPr>
        <w:widowControl w:val="0"/>
        <w:tabs>
          <w:tab w:val="clear" w:pos="567"/>
          <w:tab w:val="clear" w:pos="1134"/>
          <w:tab w:val="clear" w:pos="1701"/>
          <w:tab w:val="clear" w:pos="2268"/>
        </w:tabs>
        <w:spacing w:line="600" w:lineRule="auto"/>
        <w:ind w:left="725" w:right="5767"/>
        <w:jc w:val="left"/>
        <w:rPr>
          <w:rFonts w:asciiTheme="majorBidi" w:eastAsia="Arial" w:hAnsiTheme="majorBidi" w:cstheme="majorBidi"/>
          <w:sz w:val="14"/>
          <w:szCs w:val="14"/>
          <w:lang w:val="en-US"/>
        </w:rPr>
      </w:pPr>
      <w:r w:rsidRPr="005F0A67">
        <w:rPr>
          <w:rFonts w:asciiTheme="majorBidi" w:eastAsia="Arial" w:hAnsiTheme="majorBidi" w:cstheme="majorBidi"/>
          <w:noProof/>
          <w:position w:val="-4"/>
          <w:sz w:val="14"/>
          <w:szCs w:val="14"/>
          <w:lang w:val="en-US"/>
        </w:rPr>
        <w:drawing>
          <wp:inline distT="0" distB="0" distL="0" distR="0" wp14:anchorId="15D77DD8" wp14:editId="070389C9">
            <wp:extent cx="127000" cy="127000"/>
            <wp:effectExtent l="0" t="0" r="0" b="0"/>
            <wp:docPr id="253" name="Image 2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3" name="Image 253"/>
                    <pic:cNvPicPr/>
                  </pic:nvPicPr>
                  <pic:blipFill>
                    <a:blip r:embed="rId49" cstate="print"/>
                    <a:stretch>
                      <a:fillRect/>
                    </a:stretch>
                  </pic:blipFill>
                  <pic:spPr>
                    <a:xfrm>
                      <a:off x="0" y="0"/>
                      <a:ext cx="127000" cy="127000"/>
                    </a:xfrm>
                    <a:prstGeom prst="rect">
                      <a:avLst/>
                    </a:prstGeom>
                  </pic:spPr>
                </pic:pic>
              </a:graphicData>
            </a:graphic>
          </wp:inline>
        </w:drawing>
      </w:r>
      <w:r w:rsidRPr="005F0A67">
        <w:rPr>
          <w:rFonts w:asciiTheme="majorBidi" w:eastAsia="Arial" w:hAnsiTheme="majorBidi" w:cstheme="majorBidi"/>
          <w:spacing w:val="42"/>
          <w:sz w:val="20"/>
          <w:szCs w:val="20"/>
          <w:lang w:val="en-US"/>
        </w:rPr>
        <w:t xml:space="preserve"> </w:t>
      </w:r>
      <w:r w:rsidRPr="005F0A67">
        <w:rPr>
          <w:rFonts w:asciiTheme="majorBidi" w:eastAsia="Arial" w:hAnsiTheme="majorBidi" w:cstheme="majorBidi"/>
          <w:color w:val="242424"/>
          <w:sz w:val="14"/>
          <w:szCs w:val="14"/>
          <w:lang w:val="en-US"/>
        </w:rPr>
        <w:t>Less</w:t>
      </w:r>
      <w:r w:rsidRPr="005F0A67">
        <w:rPr>
          <w:rFonts w:asciiTheme="majorBidi" w:eastAsia="Arial" w:hAnsiTheme="majorBidi" w:cstheme="majorBidi"/>
          <w:color w:val="242424"/>
          <w:spacing w:val="-9"/>
          <w:sz w:val="14"/>
          <w:szCs w:val="14"/>
          <w:lang w:val="en-US"/>
        </w:rPr>
        <w:t xml:space="preserve"> </w:t>
      </w:r>
      <w:r w:rsidRPr="005F0A67">
        <w:rPr>
          <w:rFonts w:asciiTheme="majorBidi" w:eastAsia="Arial" w:hAnsiTheme="majorBidi" w:cstheme="majorBidi"/>
          <w:color w:val="242424"/>
          <w:sz w:val="14"/>
          <w:szCs w:val="14"/>
          <w:lang w:val="en-US"/>
        </w:rPr>
        <w:t>than</w:t>
      </w:r>
      <w:r w:rsidRPr="005F0A67">
        <w:rPr>
          <w:rFonts w:asciiTheme="majorBidi" w:eastAsia="Arial" w:hAnsiTheme="majorBidi" w:cstheme="majorBidi"/>
          <w:color w:val="242424"/>
          <w:spacing w:val="-10"/>
          <w:sz w:val="14"/>
          <w:szCs w:val="14"/>
          <w:lang w:val="en-US"/>
        </w:rPr>
        <w:t xml:space="preserve"> </w:t>
      </w:r>
      <w:r w:rsidRPr="005F0A67">
        <w:rPr>
          <w:rFonts w:asciiTheme="majorBidi" w:eastAsia="Arial" w:hAnsiTheme="majorBidi" w:cstheme="majorBidi"/>
          <w:color w:val="242424"/>
          <w:sz w:val="14"/>
          <w:szCs w:val="14"/>
          <w:lang w:val="en-US"/>
        </w:rPr>
        <w:t>$50</w:t>
      </w:r>
      <w:r w:rsidRPr="005F0A67">
        <w:rPr>
          <w:rFonts w:asciiTheme="majorBidi" w:eastAsia="Arial" w:hAnsiTheme="majorBidi" w:cstheme="majorBidi"/>
          <w:color w:val="242424"/>
          <w:spacing w:val="-10"/>
          <w:sz w:val="14"/>
          <w:szCs w:val="14"/>
          <w:lang w:val="en-US"/>
        </w:rPr>
        <w:t xml:space="preserve"> </w:t>
      </w:r>
      <w:r w:rsidRPr="005F0A67">
        <w:rPr>
          <w:rFonts w:asciiTheme="majorBidi" w:eastAsia="Arial" w:hAnsiTheme="majorBidi" w:cstheme="majorBidi"/>
          <w:color w:val="242424"/>
          <w:sz w:val="14"/>
          <w:szCs w:val="14"/>
          <w:lang w:val="en-US"/>
        </w:rPr>
        <w:t>million</w:t>
      </w:r>
      <w:r w:rsidRPr="005F0A67">
        <w:rPr>
          <w:rFonts w:asciiTheme="majorBidi" w:eastAsia="Arial" w:hAnsiTheme="majorBidi" w:cstheme="majorBidi"/>
          <w:color w:val="242424"/>
          <w:spacing w:val="-9"/>
          <w:sz w:val="14"/>
          <w:szCs w:val="14"/>
          <w:lang w:val="en-US"/>
        </w:rPr>
        <w:t xml:space="preserve"> </w:t>
      </w:r>
      <w:r w:rsidRPr="005F0A67">
        <w:rPr>
          <w:rFonts w:asciiTheme="majorBidi" w:eastAsia="Arial" w:hAnsiTheme="majorBidi" w:cstheme="majorBidi"/>
          <w:color w:val="242424"/>
          <w:sz w:val="14"/>
          <w:szCs w:val="14"/>
          <w:lang w:val="en-US"/>
        </w:rPr>
        <w:t>USD</w:t>
      </w:r>
      <w:r w:rsidRPr="005F0A67">
        <w:rPr>
          <w:rFonts w:asciiTheme="majorBidi" w:eastAsia="Arial" w:hAnsiTheme="majorBidi" w:cstheme="majorBidi"/>
          <w:color w:val="242424"/>
          <w:spacing w:val="40"/>
          <w:sz w:val="14"/>
          <w:szCs w:val="14"/>
          <w:lang w:val="en-US"/>
        </w:rPr>
        <w:t xml:space="preserve"> </w:t>
      </w:r>
      <w:r w:rsidRPr="005F0A67">
        <w:rPr>
          <w:rFonts w:asciiTheme="majorBidi" w:eastAsia="Arial" w:hAnsiTheme="majorBidi" w:cstheme="majorBidi"/>
          <w:noProof/>
          <w:color w:val="242424"/>
          <w:position w:val="-4"/>
          <w:sz w:val="14"/>
          <w:szCs w:val="14"/>
          <w:lang w:val="en-US"/>
        </w:rPr>
        <w:drawing>
          <wp:inline distT="0" distB="0" distL="0" distR="0" wp14:anchorId="2DC98DFB" wp14:editId="2858A53C">
            <wp:extent cx="127000" cy="127000"/>
            <wp:effectExtent l="0" t="0" r="0" b="0"/>
            <wp:docPr id="254" name="Image 2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4" name="Image 254"/>
                    <pic:cNvPicPr/>
                  </pic:nvPicPr>
                  <pic:blipFill>
                    <a:blip r:embed="rId42" cstate="print"/>
                    <a:stretch>
                      <a:fillRect/>
                    </a:stretch>
                  </pic:blipFill>
                  <pic:spPr>
                    <a:xfrm>
                      <a:off x="0" y="0"/>
                      <a:ext cx="127000" cy="127000"/>
                    </a:xfrm>
                    <a:prstGeom prst="rect">
                      <a:avLst/>
                    </a:prstGeom>
                  </pic:spPr>
                </pic:pic>
              </a:graphicData>
            </a:graphic>
          </wp:inline>
        </w:drawing>
      </w:r>
      <w:r w:rsidRPr="005F0A67">
        <w:rPr>
          <w:rFonts w:asciiTheme="majorBidi" w:eastAsia="Arial" w:hAnsiTheme="majorBidi" w:cstheme="majorBidi"/>
          <w:color w:val="242424"/>
          <w:spacing w:val="80"/>
          <w:sz w:val="14"/>
          <w:szCs w:val="14"/>
          <w:lang w:val="en-US"/>
        </w:rPr>
        <w:t xml:space="preserve"> </w:t>
      </w:r>
      <w:r w:rsidRPr="005F0A67">
        <w:rPr>
          <w:rFonts w:asciiTheme="majorBidi" w:eastAsia="Arial" w:hAnsiTheme="majorBidi" w:cstheme="majorBidi"/>
          <w:color w:val="242424"/>
          <w:sz w:val="14"/>
          <w:szCs w:val="14"/>
          <w:lang w:val="en-US"/>
        </w:rPr>
        <w:t>$50 million USD or more</w:t>
      </w:r>
      <w:r w:rsidRPr="005F0A67">
        <w:rPr>
          <w:rFonts w:asciiTheme="majorBidi" w:eastAsia="Arial" w:hAnsiTheme="majorBidi" w:cstheme="majorBidi"/>
          <w:color w:val="242424"/>
          <w:spacing w:val="40"/>
          <w:sz w:val="14"/>
          <w:szCs w:val="14"/>
          <w:lang w:val="en-US"/>
        </w:rPr>
        <w:t xml:space="preserve"> </w:t>
      </w:r>
      <w:r w:rsidRPr="005F0A67">
        <w:rPr>
          <w:rFonts w:asciiTheme="majorBidi" w:eastAsia="Arial" w:hAnsiTheme="majorBidi" w:cstheme="majorBidi"/>
          <w:noProof/>
          <w:color w:val="242424"/>
          <w:position w:val="-4"/>
          <w:sz w:val="14"/>
          <w:szCs w:val="14"/>
          <w:lang w:val="en-US"/>
        </w:rPr>
        <w:drawing>
          <wp:inline distT="0" distB="0" distL="0" distR="0" wp14:anchorId="6BC7BA79" wp14:editId="68499F54">
            <wp:extent cx="127000" cy="127000"/>
            <wp:effectExtent l="0" t="0" r="0" b="0"/>
            <wp:docPr id="255" name="Image 2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5" name="Image 255"/>
                    <pic:cNvPicPr/>
                  </pic:nvPicPr>
                  <pic:blipFill>
                    <a:blip r:embed="rId53" cstate="print"/>
                    <a:stretch>
                      <a:fillRect/>
                    </a:stretch>
                  </pic:blipFill>
                  <pic:spPr>
                    <a:xfrm>
                      <a:off x="0" y="0"/>
                      <a:ext cx="127000" cy="127000"/>
                    </a:xfrm>
                    <a:prstGeom prst="rect">
                      <a:avLst/>
                    </a:prstGeom>
                  </pic:spPr>
                </pic:pic>
              </a:graphicData>
            </a:graphic>
          </wp:inline>
        </w:drawing>
      </w:r>
      <w:r w:rsidRPr="005F0A67">
        <w:rPr>
          <w:rFonts w:asciiTheme="majorBidi" w:eastAsia="Arial" w:hAnsiTheme="majorBidi" w:cstheme="majorBidi"/>
          <w:color w:val="242424"/>
          <w:spacing w:val="80"/>
          <w:sz w:val="14"/>
          <w:szCs w:val="14"/>
          <w:lang w:val="en-US"/>
        </w:rPr>
        <w:t xml:space="preserve"> </w:t>
      </w:r>
      <w:r w:rsidRPr="005F0A67">
        <w:rPr>
          <w:rFonts w:asciiTheme="majorBidi" w:eastAsia="Arial" w:hAnsiTheme="majorBidi" w:cstheme="majorBidi"/>
          <w:color w:val="242424"/>
          <w:sz w:val="14"/>
          <w:szCs w:val="14"/>
          <w:lang w:val="en-US"/>
        </w:rPr>
        <w:t>Don't know</w:t>
      </w:r>
    </w:p>
    <w:p w14:paraId="3EEF2E9A" w14:textId="77777777" w:rsidR="005F0A67" w:rsidRPr="005F0A67" w:rsidRDefault="005F0A67" w:rsidP="005F0A67">
      <w:pPr>
        <w:widowControl w:val="0"/>
        <w:tabs>
          <w:tab w:val="clear" w:pos="567"/>
          <w:tab w:val="clear" w:pos="1134"/>
          <w:tab w:val="clear" w:pos="1701"/>
          <w:tab w:val="clear" w:pos="2268"/>
        </w:tabs>
        <w:ind w:left="725"/>
        <w:jc w:val="left"/>
        <w:rPr>
          <w:rFonts w:asciiTheme="majorBidi" w:eastAsia="Arial" w:hAnsiTheme="majorBidi" w:cstheme="majorBidi"/>
          <w:sz w:val="14"/>
          <w:szCs w:val="14"/>
          <w:lang w:val="en-US"/>
        </w:rPr>
      </w:pPr>
      <w:r w:rsidRPr="005F0A67">
        <w:rPr>
          <w:rFonts w:asciiTheme="majorBidi" w:eastAsia="Arial" w:hAnsiTheme="majorBidi" w:cstheme="majorBidi"/>
          <w:noProof/>
          <w:position w:val="-4"/>
          <w:sz w:val="14"/>
          <w:szCs w:val="14"/>
          <w:lang w:val="en-US"/>
        </w:rPr>
        <w:drawing>
          <wp:inline distT="0" distB="0" distL="0" distR="0" wp14:anchorId="6B723E97" wp14:editId="18D82856">
            <wp:extent cx="127000" cy="127000"/>
            <wp:effectExtent l="0" t="0" r="0" b="0"/>
            <wp:docPr id="256" name="Image 2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6" name="Image 256"/>
                    <pic:cNvPicPr/>
                  </pic:nvPicPr>
                  <pic:blipFill>
                    <a:blip r:embed="rId49" cstate="print"/>
                    <a:stretch>
                      <a:fillRect/>
                    </a:stretch>
                  </pic:blipFill>
                  <pic:spPr>
                    <a:xfrm>
                      <a:off x="0" y="0"/>
                      <a:ext cx="127000" cy="127000"/>
                    </a:xfrm>
                    <a:prstGeom prst="rect">
                      <a:avLst/>
                    </a:prstGeom>
                  </pic:spPr>
                </pic:pic>
              </a:graphicData>
            </a:graphic>
          </wp:inline>
        </w:drawing>
      </w:r>
      <w:r w:rsidRPr="005F0A67">
        <w:rPr>
          <w:rFonts w:asciiTheme="majorBidi" w:eastAsia="Arial" w:hAnsiTheme="majorBidi" w:cstheme="majorBidi"/>
          <w:spacing w:val="80"/>
          <w:sz w:val="20"/>
          <w:szCs w:val="20"/>
          <w:lang w:val="en-US"/>
        </w:rPr>
        <w:t xml:space="preserve"> </w:t>
      </w:r>
      <w:r w:rsidRPr="005F0A67">
        <w:rPr>
          <w:rFonts w:asciiTheme="majorBidi" w:eastAsia="Arial" w:hAnsiTheme="majorBidi" w:cstheme="majorBidi"/>
          <w:color w:val="242424"/>
          <w:sz w:val="14"/>
          <w:szCs w:val="14"/>
          <w:lang w:val="en-US"/>
        </w:rPr>
        <w:t>Prefer not to say</w:t>
      </w:r>
    </w:p>
    <w:p w14:paraId="78DBA102" w14:textId="77777777" w:rsidR="005F0A67" w:rsidRPr="005F0A67" w:rsidRDefault="005F0A67" w:rsidP="005F0A67">
      <w:pPr>
        <w:widowControl w:val="0"/>
        <w:tabs>
          <w:tab w:val="clear" w:pos="567"/>
          <w:tab w:val="clear" w:pos="1134"/>
          <w:tab w:val="clear" w:pos="1701"/>
          <w:tab w:val="clear" w:pos="2268"/>
        </w:tabs>
        <w:spacing w:before="48"/>
        <w:jc w:val="left"/>
        <w:rPr>
          <w:rFonts w:asciiTheme="majorBidi" w:eastAsia="Arial" w:hAnsiTheme="majorBidi" w:cstheme="majorBidi"/>
          <w:sz w:val="17"/>
          <w:szCs w:val="17"/>
          <w:lang w:val="en-US"/>
        </w:rPr>
      </w:pPr>
    </w:p>
    <w:p w14:paraId="1CBCCC7B" w14:textId="77777777" w:rsidR="005F0A67" w:rsidRPr="005F0A67" w:rsidRDefault="005F0A67" w:rsidP="003A387A">
      <w:pPr>
        <w:widowControl w:val="0"/>
        <w:numPr>
          <w:ilvl w:val="0"/>
          <w:numId w:val="44"/>
        </w:numPr>
        <w:tabs>
          <w:tab w:val="clear" w:pos="567"/>
          <w:tab w:val="clear" w:pos="1134"/>
          <w:tab w:val="clear" w:pos="1701"/>
          <w:tab w:val="clear" w:pos="2268"/>
          <w:tab w:val="left" w:pos="703"/>
        </w:tabs>
        <w:autoSpaceDE w:val="0"/>
        <w:autoSpaceDN w:val="0"/>
        <w:spacing w:before="1"/>
        <w:ind w:left="703" w:hanging="279"/>
        <w:jc w:val="left"/>
        <w:rPr>
          <w:rFonts w:asciiTheme="majorBidi" w:eastAsia="Georgia" w:hAnsiTheme="majorBidi" w:cstheme="majorBidi"/>
          <w:color w:val="1A1A1A"/>
          <w:sz w:val="17"/>
          <w:szCs w:val="17"/>
          <w:lang w:eastAsia="en-GB"/>
        </w:rPr>
      </w:pPr>
      <w:r w:rsidRPr="005F0A67">
        <w:rPr>
          <w:rFonts w:asciiTheme="majorBidi" w:eastAsia="Georgia" w:hAnsiTheme="majorBidi" w:cstheme="majorBidi"/>
          <w:color w:val="242424"/>
          <w:spacing w:val="-2"/>
          <w:sz w:val="17"/>
          <w:szCs w:val="17"/>
          <w:lang w:eastAsia="en-GB"/>
        </w:rPr>
        <w:t>What</w:t>
      </w:r>
      <w:r w:rsidRPr="005F0A67">
        <w:rPr>
          <w:rFonts w:asciiTheme="majorBidi" w:eastAsia="Georgia" w:hAnsiTheme="majorBidi" w:cstheme="majorBidi"/>
          <w:color w:val="242424"/>
          <w:spacing w:val="-4"/>
          <w:sz w:val="17"/>
          <w:szCs w:val="17"/>
          <w:lang w:eastAsia="en-GB"/>
        </w:rPr>
        <w:t xml:space="preserve"> </w:t>
      </w:r>
      <w:r w:rsidRPr="005F0A67">
        <w:rPr>
          <w:rFonts w:asciiTheme="majorBidi" w:eastAsia="Georgia" w:hAnsiTheme="majorBidi" w:cstheme="majorBidi"/>
          <w:color w:val="242424"/>
          <w:spacing w:val="-2"/>
          <w:sz w:val="17"/>
          <w:szCs w:val="17"/>
          <w:lang w:eastAsia="en-GB"/>
        </w:rPr>
        <w:t>was</w:t>
      </w:r>
      <w:r w:rsidRPr="005F0A67">
        <w:rPr>
          <w:rFonts w:asciiTheme="majorBidi" w:eastAsia="Georgia" w:hAnsiTheme="majorBidi" w:cstheme="majorBidi"/>
          <w:color w:val="242424"/>
          <w:spacing w:val="-4"/>
          <w:sz w:val="17"/>
          <w:szCs w:val="17"/>
          <w:lang w:eastAsia="en-GB"/>
        </w:rPr>
        <w:t xml:space="preserve"> </w:t>
      </w:r>
      <w:r w:rsidRPr="005F0A67">
        <w:rPr>
          <w:rFonts w:asciiTheme="majorBidi" w:eastAsia="Georgia" w:hAnsiTheme="majorBidi" w:cstheme="majorBidi"/>
          <w:color w:val="242424"/>
          <w:spacing w:val="-2"/>
          <w:sz w:val="17"/>
          <w:szCs w:val="17"/>
          <w:lang w:eastAsia="en-GB"/>
        </w:rPr>
        <w:t>your</w:t>
      </w:r>
      <w:r w:rsidRPr="005F0A67">
        <w:rPr>
          <w:rFonts w:asciiTheme="majorBidi" w:eastAsia="Georgia" w:hAnsiTheme="majorBidi" w:cstheme="majorBidi"/>
          <w:color w:val="242424"/>
          <w:spacing w:val="-4"/>
          <w:sz w:val="17"/>
          <w:szCs w:val="17"/>
          <w:lang w:eastAsia="en-GB"/>
        </w:rPr>
        <w:t xml:space="preserve"> </w:t>
      </w:r>
      <w:r w:rsidRPr="005F0A67">
        <w:rPr>
          <w:rFonts w:asciiTheme="majorBidi" w:eastAsia="Georgia" w:hAnsiTheme="majorBidi" w:cstheme="majorBidi"/>
          <w:color w:val="242424"/>
          <w:spacing w:val="-2"/>
          <w:sz w:val="17"/>
          <w:szCs w:val="17"/>
          <w:lang w:eastAsia="en-GB"/>
        </w:rPr>
        <w:t>organisation's</w:t>
      </w:r>
      <w:r w:rsidRPr="005F0A67">
        <w:rPr>
          <w:rFonts w:asciiTheme="majorBidi" w:eastAsia="Georgia" w:hAnsiTheme="majorBidi" w:cstheme="majorBidi"/>
          <w:color w:val="242424"/>
          <w:spacing w:val="-3"/>
          <w:sz w:val="17"/>
          <w:szCs w:val="17"/>
          <w:lang w:eastAsia="en-GB"/>
        </w:rPr>
        <w:t xml:space="preserve"> </w:t>
      </w:r>
      <w:r w:rsidRPr="005F0A67">
        <w:rPr>
          <w:rFonts w:asciiTheme="majorBidi" w:eastAsia="Georgia" w:hAnsiTheme="majorBidi" w:cstheme="majorBidi"/>
          <w:b/>
          <w:bCs/>
          <w:color w:val="242424"/>
          <w:spacing w:val="-2"/>
          <w:sz w:val="17"/>
          <w:szCs w:val="17"/>
          <w:lang w:eastAsia="en-GB"/>
        </w:rPr>
        <w:t>average</w:t>
      </w:r>
      <w:r w:rsidRPr="005F0A67">
        <w:rPr>
          <w:rFonts w:asciiTheme="majorBidi" w:eastAsia="Georgia" w:hAnsiTheme="majorBidi" w:cstheme="majorBidi"/>
          <w:b/>
          <w:bCs/>
          <w:color w:val="242424"/>
          <w:spacing w:val="-4"/>
          <w:sz w:val="17"/>
          <w:szCs w:val="17"/>
          <w:lang w:eastAsia="en-GB"/>
        </w:rPr>
        <w:t xml:space="preserve"> </w:t>
      </w:r>
      <w:r w:rsidRPr="005F0A67">
        <w:rPr>
          <w:rFonts w:asciiTheme="majorBidi" w:eastAsia="Georgia" w:hAnsiTheme="majorBidi" w:cstheme="majorBidi"/>
          <w:b/>
          <w:bCs/>
          <w:color w:val="242424"/>
          <w:spacing w:val="-2"/>
          <w:sz w:val="17"/>
          <w:szCs w:val="17"/>
          <w:lang w:eastAsia="en-GB"/>
        </w:rPr>
        <w:t>total</w:t>
      </w:r>
      <w:r w:rsidRPr="005F0A67">
        <w:rPr>
          <w:rFonts w:asciiTheme="majorBidi" w:eastAsia="Georgia" w:hAnsiTheme="majorBidi" w:cstheme="majorBidi"/>
          <w:b/>
          <w:bCs/>
          <w:color w:val="242424"/>
          <w:spacing w:val="-4"/>
          <w:sz w:val="17"/>
          <w:szCs w:val="17"/>
          <w:lang w:eastAsia="en-GB"/>
        </w:rPr>
        <w:t xml:space="preserve"> </w:t>
      </w:r>
      <w:r w:rsidRPr="005F0A67">
        <w:rPr>
          <w:rFonts w:asciiTheme="majorBidi" w:eastAsia="Georgia" w:hAnsiTheme="majorBidi" w:cstheme="majorBidi"/>
          <w:b/>
          <w:bCs/>
          <w:color w:val="242424"/>
          <w:spacing w:val="-2"/>
          <w:sz w:val="17"/>
          <w:szCs w:val="17"/>
          <w:lang w:eastAsia="en-GB"/>
        </w:rPr>
        <w:t>assets</w:t>
      </w:r>
      <w:r w:rsidRPr="005F0A67">
        <w:rPr>
          <w:rFonts w:asciiTheme="majorBidi" w:eastAsia="Georgia" w:hAnsiTheme="majorBidi" w:cstheme="majorBidi"/>
          <w:b/>
          <w:bCs/>
          <w:color w:val="242424"/>
          <w:spacing w:val="-3"/>
          <w:sz w:val="17"/>
          <w:szCs w:val="17"/>
          <w:lang w:eastAsia="en-GB"/>
        </w:rPr>
        <w:t xml:space="preserve"> </w:t>
      </w:r>
      <w:r w:rsidRPr="005F0A67">
        <w:rPr>
          <w:rFonts w:asciiTheme="majorBidi" w:eastAsia="Georgia" w:hAnsiTheme="majorBidi" w:cstheme="majorBidi"/>
          <w:color w:val="242424"/>
          <w:spacing w:val="-2"/>
          <w:sz w:val="17"/>
          <w:szCs w:val="17"/>
          <w:lang w:eastAsia="en-GB"/>
        </w:rPr>
        <w:t>over</w:t>
      </w:r>
      <w:r w:rsidRPr="005F0A67">
        <w:rPr>
          <w:rFonts w:asciiTheme="majorBidi" w:eastAsia="Georgia" w:hAnsiTheme="majorBidi" w:cstheme="majorBidi"/>
          <w:color w:val="242424"/>
          <w:spacing w:val="-4"/>
          <w:sz w:val="17"/>
          <w:szCs w:val="17"/>
          <w:lang w:eastAsia="en-GB"/>
        </w:rPr>
        <w:t xml:space="preserve"> </w:t>
      </w:r>
      <w:r w:rsidRPr="005F0A67">
        <w:rPr>
          <w:rFonts w:asciiTheme="majorBidi" w:eastAsia="Georgia" w:hAnsiTheme="majorBidi" w:cstheme="majorBidi"/>
          <w:color w:val="242424"/>
          <w:spacing w:val="-2"/>
          <w:sz w:val="17"/>
          <w:szCs w:val="17"/>
          <w:lang w:eastAsia="en-GB"/>
        </w:rPr>
        <w:t>the</w:t>
      </w:r>
      <w:r w:rsidRPr="005F0A67">
        <w:rPr>
          <w:rFonts w:asciiTheme="majorBidi" w:eastAsia="Georgia" w:hAnsiTheme="majorBidi" w:cstheme="majorBidi"/>
          <w:color w:val="242424"/>
          <w:spacing w:val="-4"/>
          <w:sz w:val="17"/>
          <w:szCs w:val="17"/>
          <w:lang w:eastAsia="en-GB"/>
        </w:rPr>
        <w:t xml:space="preserve"> </w:t>
      </w:r>
      <w:r w:rsidRPr="005F0A67">
        <w:rPr>
          <w:rFonts w:asciiTheme="majorBidi" w:eastAsia="Georgia" w:hAnsiTheme="majorBidi" w:cstheme="majorBidi"/>
          <w:color w:val="242424"/>
          <w:spacing w:val="-2"/>
          <w:sz w:val="17"/>
          <w:szCs w:val="17"/>
          <w:lang w:eastAsia="en-GB"/>
        </w:rPr>
        <w:t>past</w:t>
      </w:r>
      <w:r w:rsidRPr="005F0A67">
        <w:rPr>
          <w:rFonts w:asciiTheme="majorBidi" w:eastAsia="Georgia" w:hAnsiTheme="majorBidi" w:cstheme="majorBidi"/>
          <w:color w:val="242424"/>
          <w:spacing w:val="-3"/>
          <w:sz w:val="17"/>
          <w:szCs w:val="17"/>
          <w:lang w:eastAsia="en-GB"/>
        </w:rPr>
        <w:t xml:space="preserve"> </w:t>
      </w:r>
      <w:r w:rsidRPr="005F0A67">
        <w:rPr>
          <w:rFonts w:asciiTheme="majorBidi" w:eastAsia="Georgia" w:hAnsiTheme="majorBidi" w:cstheme="majorBidi"/>
          <w:b/>
          <w:bCs/>
          <w:color w:val="242424"/>
          <w:spacing w:val="-2"/>
          <w:sz w:val="17"/>
          <w:szCs w:val="17"/>
          <w:lang w:eastAsia="en-GB"/>
        </w:rPr>
        <w:t>3</w:t>
      </w:r>
      <w:r w:rsidRPr="005F0A67">
        <w:rPr>
          <w:rFonts w:asciiTheme="majorBidi" w:eastAsia="Georgia" w:hAnsiTheme="majorBidi" w:cstheme="majorBidi"/>
          <w:b/>
          <w:bCs/>
          <w:color w:val="242424"/>
          <w:spacing w:val="-4"/>
          <w:sz w:val="17"/>
          <w:szCs w:val="17"/>
          <w:lang w:eastAsia="en-GB"/>
        </w:rPr>
        <w:t xml:space="preserve"> </w:t>
      </w:r>
      <w:r w:rsidRPr="005F0A67">
        <w:rPr>
          <w:rFonts w:asciiTheme="majorBidi" w:eastAsia="Georgia" w:hAnsiTheme="majorBidi" w:cstheme="majorBidi"/>
          <w:b/>
          <w:bCs/>
          <w:color w:val="242424"/>
          <w:spacing w:val="-2"/>
          <w:sz w:val="17"/>
          <w:szCs w:val="17"/>
          <w:lang w:eastAsia="en-GB"/>
        </w:rPr>
        <w:t>years</w:t>
      </w:r>
      <w:r w:rsidRPr="005F0A67">
        <w:rPr>
          <w:rFonts w:asciiTheme="majorBidi" w:eastAsia="Georgia" w:hAnsiTheme="majorBidi" w:cstheme="majorBidi"/>
          <w:color w:val="242424"/>
          <w:spacing w:val="-2"/>
          <w:sz w:val="17"/>
          <w:szCs w:val="17"/>
          <w:lang w:eastAsia="en-GB"/>
        </w:rPr>
        <w:t>?</w:t>
      </w:r>
      <w:r w:rsidRPr="005F0A67">
        <w:rPr>
          <w:rFonts w:asciiTheme="majorBidi" w:eastAsia="Georgia" w:hAnsiTheme="majorBidi" w:cstheme="majorBidi"/>
          <w:color w:val="242424"/>
          <w:spacing w:val="-4"/>
          <w:sz w:val="17"/>
          <w:szCs w:val="17"/>
          <w:lang w:eastAsia="en-GB"/>
        </w:rPr>
        <w:t xml:space="preserve"> </w:t>
      </w:r>
      <w:r w:rsidRPr="005F0A67">
        <w:rPr>
          <w:rFonts w:asciiTheme="majorBidi" w:eastAsia="Georgia" w:hAnsiTheme="majorBidi" w:cstheme="majorBidi"/>
          <w:color w:val="AE1515"/>
          <w:spacing w:val="-10"/>
          <w:sz w:val="17"/>
          <w:szCs w:val="17"/>
          <w:lang w:eastAsia="en-GB"/>
        </w:rPr>
        <w:t>*</w:t>
      </w:r>
    </w:p>
    <w:p w14:paraId="11FD3CD0" w14:textId="77777777" w:rsidR="005F0A67" w:rsidRPr="005F0A67" w:rsidRDefault="005F0A67" w:rsidP="005F0A67">
      <w:pPr>
        <w:widowControl w:val="0"/>
        <w:tabs>
          <w:tab w:val="clear" w:pos="567"/>
          <w:tab w:val="clear" w:pos="1134"/>
          <w:tab w:val="clear" w:pos="1701"/>
          <w:tab w:val="clear" w:pos="2268"/>
        </w:tabs>
        <w:spacing w:before="122"/>
        <w:jc w:val="left"/>
        <w:rPr>
          <w:rFonts w:asciiTheme="majorBidi" w:eastAsia="Arial" w:hAnsiTheme="majorBidi" w:cstheme="majorBidi"/>
          <w:sz w:val="14"/>
          <w:szCs w:val="14"/>
          <w:lang w:val="en-US"/>
        </w:rPr>
      </w:pPr>
    </w:p>
    <w:p w14:paraId="3B12BEE5" w14:textId="77777777" w:rsidR="005F0A67" w:rsidRPr="005F0A67" w:rsidRDefault="005F0A67" w:rsidP="005F0A67">
      <w:pPr>
        <w:widowControl w:val="0"/>
        <w:tabs>
          <w:tab w:val="clear" w:pos="567"/>
          <w:tab w:val="clear" w:pos="1134"/>
          <w:tab w:val="clear" w:pos="1701"/>
          <w:tab w:val="clear" w:pos="2268"/>
        </w:tabs>
        <w:spacing w:before="1" w:line="600" w:lineRule="auto"/>
        <w:ind w:left="725" w:right="5767"/>
        <w:jc w:val="left"/>
        <w:rPr>
          <w:rFonts w:asciiTheme="majorBidi" w:eastAsia="Arial" w:hAnsiTheme="majorBidi" w:cstheme="majorBidi"/>
          <w:sz w:val="14"/>
          <w:szCs w:val="14"/>
          <w:lang w:val="en-US"/>
        </w:rPr>
      </w:pPr>
      <w:r w:rsidRPr="005F0A67">
        <w:rPr>
          <w:rFonts w:asciiTheme="majorBidi" w:eastAsia="Arial" w:hAnsiTheme="majorBidi" w:cstheme="majorBidi"/>
          <w:noProof/>
          <w:position w:val="-4"/>
          <w:sz w:val="14"/>
          <w:szCs w:val="14"/>
          <w:lang w:val="en-US"/>
        </w:rPr>
        <w:drawing>
          <wp:inline distT="0" distB="0" distL="0" distR="0" wp14:anchorId="379019EC" wp14:editId="2E3F52CB">
            <wp:extent cx="127000" cy="127000"/>
            <wp:effectExtent l="0" t="0" r="0" b="0"/>
            <wp:docPr id="257" name="Image 2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7" name="Image 257"/>
                    <pic:cNvPicPr/>
                  </pic:nvPicPr>
                  <pic:blipFill>
                    <a:blip r:embed="rId39" cstate="print"/>
                    <a:stretch>
                      <a:fillRect/>
                    </a:stretch>
                  </pic:blipFill>
                  <pic:spPr>
                    <a:xfrm>
                      <a:off x="0" y="0"/>
                      <a:ext cx="127000" cy="127000"/>
                    </a:xfrm>
                    <a:prstGeom prst="rect">
                      <a:avLst/>
                    </a:prstGeom>
                  </pic:spPr>
                </pic:pic>
              </a:graphicData>
            </a:graphic>
          </wp:inline>
        </w:drawing>
      </w:r>
      <w:r w:rsidRPr="005F0A67">
        <w:rPr>
          <w:rFonts w:asciiTheme="majorBidi" w:eastAsia="Arial" w:hAnsiTheme="majorBidi" w:cstheme="majorBidi"/>
          <w:spacing w:val="42"/>
          <w:sz w:val="20"/>
          <w:szCs w:val="20"/>
          <w:lang w:val="en-US"/>
        </w:rPr>
        <w:t xml:space="preserve"> </w:t>
      </w:r>
      <w:r w:rsidRPr="005F0A67">
        <w:rPr>
          <w:rFonts w:asciiTheme="majorBidi" w:eastAsia="Arial" w:hAnsiTheme="majorBidi" w:cstheme="majorBidi"/>
          <w:color w:val="242424"/>
          <w:sz w:val="14"/>
          <w:szCs w:val="14"/>
          <w:lang w:val="en-US"/>
        </w:rPr>
        <w:t>Less</w:t>
      </w:r>
      <w:r w:rsidRPr="005F0A67">
        <w:rPr>
          <w:rFonts w:asciiTheme="majorBidi" w:eastAsia="Arial" w:hAnsiTheme="majorBidi" w:cstheme="majorBidi"/>
          <w:color w:val="242424"/>
          <w:spacing w:val="-9"/>
          <w:sz w:val="14"/>
          <w:szCs w:val="14"/>
          <w:lang w:val="en-US"/>
        </w:rPr>
        <w:t xml:space="preserve"> </w:t>
      </w:r>
      <w:r w:rsidRPr="005F0A67">
        <w:rPr>
          <w:rFonts w:asciiTheme="majorBidi" w:eastAsia="Arial" w:hAnsiTheme="majorBidi" w:cstheme="majorBidi"/>
          <w:color w:val="242424"/>
          <w:sz w:val="14"/>
          <w:szCs w:val="14"/>
          <w:lang w:val="en-US"/>
        </w:rPr>
        <w:t>than</w:t>
      </w:r>
      <w:r w:rsidRPr="005F0A67">
        <w:rPr>
          <w:rFonts w:asciiTheme="majorBidi" w:eastAsia="Arial" w:hAnsiTheme="majorBidi" w:cstheme="majorBidi"/>
          <w:color w:val="242424"/>
          <w:spacing w:val="-10"/>
          <w:sz w:val="14"/>
          <w:szCs w:val="14"/>
          <w:lang w:val="en-US"/>
        </w:rPr>
        <w:t xml:space="preserve"> </w:t>
      </w:r>
      <w:r w:rsidRPr="005F0A67">
        <w:rPr>
          <w:rFonts w:asciiTheme="majorBidi" w:eastAsia="Arial" w:hAnsiTheme="majorBidi" w:cstheme="majorBidi"/>
          <w:color w:val="242424"/>
          <w:sz w:val="14"/>
          <w:szCs w:val="14"/>
          <w:lang w:val="en-US"/>
        </w:rPr>
        <w:t>$20</w:t>
      </w:r>
      <w:r w:rsidRPr="005F0A67">
        <w:rPr>
          <w:rFonts w:asciiTheme="majorBidi" w:eastAsia="Arial" w:hAnsiTheme="majorBidi" w:cstheme="majorBidi"/>
          <w:color w:val="242424"/>
          <w:spacing w:val="-10"/>
          <w:sz w:val="14"/>
          <w:szCs w:val="14"/>
          <w:lang w:val="en-US"/>
        </w:rPr>
        <w:t xml:space="preserve"> </w:t>
      </w:r>
      <w:r w:rsidRPr="005F0A67">
        <w:rPr>
          <w:rFonts w:asciiTheme="majorBidi" w:eastAsia="Arial" w:hAnsiTheme="majorBidi" w:cstheme="majorBidi"/>
          <w:color w:val="242424"/>
          <w:sz w:val="14"/>
          <w:szCs w:val="14"/>
          <w:lang w:val="en-US"/>
        </w:rPr>
        <w:t>million</w:t>
      </w:r>
      <w:r w:rsidRPr="005F0A67">
        <w:rPr>
          <w:rFonts w:asciiTheme="majorBidi" w:eastAsia="Arial" w:hAnsiTheme="majorBidi" w:cstheme="majorBidi"/>
          <w:color w:val="242424"/>
          <w:spacing w:val="-9"/>
          <w:sz w:val="14"/>
          <w:szCs w:val="14"/>
          <w:lang w:val="en-US"/>
        </w:rPr>
        <w:t xml:space="preserve"> </w:t>
      </w:r>
      <w:r w:rsidRPr="005F0A67">
        <w:rPr>
          <w:rFonts w:asciiTheme="majorBidi" w:eastAsia="Arial" w:hAnsiTheme="majorBidi" w:cstheme="majorBidi"/>
          <w:color w:val="242424"/>
          <w:sz w:val="14"/>
          <w:szCs w:val="14"/>
          <w:lang w:val="en-US"/>
        </w:rPr>
        <w:t>USD</w:t>
      </w:r>
      <w:r w:rsidRPr="005F0A67">
        <w:rPr>
          <w:rFonts w:asciiTheme="majorBidi" w:eastAsia="Arial" w:hAnsiTheme="majorBidi" w:cstheme="majorBidi"/>
          <w:color w:val="242424"/>
          <w:spacing w:val="40"/>
          <w:sz w:val="14"/>
          <w:szCs w:val="14"/>
          <w:lang w:val="en-US"/>
        </w:rPr>
        <w:t xml:space="preserve"> </w:t>
      </w:r>
      <w:r w:rsidRPr="005F0A67">
        <w:rPr>
          <w:rFonts w:asciiTheme="majorBidi" w:eastAsia="Arial" w:hAnsiTheme="majorBidi" w:cstheme="majorBidi"/>
          <w:noProof/>
          <w:color w:val="242424"/>
          <w:position w:val="-4"/>
          <w:sz w:val="14"/>
          <w:szCs w:val="14"/>
          <w:lang w:val="en-US"/>
        </w:rPr>
        <w:drawing>
          <wp:inline distT="0" distB="0" distL="0" distR="0" wp14:anchorId="4E580A57" wp14:editId="22918838">
            <wp:extent cx="127000" cy="127000"/>
            <wp:effectExtent l="0" t="0" r="0" b="0"/>
            <wp:docPr id="258" name="Image 2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8" name="Image 258"/>
                    <pic:cNvPicPr/>
                  </pic:nvPicPr>
                  <pic:blipFill>
                    <a:blip r:embed="rId49" cstate="print"/>
                    <a:stretch>
                      <a:fillRect/>
                    </a:stretch>
                  </pic:blipFill>
                  <pic:spPr>
                    <a:xfrm>
                      <a:off x="0" y="0"/>
                      <a:ext cx="127000" cy="127000"/>
                    </a:xfrm>
                    <a:prstGeom prst="rect">
                      <a:avLst/>
                    </a:prstGeom>
                  </pic:spPr>
                </pic:pic>
              </a:graphicData>
            </a:graphic>
          </wp:inline>
        </w:drawing>
      </w:r>
      <w:r w:rsidRPr="005F0A67">
        <w:rPr>
          <w:rFonts w:asciiTheme="majorBidi" w:eastAsia="Arial" w:hAnsiTheme="majorBidi" w:cstheme="majorBidi"/>
          <w:color w:val="242424"/>
          <w:spacing w:val="80"/>
          <w:sz w:val="14"/>
          <w:szCs w:val="14"/>
          <w:lang w:val="en-US"/>
        </w:rPr>
        <w:t xml:space="preserve"> </w:t>
      </w:r>
      <w:r w:rsidRPr="005F0A67">
        <w:rPr>
          <w:rFonts w:asciiTheme="majorBidi" w:eastAsia="Arial" w:hAnsiTheme="majorBidi" w:cstheme="majorBidi"/>
          <w:color w:val="242424"/>
          <w:sz w:val="14"/>
          <w:szCs w:val="14"/>
          <w:lang w:val="en-US"/>
        </w:rPr>
        <w:t>$20 million USD or more</w:t>
      </w:r>
      <w:r w:rsidRPr="005F0A67">
        <w:rPr>
          <w:rFonts w:asciiTheme="majorBidi" w:eastAsia="Arial" w:hAnsiTheme="majorBidi" w:cstheme="majorBidi"/>
          <w:color w:val="242424"/>
          <w:spacing w:val="40"/>
          <w:sz w:val="14"/>
          <w:szCs w:val="14"/>
          <w:lang w:val="en-US"/>
        </w:rPr>
        <w:t xml:space="preserve"> </w:t>
      </w:r>
      <w:r w:rsidRPr="005F0A67">
        <w:rPr>
          <w:rFonts w:asciiTheme="majorBidi" w:eastAsia="Arial" w:hAnsiTheme="majorBidi" w:cstheme="majorBidi"/>
          <w:noProof/>
          <w:color w:val="242424"/>
          <w:position w:val="-4"/>
          <w:sz w:val="14"/>
          <w:szCs w:val="14"/>
          <w:lang w:val="en-US"/>
        </w:rPr>
        <w:drawing>
          <wp:inline distT="0" distB="0" distL="0" distR="0" wp14:anchorId="4423934D" wp14:editId="23D6CB57">
            <wp:extent cx="127000" cy="127000"/>
            <wp:effectExtent l="0" t="0" r="0" b="0"/>
            <wp:docPr id="259" name="Image 2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9" name="Image 259"/>
                    <pic:cNvPicPr/>
                  </pic:nvPicPr>
                  <pic:blipFill>
                    <a:blip r:embed="rId49" cstate="print"/>
                    <a:stretch>
                      <a:fillRect/>
                    </a:stretch>
                  </pic:blipFill>
                  <pic:spPr>
                    <a:xfrm>
                      <a:off x="0" y="0"/>
                      <a:ext cx="127000" cy="127000"/>
                    </a:xfrm>
                    <a:prstGeom prst="rect">
                      <a:avLst/>
                    </a:prstGeom>
                  </pic:spPr>
                </pic:pic>
              </a:graphicData>
            </a:graphic>
          </wp:inline>
        </w:drawing>
      </w:r>
      <w:r w:rsidRPr="005F0A67">
        <w:rPr>
          <w:rFonts w:asciiTheme="majorBidi" w:eastAsia="Arial" w:hAnsiTheme="majorBidi" w:cstheme="majorBidi"/>
          <w:color w:val="242424"/>
          <w:spacing w:val="80"/>
          <w:sz w:val="14"/>
          <w:szCs w:val="14"/>
          <w:lang w:val="en-US"/>
        </w:rPr>
        <w:t xml:space="preserve"> </w:t>
      </w:r>
      <w:r w:rsidRPr="005F0A67">
        <w:rPr>
          <w:rFonts w:asciiTheme="majorBidi" w:eastAsia="Arial" w:hAnsiTheme="majorBidi" w:cstheme="majorBidi"/>
          <w:color w:val="242424"/>
          <w:sz w:val="14"/>
          <w:szCs w:val="14"/>
          <w:lang w:val="en-US"/>
        </w:rPr>
        <w:t>Don't know</w:t>
      </w:r>
    </w:p>
    <w:p w14:paraId="59322E08" w14:textId="47B4A188" w:rsidR="005F0A67" w:rsidRPr="005F0A67" w:rsidRDefault="005F0A67" w:rsidP="005F0A67">
      <w:pPr>
        <w:widowControl w:val="0"/>
        <w:tabs>
          <w:tab w:val="clear" w:pos="567"/>
          <w:tab w:val="clear" w:pos="1134"/>
          <w:tab w:val="clear" w:pos="1701"/>
          <w:tab w:val="clear" w:pos="2268"/>
        </w:tabs>
        <w:ind w:left="725"/>
        <w:jc w:val="left"/>
        <w:rPr>
          <w:rFonts w:asciiTheme="majorBidi" w:eastAsia="Arial" w:hAnsiTheme="majorBidi" w:cstheme="majorBidi"/>
          <w:sz w:val="14"/>
          <w:szCs w:val="14"/>
          <w:lang w:val="en-US"/>
        </w:rPr>
      </w:pPr>
      <w:r w:rsidRPr="005F0A67">
        <w:rPr>
          <w:rFonts w:asciiTheme="majorBidi" w:eastAsia="Arial" w:hAnsiTheme="majorBidi" w:cstheme="majorBidi"/>
          <w:noProof/>
          <w:sz w:val="14"/>
          <w:szCs w:val="14"/>
          <w:lang w:val="en-US"/>
        </w:rPr>
        <w:drawing>
          <wp:inline distT="0" distB="0" distL="0" distR="0" wp14:anchorId="572F0E70" wp14:editId="5E96512A">
            <wp:extent cx="114300" cy="123825"/>
            <wp:effectExtent l="0" t="0" r="0" b="9525"/>
            <wp:docPr id="179643491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Rot="1" noChangeAspect="1" noEditPoints="1" noChangeArrowheads="1" noCrop="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14300" cy="123825"/>
                    </a:xfrm>
                    <a:prstGeom prst="rect">
                      <a:avLst/>
                    </a:prstGeom>
                    <a:noFill/>
                    <a:ln>
                      <a:noFill/>
                    </a:ln>
                  </pic:spPr>
                </pic:pic>
              </a:graphicData>
            </a:graphic>
          </wp:inline>
        </w:drawing>
      </w:r>
      <w:r w:rsidRPr="005F0A67">
        <w:rPr>
          <w:rFonts w:asciiTheme="majorBidi" w:eastAsia="Arial" w:hAnsiTheme="majorBidi" w:cstheme="majorBidi"/>
          <w:noProof/>
          <w:sz w:val="14"/>
          <w:szCs w:val="14"/>
          <w:lang w:val="en-US"/>
        </w:rPr>
        <w:drawing>
          <wp:inline distT="0" distB="0" distL="0" distR="0" wp14:anchorId="4349B2D5" wp14:editId="234408DF">
            <wp:extent cx="114300" cy="123825"/>
            <wp:effectExtent l="0" t="0" r="0" b="9525"/>
            <wp:docPr id="155117388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Rot="1" noChangeAspect="1" noEditPoints="1" noChangeArrowheads="1" noCrop="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14300" cy="123825"/>
                    </a:xfrm>
                    <a:prstGeom prst="rect">
                      <a:avLst/>
                    </a:prstGeom>
                    <a:noFill/>
                    <a:ln>
                      <a:noFill/>
                    </a:ln>
                  </pic:spPr>
                </pic:pic>
              </a:graphicData>
            </a:graphic>
          </wp:inline>
        </w:drawing>
      </w:r>
      <w:r w:rsidRPr="005F0A67">
        <w:rPr>
          <w:rFonts w:asciiTheme="majorBidi" w:eastAsia="Arial" w:hAnsiTheme="majorBidi" w:cstheme="majorBidi"/>
          <w:spacing w:val="80"/>
          <w:sz w:val="20"/>
          <w:szCs w:val="20"/>
          <w:lang w:val="en-US"/>
        </w:rPr>
        <w:t xml:space="preserve"> </w:t>
      </w:r>
      <w:r w:rsidRPr="005F0A67">
        <w:rPr>
          <w:rFonts w:asciiTheme="majorBidi" w:eastAsia="Arial" w:hAnsiTheme="majorBidi" w:cstheme="majorBidi"/>
          <w:color w:val="242424"/>
          <w:sz w:val="14"/>
          <w:szCs w:val="14"/>
          <w:lang w:val="en-US"/>
        </w:rPr>
        <w:t>Prefer not to say</w:t>
      </w:r>
    </w:p>
    <w:p w14:paraId="751CD6C0" w14:textId="77777777" w:rsidR="005F0A67" w:rsidRPr="005F0A67" w:rsidRDefault="005F0A67" w:rsidP="005F0A67">
      <w:pPr>
        <w:widowControl w:val="0"/>
        <w:tabs>
          <w:tab w:val="clear" w:pos="567"/>
          <w:tab w:val="clear" w:pos="1134"/>
          <w:tab w:val="clear" w:pos="1701"/>
          <w:tab w:val="clear" w:pos="2268"/>
        </w:tabs>
        <w:spacing w:before="48"/>
        <w:ind w:left="614"/>
        <w:jc w:val="center"/>
        <w:rPr>
          <w:rFonts w:asciiTheme="majorBidi" w:eastAsia="Georgia" w:hAnsiTheme="majorBidi" w:cstheme="majorBidi"/>
          <w:color w:val="242424"/>
          <w:spacing w:val="-2"/>
          <w:sz w:val="17"/>
          <w:szCs w:val="17"/>
          <w:lang w:eastAsia="en-GB"/>
        </w:rPr>
      </w:pPr>
    </w:p>
    <w:p w14:paraId="6E676887" w14:textId="77777777" w:rsidR="005F0A67" w:rsidRPr="005F0A67" w:rsidRDefault="005F0A67" w:rsidP="003A387A">
      <w:pPr>
        <w:widowControl w:val="0"/>
        <w:numPr>
          <w:ilvl w:val="0"/>
          <w:numId w:val="44"/>
        </w:numPr>
        <w:tabs>
          <w:tab w:val="clear" w:pos="567"/>
          <w:tab w:val="clear" w:pos="1134"/>
          <w:tab w:val="clear" w:pos="1701"/>
          <w:tab w:val="clear" w:pos="2268"/>
        </w:tabs>
        <w:spacing w:before="48"/>
        <w:jc w:val="left"/>
        <w:rPr>
          <w:rFonts w:asciiTheme="majorBidi" w:eastAsia="Georgia" w:hAnsiTheme="majorBidi" w:cstheme="majorBidi"/>
          <w:color w:val="242424"/>
          <w:sz w:val="17"/>
          <w:szCs w:val="17"/>
          <w:lang w:eastAsia="en-GB"/>
        </w:rPr>
      </w:pPr>
      <w:r w:rsidRPr="005F0A67">
        <w:rPr>
          <w:rFonts w:asciiTheme="majorBidi" w:eastAsia="Georgia" w:hAnsiTheme="majorBidi" w:cstheme="majorBidi"/>
          <w:color w:val="242424"/>
          <w:sz w:val="17"/>
          <w:szCs w:val="17"/>
          <w:lang w:val="en-US"/>
        </w:rPr>
        <w:t>Please use the space below to share any additional comments, clarifications, or information that you consider relevant to this study</w:t>
      </w:r>
    </w:p>
    <w:p w14:paraId="1021E8B9" w14:textId="77777777" w:rsidR="005F0A67" w:rsidRPr="005F0A67" w:rsidRDefault="005F0A67" w:rsidP="005F0A67">
      <w:pPr>
        <w:widowControl w:val="0"/>
        <w:tabs>
          <w:tab w:val="clear" w:pos="567"/>
          <w:tab w:val="clear" w:pos="1134"/>
          <w:tab w:val="clear" w:pos="1701"/>
          <w:tab w:val="clear" w:pos="2268"/>
        </w:tabs>
        <w:spacing w:before="6"/>
        <w:jc w:val="left"/>
        <w:rPr>
          <w:rFonts w:asciiTheme="majorBidi" w:eastAsia="Arial" w:hAnsiTheme="majorBidi" w:cstheme="majorBidi"/>
          <w:sz w:val="15"/>
          <w:szCs w:val="15"/>
          <w:lang w:val="en-US"/>
        </w:rPr>
        <w:sectPr w:rsidR="005F0A67" w:rsidRPr="005F0A67" w:rsidSect="005F0A67">
          <w:pgSz w:w="11900" w:h="16840"/>
          <w:pgMar w:top="1000" w:right="1700" w:bottom="280" w:left="1700" w:header="720" w:footer="720" w:gutter="0"/>
          <w:cols w:space="720"/>
        </w:sectPr>
      </w:pPr>
      <w:r w:rsidRPr="005F0A67">
        <w:rPr>
          <w:rFonts w:asciiTheme="majorBidi" w:eastAsia="Arial" w:hAnsiTheme="majorBidi" w:cstheme="majorBidi"/>
          <w:noProof/>
          <w:sz w:val="15"/>
          <w:szCs w:val="14"/>
          <w:lang w:val="en-US"/>
        </w:rPr>
        <mc:AlternateContent>
          <mc:Choice Requires="wps">
            <w:drawing>
              <wp:anchor distT="0" distB="0" distL="0" distR="0" simplePos="0" relativeHeight="251658376" behindDoc="1" locked="0" layoutInCell="1" allowOverlap="1" wp14:anchorId="02437E55" wp14:editId="72523F6B">
                <wp:simplePos x="0" y="0"/>
                <wp:positionH relativeFrom="page">
                  <wp:posOffset>1536065</wp:posOffset>
                </wp:positionH>
                <wp:positionV relativeFrom="paragraph">
                  <wp:posOffset>299936</wp:posOffset>
                </wp:positionV>
                <wp:extent cx="4597400" cy="501650"/>
                <wp:effectExtent l="0" t="0" r="12700" b="19050"/>
                <wp:wrapTopAndBottom/>
                <wp:docPr id="261" name="Graphic 2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97400" cy="501650"/>
                        </a:xfrm>
                        <a:custGeom>
                          <a:avLst/>
                          <a:gdLst/>
                          <a:ahLst/>
                          <a:cxnLst/>
                          <a:rect l="l" t="t" r="r" b="b"/>
                          <a:pathLst>
                            <a:path w="4597400" h="501650">
                              <a:moveTo>
                                <a:pt x="0" y="479425"/>
                              </a:moveTo>
                              <a:lnTo>
                                <a:pt x="0" y="22225"/>
                              </a:lnTo>
                              <a:lnTo>
                                <a:pt x="0" y="19259"/>
                              </a:lnTo>
                              <a:lnTo>
                                <a:pt x="563" y="16421"/>
                              </a:lnTo>
                              <a:lnTo>
                                <a:pt x="1691" y="13703"/>
                              </a:lnTo>
                              <a:lnTo>
                                <a:pt x="2819" y="10979"/>
                              </a:lnTo>
                              <a:lnTo>
                                <a:pt x="4425" y="8572"/>
                              </a:lnTo>
                              <a:lnTo>
                                <a:pt x="6509" y="6496"/>
                              </a:lnTo>
                              <a:lnTo>
                                <a:pt x="8593" y="4400"/>
                              </a:lnTo>
                              <a:lnTo>
                                <a:pt x="10997" y="2800"/>
                              </a:lnTo>
                              <a:lnTo>
                                <a:pt x="13719" y="1689"/>
                              </a:lnTo>
                              <a:lnTo>
                                <a:pt x="16442" y="558"/>
                              </a:lnTo>
                              <a:lnTo>
                                <a:pt x="19277" y="0"/>
                              </a:lnTo>
                              <a:lnTo>
                                <a:pt x="22225" y="0"/>
                              </a:lnTo>
                              <a:lnTo>
                                <a:pt x="4575175" y="0"/>
                              </a:lnTo>
                              <a:lnTo>
                                <a:pt x="4578121" y="0"/>
                              </a:lnTo>
                              <a:lnTo>
                                <a:pt x="4580956" y="558"/>
                              </a:lnTo>
                              <a:lnTo>
                                <a:pt x="4583679" y="1689"/>
                              </a:lnTo>
                              <a:lnTo>
                                <a:pt x="4586402" y="2800"/>
                              </a:lnTo>
                              <a:lnTo>
                                <a:pt x="4588806" y="4400"/>
                              </a:lnTo>
                              <a:lnTo>
                                <a:pt x="4590890" y="6496"/>
                              </a:lnTo>
                              <a:lnTo>
                                <a:pt x="4592974" y="8572"/>
                              </a:lnTo>
                              <a:lnTo>
                                <a:pt x="4594580" y="10979"/>
                              </a:lnTo>
                              <a:lnTo>
                                <a:pt x="4595707" y="13703"/>
                              </a:lnTo>
                              <a:lnTo>
                                <a:pt x="4596835" y="16421"/>
                              </a:lnTo>
                              <a:lnTo>
                                <a:pt x="4597399" y="19259"/>
                              </a:lnTo>
                              <a:lnTo>
                                <a:pt x="4597400" y="22225"/>
                              </a:lnTo>
                              <a:lnTo>
                                <a:pt x="4597400" y="479425"/>
                              </a:lnTo>
                              <a:lnTo>
                                <a:pt x="4597399" y="482365"/>
                              </a:lnTo>
                              <a:lnTo>
                                <a:pt x="4596835" y="485203"/>
                              </a:lnTo>
                              <a:lnTo>
                                <a:pt x="4595707" y="487921"/>
                              </a:lnTo>
                              <a:lnTo>
                                <a:pt x="4594580" y="490651"/>
                              </a:lnTo>
                              <a:lnTo>
                                <a:pt x="4583679" y="499948"/>
                              </a:lnTo>
                              <a:lnTo>
                                <a:pt x="4580956" y="501078"/>
                              </a:lnTo>
                              <a:lnTo>
                                <a:pt x="4578121" y="501637"/>
                              </a:lnTo>
                              <a:lnTo>
                                <a:pt x="4575175" y="501650"/>
                              </a:lnTo>
                              <a:lnTo>
                                <a:pt x="22225" y="501650"/>
                              </a:lnTo>
                              <a:lnTo>
                                <a:pt x="19277" y="501637"/>
                              </a:lnTo>
                              <a:lnTo>
                                <a:pt x="16442" y="501078"/>
                              </a:lnTo>
                              <a:lnTo>
                                <a:pt x="13719" y="499948"/>
                              </a:lnTo>
                              <a:lnTo>
                                <a:pt x="10997" y="498824"/>
                              </a:lnTo>
                              <a:lnTo>
                                <a:pt x="1691" y="487921"/>
                              </a:lnTo>
                              <a:lnTo>
                                <a:pt x="563" y="485203"/>
                              </a:lnTo>
                              <a:lnTo>
                                <a:pt x="0" y="482365"/>
                              </a:lnTo>
                              <a:lnTo>
                                <a:pt x="0" y="479425"/>
                              </a:lnTo>
                              <a:close/>
                            </a:path>
                          </a:pathLst>
                        </a:custGeom>
                        <a:ln w="6349">
                          <a:solidFill>
                            <a:srgbClr val="C7C7C7"/>
                          </a:solidFill>
                          <a:prstDash val="solid"/>
                        </a:ln>
                      </wps:spPr>
                      <wps:bodyPr wrap="square" lIns="0" tIns="0" rIns="0" bIns="0" rtlCol="0">
                        <a:prstTxWarp prst="textNoShape">
                          <a:avLst/>
                        </a:prstTxWarp>
                        <a:noAutofit/>
                      </wps:bodyPr>
                    </wps:wsp>
                  </a:graphicData>
                </a:graphic>
              </wp:anchor>
            </w:drawing>
          </mc:Choice>
          <mc:Fallback>
            <w:pict>
              <v:shape w14:anchorId="391E8355" id="Graphic 261" o:spid="_x0000_s1026" style="position:absolute;margin-left:120.95pt;margin-top:23.6pt;width:362pt;height:39.5pt;z-index:-251658104;visibility:visible;mso-wrap-style:square;mso-wrap-distance-left:0;mso-wrap-distance-top:0;mso-wrap-distance-right:0;mso-wrap-distance-bottom:0;mso-position-horizontal:absolute;mso-position-horizontal-relative:page;mso-position-vertical:absolute;mso-position-vertical-relative:text;v-text-anchor:top" coordsize="4597400,501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" path="m,479425l,22225,,19259,563,16421,1691,13703,2819,10979,4425,8572,6509,6496,8593,4400,10997,2800,13719,1689,16442,558,19277,r2948,l4575175,r2946,l4580956,558r2723,1131l4586402,2800r2404,1600l4590890,6496r2084,2076l4594580,10979r1127,2724l4596835,16421r564,2838l4597400,22225r,457200l4597399,482365r-564,2838l4595707,487921r-1127,2730l4583679,499948r-2723,1130l4578121,501637r-2946,13l22225,501650r-2948,-13l16442,501078r-2723,-1130l10997,498824,1691,487921,563,485203,,482365r,-2940xe" filled="f" strokecolor="#c7c7c7" strokeweight=".17636mm">
                <v:path arrowok="t"/>
                <w10:wrap type="topAndBottom" anchorx="page"/>
              </v:shape>
            </w:pict>
          </mc:Fallback>
        </mc:AlternateContent>
      </w:r>
    </w:p>
    <w:p w14:paraId="7FE9C769" w14:textId="77777777" w:rsidR="005F0A67" w:rsidRPr="005F0A67" w:rsidRDefault="005F0A67" w:rsidP="003A387A">
      <w:pPr>
        <w:numPr>
          <w:ilvl w:val="0"/>
          <w:numId w:val="44"/>
        </w:numPr>
        <w:tabs>
          <w:tab w:val="clear" w:pos="567"/>
          <w:tab w:val="clear" w:pos="1134"/>
          <w:tab w:val="clear" w:pos="1701"/>
          <w:tab w:val="clear" w:pos="2268"/>
          <w:tab w:val="num" w:pos="360"/>
          <w:tab w:val="left" w:pos="703"/>
        </w:tabs>
        <w:spacing w:before="97" w:after="160"/>
        <w:ind w:left="703" w:hanging="279"/>
        <w:jc w:val="left"/>
        <w:outlineLvl w:val="2"/>
        <w:rPr>
          <w:rFonts w:asciiTheme="majorBidi" w:eastAsia="Arial" w:hAnsiTheme="majorBidi" w:cstheme="majorBidi"/>
          <w:b/>
          <w:bCs/>
          <w:color w:val="7F7F7F"/>
          <w:lang w:val="en-CA" w:eastAsia="en-GB"/>
        </w:rPr>
      </w:pPr>
      <w:bookmarkStart w:id="291" w:name="_Toc234579645"/>
      <w:r w:rsidRPr="005F0A67">
        <w:rPr>
          <w:rFonts w:asciiTheme="majorBidi" w:eastAsia="Georgia" w:hAnsiTheme="majorBidi" w:cstheme="majorBidi"/>
          <w:color w:val="242424"/>
          <w:sz w:val="17"/>
          <w:szCs w:val="17"/>
          <w:lang w:val="en-CA" w:eastAsia="en-GB"/>
        </w:rPr>
        <w:lastRenderedPageBreak/>
        <w:t>Before you finish the survey, please select ONE option:</w:t>
      </w:r>
      <w:r w:rsidRPr="005F0A67">
        <w:rPr>
          <w:rFonts w:asciiTheme="majorBidi" w:eastAsia="Arial" w:hAnsiTheme="majorBidi" w:cstheme="majorBidi"/>
          <w:b/>
          <w:bCs/>
          <w:color w:val="242424"/>
          <w:spacing w:val="-10"/>
          <w:lang w:val="en-CA" w:eastAsia="en-GB"/>
        </w:rPr>
        <w:t xml:space="preserve"> </w:t>
      </w:r>
      <w:r w:rsidRPr="005F0A67">
        <w:rPr>
          <w:rFonts w:asciiTheme="majorBidi" w:eastAsia="Arial" w:hAnsiTheme="majorBidi" w:cstheme="majorBidi"/>
          <w:b/>
          <w:bCs/>
          <w:color w:val="AE1515"/>
          <w:spacing w:val="-10"/>
          <w:lang w:val="en-CA" w:eastAsia="en-GB"/>
        </w:rPr>
        <w:t>*</w:t>
      </w:r>
      <w:bookmarkEnd w:id="291"/>
    </w:p>
    <w:p w14:paraId="46940EEA" w14:textId="77777777" w:rsidR="005F0A67" w:rsidRPr="005F0A67" w:rsidRDefault="005F0A67" w:rsidP="005F0A67">
      <w:pPr>
        <w:widowControl w:val="0"/>
        <w:tabs>
          <w:tab w:val="clear" w:pos="567"/>
          <w:tab w:val="clear" w:pos="1134"/>
          <w:tab w:val="clear" w:pos="1701"/>
          <w:tab w:val="clear" w:pos="2268"/>
        </w:tabs>
        <w:spacing w:before="121"/>
        <w:jc w:val="left"/>
        <w:rPr>
          <w:rFonts w:asciiTheme="majorBidi" w:eastAsia="Arial" w:hAnsiTheme="majorBidi" w:cstheme="majorBidi"/>
          <w:sz w:val="14"/>
          <w:szCs w:val="14"/>
          <w:lang w:val="en-US"/>
        </w:rPr>
      </w:pPr>
    </w:p>
    <w:p w14:paraId="390D05F1" w14:textId="77777777" w:rsidR="005F0A67" w:rsidRPr="005F0A67" w:rsidRDefault="005F0A67" w:rsidP="003A387A">
      <w:pPr>
        <w:widowControl w:val="0"/>
        <w:numPr>
          <w:ilvl w:val="1"/>
          <w:numId w:val="47"/>
        </w:numPr>
        <w:tabs>
          <w:tab w:val="clear" w:pos="567"/>
          <w:tab w:val="clear" w:pos="1134"/>
          <w:tab w:val="clear" w:pos="1701"/>
          <w:tab w:val="clear" w:pos="2268"/>
        </w:tabs>
        <w:spacing w:before="1" w:line="297" w:lineRule="auto"/>
        <w:ind w:right="484"/>
        <w:jc w:val="left"/>
        <w:rPr>
          <w:rFonts w:asciiTheme="majorBidi" w:eastAsia="Arial" w:hAnsiTheme="majorBidi" w:cstheme="majorBidi"/>
          <w:b/>
          <w:bCs/>
          <w:sz w:val="14"/>
          <w:szCs w:val="14"/>
          <w:lang w:val="en-US"/>
        </w:rPr>
      </w:pPr>
      <w:r w:rsidRPr="005F0A67">
        <w:rPr>
          <w:rFonts w:asciiTheme="majorBidi" w:eastAsia="Arial" w:hAnsiTheme="majorBidi" w:cstheme="majorBidi"/>
          <w:color w:val="242424"/>
          <w:sz w:val="14"/>
          <w:szCs w:val="14"/>
          <w:lang w:val="en-US"/>
        </w:rPr>
        <w:t>Authorize</w:t>
      </w:r>
      <w:r w:rsidRPr="005F0A67">
        <w:rPr>
          <w:rFonts w:asciiTheme="majorBidi" w:eastAsia="Arial" w:hAnsiTheme="majorBidi" w:cstheme="majorBidi"/>
          <w:color w:val="242424"/>
          <w:spacing w:val="-8"/>
          <w:sz w:val="14"/>
          <w:szCs w:val="14"/>
          <w:lang w:val="en-US"/>
        </w:rPr>
        <w:t xml:space="preserve"> </w:t>
      </w:r>
      <w:r w:rsidRPr="005F0A67">
        <w:rPr>
          <w:rFonts w:asciiTheme="majorBidi" w:eastAsia="Arial" w:hAnsiTheme="majorBidi" w:cstheme="majorBidi"/>
          <w:color w:val="242424"/>
          <w:sz w:val="14"/>
          <w:szCs w:val="14"/>
          <w:lang w:val="en-US"/>
        </w:rPr>
        <w:t>us</w:t>
      </w:r>
      <w:r w:rsidRPr="005F0A67">
        <w:rPr>
          <w:rFonts w:asciiTheme="majorBidi" w:eastAsia="Arial" w:hAnsiTheme="majorBidi" w:cstheme="majorBidi"/>
          <w:color w:val="242424"/>
          <w:spacing w:val="-8"/>
          <w:sz w:val="14"/>
          <w:szCs w:val="14"/>
          <w:lang w:val="en-US"/>
        </w:rPr>
        <w:t xml:space="preserve"> </w:t>
      </w:r>
      <w:r w:rsidRPr="005F0A67">
        <w:rPr>
          <w:rFonts w:asciiTheme="majorBidi" w:eastAsia="Arial" w:hAnsiTheme="majorBidi" w:cstheme="majorBidi"/>
          <w:color w:val="242424"/>
          <w:sz w:val="14"/>
          <w:szCs w:val="14"/>
          <w:lang w:val="en-US"/>
        </w:rPr>
        <w:t>to</w:t>
      </w:r>
      <w:r w:rsidRPr="005F0A67">
        <w:rPr>
          <w:rFonts w:asciiTheme="majorBidi" w:eastAsia="Arial" w:hAnsiTheme="majorBidi" w:cstheme="majorBidi"/>
          <w:color w:val="242424"/>
          <w:spacing w:val="-8"/>
          <w:sz w:val="14"/>
          <w:szCs w:val="14"/>
          <w:lang w:val="en-US"/>
        </w:rPr>
        <w:t xml:space="preserve"> </w:t>
      </w:r>
      <w:r w:rsidRPr="005F0A67">
        <w:rPr>
          <w:rFonts w:asciiTheme="majorBidi" w:eastAsia="Arial" w:hAnsiTheme="majorBidi" w:cstheme="majorBidi"/>
          <w:color w:val="242424"/>
          <w:sz w:val="14"/>
          <w:szCs w:val="14"/>
          <w:lang w:val="en-US"/>
        </w:rPr>
        <w:t>link</w:t>
      </w:r>
      <w:r w:rsidRPr="005F0A67">
        <w:rPr>
          <w:rFonts w:asciiTheme="majorBidi" w:eastAsia="Arial" w:hAnsiTheme="majorBidi" w:cstheme="majorBidi"/>
          <w:color w:val="242424"/>
          <w:spacing w:val="-8"/>
          <w:sz w:val="14"/>
          <w:szCs w:val="14"/>
          <w:lang w:val="en-US"/>
        </w:rPr>
        <w:t xml:space="preserve"> </w:t>
      </w:r>
      <w:r w:rsidRPr="005F0A67">
        <w:rPr>
          <w:rFonts w:asciiTheme="majorBidi" w:eastAsia="Arial" w:hAnsiTheme="majorBidi" w:cstheme="majorBidi"/>
          <w:color w:val="242424"/>
          <w:sz w:val="14"/>
          <w:szCs w:val="14"/>
          <w:lang w:val="en-US"/>
        </w:rPr>
        <w:t>your</w:t>
      </w:r>
      <w:r w:rsidRPr="005F0A67">
        <w:rPr>
          <w:rFonts w:asciiTheme="majorBidi" w:eastAsia="Arial" w:hAnsiTheme="majorBidi" w:cstheme="majorBidi"/>
          <w:color w:val="242424"/>
          <w:spacing w:val="-8"/>
          <w:sz w:val="14"/>
          <w:szCs w:val="14"/>
          <w:lang w:val="en-US"/>
        </w:rPr>
        <w:t xml:space="preserve"> </w:t>
      </w:r>
      <w:r w:rsidRPr="005F0A67">
        <w:rPr>
          <w:rFonts w:asciiTheme="majorBidi" w:eastAsia="Arial" w:hAnsiTheme="majorBidi" w:cstheme="majorBidi"/>
          <w:color w:val="242424"/>
          <w:sz w:val="14"/>
          <w:szCs w:val="14"/>
          <w:lang w:val="en-US"/>
        </w:rPr>
        <w:t>survey</w:t>
      </w:r>
      <w:r w:rsidRPr="005F0A67">
        <w:rPr>
          <w:rFonts w:asciiTheme="majorBidi" w:eastAsia="Arial" w:hAnsiTheme="majorBidi" w:cstheme="majorBidi"/>
          <w:color w:val="242424"/>
          <w:spacing w:val="-8"/>
          <w:sz w:val="14"/>
          <w:szCs w:val="14"/>
          <w:lang w:val="en-US"/>
        </w:rPr>
        <w:t xml:space="preserve"> </w:t>
      </w:r>
      <w:r w:rsidRPr="005F0A67">
        <w:rPr>
          <w:rFonts w:asciiTheme="majorBidi" w:eastAsia="Arial" w:hAnsiTheme="majorBidi" w:cstheme="majorBidi"/>
          <w:color w:val="242424"/>
          <w:sz w:val="14"/>
          <w:szCs w:val="14"/>
          <w:lang w:val="en-US"/>
        </w:rPr>
        <w:t>responses</w:t>
      </w:r>
      <w:r w:rsidRPr="005F0A67">
        <w:rPr>
          <w:rFonts w:asciiTheme="majorBidi" w:eastAsia="Arial" w:hAnsiTheme="majorBidi" w:cstheme="majorBidi"/>
          <w:color w:val="242424"/>
          <w:spacing w:val="-8"/>
          <w:sz w:val="14"/>
          <w:szCs w:val="14"/>
          <w:lang w:val="en-US"/>
        </w:rPr>
        <w:t xml:space="preserve"> </w:t>
      </w:r>
      <w:r w:rsidRPr="005F0A67">
        <w:rPr>
          <w:rFonts w:asciiTheme="majorBidi" w:eastAsia="Arial" w:hAnsiTheme="majorBidi" w:cstheme="majorBidi"/>
          <w:color w:val="242424"/>
          <w:sz w:val="14"/>
          <w:szCs w:val="14"/>
          <w:lang w:val="en-US"/>
        </w:rPr>
        <w:t>to</w:t>
      </w:r>
      <w:r w:rsidRPr="005F0A67">
        <w:rPr>
          <w:rFonts w:asciiTheme="majorBidi" w:eastAsia="Arial" w:hAnsiTheme="majorBidi" w:cstheme="majorBidi"/>
          <w:color w:val="242424"/>
          <w:spacing w:val="-8"/>
          <w:sz w:val="14"/>
          <w:szCs w:val="14"/>
          <w:lang w:val="en-US"/>
        </w:rPr>
        <w:t xml:space="preserve"> </w:t>
      </w:r>
      <w:r w:rsidRPr="005F0A67">
        <w:rPr>
          <w:rFonts w:asciiTheme="majorBidi" w:eastAsia="Arial" w:hAnsiTheme="majorBidi" w:cstheme="majorBidi"/>
          <w:color w:val="242424"/>
          <w:sz w:val="14"/>
          <w:szCs w:val="14"/>
          <w:lang w:val="en-US"/>
        </w:rPr>
        <w:t>publicly</w:t>
      </w:r>
      <w:r w:rsidRPr="005F0A67">
        <w:rPr>
          <w:rFonts w:asciiTheme="majorBidi" w:eastAsia="Arial" w:hAnsiTheme="majorBidi" w:cstheme="majorBidi"/>
          <w:color w:val="242424"/>
          <w:spacing w:val="-8"/>
          <w:sz w:val="14"/>
          <w:szCs w:val="14"/>
          <w:lang w:val="en-US"/>
        </w:rPr>
        <w:t xml:space="preserve"> </w:t>
      </w:r>
      <w:r w:rsidRPr="005F0A67">
        <w:rPr>
          <w:rFonts w:asciiTheme="majorBidi" w:eastAsia="Arial" w:hAnsiTheme="majorBidi" w:cstheme="majorBidi"/>
          <w:color w:val="242424"/>
          <w:sz w:val="14"/>
          <w:szCs w:val="14"/>
          <w:lang w:val="en-US"/>
        </w:rPr>
        <w:t>and/or</w:t>
      </w:r>
      <w:r w:rsidRPr="005F0A67">
        <w:rPr>
          <w:rFonts w:asciiTheme="majorBidi" w:eastAsia="Arial" w:hAnsiTheme="majorBidi" w:cstheme="majorBidi"/>
          <w:color w:val="242424"/>
          <w:spacing w:val="-8"/>
          <w:sz w:val="14"/>
          <w:szCs w:val="14"/>
          <w:lang w:val="en-US"/>
        </w:rPr>
        <w:t xml:space="preserve"> </w:t>
      </w:r>
      <w:r w:rsidRPr="005F0A67">
        <w:rPr>
          <w:rFonts w:asciiTheme="majorBidi" w:eastAsia="Arial" w:hAnsiTheme="majorBidi" w:cstheme="majorBidi"/>
          <w:color w:val="242424"/>
          <w:sz w:val="14"/>
          <w:szCs w:val="14"/>
          <w:lang w:val="en-US"/>
        </w:rPr>
        <w:t>privately</w:t>
      </w:r>
      <w:r w:rsidRPr="005F0A67">
        <w:rPr>
          <w:rFonts w:asciiTheme="majorBidi" w:eastAsia="Arial" w:hAnsiTheme="majorBidi" w:cstheme="majorBidi"/>
          <w:color w:val="242424"/>
          <w:spacing w:val="-8"/>
          <w:sz w:val="14"/>
          <w:szCs w:val="14"/>
          <w:lang w:val="en-US"/>
        </w:rPr>
        <w:t xml:space="preserve"> </w:t>
      </w:r>
      <w:r w:rsidRPr="005F0A67">
        <w:rPr>
          <w:rFonts w:asciiTheme="majorBidi" w:eastAsia="Arial" w:hAnsiTheme="majorBidi" w:cstheme="majorBidi"/>
          <w:color w:val="242424"/>
          <w:sz w:val="14"/>
          <w:szCs w:val="14"/>
          <w:lang w:val="en-US"/>
        </w:rPr>
        <w:t>available</w:t>
      </w:r>
      <w:r w:rsidRPr="005F0A67">
        <w:rPr>
          <w:rFonts w:asciiTheme="majorBidi" w:eastAsia="Arial" w:hAnsiTheme="majorBidi" w:cstheme="majorBidi"/>
          <w:color w:val="242424"/>
          <w:spacing w:val="-8"/>
          <w:sz w:val="14"/>
          <w:szCs w:val="14"/>
          <w:lang w:val="en-US"/>
        </w:rPr>
        <w:t xml:space="preserve"> </w:t>
      </w:r>
      <w:r w:rsidRPr="005F0A67">
        <w:rPr>
          <w:rFonts w:asciiTheme="majorBidi" w:eastAsia="Arial" w:hAnsiTheme="majorBidi" w:cstheme="majorBidi"/>
          <w:color w:val="242424"/>
          <w:sz w:val="14"/>
          <w:szCs w:val="14"/>
          <w:lang w:val="en-US"/>
        </w:rPr>
        <w:t>financial</w:t>
      </w:r>
      <w:r w:rsidRPr="005F0A67">
        <w:rPr>
          <w:rFonts w:asciiTheme="majorBidi" w:eastAsia="Arial" w:hAnsiTheme="majorBidi" w:cstheme="majorBidi"/>
          <w:color w:val="242424"/>
          <w:spacing w:val="-8"/>
          <w:sz w:val="14"/>
          <w:szCs w:val="14"/>
          <w:lang w:val="en-US"/>
        </w:rPr>
        <w:t xml:space="preserve"> </w:t>
      </w:r>
      <w:r w:rsidRPr="005F0A67">
        <w:rPr>
          <w:rFonts w:asciiTheme="majorBidi" w:eastAsia="Arial" w:hAnsiTheme="majorBidi" w:cstheme="majorBidi"/>
          <w:color w:val="242424"/>
          <w:sz w:val="14"/>
          <w:szCs w:val="14"/>
          <w:lang w:val="en-US"/>
        </w:rPr>
        <w:t>databases</w:t>
      </w:r>
      <w:r w:rsidRPr="005F0A67">
        <w:rPr>
          <w:rFonts w:asciiTheme="majorBidi" w:eastAsia="Arial" w:hAnsiTheme="majorBidi" w:cstheme="majorBidi"/>
          <w:color w:val="242424"/>
          <w:spacing w:val="-8"/>
          <w:sz w:val="14"/>
          <w:szCs w:val="14"/>
          <w:lang w:val="en-US"/>
        </w:rPr>
        <w:t xml:space="preserve"> </w:t>
      </w:r>
      <w:r w:rsidRPr="005F0A67">
        <w:rPr>
          <w:rFonts w:asciiTheme="majorBidi" w:eastAsia="Arial" w:hAnsiTheme="majorBidi" w:cstheme="majorBidi"/>
          <w:color w:val="242424"/>
          <w:sz w:val="14"/>
          <w:szCs w:val="14"/>
          <w:lang w:val="en-US"/>
        </w:rPr>
        <w:t>(e.g.</w:t>
      </w:r>
      <w:r w:rsidRPr="005F0A67">
        <w:rPr>
          <w:rFonts w:asciiTheme="majorBidi" w:eastAsia="Arial" w:hAnsiTheme="majorBidi" w:cstheme="majorBidi"/>
          <w:color w:val="242424"/>
          <w:spacing w:val="40"/>
          <w:sz w:val="14"/>
          <w:szCs w:val="14"/>
          <w:lang w:val="en-US"/>
        </w:rPr>
        <w:t xml:space="preserve"> </w:t>
      </w:r>
      <w:r w:rsidRPr="005F0A67">
        <w:rPr>
          <w:rFonts w:asciiTheme="majorBidi" w:eastAsia="Arial" w:hAnsiTheme="majorBidi" w:cstheme="majorBidi"/>
          <w:color w:val="242424"/>
          <w:sz w:val="14"/>
          <w:szCs w:val="14"/>
          <w:lang w:val="en-US"/>
        </w:rPr>
        <w:t xml:space="preserve">Companies House). </w:t>
      </w:r>
      <w:r w:rsidRPr="005F0A67">
        <w:rPr>
          <w:rFonts w:asciiTheme="majorBidi" w:eastAsia="Arial" w:hAnsiTheme="majorBidi" w:cstheme="majorBidi"/>
          <w:b/>
          <w:bCs/>
          <w:color w:val="242424"/>
          <w:sz w:val="14"/>
          <w:szCs w:val="14"/>
          <w:lang w:val="en-US"/>
        </w:rPr>
        <w:t>Recommended - minimal effort.</w:t>
      </w:r>
    </w:p>
    <w:p w14:paraId="43A9CDB6" w14:textId="77777777" w:rsidR="005F0A67" w:rsidRPr="005F0A67" w:rsidRDefault="005F0A67" w:rsidP="005F0A67">
      <w:pPr>
        <w:widowControl w:val="0"/>
        <w:tabs>
          <w:tab w:val="clear" w:pos="567"/>
          <w:tab w:val="clear" w:pos="1134"/>
          <w:tab w:val="clear" w:pos="1701"/>
          <w:tab w:val="clear" w:pos="2268"/>
        </w:tabs>
        <w:spacing w:before="39"/>
        <w:jc w:val="left"/>
        <w:rPr>
          <w:rFonts w:asciiTheme="majorBidi" w:eastAsia="Arial" w:hAnsiTheme="majorBidi" w:cstheme="majorBidi"/>
          <w:b/>
          <w:bCs/>
          <w:sz w:val="14"/>
          <w:szCs w:val="14"/>
          <w:lang w:val="en-US"/>
        </w:rPr>
      </w:pPr>
    </w:p>
    <w:p w14:paraId="64458CD1" w14:textId="77777777" w:rsidR="005F0A67" w:rsidRPr="005F0A67" w:rsidRDefault="005F0A67" w:rsidP="003A387A">
      <w:pPr>
        <w:widowControl w:val="0"/>
        <w:numPr>
          <w:ilvl w:val="1"/>
          <w:numId w:val="47"/>
        </w:numPr>
        <w:tabs>
          <w:tab w:val="clear" w:pos="567"/>
          <w:tab w:val="clear" w:pos="1134"/>
          <w:tab w:val="clear" w:pos="1701"/>
          <w:tab w:val="clear" w:pos="2268"/>
        </w:tabs>
        <w:spacing w:line="297" w:lineRule="auto"/>
        <w:ind w:right="484"/>
        <w:jc w:val="left"/>
        <w:rPr>
          <w:rFonts w:asciiTheme="majorBidi" w:eastAsia="Arial" w:hAnsiTheme="majorBidi" w:cstheme="majorBidi"/>
          <w:sz w:val="14"/>
          <w:szCs w:val="14"/>
          <w:lang w:val="en-US"/>
        </w:rPr>
      </w:pPr>
      <w:r w:rsidRPr="005F0A67">
        <w:rPr>
          <w:rFonts w:asciiTheme="majorBidi" w:eastAsia="Arial" w:hAnsiTheme="majorBidi" w:cstheme="majorBidi"/>
          <w:noProof/>
          <w:sz w:val="14"/>
          <w:szCs w:val="14"/>
          <w:lang w:val="en-US"/>
        </w:rPr>
        <mc:AlternateContent>
          <mc:Choice Requires="wps">
            <w:drawing>
              <wp:anchor distT="0" distB="0" distL="0" distR="0" simplePos="0" relativeHeight="251658361" behindDoc="0" locked="0" layoutInCell="1" allowOverlap="1" wp14:anchorId="5857E315" wp14:editId="3EAF8D19">
                <wp:simplePos x="0" y="0"/>
                <wp:positionH relativeFrom="page">
                  <wp:posOffset>2843708</wp:posOffset>
                </wp:positionH>
                <wp:positionV relativeFrom="paragraph">
                  <wp:posOffset>217116</wp:posOffset>
                </wp:positionV>
                <wp:extent cx="43815" cy="6350"/>
                <wp:effectExtent l="0" t="0" r="0" b="0"/>
                <wp:wrapNone/>
                <wp:docPr id="264" name="Graphic 2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815" cy="6350"/>
                        </a:xfrm>
                        <a:custGeom>
                          <a:avLst/>
                          <a:gdLst/>
                          <a:ahLst/>
                          <a:cxnLst/>
                          <a:rect l="l" t="t" r="r" b="b"/>
                          <a:pathLst>
                            <a:path w="43815" h="6350">
                              <a:moveTo>
                                <a:pt x="43634" y="6350"/>
                              </a:moveTo>
                              <a:lnTo>
                                <a:pt x="0" y="6350"/>
                              </a:lnTo>
                              <a:lnTo>
                                <a:pt x="0" y="0"/>
                              </a:lnTo>
                              <a:lnTo>
                                <a:pt x="43634" y="0"/>
                              </a:lnTo>
                              <a:lnTo>
                                <a:pt x="43634" y="6350"/>
                              </a:lnTo>
                              <a:close/>
                            </a:path>
                          </a:pathLst>
                        </a:custGeom>
                        <a:solidFill>
                          <a:srgbClr val="0000ED"/>
                        </a:solidFill>
                      </wps:spPr>
                      <wps:bodyPr wrap="square" lIns="0" tIns="0" rIns="0" bIns="0" rtlCol="0">
                        <a:prstTxWarp prst="textNoShape">
                          <a:avLst/>
                        </a:prstTxWarp>
                        <a:noAutofit/>
                      </wps:bodyPr>
                    </wps:wsp>
                  </a:graphicData>
                </a:graphic>
              </wp:anchor>
            </w:drawing>
          </mc:Choice>
          <mc:Fallback>
            <w:pict>
              <v:shape w14:anchorId="4B922CF2" id="Graphic 264" o:spid="_x0000_s1026" style="position:absolute;margin-left:223.9pt;margin-top:17.1pt;width:3.45pt;height:.5pt;z-index:251658361;visibility:visible;mso-wrap-style:square;mso-wrap-distance-left:0;mso-wrap-distance-top:0;mso-wrap-distance-right:0;mso-wrap-distance-bottom:0;mso-position-horizontal:absolute;mso-position-horizontal-relative:page;mso-position-vertical:absolute;mso-position-vertical-relative:text;v-text-anchor:top" coordsize="4381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" path="m43634,6350l,6350,,,43634,r,6350xe" fillcolor="#0000ed" stroked="f">
                <v:path arrowok="t"/>
                <w10:wrap anchorx="page"/>
              </v:shape>
            </w:pict>
          </mc:Fallback>
        </mc:AlternateContent>
      </w:r>
      <w:r w:rsidRPr="005F0A67">
        <w:rPr>
          <w:rFonts w:asciiTheme="majorBidi" w:eastAsia="Arial" w:hAnsiTheme="majorBidi" w:cstheme="majorBidi"/>
          <w:color w:val="242424"/>
          <w:sz w:val="14"/>
          <w:szCs w:val="14"/>
          <w:lang w:val="en-US"/>
        </w:rPr>
        <w:t>Submit</w:t>
      </w:r>
      <w:r w:rsidRPr="005F0A67">
        <w:rPr>
          <w:rFonts w:asciiTheme="majorBidi" w:eastAsia="Arial" w:hAnsiTheme="majorBidi" w:cstheme="majorBidi"/>
          <w:color w:val="242424"/>
          <w:spacing w:val="-4"/>
          <w:sz w:val="14"/>
          <w:szCs w:val="14"/>
          <w:lang w:val="en-US"/>
        </w:rPr>
        <w:t xml:space="preserve"> </w:t>
      </w:r>
      <w:r w:rsidRPr="005F0A67">
        <w:rPr>
          <w:rFonts w:asciiTheme="majorBidi" w:eastAsia="Arial" w:hAnsiTheme="majorBidi" w:cstheme="majorBidi"/>
          <w:color w:val="242424"/>
          <w:sz w:val="14"/>
          <w:szCs w:val="14"/>
          <w:lang w:val="en-US"/>
        </w:rPr>
        <w:t>simplified</w:t>
      </w:r>
      <w:r w:rsidRPr="005F0A67">
        <w:rPr>
          <w:rFonts w:asciiTheme="majorBidi" w:eastAsia="Arial" w:hAnsiTheme="majorBidi" w:cstheme="majorBidi"/>
          <w:color w:val="242424"/>
          <w:spacing w:val="-4"/>
          <w:sz w:val="14"/>
          <w:szCs w:val="14"/>
          <w:lang w:val="en-US"/>
        </w:rPr>
        <w:t xml:space="preserve"> </w:t>
      </w:r>
      <w:r w:rsidRPr="005F0A67">
        <w:rPr>
          <w:rFonts w:asciiTheme="majorBidi" w:eastAsia="Arial" w:hAnsiTheme="majorBidi" w:cstheme="majorBidi"/>
          <w:color w:val="242424"/>
          <w:sz w:val="14"/>
          <w:szCs w:val="14"/>
          <w:lang w:val="en-US"/>
        </w:rPr>
        <w:t>financial</w:t>
      </w:r>
      <w:r w:rsidRPr="005F0A67">
        <w:rPr>
          <w:rFonts w:asciiTheme="majorBidi" w:eastAsia="Arial" w:hAnsiTheme="majorBidi" w:cstheme="majorBidi"/>
          <w:color w:val="242424"/>
          <w:spacing w:val="-4"/>
          <w:sz w:val="14"/>
          <w:szCs w:val="14"/>
          <w:lang w:val="en-US"/>
        </w:rPr>
        <w:t xml:space="preserve"> </w:t>
      </w:r>
      <w:r w:rsidRPr="005F0A67">
        <w:rPr>
          <w:rFonts w:asciiTheme="majorBidi" w:eastAsia="Arial" w:hAnsiTheme="majorBidi" w:cstheme="majorBidi"/>
          <w:color w:val="242424"/>
          <w:sz w:val="14"/>
          <w:szCs w:val="14"/>
          <w:lang w:val="en-US"/>
        </w:rPr>
        <w:t>data</w:t>
      </w:r>
      <w:r w:rsidRPr="005F0A67">
        <w:rPr>
          <w:rFonts w:asciiTheme="majorBidi" w:eastAsia="Arial" w:hAnsiTheme="majorBidi" w:cstheme="majorBidi"/>
          <w:color w:val="242424"/>
          <w:spacing w:val="-4"/>
          <w:sz w:val="14"/>
          <w:szCs w:val="14"/>
          <w:lang w:val="en-US"/>
        </w:rPr>
        <w:t xml:space="preserve"> </w:t>
      </w:r>
      <w:r w:rsidRPr="005F0A67">
        <w:rPr>
          <w:rFonts w:asciiTheme="majorBidi" w:eastAsia="Arial" w:hAnsiTheme="majorBidi" w:cstheme="majorBidi"/>
          <w:color w:val="242424"/>
          <w:sz w:val="14"/>
          <w:szCs w:val="14"/>
          <w:lang w:val="en-US"/>
        </w:rPr>
        <w:t>using</w:t>
      </w:r>
      <w:r w:rsidRPr="005F0A67">
        <w:rPr>
          <w:rFonts w:asciiTheme="majorBidi" w:eastAsia="Arial" w:hAnsiTheme="majorBidi" w:cstheme="majorBidi"/>
          <w:color w:val="242424"/>
          <w:spacing w:val="-4"/>
          <w:sz w:val="14"/>
          <w:szCs w:val="14"/>
          <w:lang w:val="en-US"/>
        </w:rPr>
        <w:t xml:space="preserve"> </w:t>
      </w:r>
      <w:r w:rsidRPr="005F0A67">
        <w:rPr>
          <w:rFonts w:asciiTheme="majorBidi" w:eastAsia="Arial" w:hAnsiTheme="majorBidi" w:cstheme="majorBidi"/>
          <w:color w:val="242424"/>
          <w:sz w:val="14"/>
          <w:szCs w:val="14"/>
          <w:lang w:val="en-US"/>
        </w:rPr>
        <w:t>the</w:t>
      </w:r>
      <w:r w:rsidRPr="005F0A67">
        <w:rPr>
          <w:rFonts w:asciiTheme="majorBidi" w:eastAsia="Arial" w:hAnsiTheme="majorBidi" w:cstheme="majorBidi"/>
          <w:color w:val="242424"/>
          <w:spacing w:val="-4"/>
          <w:sz w:val="14"/>
          <w:szCs w:val="14"/>
          <w:lang w:val="en-US"/>
        </w:rPr>
        <w:t xml:space="preserve"> </w:t>
      </w:r>
      <w:r w:rsidRPr="005F0A67">
        <w:rPr>
          <w:rFonts w:asciiTheme="majorBidi" w:eastAsia="Arial" w:hAnsiTheme="majorBidi" w:cstheme="majorBidi"/>
          <w:color w:val="242424"/>
          <w:sz w:val="14"/>
          <w:szCs w:val="14"/>
          <w:lang w:val="en-US"/>
        </w:rPr>
        <w:t>Excel</w:t>
      </w:r>
      <w:r w:rsidRPr="005F0A67">
        <w:rPr>
          <w:rFonts w:asciiTheme="majorBidi" w:eastAsia="Arial" w:hAnsiTheme="majorBidi" w:cstheme="majorBidi"/>
          <w:color w:val="242424"/>
          <w:spacing w:val="-4"/>
          <w:sz w:val="14"/>
          <w:szCs w:val="14"/>
          <w:lang w:val="en-US"/>
        </w:rPr>
        <w:t xml:space="preserve"> </w:t>
      </w:r>
      <w:r w:rsidRPr="005F0A67">
        <w:rPr>
          <w:rFonts w:asciiTheme="majorBidi" w:eastAsia="Arial" w:hAnsiTheme="majorBidi" w:cstheme="majorBidi"/>
          <w:color w:val="242424"/>
          <w:sz w:val="14"/>
          <w:szCs w:val="14"/>
          <w:lang w:val="en-US"/>
        </w:rPr>
        <w:t>template</w:t>
      </w:r>
      <w:r w:rsidRPr="005F0A67">
        <w:rPr>
          <w:rFonts w:asciiTheme="majorBidi" w:eastAsia="Arial" w:hAnsiTheme="majorBidi" w:cstheme="majorBidi"/>
          <w:color w:val="242424"/>
          <w:spacing w:val="-4"/>
          <w:sz w:val="14"/>
          <w:szCs w:val="14"/>
          <w:lang w:val="en-US"/>
        </w:rPr>
        <w:t xml:space="preserve"> </w:t>
      </w:r>
      <w:r w:rsidRPr="005F0A67">
        <w:rPr>
          <w:rFonts w:asciiTheme="majorBidi" w:eastAsia="Arial" w:hAnsiTheme="majorBidi" w:cstheme="majorBidi"/>
          <w:color w:val="242424"/>
          <w:sz w:val="14"/>
          <w:szCs w:val="14"/>
          <w:lang w:val="en-US"/>
        </w:rPr>
        <w:t>attached</w:t>
      </w:r>
      <w:r w:rsidRPr="005F0A67">
        <w:rPr>
          <w:rFonts w:asciiTheme="majorBidi" w:eastAsia="Arial" w:hAnsiTheme="majorBidi" w:cstheme="majorBidi"/>
          <w:color w:val="242424"/>
          <w:spacing w:val="-4"/>
          <w:sz w:val="14"/>
          <w:szCs w:val="14"/>
          <w:lang w:val="en-US"/>
        </w:rPr>
        <w:t xml:space="preserve"> </w:t>
      </w:r>
      <w:r w:rsidRPr="005F0A67">
        <w:rPr>
          <w:rFonts w:asciiTheme="majorBidi" w:eastAsia="Arial" w:hAnsiTheme="majorBidi" w:cstheme="majorBidi"/>
          <w:color w:val="242424"/>
          <w:sz w:val="14"/>
          <w:szCs w:val="14"/>
          <w:lang w:val="en-US"/>
        </w:rPr>
        <w:t>to</w:t>
      </w:r>
      <w:r w:rsidRPr="005F0A67">
        <w:rPr>
          <w:rFonts w:asciiTheme="majorBidi" w:eastAsia="Arial" w:hAnsiTheme="majorBidi" w:cstheme="majorBidi"/>
          <w:color w:val="242424"/>
          <w:spacing w:val="-4"/>
          <w:sz w:val="14"/>
          <w:szCs w:val="14"/>
          <w:lang w:val="en-US"/>
        </w:rPr>
        <w:t xml:space="preserve"> </w:t>
      </w:r>
      <w:r w:rsidRPr="005F0A67">
        <w:rPr>
          <w:rFonts w:asciiTheme="majorBidi" w:eastAsia="Arial" w:hAnsiTheme="majorBidi" w:cstheme="majorBidi"/>
          <w:color w:val="242424"/>
          <w:sz w:val="14"/>
          <w:szCs w:val="14"/>
          <w:lang w:val="en-US"/>
        </w:rPr>
        <w:t>the</w:t>
      </w:r>
      <w:r w:rsidRPr="005F0A67">
        <w:rPr>
          <w:rFonts w:asciiTheme="majorBidi" w:eastAsia="Arial" w:hAnsiTheme="majorBidi" w:cstheme="majorBidi"/>
          <w:color w:val="242424"/>
          <w:spacing w:val="-4"/>
          <w:sz w:val="14"/>
          <w:szCs w:val="14"/>
          <w:lang w:val="en-US"/>
        </w:rPr>
        <w:t xml:space="preserve"> </w:t>
      </w:r>
      <w:r w:rsidRPr="005F0A67">
        <w:rPr>
          <w:rFonts w:asciiTheme="majorBidi" w:eastAsia="Arial" w:hAnsiTheme="majorBidi" w:cstheme="majorBidi"/>
          <w:color w:val="242424"/>
          <w:sz w:val="14"/>
          <w:szCs w:val="14"/>
          <w:lang w:val="en-US"/>
        </w:rPr>
        <w:t>invitation</w:t>
      </w:r>
      <w:r w:rsidRPr="005F0A67">
        <w:rPr>
          <w:rFonts w:asciiTheme="majorBidi" w:eastAsia="Arial" w:hAnsiTheme="majorBidi" w:cstheme="majorBidi"/>
          <w:color w:val="242424"/>
          <w:spacing w:val="-4"/>
          <w:sz w:val="14"/>
          <w:szCs w:val="14"/>
          <w:lang w:val="en-US"/>
        </w:rPr>
        <w:t xml:space="preserve"> </w:t>
      </w:r>
      <w:r w:rsidRPr="005F0A67">
        <w:rPr>
          <w:rFonts w:asciiTheme="majorBidi" w:eastAsia="Arial" w:hAnsiTheme="majorBidi" w:cstheme="majorBidi"/>
          <w:color w:val="242424"/>
          <w:sz w:val="14"/>
          <w:szCs w:val="14"/>
          <w:lang w:val="en-US"/>
        </w:rPr>
        <w:t>email.</w:t>
      </w:r>
      <w:r w:rsidRPr="005F0A67">
        <w:rPr>
          <w:rFonts w:asciiTheme="majorBidi" w:eastAsia="Arial" w:hAnsiTheme="majorBidi" w:cstheme="majorBidi"/>
          <w:color w:val="242424"/>
          <w:spacing w:val="-4"/>
          <w:sz w:val="14"/>
          <w:szCs w:val="14"/>
          <w:lang w:val="en-US"/>
        </w:rPr>
        <w:t xml:space="preserve"> </w:t>
      </w:r>
      <w:r w:rsidRPr="005F0A67">
        <w:rPr>
          <w:rFonts w:asciiTheme="majorBidi" w:eastAsia="Arial" w:hAnsiTheme="majorBidi" w:cstheme="majorBidi"/>
          <w:color w:val="242424"/>
          <w:sz w:val="14"/>
          <w:szCs w:val="14"/>
          <w:lang w:val="en-US"/>
        </w:rPr>
        <w:t>Please</w:t>
      </w:r>
      <w:r w:rsidRPr="005F0A67">
        <w:rPr>
          <w:rFonts w:asciiTheme="majorBidi" w:eastAsia="Arial" w:hAnsiTheme="majorBidi" w:cstheme="majorBidi"/>
          <w:color w:val="242424"/>
          <w:spacing w:val="-4"/>
          <w:sz w:val="14"/>
          <w:szCs w:val="14"/>
          <w:lang w:val="en-US"/>
        </w:rPr>
        <w:t xml:space="preserve"> </w:t>
      </w:r>
      <w:r w:rsidRPr="005F0A67">
        <w:rPr>
          <w:rFonts w:asciiTheme="majorBidi" w:eastAsia="Arial" w:hAnsiTheme="majorBidi" w:cstheme="majorBidi"/>
          <w:color w:val="242424"/>
          <w:sz w:val="14"/>
          <w:szCs w:val="14"/>
          <w:lang w:val="en-US"/>
        </w:rPr>
        <w:t>address</w:t>
      </w:r>
      <w:r w:rsidRPr="005F0A67">
        <w:rPr>
          <w:rFonts w:asciiTheme="majorBidi" w:eastAsia="Arial" w:hAnsiTheme="majorBidi" w:cstheme="majorBidi"/>
          <w:color w:val="242424"/>
          <w:spacing w:val="-4"/>
          <w:sz w:val="14"/>
          <w:szCs w:val="14"/>
          <w:lang w:val="en-US"/>
        </w:rPr>
        <w:t xml:space="preserve"> </w:t>
      </w:r>
      <w:r w:rsidRPr="005F0A67">
        <w:rPr>
          <w:rFonts w:asciiTheme="majorBidi" w:eastAsia="Arial" w:hAnsiTheme="majorBidi" w:cstheme="majorBidi"/>
          <w:color w:val="242424"/>
          <w:sz w:val="14"/>
          <w:szCs w:val="14"/>
          <w:lang w:val="en-US"/>
        </w:rPr>
        <w:t>it</w:t>
      </w:r>
      <w:r w:rsidRPr="005F0A67">
        <w:rPr>
          <w:rFonts w:asciiTheme="majorBidi" w:eastAsia="Arial" w:hAnsiTheme="majorBidi" w:cstheme="majorBidi"/>
          <w:color w:val="242424"/>
          <w:spacing w:val="-4"/>
          <w:sz w:val="14"/>
          <w:szCs w:val="14"/>
          <w:lang w:val="en-US"/>
        </w:rPr>
        <w:t xml:space="preserve"> </w:t>
      </w:r>
      <w:r w:rsidRPr="005F0A67">
        <w:rPr>
          <w:rFonts w:asciiTheme="majorBidi" w:eastAsia="Arial" w:hAnsiTheme="majorBidi" w:cstheme="majorBidi"/>
          <w:color w:val="242424"/>
          <w:sz w:val="14"/>
          <w:szCs w:val="14"/>
          <w:lang w:val="en-US"/>
        </w:rPr>
        <w:t>to</w:t>
      </w:r>
      <w:r w:rsidRPr="005F0A67">
        <w:rPr>
          <w:rFonts w:asciiTheme="majorBidi" w:eastAsia="Arial" w:hAnsiTheme="majorBidi" w:cstheme="majorBidi"/>
          <w:color w:val="242424"/>
          <w:spacing w:val="40"/>
          <w:sz w:val="14"/>
          <w:szCs w:val="14"/>
          <w:lang w:val="en-US"/>
        </w:rPr>
        <w:t xml:space="preserve"> </w:t>
      </w:r>
      <w:r w:rsidRPr="005F0A67">
        <w:rPr>
          <w:rFonts w:asciiTheme="majorBidi" w:eastAsia="Arial" w:hAnsiTheme="majorBidi" w:cstheme="majorBidi"/>
          <w:color w:val="242424"/>
          <w:sz w:val="14"/>
          <w:szCs w:val="14"/>
          <w:lang w:val="en-US"/>
        </w:rPr>
        <w:t>[contact details removed]</w:t>
      </w:r>
    </w:p>
    <w:p w14:paraId="5B3815A0" w14:textId="77777777" w:rsidR="005F0A67" w:rsidRPr="005F0A67" w:rsidRDefault="005F0A67" w:rsidP="005F0A67">
      <w:pPr>
        <w:widowControl w:val="0"/>
        <w:tabs>
          <w:tab w:val="clear" w:pos="567"/>
          <w:tab w:val="clear" w:pos="1134"/>
          <w:tab w:val="clear" w:pos="1701"/>
          <w:tab w:val="clear" w:pos="2268"/>
        </w:tabs>
        <w:spacing w:before="60"/>
        <w:jc w:val="left"/>
        <w:rPr>
          <w:rFonts w:asciiTheme="majorBidi" w:eastAsia="Arial" w:hAnsiTheme="majorBidi" w:cstheme="majorBidi"/>
          <w:sz w:val="14"/>
          <w:szCs w:val="14"/>
          <w:lang w:val="en-US"/>
        </w:rPr>
      </w:pPr>
    </w:p>
    <w:p w14:paraId="11A283F4" w14:textId="77777777" w:rsidR="005F0A67" w:rsidRPr="005F0A67" w:rsidRDefault="005F0A67" w:rsidP="003A387A">
      <w:pPr>
        <w:widowControl w:val="0"/>
        <w:numPr>
          <w:ilvl w:val="1"/>
          <w:numId w:val="47"/>
        </w:numPr>
        <w:tabs>
          <w:tab w:val="clear" w:pos="567"/>
          <w:tab w:val="clear" w:pos="1134"/>
          <w:tab w:val="clear" w:pos="1701"/>
          <w:tab w:val="clear" w:pos="2268"/>
        </w:tabs>
        <w:jc w:val="left"/>
        <w:rPr>
          <w:rFonts w:asciiTheme="majorBidi" w:eastAsia="Arial" w:hAnsiTheme="majorBidi" w:cstheme="majorBidi"/>
          <w:sz w:val="14"/>
          <w:szCs w:val="14"/>
          <w:lang w:val="en-US"/>
        </w:rPr>
      </w:pPr>
      <w:r w:rsidRPr="005F0A67">
        <w:rPr>
          <w:rFonts w:asciiTheme="majorBidi" w:eastAsia="Arial" w:hAnsiTheme="majorBidi" w:cstheme="majorBidi"/>
          <w:color w:val="242424"/>
          <w:sz w:val="14"/>
          <w:szCs w:val="14"/>
          <w:lang w:val="en-US"/>
        </w:rPr>
        <w:t>Skip this</w:t>
      </w:r>
      <w:r w:rsidRPr="005F0A67">
        <w:rPr>
          <w:rFonts w:asciiTheme="majorBidi" w:eastAsia="Arial" w:hAnsiTheme="majorBidi" w:cstheme="majorBidi"/>
          <w:color w:val="242424"/>
          <w:spacing w:val="1"/>
          <w:sz w:val="14"/>
          <w:szCs w:val="14"/>
          <w:lang w:val="en-US"/>
        </w:rPr>
        <w:t xml:space="preserve"> </w:t>
      </w:r>
      <w:r w:rsidRPr="005F0A67">
        <w:rPr>
          <w:rFonts w:asciiTheme="majorBidi" w:eastAsia="Arial" w:hAnsiTheme="majorBidi" w:cstheme="majorBidi"/>
          <w:color w:val="242424"/>
          <w:sz w:val="14"/>
          <w:szCs w:val="14"/>
          <w:lang w:val="en-US"/>
        </w:rPr>
        <w:t>section</w:t>
      </w:r>
      <w:r w:rsidRPr="005F0A67">
        <w:rPr>
          <w:rFonts w:asciiTheme="majorBidi" w:eastAsia="Arial" w:hAnsiTheme="majorBidi" w:cstheme="majorBidi"/>
          <w:color w:val="242424"/>
          <w:spacing w:val="1"/>
          <w:sz w:val="14"/>
          <w:szCs w:val="14"/>
          <w:lang w:val="en-US"/>
        </w:rPr>
        <w:t xml:space="preserve"> </w:t>
      </w:r>
      <w:r w:rsidRPr="005F0A67">
        <w:rPr>
          <w:rFonts w:asciiTheme="majorBidi" w:eastAsia="Arial" w:hAnsiTheme="majorBidi" w:cstheme="majorBidi"/>
          <w:color w:val="242424"/>
          <w:sz w:val="14"/>
          <w:szCs w:val="14"/>
          <w:lang w:val="en-US"/>
        </w:rPr>
        <w:t>if</w:t>
      </w:r>
      <w:r w:rsidRPr="005F0A67">
        <w:rPr>
          <w:rFonts w:asciiTheme="majorBidi" w:eastAsia="Arial" w:hAnsiTheme="majorBidi" w:cstheme="majorBidi"/>
          <w:color w:val="242424"/>
          <w:spacing w:val="1"/>
          <w:sz w:val="14"/>
          <w:szCs w:val="14"/>
          <w:lang w:val="en-US"/>
        </w:rPr>
        <w:t xml:space="preserve"> </w:t>
      </w:r>
      <w:r w:rsidRPr="005F0A67">
        <w:rPr>
          <w:rFonts w:asciiTheme="majorBidi" w:eastAsia="Arial" w:hAnsiTheme="majorBidi" w:cstheme="majorBidi"/>
          <w:color w:val="242424"/>
          <w:sz w:val="14"/>
          <w:szCs w:val="14"/>
          <w:lang w:val="en-US"/>
        </w:rPr>
        <w:t>you</w:t>
      </w:r>
      <w:r w:rsidRPr="005F0A67">
        <w:rPr>
          <w:rFonts w:asciiTheme="majorBidi" w:eastAsia="Arial" w:hAnsiTheme="majorBidi" w:cstheme="majorBidi"/>
          <w:color w:val="242424"/>
          <w:spacing w:val="1"/>
          <w:sz w:val="14"/>
          <w:szCs w:val="14"/>
          <w:lang w:val="en-US"/>
        </w:rPr>
        <w:t xml:space="preserve"> </w:t>
      </w:r>
      <w:r w:rsidRPr="005F0A67">
        <w:rPr>
          <w:rFonts w:asciiTheme="majorBidi" w:eastAsia="Arial" w:hAnsiTheme="majorBidi" w:cstheme="majorBidi"/>
          <w:color w:val="242424"/>
          <w:sz w:val="14"/>
          <w:szCs w:val="14"/>
          <w:lang w:val="en-US"/>
        </w:rPr>
        <w:t>prefer</w:t>
      </w:r>
      <w:r w:rsidRPr="005F0A67">
        <w:rPr>
          <w:rFonts w:asciiTheme="majorBidi" w:eastAsia="Arial" w:hAnsiTheme="majorBidi" w:cstheme="majorBidi"/>
          <w:color w:val="242424"/>
          <w:spacing w:val="1"/>
          <w:sz w:val="14"/>
          <w:szCs w:val="14"/>
          <w:lang w:val="en-US"/>
        </w:rPr>
        <w:t xml:space="preserve"> </w:t>
      </w:r>
      <w:r w:rsidRPr="005F0A67">
        <w:rPr>
          <w:rFonts w:asciiTheme="majorBidi" w:eastAsia="Arial" w:hAnsiTheme="majorBidi" w:cstheme="majorBidi"/>
          <w:color w:val="242424"/>
          <w:sz w:val="14"/>
          <w:szCs w:val="14"/>
          <w:lang w:val="en-US"/>
        </w:rPr>
        <w:t>not</w:t>
      </w:r>
      <w:r w:rsidRPr="005F0A67">
        <w:rPr>
          <w:rFonts w:asciiTheme="majorBidi" w:eastAsia="Arial" w:hAnsiTheme="majorBidi" w:cstheme="majorBidi"/>
          <w:color w:val="242424"/>
          <w:spacing w:val="1"/>
          <w:sz w:val="14"/>
          <w:szCs w:val="14"/>
          <w:lang w:val="en-US"/>
        </w:rPr>
        <w:t xml:space="preserve"> </w:t>
      </w:r>
      <w:r w:rsidRPr="005F0A67">
        <w:rPr>
          <w:rFonts w:asciiTheme="majorBidi" w:eastAsia="Arial" w:hAnsiTheme="majorBidi" w:cstheme="majorBidi"/>
          <w:color w:val="242424"/>
          <w:sz w:val="14"/>
          <w:szCs w:val="14"/>
          <w:lang w:val="en-US"/>
        </w:rPr>
        <w:t>to</w:t>
      </w:r>
      <w:r w:rsidRPr="005F0A67">
        <w:rPr>
          <w:rFonts w:asciiTheme="majorBidi" w:eastAsia="Arial" w:hAnsiTheme="majorBidi" w:cstheme="majorBidi"/>
          <w:color w:val="242424"/>
          <w:spacing w:val="1"/>
          <w:sz w:val="14"/>
          <w:szCs w:val="14"/>
          <w:lang w:val="en-US"/>
        </w:rPr>
        <w:t xml:space="preserve"> </w:t>
      </w:r>
      <w:r w:rsidRPr="005F0A67">
        <w:rPr>
          <w:rFonts w:asciiTheme="majorBidi" w:eastAsia="Arial" w:hAnsiTheme="majorBidi" w:cstheme="majorBidi"/>
          <w:color w:val="242424"/>
          <w:sz w:val="14"/>
          <w:szCs w:val="14"/>
          <w:lang w:val="en-US"/>
        </w:rPr>
        <w:t>provide your</w:t>
      </w:r>
      <w:r w:rsidRPr="005F0A67">
        <w:rPr>
          <w:rFonts w:asciiTheme="majorBidi" w:eastAsia="Arial" w:hAnsiTheme="majorBidi" w:cstheme="majorBidi"/>
          <w:color w:val="242424"/>
          <w:spacing w:val="1"/>
          <w:sz w:val="14"/>
          <w:szCs w:val="14"/>
          <w:lang w:val="en-US"/>
        </w:rPr>
        <w:t xml:space="preserve"> </w:t>
      </w:r>
      <w:r w:rsidRPr="005F0A67">
        <w:rPr>
          <w:rFonts w:asciiTheme="majorBidi" w:eastAsia="Arial" w:hAnsiTheme="majorBidi" w:cstheme="majorBidi"/>
          <w:color w:val="242424"/>
          <w:sz w:val="14"/>
          <w:szCs w:val="14"/>
          <w:lang w:val="en-US"/>
        </w:rPr>
        <w:t>financial</w:t>
      </w:r>
      <w:r w:rsidRPr="005F0A67">
        <w:rPr>
          <w:rFonts w:asciiTheme="majorBidi" w:eastAsia="Arial" w:hAnsiTheme="majorBidi" w:cstheme="majorBidi"/>
          <w:color w:val="242424"/>
          <w:spacing w:val="1"/>
          <w:sz w:val="14"/>
          <w:szCs w:val="14"/>
          <w:lang w:val="en-US"/>
        </w:rPr>
        <w:t xml:space="preserve"> </w:t>
      </w:r>
      <w:r w:rsidRPr="005F0A67">
        <w:rPr>
          <w:rFonts w:asciiTheme="majorBidi" w:eastAsia="Arial" w:hAnsiTheme="majorBidi" w:cstheme="majorBidi"/>
          <w:color w:val="242424"/>
          <w:spacing w:val="-2"/>
          <w:sz w:val="14"/>
          <w:szCs w:val="14"/>
          <w:lang w:val="en-US"/>
        </w:rPr>
        <w:t>data.</w:t>
      </w:r>
    </w:p>
    <w:p w14:paraId="718294E8" w14:textId="22ACDF8A" w:rsidR="00D363A9" w:rsidRPr="005F0A67" w:rsidRDefault="00D363A9" w:rsidP="005F0A67">
      <w:pPr>
        <w:tabs>
          <w:tab w:val="clear" w:pos="567"/>
          <w:tab w:val="clear" w:pos="1134"/>
          <w:tab w:val="clear" w:pos="1701"/>
          <w:tab w:val="clear" w:pos="2268"/>
        </w:tabs>
        <w:jc w:val="left"/>
        <w:rPr>
          <w:rFonts w:asciiTheme="majorBidi" w:hAnsiTheme="majorBidi" w:cstheme="majorBidi"/>
          <w:b/>
          <w:sz w:val="28"/>
          <w:lang w:val="en-US" w:bidi="ar-SY"/>
        </w:rPr>
      </w:pPr>
    </w:p>
    <w:sectPr w:rsidR="00D363A9" w:rsidRPr="005F0A67" w:rsidSect="005F0A67">
      <w:pgSz w:w="12240" w:h="15840"/>
      <w:pgMar w:top="1080" w:right="1260" w:bottom="1080" w:left="1260" w:header="706" w:footer="70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42787A" w14:textId="77777777" w:rsidR="00FC3D7B" w:rsidRPr="003F1A75" w:rsidRDefault="00FC3D7B" w:rsidP="00CF1848">
      <w:r w:rsidRPr="003F1A75">
        <w:separator/>
      </w:r>
    </w:p>
  </w:endnote>
  <w:endnote w:type="continuationSeparator" w:id="0">
    <w:p w14:paraId="7EAE6995" w14:textId="77777777" w:rsidR="00FC3D7B" w:rsidRPr="003F1A75" w:rsidRDefault="00FC3D7B"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Georgia">
    <w:panose1 w:val="02040502050405020303"/>
    <w:charset w:val="00"/>
    <w:family w:val="roman"/>
    <w:pitch w:val="variable"/>
    <w:sig w:usb0="00000287" w:usb1="00000000" w:usb2="00000000" w:usb3="00000000" w:csb0="0000009F" w:csb1="00000000"/>
  </w:font>
  <w:font w:name="Yu Mincho">
    <w:charset w:val="80"/>
    <w:family w:val="roman"/>
    <w:pitch w:val="variable"/>
    <w:sig w:usb0="800002E7" w:usb1="2AC7FCFF" w:usb2="00000012" w:usb3="00000000" w:csb0="0002009F" w:csb1="00000000"/>
  </w:font>
  <w:font w:name="Microsoft JhengHei">
    <w:panose1 w:val="020B0604030504040204"/>
    <w:charset w:val="88"/>
    <w:family w:val="swiss"/>
    <w:pitch w:val="variable"/>
    <w:sig w:usb0="000002A7" w:usb1="28CF4400" w:usb2="00000016" w:usb3="00000000" w:csb0="00100009" w:csb1="00000000"/>
  </w:font>
  <w:font w:name="Segoe UI Emoji">
    <w:panose1 w:val="020B0502040204020203"/>
    <w:charset w:val="00"/>
    <w:family w:val="swiss"/>
    <w:pitch w:val="variable"/>
    <w:sig w:usb0="00000003" w:usb1="02000000" w:usb2="08000000" w:usb3="00000000" w:csb0="00000001"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2504139"/>
      <w:docPartObj>
        <w:docPartGallery w:val="Page Numbers (Bottom of Page)"/>
        <w:docPartUnique/>
      </w:docPartObj>
    </w:sdtPr>
    <w:sdtEndPr>
      <w:rPr>
        <w:noProof/>
      </w:rPr>
    </w:sdtEndPr>
    <w:sdtContent>
      <w:p w14:paraId="13B22D6D" w14:textId="67455580" w:rsidR="00AF0F8C" w:rsidRDefault="00FC3D7B" w:rsidP="008B4B27">
        <w:pPr>
          <w:pStyle w:val="Footer"/>
          <w:ind w:right="400"/>
          <w:jc w:val="left"/>
        </w:pPr>
        <w:sdt>
          <w:sdtPr>
            <w:id w:val="1850138078"/>
            <w:docPartObj>
              <w:docPartGallery w:val="Page Numbers (Bottom of Page)"/>
              <w:docPartUnique/>
            </w:docPartObj>
          </w:sdtPr>
          <w:sdtEndPr/>
          <w:sdtContent>
            <w:sdt>
              <w:sdtPr>
                <w:id w:val="57609023"/>
                <w:docPartObj>
                  <w:docPartGallery w:val="Page Numbers (Top of Page)"/>
                  <w:docPartUnique/>
                </w:docPartObj>
              </w:sdtPr>
              <w:sdtEndPr/>
              <w:sdtContent>
                <w:r w:rsidR="003B5957" w:rsidRPr="00240408">
                  <w:rPr>
                    <w:szCs w:val="20"/>
                  </w:rPr>
                  <w:fldChar w:fldCharType="begin"/>
                </w:r>
                <w:r w:rsidR="003B5957" w:rsidRPr="00240408">
                  <w:rPr>
                    <w:szCs w:val="20"/>
                  </w:rPr>
                  <w:instrText xml:space="preserve"> PAGE </w:instrText>
                </w:r>
                <w:r w:rsidR="003B5957" w:rsidRPr="00240408">
                  <w:rPr>
                    <w:szCs w:val="20"/>
                  </w:rPr>
                  <w:fldChar w:fldCharType="separate"/>
                </w:r>
                <w:r w:rsidR="003B5957">
                  <w:rPr>
                    <w:szCs w:val="20"/>
                  </w:rPr>
                  <w:t>2</w:t>
                </w:r>
                <w:r w:rsidR="003B5957" w:rsidRPr="00240408">
                  <w:rPr>
                    <w:szCs w:val="20"/>
                  </w:rPr>
                  <w:fldChar w:fldCharType="end"/>
                </w:r>
                <w:r w:rsidR="003B5957" w:rsidRPr="00616C88">
                  <w:rPr>
                    <w:szCs w:val="20"/>
                  </w:rPr>
                  <w:t>/</w:t>
                </w:r>
                <w:r w:rsidR="003B5957" w:rsidRPr="00240408">
                  <w:rPr>
                    <w:szCs w:val="20"/>
                  </w:rPr>
                  <w:fldChar w:fldCharType="begin"/>
                </w:r>
                <w:r w:rsidR="003B5957" w:rsidRPr="00240408">
                  <w:rPr>
                    <w:szCs w:val="20"/>
                  </w:rPr>
                  <w:instrText xml:space="preserve"> NUMPAGES  </w:instrText>
                </w:r>
                <w:r w:rsidR="003B5957" w:rsidRPr="00240408">
                  <w:rPr>
                    <w:szCs w:val="20"/>
                  </w:rPr>
                  <w:fldChar w:fldCharType="separate"/>
                </w:r>
                <w:r w:rsidR="003B5957">
                  <w:rPr>
                    <w:szCs w:val="20"/>
                  </w:rPr>
                  <w:t>238</w:t>
                </w:r>
                <w:r w:rsidR="003B5957" w:rsidRPr="00240408">
                  <w:rPr>
                    <w:szCs w:val="20"/>
                  </w:rPr>
                  <w:fldChar w:fldCharType="end"/>
                </w:r>
              </w:sdtContent>
            </w:sdt>
          </w:sdtContent>
        </w:sdt>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B9ABA" w14:textId="69EE0C07" w:rsidR="005F0A67" w:rsidRPr="008B4B27" w:rsidRDefault="00FC3D7B" w:rsidP="008B4B27">
    <w:pPr>
      <w:pStyle w:val="Footer"/>
      <w:jc w:val="right"/>
      <w:rPr>
        <w:sz w:val="22"/>
      </w:rPr>
    </w:pPr>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r w:rsidR="003B5957" w:rsidRPr="00240408">
              <w:rPr>
                <w:szCs w:val="20"/>
              </w:rPr>
              <w:fldChar w:fldCharType="begin"/>
            </w:r>
            <w:r w:rsidR="003B5957" w:rsidRPr="00240408">
              <w:rPr>
                <w:szCs w:val="20"/>
              </w:rPr>
              <w:instrText xml:space="preserve"> PAGE </w:instrText>
            </w:r>
            <w:r w:rsidR="003B5957" w:rsidRPr="00240408">
              <w:rPr>
                <w:szCs w:val="20"/>
              </w:rPr>
              <w:fldChar w:fldCharType="separate"/>
            </w:r>
            <w:r w:rsidR="003B5957">
              <w:rPr>
                <w:szCs w:val="20"/>
              </w:rPr>
              <w:t>2</w:t>
            </w:r>
            <w:r w:rsidR="003B5957" w:rsidRPr="00240408">
              <w:rPr>
                <w:szCs w:val="20"/>
              </w:rPr>
              <w:fldChar w:fldCharType="end"/>
            </w:r>
            <w:r w:rsidR="003B5957" w:rsidRPr="00616C88">
              <w:rPr>
                <w:szCs w:val="20"/>
              </w:rPr>
              <w:t>/</w:t>
            </w:r>
            <w:r w:rsidR="003B5957" w:rsidRPr="00240408">
              <w:rPr>
                <w:szCs w:val="20"/>
              </w:rPr>
              <w:fldChar w:fldCharType="begin"/>
            </w:r>
            <w:r w:rsidR="003B5957" w:rsidRPr="00240408">
              <w:rPr>
                <w:szCs w:val="20"/>
              </w:rPr>
              <w:instrText xml:space="preserve"> NUMPAGES  </w:instrText>
            </w:r>
            <w:r w:rsidR="003B5957" w:rsidRPr="00240408">
              <w:rPr>
                <w:szCs w:val="20"/>
              </w:rPr>
              <w:fldChar w:fldCharType="separate"/>
            </w:r>
            <w:r w:rsidR="003B5957">
              <w:rPr>
                <w:szCs w:val="20"/>
              </w:rPr>
              <w:t>238</w:t>
            </w:r>
            <w:r w:rsidR="003B5957" w:rsidRPr="00240408">
              <w:rPr>
                <w:szCs w:val="20"/>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7750A7" w14:textId="77777777" w:rsidR="00FC3D7B" w:rsidRPr="003F1A75" w:rsidRDefault="00FC3D7B" w:rsidP="00CF1848">
      <w:r w:rsidRPr="003F1A75">
        <w:separator/>
      </w:r>
    </w:p>
  </w:footnote>
  <w:footnote w:type="continuationSeparator" w:id="0">
    <w:p w14:paraId="6673164D" w14:textId="77777777" w:rsidR="00FC3D7B" w:rsidRPr="003F1A75" w:rsidRDefault="00FC3D7B" w:rsidP="00CF1848">
      <w:r w:rsidRPr="003F1A75">
        <w:continuationSeparator/>
      </w:r>
    </w:p>
  </w:footnote>
  <w:footnote w:id="1">
    <w:p w14:paraId="7F35A5FD" w14:textId="3166B6E0" w:rsidR="008A1499" w:rsidRPr="003F1A75" w:rsidRDefault="008A1499">
      <w:pPr>
        <w:pStyle w:val="FootnoteText"/>
      </w:pPr>
      <w:r w:rsidRPr="003F1A75">
        <w:rPr>
          <w:rStyle w:val="FootnoteReference"/>
        </w:rPr>
        <w:t>*</w:t>
      </w:r>
      <w:r w:rsidRPr="003F1A75">
        <w:t xml:space="preserve"> </w:t>
      </w:r>
      <w:hyperlink r:id="rId1" w:history="1">
        <w:r w:rsidRPr="002F6E18">
          <w:rPr>
            <w:rStyle w:val="Hyperlink"/>
          </w:rPr>
          <w:t>CBD/</w:t>
        </w:r>
        <w:r w:rsidR="00240EE6" w:rsidRPr="002F6E18">
          <w:rPr>
            <w:rStyle w:val="Hyperlink"/>
          </w:rPr>
          <w:t>COP</w:t>
        </w:r>
        <w:r w:rsidRPr="002F6E18">
          <w:rPr>
            <w:rStyle w:val="Hyperlink"/>
          </w:rPr>
          <w:t>/</w:t>
        </w:r>
        <w:r w:rsidR="00240EE6" w:rsidRPr="002F6E18">
          <w:rPr>
            <w:rStyle w:val="Hyperlink"/>
          </w:rPr>
          <w:t>17/</w:t>
        </w:r>
        <w:r w:rsidRPr="002F6E18">
          <w:rPr>
            <w:rStyle w:val="Hyperlink"/>
          </w:rPr>
          <w:t>1</w:t>
        </w:r>
      </w:hyperlink>
      <w:r w:rsidRPr="003F1A75">
        <w:t>.</w:t>
      </w:r>
    </w:p>
  </w:footnote>
  <w:footnote w:id="2">
    <w:p w14:paraId="4438A891" w14:textId="3BB38C45" w:rsidR="006D18BD" w:rsidRPr="006D18BD" w:rsidRDefault="006D18BD">
      <w:pPr>
        <w:pStyle w:val="FootnoteText"/>
      </w:pPr>
      <w:r>
        <w:rPr>
          <w:rStyle w:val="FootnoteReference"/>
        </w:rPr>
        <w:t>**</w:t>
      </w:r>
      <w:r>
        <w:t xml:space="preserve"> The present document is being issued without formal editing.</w:t>
      </w:r>
    </w:p>
  </w:footnote>
  <w:footnote w:id="3">
    <w:p w14:paraId="21153910" w14:textId="55AF8B75" w:rsidR="00EB2297" w:rsidRPr="00EB2297" w:rsidRDefault="00EB2297">
      <w:pPr>
        <w:pStyle w:val="FootnoteText"/>
      </w:pPr>
      <w:r>
        <w:rPr>
          <w:rStyle w:val="FootnoteReference"/>
        </w:rPr>
        <w:footnoteRef/>
      </w:r>
      <w:r>
        <w:t xml:space="preserve"> Parties are Japan, United Kingdom of Great Britain and Northern Ireland, Brazil, Colombia, India, Republic of Korea, and the European Union and its Member States. Observers are </w:t>
      </w:r>
      <w:r w:rsidRPr="00EB2297">
        <w:t>KEIDANREN (Japan Business Federation)</w:t>
      </w:r>
      <w:r>
        <w:t xml:space="preserve">, the </w:t>
      </w:r>
      <w:r w:rsidRPr="00EB2297">
        <w:t xml:space="preserve">UK </w:t>
      </w:r>
      <w:proofErr w:type="spellStart"/>
      <w:r w:rsidRPr="00EB2297">
        <w:t>BioIndustry</w:t>
      </w:r>
      <w:proofErr w:type="spellEnd"/>
      <w:r w:rsidRPr="00EB2297">
        <w:t xml:space="preserve"> Association (BIA)</w:t>
      </w:r>
      <w:r>
        <w:t xml:space="preserve">, the </w:t>
      </w:r>
      <w:r w:rsidRPr="00EB2297">
        <w:t>Brazilian National Confederation of Industry (CNI)</w:t>
      </w:r>
      <w:r>
        <w:t xml:space="preserve">, </w:t>
      </w:r>
      <w:r w:rsidRPr="00EB2297">
        <w:t xml:space="preserve">Grupo </w:t>
      </w:r>
      <w:proofErr w:type="spellStart"/>
      <w:r w:rsidRPr="00EB2297">
        <w:t>FarmaBrasil</w:t>
      </w:r>
      <w:proofErr w:type="spellEnd"/>
      <w:r w:rsidRPr="00EB2297">
        <w:t xml:space="preserve"> (GFB)</w:t>
      </w:r>
      <w:r>
        <w:t>, t</w:t>
      </w:r>
      <w:r w:rsidRPr="00EB2297">
        <w:t xml:space="preserve">he Brazilian </w:t>
      </w:r>
      <w:proofErr w:type="spellStart"/>
      <w:r w:rsidRPr="00EB2297">
        <w:t>Bioinnovation</w:t>
      </w:r>
      <w:proofErr w:type="spellEnd"/>
      <w:r w:rsidRPr="00EB2297">
        <w:t xml:space="preserve"> Association (ABBI)</w:t>
      </w:r>
      <w:r>
        <w:t xml:space="preserve">, </w:t>
      </w:r>
      <w:r w:rsidRPr="00EB2297">
        <w:t xml:space="preserve">Nascimento e Mourão </w:t>
      </w:r>
      <w:proofErr w:type="spellStart"/>
      <w:r w:rsidRPr="00EB2297">
        <w:t>Sociedade</w:t>
      </w:r>
      <w:proofErr w:type="spellEnd"/>
      <w:r w:rsidRPr="00EB2297">
        <w:t xml:space="preserve"> de </w:t>
      </w:r>
      <w:proofErr w:type="spellStart"/>
      <w:r w:rsidRPr="00EB2297">
        <w:t>Advogados</w:t>
      </w:r>
      <w:proofErr w:type="spellEnd"/>
      <w:r w:rsidRPr="00EB2297">
        <w:t xml:space="preserve"> (in Portuguese, NMSA)</w:t>
      </w:r>
      <w:r>
        <w:t xml:space="preserve">, the International Chamber of Commerce, </w:t>
      </w:r>
      <w:r w:rsidRPr="00EB2297">
        <w:t>Biz N Biodiversity Platform</w:t>
      </w:r>
      <w:r>
        <w:t xml:space="preserve"> </w:t>
      </w:r>
      <w:r w:rsidRPr="00EB2297">
        <w:t>(BNBP)</w:t>
      </w:r>
      <w:r>
        <w:t xml:space="preserve">, and the London School of Economics. </w:t>
      </w:r>
    </w:p>
  </w:footnote>
  <w:footnote w:id="4">
    <w:p w14:paraId="6FC4C435" w14:textId="77777777" w:rsidR="005F0A67" w:rsidRPr="00572991" w:rsidRDefault="005F0A67" w:rsidP="005F0A67">
      <w:pPr>
        <w:pStyle w:val="Calinormal"/>
      </w:pPr>
      <w:r w:rsidRPr="00572991">
        <w:rPr>
          <w:rStyle w:val="FootnoteReference"/>
          <w:rFonts w:cs="Tahoma"/>
        </w:rPr>
        <w:footnoteRef/>
      </w:r>
      <w:r w:rsidRPr="00572991">
        <w:t xml:space="preserve"> </w:t>
      </w:r>
      <w:r w:rsidRPr="00572991">
        <w:fldChar w:fldCharType="begin"/>
      </w:r>
      <w:r>
        <w:instrText xml:space="preserve"> ADDIN ZOTERO_ITEM CSL_CITATION {"citationID":"at5i454ck","properties":{"unsorted":false,"formattedCitation":"(ITPGRFA Secretariat, 2022; FAO, 2025c)","plainCitation":"(ITPGRFA Secretariat, 2022; FAO, 2025c)","noteIndex":1},"citationItems":[{"id":337,"uris":["http://zotero.org/users/14977742/items/JDPQ6ASQ"],"itemData":{"id":337,"type":"book","citation-key":"BenefitsharingFund202020212022","DOI":"10.4060/cc2245en","ISBN":"978-92-5-136943-2","language":"en","publisher":"FAO","source":"DOI.org (Crossref)","title":"The Benefit-sharing Fund: 2020–2021 report","title-short":"The Benefit-sharing Fund","URL":"http://www.fao.org/documents/card/en/c/cc2245en","author":[{"literal":"ITPGRFA Secretariat"}],"accessed":{"date-parts":[["2026",5,9]]},"issued":{"date-parts":[["2022",11,29]]}}},{"id":334,"uris":["http://zotero.org/users/14977742/items/8F5W9REQ"],"itemData":{"id":334,"type":"book","citation-key":"itpgrfasecretariatBenefitsharingFund202020212022","language":"en","publisher":"FAO","publisher-place":"Rome","source":"DOI.org (Crossref)","title":"The Benefit-sharing Fund: 2024–2025 report","title-short":"The Benefit-sharing Fund","URL":"https://www.fao.org/3/cd6950en/cd6950en.pdf","author":[{"literal":"FAO"}],"accessed":{"date-parts":[["2026",5,9]]},"issued":{"date-parts":[["2025"]]}}}],"schema":"https://github.com/citation-style-language/schema/raw/master/csl-citation.json"} </w:instrText>
      </w:r>
      <w:r w:rsidRPr="00572991">
        <w:fldChar w:fldCharType="separate"/>
      </w:r>
      <w:r w:rsidRPr="00572991">
        <w:rPr>
          <w:rFonts w:eastAsia="Georgia"/>
          <w:color w:val="000000"/>
          <w:sz w:val="20"/>
          <w:lang w:val="en-GB"/>
        </w:rPr>
        <w:t>(ITPGRFA Secretariat, 2022; FAO, 2025c)</w:t>
      </w:r>
      <w:r w:rsidRPr="00572991">
        <w:fldChar w:fldCharType="end"/>
      </w:r>
    </w:p>
  </w:footnote>
  <w:footnote w:id="5">
    <w:p w14:paraId="6AA81412" w14:textId="77777777" w:rsidR="005F0A67" w:rsidRPr="00572991" w:rsidRDefault="005F0A67" w:rsidP="005F0A67">
      <w:pPr>
        <w:pStyle w:val="FootnoteText"/>
        <w:rPr>
          <w:rFonts w:ascii="Tahoma" w:hAnsi="Tahoma" w:cs="Tahoma"/>
        </w:rPr>
      </w:pPr>
      <w:r w:rsidRPr="00572991">
        <w:rPr>
          <w:rStyle w:val="FootnoteReference"/>
          <w:rFonts w:ascii="Tahoma" w:hAnsi="Tahoma" w:cs="Tahoma"/>
        </w:rPr>
        <w:footnoteRef/>
      </w:r>
      <w:r w:rsidRPr="00572991">
        <w:rPr>
          <w:rFonts w:ascii="Tahoma" w:hAnsi="Tahoma" w:cs="Tahoma"/>
        </w:rPr>
        <w:t xml:space="preserve"> </w:t>
      </w:r>
      <w:r>
        <w:rPr>
          <w:rFonts w:ascii="Tahoma" w:hAnsi="Tahoma" w:cs="Tahoma"/>
        </w:rPr>
        <w:t xml:space="preserve">Article 2, Convention on Biological Diversity </w:t>
      </w:r>
      <w:r w:rsidRPr="00572991">
        <w:rPr>
          <w:rFonts w:ascii="Tahoma" w:hAnsi="Tahoma" w:cs="Tahoma"/>
        </w:rPr>
        <w:fldChar w:fldCharType="begin"/>
      </w:r>
      <w:r w:rsidRPr="00572991">
        <w:rPr>
          <w:rFonts w:ascii="Tahoma" w:hAnsi="Tahoma" w:cs="Tahoma"/>
        </w:rPr>
        <w:instrText xml:space="preserve"> ADDIN ZOTERO_ITEM CSL_CITATION {"citationID":"wtvCxJNg","properties":{"formattedCitation":"(CBD, 2011)","plainCitation":"(CBD, 2011)","noteIndex":2},"citationItems":[{"id":553,"uris":["http://zotero.org/users/14977742/items/ILH3XW54"],"itemData":{"id":553,"type":"report","citation-key":"cbdAccessBenefitsharingInformation2011","title":"Access and benefit-sharing information kit: Introduction to access and benefit-sharing","URL":"https://www.cbd.int/abs/infokit/revised/web/all-files-en.pdf","author":[{"literal":"CBD"}],"issued":{"date-parts":[["2011"]]}}}],"schema":"https://github.com/citation-style-language/schema/raw/master/csl-citation.json"} </w:instrText>
      </w:r>
      <w:r w:rsidRPr="00572991">
        <w:rPr>
          <w:rFonts w:ascii="Tahoma" w:hAnsi="Tahoma" w:cs="Tahoma"/>
        </w:rPr>
        <w:fldChar w:fldCharType="separate"/>
      </w:r>
      <w:r w:rsidRPr="00572991">
        <w:rPr>
          <w:rFonts w:ascii="Tahoma" w:hAnsi="Tahoma" w:cs="Tahoma"/>
          <w:noProof/>
        </w:rPr>
        <w:t>(CBD, 2011)</w:t>
      </w:r>
      <w:r w:rsidRPr="00572991">
        <w:rPr>
          <w:rFonts w:ascii="Tahoma" w:hAnsi="Tahoma" w:cs="Tahoma"/>
        </w:rPr>
        <w:fldChar w:fldCharType="end"/>
      </w:r>
    </w:p>
  </w:footnote>
  <w:footnote w:id="6">
    <w:p w14:paraId="4D16E941" w14:textId="77777777" w:rsidR="005F0A67" w:rsidRPr="00380BE4" w:rsidRDefault="005F0A67" w:rsidP="005F0A67">
      <w:pPr>
        <w:pStyle w:val="FootnoteText"/>
        <w:rPr>
          <w:rFonts w:ascii="Tahoma" w:hAnsi="Tahoma" w:cs="Tahoma"/>
          <w:lang w:val="en-CA"/>
        </w:rPr>
      </w:pPr>
      <w:r w:rsidRPr="00572991">
        <w:rPr>
          <w:rStyle w:val="FootnoteReference"/>
          <w:rFonts w:ascii="Tahoma" w:hAnsi="Tahoma" w:cs="Tahoma"/>
        </w:rPr>
        <w:footnoteRef/>
      </w:r>
      <w:r w:rsidRPr="00380BE4">
        <w:rPr>
          <w:rFonts w:ascii="Tahoma" w:hAnsi="Tahoma" w:cs="Tahoma"/>
          <w:lang w:val="en-CA"/>
        </w:rPr>
        <w:t xml:space="preserve"> </w:t>
      </w:r>
      <w:r w:rsidRPr="00572991">
        <w:rPr>
          <w:rFonts w:ascii="Tahoma" w:hAnsi="Tahoma" w:cs="Tahoma"/>
        </w:rPr>
        <w:fldChar w:fldCharType="begin"/>
      </w:r>
      <w:r w:rsidRPr="00380BE4">
        <w:rPr>
          <w:rFonts w:ascii="Tahoma" w:hAnsi="Tahoma" w:cs="Tahoma"/>
          <w:lang w:val="en-CA"/>
        </w:rPr>
        <w:instrText xml:space="preserve"> ADDIN ZOTERO_ITEM CSL_CITATION {"citationID":"ZPlyS0WV","properties":{"formattedCitation":"(CBD, 2022)","plainCitation":"(CBD, 2022)","noteIndex":3},"citationItems":[{"id":612,"uris":["http://zotero.org/users/14977742/items/GH7RJNNA"],"itemData":{"id":612,"type":"article-journal","citation-key":"cbdDecision1592022","container-title":"Fifteenth meeting of the Conference of the Parties to the Convention on Biological Diversity (COP 15)","title":"Decision 15/9: Digital sequence information on genetic resources","URL":"https://www.cbd.int/doc/decisions/cop-15/cop-15-dec-09-en.pdf","author":[{"literal":"CBD"}],"issued":{"date-parts":[["2022"]]}}}],"schema":"https://github.com/citation-style-language/schema/raw/master/csl-citation.json"} </w:instrText>
      </w:r>
      <w:r w:rsidRPr="00572991">
        <w:rPr>
          <w:rFonts w:ascii="Tahoma" w:hAnsi="Tahoma" w:cs="Tahoma"/>
        </w:rPr>
        <w:fldChar w:fldCharType="separate"/>
      </w:r>
      <w:r w:rsidRPr="00380BE4">
        <w:rPr>
          <w:rFonts w:ascii="Tahoma" w:hAnsi="Tahoma" w:cs="Tahoma"/>
          <w:noProof/>
          <w:lang w:val="en-CA"/>
        </w:rPr>
        <w:t>(CBD, 2022)</w:t>
      </w:r>
      <w:r w:rsidRPr="00572991">
        <w:rPr>
          <w:rFonts w:ascii="Tahoma" w:hAnsi="Tahoma" w:cs="Tahoma"/>
        </w:rPr>
        <w:fldChar w:fldCharType="end"/>
      </w:r>
    </w:p>
  </w:footnote>
  <w:footnote w:id="7">
    <w:p w14:paraId="02FF3FFA" w14:textId="77777777" w:rsidR="005F0A67" w:rsidRPr="00380BE4" w:rsidRDefault="005F0A67" w:rsidP="005F0A67">
      <w:pPr>
        <w:pStyle w:val="FootnoteText"/>
        <w:rPr>
          <w:rFonts w:ascii="Tahoma" w:hAnsi="Tahoma" w:cs="Tahoma"/>
          <w:lang w:val="en-CA"/>
        </w:rPr>
      </w:pPr>
      <w:r w:rsidRPr="00572991">
        <w:rPr>
          <w:rStyle w:val="FootnoteReference"/>
          <w:rFonts w:ascii="Tahoma" w:hAnsi="Tahoma" w:cs="Tahoma"/>
        </w:rPr>
        <w:footnoteRef/>
      </w:r>
      <w:r w:rsidRPr="00380BE4">
        <w:rPr>
          <w:rFonts w:ascii="Tahoma" w:hAnsi="Tahoma" w:cs="Tahoma"/>
          <w:lang w:val="en-CA"/>
        </w:rPr>
        <w:t xml:space="preserve"> </w:t>
      </w:r>
      <w:r w:rsidRPr="00572991">
        <w:rPr>
          <w:rFonts w:ascii="Tahoma" w:hAnsi="Tahoma" w:cs="Tahoma"/>
        </w:rPr>
        <w:fldChar w:fldCharType="begin"/>
      </w:r>
      <w:r w:rsidRPr="00380BE4">
        <w:rPr>
          <w:rFonts w:ascii="Tahoma" w:hAnsi="Tahoma" w:cs="Tahoma"/>
          <w:lang w:val="en-CA"/>
        </w:rPr>
        <w:instrText xml:space="preserve"> ADDIN ZOTERO_ITEM CSL_CITATION {"citationID":"qIexsj0Z","properties":{"formattedCitation":"(CBD, 2024a)","plainCitation":"(CBD, 2024a)","noteIndex":4},"citationItems":[{"id":611,"uris":["http://zotero.org/users/14977742/items/33BGLU4L"],"itemData":{"id":611,"type":"article-journal","citation-key":"cbdDecision1622024","container-title":"Sixteenth meeting of the Conference of the Parties to the Convention on Biological Diversity (COP 16)","title":"Decision 16/2: Digital sequence information on genetic resources","URL":"https://www.cbd.int/doc/decisions/cop-16/cop-16-dec-02-en.pdf","author":[{"literal":"CBD"}],"issued":{"date-parts":[["2024"]]}}}],"schema":"https://github.com/citation-style-language/schema/raw/master/csl-citation.json"} </w:instrText>
      </w:r>
      <w:r w:rsidRPr="00572991">
        <w:rPr>
          <w:rFonts w:ascii="Tahoma" w:hAnsi="Tahoma" w:cs="Tahoma"/>
        </w:rPr>
        <w:fldChar w:fldCharType="separate"/>
      </w:r>
      <w:r w:rsidRPr="00380BE4">
        <w:rPr>
          <w:rFonts w:ascii="Tahoma" w:hAnsi="Tahoma" w:cs="Tahoma"/>
          <w:noProof/>
          <w:lang w:val="en-CA"/>
        </w:rPr>
        <w:t>(CBD, 2024a)</w:t>
      </w:r>
      <w:r w:rsidRPr="00572991">
        <w:rPr>
          <w:rFonts w:ascii="Tahoma" w:hAnsi="Tahoma" w:cs="Tahoma"/>
        </w:rPr>
        <w:fldChar w:fldCharType="end"/>
      </w:r>
    </w:p>
  </w:footnote>
  <w:footnote w:id="8">
    <w:p w14:paraId="154619BD" w14:textId="77777777" w:rsidR="005F0A67" w:rsidRPr="00380BE4" w:rsidRDefault="005F0A67" w:rsidP="005F0A67">
      <w:pPr>
        <w:pStyle w:val="FootnoteText"/>
        <w:rPr>
          <w:rFonts w:ascii="Tahoma" w:hAnsi="Tahoma" w:cs="Tahoma"/>
          <w:lang w:val="en-CA"/>
        </w:rPr>
      </w:pPr>
      <w:r w:rsidRPr="00572991">
        <w:rPr>
          <w:rStyle w:val="FootnoteReference"/>
          <w:rFonts w:ascii="Tahoma" w:hAnsi="Tahoma" w:cs="Tahoma"/>
        </w:rPr>
        <w:footnoteRef/>
      </w:r>
      <w:r w:rsidRPr="00380BE4">
        <w:rPr>
          <w:rFonts w:ascii="Tahoma" w:hAnsi="Tahoma" w:cs="Tahoma"/>
          <w:lang w:val="en-CA"/>
        </w:rPr>
        <w:t xml:space="preserve"> </w:t>
      </w:r>
      <w:r w:rsidRPr="00572991">
        <w:rPr>
          <w:rFonts w:ascii="Tahoma" w:hAnsi="Tahoma" w:cs="Tahoma"/>
        </w:rPr>
        <w:fldChar w:fldCharType="begin"/>
      </w:r>
      <w:r w:rsidRPr="00380BE4">
        <w:rPr>
          <w:rFonts w:ascii="Tahoma" w:hAnsi="Tahoma" w:cs="Tahoma"/>
          <w:lang w:val="en-CA"/>
        </w:rPr>
        <w:instrText xml:space="preserve"> ADDIN ZOTERO_ITEM CSL_CITATION {"citationID":"dXLYjhI8","properties":{"formattedCitation":"(UN MPTFO, no date)","plainCitation":"(UN MPTFO, no date)","noteIndex":5},"citationItems":[{"id":609,"uris":["http://zotero.org/users/14977742/items/XV6QT4S4"],"itemData":{"id":609,"type":"webpage","abstract":"The United Nations Multi-Partner Trust Fund Office (MPTFO) is the centre of expertise in pooled funding.","citation-key":"unmptfoWhoWeAre","language":"en","title":"Who we are | MPTF Office","URL":"http://mptf.undp.org/page/who-we-are","author":[{"literal":"UN MPTFO"}],"accessed":{"date-parts":[["2025",12,17]]}}}],"schema":"https://github.com/citation-style-language/schema/raw/master/csl-citation.json"} </w:instrText>
      </w:r>
      <w:r w:rsidRPr="00572991">
        <w:rPr>
          <w:rFonts w:ascii="Tahoma" w:hAnsi="Tahoma" w:cs="Tahoma"/>
        </w:rPr>
        <w:fldChar w:fldCharType="separate"/>
      </w:r>
      <w:r w:rsidRPr="00380BE4">
        <w:rPr>
          <w:rFonts w:ascii="Tahoma" w:hAnsi="Tahoma" w:cs="Tahoma"/>
          <w:noProof/>
          <w:lang w:val="en-CA"/>
        </w:rPr>
        <w:t>(UN MPTFO, no date)</w:t>
      </w:r>
      <w:r w:rsidRPr="00572991">
        <w:rPr>
          <w:rFonts w:ascii="Tahoma" w:hAnsi="Tahoma" w:cs="Tahoma"/>
        </w:rPr>
        <w:fldChar w:fldCharType="end"/>
      </w:r>
    </w:p>
  </w:footnote>
  <w:footnote w:id="9">
    <w:p w14:paraId="3D5618D1" w14:textId="77777777" w:rsidR="005F0A67" w:rsidRPr="00572991" w:rsidRDefault="005F0A67" w:rsidP="005F0A67">
      <w:pPr>
        <w:pStyle w:val="FootnoteText"/>
        <w:rPr>
          <w:rFonts w:ascii="Tahoma" w:hAnsi="Tahoma" w:cs="Tahoma"/>
        </w:rPr>
      </w:pPr>
      <w:r w:rsidRPr="00572991">
        <w:rPr>
          <w:rStyle w:val="FootnoteReference"/>
          <w:rFonts w:ascii="Tahoma" w:hAnsi="Tahoma" w:cs="Tahoma"/>
        </w:rPr>
        <w:footnoteRef/>
      </w:r>
      <w:r w:rsidRPr="00572991">
        <w:rPr>
          <w:rFonts w:ascii="Tahoma" w:hAnsi="Tahoma" w:cs="Tahoma"/>
        </w:rPr>
        <w:t xml:space="preserve"> CBD/COP/DEC/16/2 </w:t>
      </w:r>
      <w:r w:rsidRPr="00572991">
        <w:rPr>
          <w:rFonts w:ascii="Tahoma" w:hAnsi="Tahoma" w:cs="Tahoma"/>
        </w:rPr>
        <w:fldChar w:fldCharType="begin"/>
      </w:r>
      <w:r w:rsidRPr="00572991">
        <w:rPr>
          <w:rFonts w:ascii="Tahoma" w:hAnsi="Tahoma" w:cs="Tahoma"/>
        </w:rPr>
        <w:instrText xml:space="preserve"> ADDIN ZOTERO_ITEM CSL_CITATION {"citationID":"dzQ24iNh","properties":{"unsorted":false,"formattedCitation":"(CBD, 2024a)","plainCitation":"(CBD, 2024a)","noteIndex":6},"citationItems":[{"id":611,"uris":["http://zotero.org/users/14977742/items/33BGLU4L"],"itemData":{"id":611,"type":"article-journal","citation-key":"cbdDecision1622024","container-title":"Sixteenth meeting of the Conference of the Parties to the Convention on Biological Diversity (COP 16)","title":"Decision 16/2: Digital sequence information on genetic resources","URL":"https://www.cbd.int/doc/decisions/cop-16/cop-16-dec-02-en.pdf","author":[{"literal":"CBD"}],"issued":{"date-parts":[["2024"]]}}}],"schema":"https://github.com/citation-style-language/schema/raw/master/csl-citation.json"} </w:instrText>
      </w:r>
      <w:r w:rsidRPr="00572991">
        <w:rPr>
          <w:rFonts w:ascii="Tahoma" w:hAnsi="Tahoma" w:cs="Tahoma"/>
        </w:rPr>
        <w:fldChar w:fldCharType="separate"/>
      </w:r>
      <w:r w:rsidRPr="00572991">
        <w:rPr>
          <w:rFonts w:ascii="Tahoma" w:hAnsi="Tahoma" w:cs="Tahoma"/>
          <w:noProof/>
        </w:rPr>
        <w:t>(CBD, 2024a)</w:t>
      </w:r>
      <w:r w:rsidRPr="00572991">
        <w:rPr>
          <w:rFonts w:ascii="Tahoma" w:hAnsi="Tahoma" w:cs="Tahoma"/>
        </w:rPr>
        <w:fldChar w:fldCharType="end"/>
      </w:r>
    </w:p>
  </w:footnote>
  <w:footnote w:id="10">
    <w:p w14:paraId="2B02DA66" w14:textId="77777777" w:rsidR="005F0A67" w:rsidRPr="00572991" w:rsidRDefault="005F0A67" w:rsidP="005F0A67">
      <w:pPr>
        <w:pStyle w:val="FootnoteText"/>
        <w:rPr>
          <w:rFonts w:ascii="Tahoma" w:hAnsi="Tahoma" w:cs="Tahoma"/>
        </w:rPr>
      </w:pPr>
      <w:r w:rsidRPr="00572991">
        <w:rPr>
          <w:rStyle w:val="FootnoteReference"/>
          <w:rFonts w:ascii="Tahoma" w:hAnsi="Tahoma" w:cs="Tahoma"/>
        </w:rPr>
        <w:footnoteRef/>
      </w:r>
      <w:r w:rsidRPr="00572991">
        <w:rPr>
          <w:rFonts w:ascii="Tahoma" w:hAnsi="Tahoma" w:cs="Tahoma"/>
        </w:rPr>
        <w:t xml:space="preserve"> </w:t>
      </w:r>
      <w:r w:rsidRPr="00572991">
        <w:rPr>
          <w:rFonts w:ascii="Tahoma" w:hAnsi="Tahoma" w:cs="Tahoma"/>
        </w:rPr>
        <w:fldChar w:fldCharType="begin"/>
      </w:r>
      <w:r w:rsidRPr="00572991">
        <w:rPr>
          <w:rFonts w:ascii="Tahoma" w:hAnsi="Tahoma" w:cs="Tahoma"/>
        </w:rPr>
        <w:instrText xml:space="preserve"> ADDIN ZOTERO_ITEM CSL_CITATION {"citationID":"SgL95tkY","properties":{"unsorted":false,"formattedCitation":"(2026)","plainCitation":"(2026)","noteIndex":7},"citationItems":[{"id":77,"uris":["http://zotero.org/users/14977742/items/2PI55QKT"],"itemData":{"id":77,"type":"article-journal","abstract":"This paper provides the first global, firm-level analysis of what the Cali Fund, designed to support global conservation, is likely to raise and how resources would be distributed.","citation-key":"GlobalBiodiversityCommitments","container-title":"Grantham Research Institute on climate change and the environment","language":"en-GB","publisher":"London School of Economics and Political Science (LSE)","title":"From global biodiversity commitments to local action: revenue potential and allocation dynamics of the Cali Fund","title-short":"From global biodiversity commitments to local action","URL":"https://www.lse.ac.uk/granthaminstitute/publication/from-global-biodiversity-commitments-to-local-action-revenue-potential-and-allocation-dynamics-of-the-cali-fund/","author":[{"family":"Makowska-Curran","given":"Agata"}],"accessed":{"date-parts":[["2026",6,3]]},"issued":{"date-parts":[["2026",6]]}},"suppress-author":true}],"schema":"https://github.com/citation-style-language/schema/raw/master/csl-citation.json"} </w:instrText>
      </w:r>
      <w:r w:rsidRPr="00572991">
        <w:rPr>
          <w:rFonts w:ascii="Tahoma" w:hAnsi="Tahoma" w:cs="Tahoma"/>
        </w:rPr>
        <w:fldChar w:fldCharType="separate"/>
      </w:r>
      <w:r w:rsidRPr="00572991">
        <w:rPr>
          <w:rFonts w:ascii="Tahoma" w:hAnsi="Tahoma" w:cs="Tahoma"/>
          <w:noProof/>
        </w:rPr>
        <w:t>(2026)</w:t>
      </w:r>
      <w:r w:rsidRPr="00572991">
        <w:rPr>
          <w:rFonts w:ascii="Tahoma" w:hAnsi="Tahoma" w:cs="Tahoma"/>
        </w:rPr>
        <w:fldChar w:fldCharType="end"/>
      </w:r>
    </w:p>
  </w:footnote>
  <w:footnote w:id="11">
    <w:p w14:paraId="2781580B" w14:textId="77777777" w:rsidR="005F0A67" w:rsidRPr="00572991" w:rsidRDefault="005F0A67" w:rsidP="005F0A67">
      <w:pPr>
        <w:pStyle w:val="FootnoteText"/>
        <w:rPr>
          <w:rFonts w:ascii="Tahoma" w:hAnsi="Tahoma" w:cs="Tahoma"/>
        </w:rPr>
      </w:pPr>
      <w:r w:rsidRPr="00572991">
        <w:rPr>
          <w:rStyle w:val="FootnoteReference"/>
          <w:rFonts w:ascii="Tahoma" w:hAnsi="Tahoma" w:cs="Tahoma"/>
        </w:rPr>
        <w:footnoteRef/>
      </w:r>
      <w:r w:rsidRPr="00572991">
        <w:rPr>
          <w:rFonts w:ascii="Tahoma" w:hAnsi="Tahoma" w:cs="Tahoma"/>
        </w:rPr>
        <w:t xml:space="preserve"> Grantham Research Institute on Climate Change and the Environment; hosted by the Global School of Sustainability at the London School of Economics (</w:t>
      </w:r>
      <w:hyperlink r:id="rId2" w:history="1">
        <w:r w:rsidRPr="00572991">
          <w:rPr>
            <w:rStyle w:val="Hyperlink"/>
            <w:rFonts w:ascii="Tahoma" w:hAnsi="Tahoma" w:cs="Tahoma"/>
            <w:color w:val="1A1A1A"/>
          </w:rPr>
          <w:t>https://www.lse.ac.uk/granthaminstitute/about/about-the-institute/</w:t>
        </w:r>
      </w:hyperlink>
      <w:r w:rsidRPr="00572991">
        <w:rPr>
          <w:rFonts w:ascii="Tahoma" w:hAnsi="Tahoma" w:cs="Tahoma"/>
        </w:rPr>
        <w:t xml:space="preserve">). </w:t>
      </w:r>
    </w:p>
  </w:footnote>
  <w:footnote w:id="12">
    <w:p w14:paraId="281B616F" w14:textId="77777777" w:rsidR="005F0A67" w:rsidRPr="00572991" w:rsidRDefault="005F0A67" w:rsidP="005F0A67">
      <w:pPr>
        <w:pStyle w:val="FootnoteText"/>
        <w:rPr>
          <w:rFonts w:ascii="Tahoma" w:hAnsi="Tahoma" w:cs="Tahoma"/>
        </w:rPr>
      </w:pPr>
      <w:r w:rsidRPr="00572991">
        <w:rPr>
          <w:rStyle w:val="FootnoteReference"/>
          <w:rFonts w:ascii="Tahoma" w:hAnsi="Tahoma" w:cs="Tahoma"/>
        </w:rPr>
        <w:footnoteRef/>
      </w:r>
      <w:r w:rsidRPr="00572991">
        <w:rPr>
          <w:rFonts w:ascii="Tahoma" w:hAnsi="Tahoma" w:cs="Tahoma"/>
        </w:rPr>
        <w:t xml:space="preserve"> Nagoya Protocol on Access to Genetic Resources and the Fair and Equitable Sharing of Benefits Arising from their Utilization (the Nagoya Protocol hereafter).</w:t>
      </w:r>
    </w:p>
  </w:footnote>
  <w:footnote w:id="13">
    <w:p w14:paraId="3D75A515" w14:textId="77777777" w:rsidR="005F0A67" w:rsidRPr="00572991" w:rsidRDefault="005F0A67" w:rsidP="005F0A67">
      <w:pPr>
        <w:pStyle w:val="FootnoteText"/>
        <w:rPr>
          <w:rFonts w:ascii="Tahoma" w:hAnsi="Tahoma" w:cs="Tahoma"/>
        </w:rPr>
      </w:pPr>
      <w:r w:rsidRPr="00572991">
        <w:rPr>
          <w:rStyle w:val="FootnoteReference"/>
          <w:rFonts w:ascii="Tahoma" w:hAnsi="Tahoma" w:cs="Tahoma"/>
        </w:rPr>
        <w:footnoteRef/>
      </w:r>
      <w:r w:rsidRPr="00572991">
        <w:rPr>
          <w:rFonts w:ascii="Tahoma" w:hAnsi="Tahoma" w:cs="Tahoma"/>
        </w:rPr>
        <w:t xml:space="preserve"> </w:t>
      </w:r>
      <w:r w:rsidRPr="00572991">
        <w:rPr>
          <w:rFonts w:ascii="Tahoma" w:hAnsi="Tahoma" w:cs="Tahoma"/>
        </w:rPr>
        <w:fldChar w:fldCharType="begin"/>
      </w:r>
      <w:r w:rsidRPr="00572991">
        <w:rPr>
          <w:rFonts w:ascii="Tahoma" w:hAnsi="Tahoma" w:cs="Tahoma"/>
        </w:rPr>
        <w:instrText xml:space="preserve"> ADDIN ZOTERO_ITEM CSL_CITATION {"citationID":"uqll4VRQ","properties":{"unsorted":false,"formattedCitation":"(INSDC, no date)","plainCitation":"(INSDC, no date)","noteIndex":10},"citationItems":[{"id":343,"uris":["http://zotero.org/users/14977742/items/DG6EIT27"],"itemData":{"id":343,"type":"post-weblog","citation-key":"InternationalNucleotideSequence","language":"en-US","title":"International Nucleotide Sequence Database Collaboration","URL":"https://www.insdc.org/","author":[{"literal":"INSDC"}],"accessed":{"date-parts":[["2026",2,2]]}}}],"schema":"https://github.com/citation-style-language/schema/raw/master/csl-citation.json"} </w:instrText>
      </w:r>
      <w:r w:rsidRPr="00572991">
        <w:rPr>
          <w:rFonts w:ascii="Tahoma" w:hAnsi="Tahoma" w:cs="Tahoma"/>
        </w:rPr>
        <w:fldChar w:fldCharType="separate"/>
      </w:r>
      <w:r w:rsidRPr="00572991">
        <w:rPr>
          <w:rFonts w:ascii="Tahoma" w:hAnsi="Tahoma" w:cs="Tahoma"/>
          <w:noProof/>
        </w:rPr>
        <w:t>(INSDC, no date)</w:t>
      </w:r>
      <w:r w:rsidRPr="00572991">
        <w:rPr>
          <w:rFonts w:ascii="Tahoma" w:hAnsi="Tahoma" w:cs="Tahoma"/>
        </w:rPr>
        <w:fldChar w:fldCharType="end"/>
      </w:r>
    </w:p>
  </w:footnote>
  <w:footnote w:id="14">
    <w:p w14:paraId="654AF496" w14:textId="77777777" w:rsidR="005F0A67" w:rsidRPr="00572991" w:rsidRDefault="005F0A67" w:rsidP="005F0A67">
      <w:pPr>
        <w:pStyle w:val="FootnoteText"/>
        <w:rPr>
          <w:rFonts w:ascii="Tahoma" w:hAnsi="Tahoma" w:cs="Tahoma"/>
        </w:rPr>
      </w:pPr>
      <w:r w:rsidRPr="00572991">
        <w:rPr>
          <w:rStyle w:val="FootnoteReference"/>
          <w:rFonts w:ascii="Tahoma" w:hAnsi="Tahoma" w:cs="Tahoma"/>
        </w:rPr>
        <w:footnoteRef/>
      </w:r>
      <w:r w:rsidRPr="00572991">
        <w:rPr>
          <w:rFonts w:ascii="Tahoma" w:hAnsi="Tahoma" w:cs="Tahoma"/>
        </w:rPr>
        <w:t xml:space="preserve"> </w:t>
      </w:r>
      <w:r w:rsidRPr="00572991">
        <w:rPr>
          <w:rFonts w:ascii="Tahoma" w:hAnsi="Tahoma" w:cs="Tahoma"/>
        </w:rPr>
        <w:fldChar w:fldCharType="begin"/>
      </w:r>
      <w:r w:rsidRPr="00572991">
        <w:rPr>
          <w:rFonts w:ascii="Tahoma" w:hAnsi="Tahoma" w:cs="Tahoma"/>
        </w:rPr>
        <w:instrText xml:space="preserve"> ADDIN ZOTERO_ITEM CSL_CITATION {"citationID":"SMmUE90k","properties":{"formattedCitation":"(Maia and Bourgeois-Gironde, 2025)","plainCitation":"(Maia and Bourgeois-Gironde, 2025)","noteIndex":11},"citationItems":[{"id":536,"uris":["http://zotero.org/users/14977742/items/WTGZ8W6N"],"itemData":{"id":536,"type":"article-journal","abstract":"Recent advancements in molecular biology and bioinformatics have introduced innovative methods for accessing genetic information, which are not yet encompassed by the existing frameworks of the Convention on Biological Diversity and the Nagoya Protocol. Technologies utilizing Digital Sequence Information often eliminate the need for physical samples by relying on genetic data stored digitally through private and public databases. The CBD and the Nagoya Protocol were originally designed to regulate access to genetic resources in their physical form. However, the increasing reliance on DSI for developing biotechnological products has revealed a significant necessity to update the international Access and Benefit-Sharing framework. To address this issue, the 15th meeting of the Conference of the Parties approved Decision 15/9, which calls for the establishment of a mechanism to include DSI in the international ABS regime. This decision led to the creation of a Working Group on Benefit-sharing from the use of DSI (WGDSI). This paper aims to critically analyze the multilateral benefit-sharing modalities recommended by the WGDSI and those proposed by Decision 16/2 at COP-16. The work also proposes a new solution to improve the mechanism's ability to raise funds for biodiversity conservation.","citation-key":"maiaAnalysisWorkingGroups2025a","container-title":"Global Policy","DOI":"10.1111/1758-5899.70013","ISSN":"1758-5899","issue":"4","language":"en","note":"_eprint: https://onlinelibrary.wiley.com/doi/pdf/10.1111/1758-5899.70013","page":"751-761","source":"Wiley Online Library","title":"Analysis of the Working Group's Recommendations and COP-16 Decision 16/2 on Digital Sequence Information","volume":"16","author":[{"family":"Maia","given":"Bruna Gomes"},{"family":"Bourgeois-Gironde","given":"Sacha"}],"issued":{"date-parts":[["2025"]]}}}],"schema":"https://github.com/citation-style-language/schema/raw/master/csl-citation.json"} </w:instrText>
      </w:r>
      <w:r w:rsidRPr="00572991">
        <w:rPr>
          <w:rFonts w:ascii="Tahoma" w:hAnsi="Tahoma" w:cs="Tahoma"/>
        </w:rPr>
        <w:fldChar w:fldCharType="separate"/>
      </w:r>
      <w:r w:rsidRPr="00572991">
        <w:rPr>
          <w:rFonts w:ascii="Tahoma" w:hAnsi="Tahoma" w:cs="Tahoma"/>
          <w:noProof/>
        </w:rPr>
        <w:t>(Maia and Bourgeois-Gironde, 2025)</w:t>
      </w:r>
      <w:r w:rsidRPr="00572991">
        <w:rPr>
          <w:rFonts w:ascii="Tahoma" w:hAnsi="Tahoma" w:cs="Tahoma"/>
        </w:rPr>
        <w:fldChar w:fldCharType="end"/>
      </w:r>
    </w:p>
  </w:footnote>
  <w:footnote w:id="15">
    <w:p w14:paraId="07961628" w14:textId="77777777" w:rsidR="005F0A67" w:rsidRPr="00572991" w:rsidRDefault="005F0A67" w:rsidP="005F0A67">
      <w:pPr>
        <w:pStyle w:val="FootnoteText"/>
        <w:rPr>
          <w:rFonts w:ascii="Tahoma" w:hAnsi="Tahoma" w:cs="Tahoma"/>
        </w:rPr>
      </w:pPr>
      <w:r w:rsidRPr="00572991">
        <w:rPr>
          <w:rStyle w:val="FootnoteReference"/>
          <w:rFonts w:ascii="Tahoma" w:hAnsi="Tahoma" w:cs="Tahoma"/>
        </w:rPr>
        <w:footnoteRef/>
      </w:r>
      <w:r w:rsidRPr="00572991">
        <w:rPr>
          <w:rFonts w:ascii="Tahoma" w:hAnsi="Tahoma" w:cs="Tahoma"/>
        </w:rPr>
        <w:t xml:space="preserve"> Full list of criteria can be found in Decision 15/9 paragraph 9. </w:t>
      </w:r>
    </w:p>
  </w:footnote>
  <w:footnote w:id="16">
    <w:p w14:paraId="23DCB315" w14:textId="77777777" w:rsidR="005F0A67" w:rsidRPr="00572991" w:rsidRDefault="005F0A67" w:rsidP="005F0A67">
      <w:pPr>
        <w:pStyle w:val="FootnoteText"/>
        <w:rPr>
          <w:rFonts w:ascii="Tahoma" w:hAnsi="Tahoma" w:cs="Tahoma"/>
        </w:rPr>
      </w:pPr>
      <w:r w:rsidRPr="00572991">
        <w:rPr>
          <w:rStyle w:val="FootnoteReference"/>
          <w:rFonts w:ascii="Tahoma" w:hAnsi="Tahoma" w:cs="Tahoma"/>
        </w:rPr>
        <w:footnoteRef/>
      </w:r>
      <w:r w:rsidRPr="00572991">
        <w:rPr>
          <w:rFonts w:ascii="Tahoma" w:hAnsi="Tahoma" w:cs="Tahoma"/>
        </w:rPr>
        <w:t xml:space="preserve"> Coverage by the multilateral mechanism is determined by the specific conditions laid down in Decision 16/2, and this simplification is used for illustrative purposes only. </w:t>
      </w:r>
    </w:p>
  </w:footnote>
  <w:footnote w:id="17">
    <w:p w14:paraId="64CEE918" w14:textId="77777777" w:rsidR="005F0A67" w:rsidRPr="00572991" w:rsidRDefault="005F0A67" w:rsidP="005F0A67">
      <w:pPr>
        <w:pStyle w:val="FootnoteText"/>
        <w:rPr>
          <w:rFonts w:ascii="Tahoma" w:hAnsi="Tahoma" w:cs="Tahoma"/>
        </w:rPr>
      </w:pPr>
      <w:r w:rsidRPr="00572991">
        <w:rPr>
          <w:rStyle w:val="FootnoteReference"/>
          <w:rFonts w:ascii="Tahoma" w:hAnsi="Tahoma" w:cs="Tahoma"/>
        </w:rPr>
        <w:footnoteRef/>
      </w:r>
      <w:r w:rsidRPr="00572991">
        <w:rPr>
          <w:rFonts w:ascii="Tahoma" w:hAnsi="Tahoma" w:cs="Tahoma"/>
        </w:rPr>
        <w:t xml:space="preserve"> This gives an effective rate of approximately 0.77% of sales </w:t>
      </w:r>
      <w:r w:rsidRPr="00572991">
        <w:rPr>
          <w:rFonts w:ascii="Tahoma" w:hAnsi="Tahoma" w:cs="Tahoma"/>
        </w:rPr>
        <w:fldChar w:fldCharType="begin"/>
      </w:r>
      <w:r w:rsidRPr="00572991">
        <w:rPr>
          <w:rFonts w:ascii="Tahoma" w:hAnsi="Tahoma" w:cs="Tahoma"/>
        </w:rPr>
        <w:instrText xml:space="preserve"> ADDIN ZOTERO_TEMP </w:instrText>
      </w:r>
      <w:r w:rsidRPr="00572991">
        <w:rPr>
          <w:rFonts w:ascii="Tahoma" w:hAnsi="Tahoma" w:cs="Tahoma"/>
        </w:rPr>
        <w:fldChar w:fldCharType="separate"/>
      </w:r>
      <w:r w:rsidRPr="00572991">
        <w:rPr>
          <w:rFonts w:ascii="Tahoma" w:hAnsi="Tahoma" w:cs="Tahoma"/>
          <w:szCs w:val="24"/>
        </w:rPr>
        <w:t xml:space="preserve">(Switzer </w:t>
      </w:r>
      <w:r w:rsidRPr="00572991">
        <w:rPr>
          <w:rFonts w:ascii="Tahoma" w:hAnsi="Tahoma" w:cs="Tahoma"/>
          <w:i/>
          <w:iCs/>
          <w:szCs w:val="24"/>
        </w:rPr>
        <w:t>et al.</w:t>
      </w:r>
      <w:r w:rsidRPr="00572991">
        <w:rPr>
          <w:rFonts w:ascii="Tahoma" w:hAnsi="Tahoma" w:cs="Tahoma"/>
          <w:szCs w:val="24"/>
        </w:rPr>
        <w:t>, 2023)</w:t>
      </w:r>
      <w:r w:rsidRPr="00572991">
        <w:rPr>
          <w:rFonts w:ascii="Tahoma" w:hAnsi="Tahoma" w:cs="Tahoma"/>
        </w:rPr>
        <w:fldChar w:fldCharType="end"/>
      </w:r>
      <w:r w:rsidRPr="00572991">
        <w:rPr>
          <w:rFonts w:ascii="Tahoma" w:hAnsi="Tahoma" w:cs="Tahoma"/>
        </w:rPr>
        <w:t>.</w:t>
      </w:r>
    </w:p>
  </w:footnote>
  <w:footnote w:id="18">
    <w:p w14:paraId="70D12DF5" w14:textId="77777777" w:rsidR="005F0A67" w:rsidRDefault="005F0A67" w:rsidP="005F0A67">
      <w:pPr>
        <w:pStyle w:val="FootnoteText"/>
      </w:pPr>
      <w:r w:rsidRPr="39B3AD14">
        <w:rPr>
          <w:rStyle w:val="FootnoteReference"/>
        </w:rPr>
        <w:footnoteRef/>
      </w:r>
      <w:r>
        <w:t xml:space="preserve"> </w:t>
      </w:r>
      <w:r w:rsidRPr="39B3AD14">
        <w:t>Sales and revenue are used interchangeably here. This distinction is material for firms deriving significant income from non-sales sources such as licensing fees or royalties, which is a relevant consideration for the plant breeding sector specifically, where trait licensing and royalty income are a substantial part of large firms' revenue (see Animal and plant breeding, Section 7.10). The approximation is used here for the aggregate comparison across sectors and should be read with this caveat in mind.</w:t>
      </w:r>
    </w:p>
  </w:footnote>
  <w:footnote w:id="19">
    <w:p w14:paraId="23DD13F4" w14:textId="77777777" w:rsidR="005F0A67" w:rsidRPr="00463B76" w:rsidRDefault="005F0A67" w:rsidP="005F0A67">
      <w:pPr>
        <w:pStyle w:val="FootnoteText"/>
        <w:rPr>
          <w:rFonts w:ascii="Tahoma" w:hAnsi="Tahoma" w:cs="Tahoma"/>
        </w:rPr>
      </w:pPr>
      <w:r w:rsidRPr="009248D4">
        <w:rPr>
          <w:rStyle w:val="FootnoteReference"/>
        </w:rPr>
        <w:footnoteRef/>
      </w:r>
      <w:r w:rsidRPr="00463B76">
        <w:rPr>
          <w:rStyle w:val="FootnoteReference"/>
        </w:rPr>
        <w:t xml:space="preserve"> </w:t>
      </w:r>
      <w:r w:rsidRPr="00463B76">
        <w:rPr>
          <w:rFonts w:ascii="Tahoma" w:hAnsi="Tahoma" w:cs="Tahoma"/>
        </w:rPr>
        <w:t>Note that these payments are to be made once per year, for as long as access is restricted. The companies who started payments only recently will therefore continue to make payments, increasing the overall amount.</w:t>
      </w:r>
    </w:p>
  </w:footnote>
  <w:footnote w:id="20">
    <w:p w14:paraId="73534C88" w14:textId="77777777" w:rsidR="005F0A67" w:rsidRDefault="005F0A67" w:rsidP="005F0A67">
      <w:pPr>
        <w:pStyle w:val="FootnoteText"/>
      </w:pPr>
      <w:r w:rsidRPr="009248D4">
        <w:rPr>
          <w:rStyle w:val="FootnoteReference"/>
        </w:rPr>
        <w:footnoteRef/>
      </w:r>
      <w:r w:rsidRPr="00463B76">
        <w:rPr>
          <w:rStyle w:val="FootnoteReference"/>
          <w:rFonts w:ascii="Georgia" w:eastAsia="Georgia" w:hAnsi="Georgia" w:cs="Georgia"/>
          <w:color w:val="1A1A1A"/>
          <w:sz w:val="20"/>
        </w:rPr>
        <w:t xml:space="preserve"> </w:t>
      </w:r>
      <w:r w:rsidRPr="00463B76">
        <w:rPr>
          <w:rFonts w:ascii="Tahoma" w:eastAsia="Georgia" w:hAnsi="Tahoma" w:cs="Tahoma"/>
          <w:color w:val="1A1A1A"/>
          <w:sz w:val="20"/>
        </w:rPr>
        <w:t>The study assumed that 50% of payments would be voluntary.</w:t>
      </w:r>
      <w:r>
        <w:t xml:space="preserve"> </w:t>
      </w:r>
    </w:p>
  </w:footnote>
  <w:footnote w:id="21">
    <w:p w14:paraId="5DABF5E4" w14:textId="77777777" w:rsidR="005F0A67" w:rsidRPr="00572991" w:rsidRDefault="005F0A67" w:rsidP="005F0A67">
      <w:pPr>
        <w:pStyle w:val="FootnoteText"/>
        <w:rPr>
          <w:rFonts w:ascii="Tahoma" w:hAnsi="Tahoma" w:cs="Tahoma"/>
        </w:rPr>
      </w:pPr>
      <w:r w:rsidRPr="00572991">
        <w:rPr>
          <w:rStyle w:val="FootnoteReference"/>
          <w:rFonts w:ascii="Tahoma" w:hAnsi="Tahoma" w:cs="Tahoma"/>
        </w:rPr>
        <w:footnoteRef/>
      </w:r>
      <w:r w:rsidRPr="00572991">
        <w:rPr>
          <w:rFonts w:ascii="Tahoma" w:hAnsi="Tahoma" w:cs="Tahoma"/>
        </w:rPr>
        <w:t xml:space="preserve"> Article 14 paragraph 6</w:t>
      </w:r>
    </w:p>
  </w:footnote>
  <w:footnote w:id="22">
    <w:p w14:paraId="290508AA" w14:textId="77777777" w:rsidR="005F0A67" w:rsidRPr="00572991" w:rsidRDefault="005F0A67" w:rsidP="005F0A67">
      <w:pPr>
        <w:pStyle w:val="FootnoteText"/>
        <w:rPr>
          <w:rFonts w:ascii="Tahoma" w:hAnsi="Tahoma" w:cs="Tahoma"/>
        </w:rPr>
      </w:pPr>
      <w:r w:rsidRPr="00572991">
        <w:rPr>
          <w:rStyle w:val="FootnoteReference"/>
          <w:rFonts w:ascii="Tahoma" w:hAnsi="Tahoma" w:cs="Tahoma"/>
        </w:rPr>
        <w:footnoteRef/>
      </w:r>
      <w:r w:rsidRPr="00572991">
        <w:rPr>
          <w:rFonts w:ascii="Tahoma" w:hAnsi="Tahoma" w:cs="Tahoma"/>
        </w:rPr>
        <w:t xml:space="preserve"> Decision 16/2 also encourages contributions from entities beyond those defined as commercial DSI users under Annex paragraph 3, including potential public sector contributors (Decision 16/2, paragraph 16). At the time of writing, no such commitments have been made. This distinguishes the Cali Fund structurally from the analogous mechanisms reviewed in Section 3. Under the Plant Treaty, several Parties provided the revenue floor that compensated for negligible user-based income. The PIP Framework similarly relies on a defined contributor base with operational incentives that limit total non-compliance. The Cali Fund has no comparable public sector fallback, making the mobilisation of private sector contributions more essential to its financial viability than in any of the reviewed analogues. This study treats the private sector contribution modelled in Part II as the Fund's primary revenue source.</w:t>
      </w:r>
    </w:p>
  </w:footnote>
  <w:footnote w:id="23">
    <w:p w14:paraId="412A3D9F" w14:textId="77777777" w:rsidR="005F0A67" w:rsidRPr="00572991" w:rsidRDefault="005F0A67" w:rsidP="005F0A67">
      <w:pPr>
        <w:pStyle w:val="FootnoteText"/>
        <w:rPr>
          <w:rFonts w:ascii="Tahoma" w:hAnsi="Tahoma" w:cs="Tahoma"/>
        </w:rPr>
      </w:pPr>
      <w:r w:rsidRPr="00572991">
        <w:rPr>
          <w:rStyle w:val="FootnoteReference"/>
          <w:rFonts w:ascii="Tahoma" w:hAnsi="Tahoma" w:cs="Tahoma"/>
        </w:rPr>
        <w:footnoteRef/>
      </w:r>
      <w:r w:rsidRPr="00572991">
        <w:rPr>
          <w:rFonts w:ascii="Tahoma" w:hAnsi="Tahoma" w:cs="Tahoma"/>
        </w:rPr>
        <w:t xml:space="preserve"> All relevant submissions were reviewed in full: 35 received in response to CBD Notification 2024-114 and 9 in response to CBD Notification 2026-019.</w:t>
      </w:r>
    </w:p>
  </w:footnote>
  <w:footnote w:id="24">
    <w:p w14:paraId="0C8ACAC4" w14:textId="77777777" w:rsidR="005F0A67" w:rsidRPr="00572991" w:rsidRDefault="005F0A67" w:rsidP="005F0A67">
      <w:pPr>
        <w:pStyle w:val="FootnoteText"/>
        <w:rPr>
          <w:rFonts w:ascii="Tahoma" w:hAnsi="Tahoma" w:cs="Tahoma"/>
        </w:rPr>
      </w:pPr>
      <w:r w:rsidRPr="00572991">
        <w:rPr>
          <w:rStyle w:val="FootnoteReference"/>
          <w:rFonts w:ascii="Tahoma" w:hAnsi="Tahoma" w:cs="Tahoma"/>
        </w:rPr>
        <w:footnoteRef/>
      </w:r>
      <w:r w:rsidRPr="00572991">
        <w:rPr>
          <w:rFonts w:ascii="Tahoma" w:hAnsi="Tahoma" w:cs="Tahoma"/>
        </w:rPr>
        <w:t xml:space="preserve"> Eligible population here refers to the firms in-scope of the DSI MLM (see glossary).</w:t>
      </w:r>
    </w:p>
  </w:footnote>
  <w:footnote w:id="25">
    <w:p w14:paraId="4391780D" w14:textId="77777777" w:rsidR="005F0A67" w:rsidRPr="00572991" w:rsidRDefault="005F0A67" w:rsidP="005F0A67">
      <w:pPr>
        <w:pStyle w:val="FootnoteText"/>
        <w:rPr>
          <w:rFonts w:ascii="Tahoma" w:hAnsi="Tahoma" w:cs="Tahoma"/>
        </w:rPr>
      </w:pPr>
      <w:r w:rsidRPr="00572991">
        <w:rPr>
          <w:rStyle w:val="FootnoteReference"/>
          <w:rFonts w:ascii="Tahoma" w:hAnsi="Tahoma" w:cs="Tahoma"/>
        </w:rPr>
        <w:footnoteRef/>
      </w:r>
      <w:r w:rsidRPr="00572991">
        <w:rPr>
          <w:rFonts w:ascii="Tahoma" w:hAnsi="Tahoma" w:cs="Tahoma"/>
        </w:rPr>
        <w:t xml:space="preserve"> Note that the current modalities do not determine whether companies choose their contribution base representing the total revenue or profit for the entire corporate group or its portion corresponding to each of its subsidiaries. </w:t>
      </w:r>
    </w:p>
  </w:footnote>
  <w:footnote w:id="26">
    <w:p w14:paraId="3EB76310" w14:textId="77777777" w:rsidR="005F0A67" w:rsidRPr="00572991" w:rsidRDefault="005F0A67" w:rsidP="005F0A67">
      <w:pPr>
        <w:pStyle w:val="FootnoteText"/>
        <w:rPr>
          <w:rFonts w:ascii="Tahoma" w:hAnsi="Tahoma" w:cs="Tahoma"/>
        </w:rPr>
      </w:pPr>
      <w:r w:rsidRPr="00572991">
        <w:rPr>
          <w:rStyle w:val="FootnoteReference"/>
          <w:rFonts w:ascii="Tahoma" w:hAnsi="Tahoma" w:cs="Tahoma"/>
        </w:rPr>
        <w:footnoteRef/>
      </w:r>
      <w:r w:rsidRPr="00572991">
        <w:rPr>
          <w:rFonts w:ascii="Tahoma" w:hAnsi="Tahoma" w:cs="Tahoma"/>
        </w:rPr>
        <w:t xml:space="preserve"> Note that in certain cases, it may be possible for companies to minimise their contributions by choosing their corporate group revenues/profit instead of using the accounts of its individual subsidiaries; for instance, whenever the corporate group profits are lower than those reported by a single subsidiary. </w:t>
      </w:r>
    </w:p>
  </w:footnote>
  <w:footnote w:id="27">
    <w:p w14:paraId="1C603C93" w14:textId="77777777" w:rsidR="005F0A67" w:rsidRPr="00572991" w:rsidRDefault="005F0A67" w:rsidP="005F0A67">
      <w:pPr>
        <w:pStyle w:val="FootnoteText"/>
        <w:rPr>
          <w:rFonts w:ascii="Tahoma" w:hAnsi="Tahoma" w:cs="Tahoma"/>
        </w:rPr>
      </w:pPr>
      <w:r w:rsidRPr="00572991">
        <w:rPr>
          <w:rStyle w:val="FootnoteReference"/>
          <w:rFonts w:ascii="Tahoma" w:hAnsi="Tahoma" w:cs="Tahoma"/>
        </w:rPr>
        <w:footnoteRef/>
      </w:r>
      <w:r w:rsidRPr="00572991">
        <w:rPr>
          <w:rFonts w:ascii="Tahoma" w:hAnsi="Tahoma" w:cs="Tahoma"/>
        </w:rPr>
        <w:t xml:space="preserve"> The more analytically consequential question, how much of a firm's activity depends on public rather than private DSI, and whether contributions should reflect that proportion - is a contribution base question rather than an eligibility question and is addressed in Section </w:t>
      </w:r>
      <w:r w:rsidRPr="00572991">
        <w:rPr>
          <w:rFonts w:ascii="Tahoma" w:hAnsi="Tahoma" w:cs="Tahoma"/>
        </w:rPr>
        <w:fldChar w:fldCharType="begin"/>
      </w:r>
      <w:r w:rsidRPr="00572991">
        <w:rPr>
          <w:rFonts w:ascii="Tahoma" w:hAnsi="Tahoma" w:cs="Tahoma"/>
        </w:rPr>
        <w:instrText xml:space="preserve"> REF _Ref229848377 \r \h </w:instrText>
      </w:r>
      <w:r>
        <w:rPr>
          <w:rFonts w:ascii="Tahoma" w:hAnsi="Tahoma" w:cs="Tahoma"/>
        </w:rPr>
        <w:instrText xml:space="preserve"> \* MERGEFORMAT </w:instrText>
      </w:r>
      <w:r w:rsidRPr="00572991">
        <w:rPr>
          <w:rFonts w:ascii="Tahoma" w:hAnsi="Tahoma" w:cs="Tahoma"/>
        </w:rPr>
      </w:r>
      <w:r w:rsidRPr="00572991">
        <w:rPr>
          <w:rFonts w:ascii="Tahoma" w:hAnsi="Tahoma" w:cs="Tahoma"/>
        </w:rPr>
        <w:fldChar w:fldCharType="separate"/>
      </w:r>
      <w:r w:rsidRPr="00572991">
        <w:rPr>
          <w:rFonts w:ascii="Tahoma" w:hAnsi="Tahoma" w:cs="Tahoma"/>
        </w:rPr>
        <w:t>4.3.2</w:t>
      </w:r>
      <w:r w:rsidRPr="00572991">
        <w:rPr>
          <w:rFonts w:ascii="Tahoma" w:hAnsi="Tahoma" w:cs="Tahoma"/>
        </w:rPr>
        <w:fldChar w:fldCharType="end"/>
      </w:r>
      <w:r w:rsidRPr="00572991">
        <w:rPr>
          <w:rFonts w:ascii="Tahoma" w:hAnsi="Tahoma" w:cs="Tahoma"/>
        </w:rPr>
        <w:t>.</w:t>
      </w:r>
    </w:p>
  </w:footnote>
  <w:footnote w:id="28">
    <w:p w14:paraId="33008C20" w14:textId="77777777" w:rsidR="005F0A67" w:rsidRPr="00572991" w:rsidRDefault="005F0A67" w:rsidP="005F0A67">
      <w:pPr>
        <w:pStyle w:val="FootnoteText"/>
        <w:jc w:val="both"/>
        <w:rPr>
          <w:rFonts w:ascii="Tahoma" w:hAnsi="Tahoma" w:cs="Tahoma"/>
        </w:rPr>
      </w:pPr>
      <w:r w:rsidRPr="00572991">
        <w:rPr>
          <w:rStyle w:val="FootnoteReference"/>
          <w:rFonts w:ascii="Tahoma" w:hAnsi="Tahoma" w:cs="Tahoma"/>
        </w:rPr>
        <w:footnoteRef/>
      </w:r>
      <w:r w:rsidRPr="00572991">
        <w:rPr>
          <w:rFonts w:ascii="Tahoma" w:hAnsi="Tahoma" w:cs="Tahoma"/>
        </w:rPr>
        <w:t xml:space="preserve"> The lack of a universally agreed definition of DSI creates some ambiguity at the margins. During the AHTEG process, three different scope options were examined, ranging from a narrow definition limited to DNA and RNA sequences, to broader scope that also include other forms of molecular information</w:t>
      </w:r>
      <w:r w:rsidRPr="39B3AD14">
        <w:rPr>
          <w:rFonts w:ascii="Tahoma" w:hAnsi="Tahoma" w:cs="Tahoma"/>
        </w:rPr>
        <w:t xml:space="preserve"> (such as proteins or metabolites)</w:t>
      </w:r>
      <w:r>
        <w:rPr>
          <w:rFonts w:ascii="Tahoma" w:hAnsi="Tahoma" w:cs="Tahoma"/>
        </w:rPr>
        <w:t xml:space="preserve"> </w:t>
      </w:r>
      <w:r w:rsidRPr="00572991">
        <w:rPr>
          <w:rFonts w:ascii="Tahoma" w:hAnsi="Tahoma" w:cs="Tahoma"/>
        </w:rPr>
        <w:fldChar w:fldCharType="begin"/>
      </w:r>
      <w:r w:rsidRPr="00572991">
        <w:rPr>
          <w:rFonts w:ascii="Tahoma" w:hAnsi="Tahoma" w:cs="Tahoma"/>
        </w:rPr>
        <w:instrText xml:space="preserve"> ADDIN ZOTERO_ITEM CSL_CITATION {"citationID":"iknu8iJH","properties":{"unsorted":false,"formattedCitation":"(CBD, 2020b)","plainCitation":"(CBD, 2020b)","noteIndex":24},"citationItems":[{"id":270,"uris":["http://zotero.org/users/14977742/items/T577VXWC"],"itemData":{"id":270,"type":"report","citation-key":"zotero-item-2599","number":"CBD/DSI/AHTEG/2020/1/7","publisher":"CBD","title":"Report of the Ad Hoc Technical Expert Group on Digital Sequence Information on Genetic Resources","URL":"https://www.cbd.int/doc/c/ba60/7272/3260b5e396821d42bc21035a/dsi-ahteg-2020-01-07-en.pdf","author":[{"literal":"CBD"}],"issued":{"date-parts":[["2020",3,20]]}}}],"schema":"https://github.com/citation-style-language/schema/raw/master/csl-citation.json"} </w:instrText>
      </w:r>
      <w:r w:rsidRPr="00572991">
        <w:rPr>
          <w:rFonts w:ascii="Tahoma" w:hAnsi="Tahoma" w:cs="Tahoma"/>
        </w:rPr>
        <w:fldChar w:fldCharType="separate"/>
      </w:r>
      <w:r w:rsidRPr="39B3AD14">
        <w:rPr>
          <w:rFonts w:ascii="Tahoma" w:hAnsi="Tahoma" w:cs="Tahoma"/>
          <w:noProof/>
        </w:rPr>
        <w:t>(CBD, 2020b)</w:t>
      </w:r>
      <w:r w:rsidRPr="00572991">
        <w:rPr>
          <w:rFonts w:ascii="Tahoma" w:hAnsi="Tahoma" w:cs="Tahoma"/>
        </w:rPr>
        <w:fldChar w:fldCharType="end"/>
      </w:r>
      <w:r w:rsidRPr="39B3AD14">
        <w:rPr>
          <w:rFonts w:ascii="Tahoma" w:hAnsi="Tahoma" w:cs="Tahoma"/>
        </w:rPr>
        <w:t>. Firms whose activities rely mainly on data types that fall outside these narrower definitions can experience uncertainty about whether they are covered. The direction and size of any resulting misclassification are hard to assess and are not reflected in these estimates. This paper assumes firms generally know whether DSI, at least in the narrower sense, is used in their operations - an assumption that seems reasonable but may not hold across all sectors or firm types.</w:t>
      </w:r>
    </w:p>
  </w:footnote>
  <w:footnote w:id="29">
    <w:p w14:paraId="370C6E5C" w14:textId="77777777" w:rsidR="005F0A67" w:rsidRPr="00572991" w:rsidRDefault="005F0A67" w:rsidP="005F0A67">
      <w:pPr>
        <w:pStyle w:val="FootnoteText"/>
        <w:rPr>
          <w:rFonts w:ascii="Tahoma" w:hAnsi="Tahoma" w:cs="Tahoma"/>
        </w:rPr>
      </w:pPr>
      <w:r w:rsidRPr="00572991">
        <w:rPr>
          <w:rStyle w:val="FootnoteReference"/>
          <w:rFonts w:ascii="Tahoma" w:hAnsi="Tahoma" w:cs="Tahoma"/>
        </w:rPr>
        <w:footnoteRef/>
      </w:r>
      <w:r w:rsidRPr="00572991">
        <w:rPr>
          <w:rFonts w:ascii="Tahoma" w:hAnsi="Tahoma" w:cs="Tahoma"/>
        </w:rPr>
        <w:t xml:space="preserve"> See the glossary</w:t>
      </w:r>
    </w:p>
  </w:footnote>
  <w:footnote w:id="30">
    <w:p w14:paraId="72F284E1" w14:textId="77777777" w:rsidR="005F0A67" w:rsidRPr="007557A8" w:rsidRDefault="005F0A67" w:rsidP="005F0A67">
      <w:pPr>
        <w:pStyle w:val="FootnoteText"/>
      </w:pPr>
      <w:r>
        <w:rPr>
          <w:rStyle w:val="FootnoteReference"/>
        </w:rPr>
        <w:footnoteRef/>
      </w:r>
      <w:r>
        <w:t xml:space="preserve"> </w:t>
      </w:r>
      <w:r w:rsidRPr="00463B76">
        <w:rPr>
          <w:rFonts w:ascii="Tahoma" w:hAnsi="Tahoma" w:cs="Tahoma"/>
        </w:rPr>
        <w:t>Note that low participation could also be affected by the contribution rate design e.g. in case the contribution rates are set too high. As discussed in Part III, the indicative rates are unlikely to deter participatio</w:t>
      </w:r>
      <w:r>
        <w:rPr>
          <w:rFonts w:ascii="Tahoma" w:hAnsi="Tahoma" w:cs="Tahoma"/>
        </w:rPr>
        <w:t xml:space="preserve">n due to economic reasons. </w:t>
      </w:r>
    </w:p>
  </w:footnote>
  <w:footnote w:id="31">
    <w:p w14:paraId="5CE09430" w14:textId="77777777" w:rsidR="005F0A67" w:rsidRPr="00572991" w:rsidRDefault="005F0A67" w:rsidP="005F0A67">
      <w:pPr>
        <w:pStyle w:val="FootnoteText"/>
        <w:rPr>
          <w:rFonts w:ascii="Tahoma" w:hAnsi="Tahoma" w:cs="Tahoma"/>
        </w:rPr>
      </w:pPr>
      <w:r w:rsidRPr="00572991">
        <w:rPr>
          <w:rStyle w:val="FootnoteReference"/>
          <w:rFonts w:ascii="Tahoma" w:hAnsi="Tahoma" w:cs="Tahoma"/>
        </w:rPr>
        <w:footnoteRef/>
      </w:r>
      <w:r w:rsidRPr="00572991">
        <w:rPr>
          <w:rFonts w:ascii="Tahoma" w:hAnsi="Tahoma" w:cs="Tahoma"/>
        </w:rPr>
        <w:t xml:space="preserve"> Decision 16/2, Annex, paragraph 15</w:t>
      </w:r>
    </w:p>
  </w:footnote>
  <w:footnote w:id="32">
    <w:p w14:paraId="2EA1D75F" w14:textId="77777777" w:rsidR="005F0A67" w:rsidRPr="00572991" w:rsidRDefault="005F0A67" w:rsidP="005F0A67">
      <w:pPr>
        <w:pStyle w:val="FootnoteText"/>
        <w:rPr>
          <w:rFonts w:ascii="Tahoma" w:hAnsi="Tahoma" w:cs="Tahoma"/>
        </w:rPr>
      </w:pPr>
      <w:r w:rsidRPr="00572991">
        <w:rPr>
          <w:rStyle w:val="FootnoteReference"/>
          <w:rFonts w:ascii="Tahoma" w:hAnsi="Tahoma" w:cs="Tahoma"/>
        </w:rPr>
        <w:footnoteRef/>
      </w:r>
      <w:r w:rsidRPr="00572991">
        <w:rPr>
          <w:rFonts w:ascii="Tahoma" w:hAnsi="Tahoma" w:cs="Tahoma"/>
        </w:rPr>
        <w:t xml:space="preserve"> Decision 16/2, Annex, paragraph 1(c)</w:t>
      </w:r>
    </w:p>
  </w:footnote>
  <w:footnote w:id="33">
    <w:p w14:paraId="11D01A80" w14:textId="77777777" w:rsidR="005F0A67" w:rsidRPr="00572991" w:rsidRDefault="005F0A67" w:rsidP="005F0A67">
      <w:pPr>
        <w:pStyle w:val="FootnoteText"/>
        <w:rPr>
          <w:rFonts w:ascii="Tahoma" w:hAnsi="Tahoma" w:cs="Tahoma"/>
        </w:rPr>
      </w:pPr>
      <w:r w:rsidRPr="00572991">
        <w:rPr>
          <w:rStyle w:val="FootnoteReference"/>
          <w:rFonts w:ascii="Tahoma" w:hAnsi="Tahoma" w:cs="Tahoma"/>
        </w:rPr>
        <w:footnoteRef/>
      </w:r>
      <w:r w:rsidRPr="00572991">
        <w:rPr>
          <w:rFonts w:ascii="Tahoma" w:hAnsi="Tahoma" w:cs="Tahoma"/>
        </w:rPr>
        <w:t xml:space="preserve"> Note that, currently, there are no benefit-sharing obligations for the use of DSI under the ITPGRA or the WHO.</w:t>
      </w:r>
    </w:p>
  </w:footnote>
  <w:footnote w:id="34">
    <w:p w14:paraId="779562CF" w14:textId="77777777" w:rsidR="005F0A67" w:rsidRPr="00572991" w:rsidRDefault="005F0A67" w:rsidP="005F0A67">
      <w:pPr>
        <w:pStyle w:val="FootnoteText"/>
        <w:rPr>
          <w:rFonts w:ascii="Tahoma" w:hAnsi="Tahoma" w:cs="Tahoma"/>
        </w:rPr>
      </w:pPr>
      <w:r w:rsidRPr="00572991">
        <w:rPr>
          <w:rStyle w:val="FootnoteReference"/>
          <w:rFonts w:ascii="Tahoma" w:hAnsi="Tahoma" w:cs="Tahoma"/>
        </w:rPr>
        <w:footnoteRef/>
      </w:r>
      <w:r w:rsidRPr="00572991">
        <w:rPr>
          <w:rFonts w:ascii="Tahoma" w:hAnsi="Tahoma" w:cs="Tahoma"/>
        </w:rPr>
        <w:t xml:space="preserve"> Decision 16/2, paragraphs 1(c) and 27</w:t>
      </w:r>
    </w:p>
  </w:footnote>
  <w:footnote w:id="35">
    <w:p w14:paraId="38FC95E3" w14:textId="77777777" w:rsidR="005F0A67" w:rsidRPr="00572991" w:rsidRDefault="005F0A67" w:rsidP="005F0A67">
      <w:pPr>
        <w:pStyle w:val="FootnoteText"/>
        <w:rPr>
          <w:rFonts w:ascii="Tahoma" w:hAnsi="Tahoma" w:cs="Tahoma"/>
        </w:rPr>
      </w:pPr>
      <w:r w:rsidRPr="00572991">
        <w:rPr>
          <w:rStyle w:val="FootnoteReference"/>
          <w:rFonts w:ascii="Tahoma" w:hAnsi="Tahoma" w:cs="Tahoma"/>
        </w:rPr>
        <w:footnoteRef/>
      </w:r>
      <w:r w:rsidRPr="00572991">
        <w:rPr>
          <w:rFonts w:ascii="Tahoma" w:hAnsi="Tahoma" w:cs="Tahoma"/>
        </w:rPr>
        <w:t xml:space="preserve"> The Nagoya Protocol provides a legally binding basis for national ABS implementation, which distinguishes it from Decision 16/2, where national measures are encouraged rather than required. It is used here to illustrate potential effects of national implementation measures on compliance. </w:t>
      </w:r>
    </w:p>
  </w:footnote>
  <w:footnote w:id="36">
    <w:p w14:paraId="4D0EF484" w14:textId="77777777" w:rsidR="005F0A67" w:rsidRPr="00572991" w:rsidRDefault="005F0A67" w:rsidP="005F0A67">
      <w:pPr>
        <w:pStyle w:val="FootnoteText"/>
        <w:rPr>
          <w:rFonts w:ascii="Tahoma" w:hAnsi="Tahoma" w:cs="Tahoma"/>
        </w:rPr>
      </w:pPr>
      <w:r w:rsidRPr="00572991">
        <w:rPr>
          <w:rStyle w:val="FootnoteReference"/>
          <w:rFonts w:ascii="Tahoma" w:hAnsi="Tahoma" w:cs="Tahoma"/>
        </w:rPr>
        <w:footnoteRef/>
      </w:r>
      <w:r w:rsidRPr="00572991">
        <w:rPr>
          <w:rFonts w:ascii="Tahoma" w:hAnsi="Tahoma" w:cs="Tahoma"/>
        </w:rPr>
        <w:t xml:space="preserve"> Note that the Nagoya Protocol is a legally binding treaty, meaning its legal character is also transferred to national-level implementation. For the non-binding Cali Fund, national implementation may take different forms, including soft laws or other non-regulatory measures, which could have more limited effects on firm behaviour and compliance rates than binding instruments.</w:t>
      </w:r>
    </w:p>
  </w:footnote>
  <w:footnote w:id="37">
    <w:p w14:paraId="51C737A1" w14:textId="77777777" w:rsidR="005F0A67" w:rsidRPr="00572991" w:rsidRDefault="005F0A67" w:rsidP="005F0A67">
      <w:pPr>
        <w:pStyle w:val="FootnoteText"/>
        <w:rPr>
          <w:rFonts w:ascii="Tahoma" w:hAnsi="Tahoma" w:cs="Tahoma"/>
        </w:rPr>
      </w:pPr>
      <w:r w:rsidRPr="00572991">
        <w:rPr>
          <w:rStyle w:val="FootnoteReference"/>
          <w:rFonts w:ascii="Tahoma" w:hAnsi="Tahoma" w:cs="Tahoma"/>
        </w:rPr>
        <w:footnoteRef/>
      </w:r>
      <w:r w:rsidRPr="00572991">
        <w:rPr>
          <w:rFonts w:ascii="Tahoma" w:hAnsi="Tahoma" w:cs="Tahoma"/>
        </w:rPr>
        <w:t xml:space="preserve"> Decision 16/2, Annex, paragraph 16. </w:t>
      </w:r>
    </w:p>
  </w:footnote>
  <w:footnote w:id="38">
    <w:p w14:paraId="62AE06DC" w14:textId="77777777" w:rsidR="005F0A67" w:rsidRPr="00572991" w:rsidRDefault="005F0A67" w:rsidP="005F0A67">
      <w:pPr>
        <w:pStyle w:val="FootnoteText"/>
        <w:rPr>
          <w:rFonts w:ascii="Tahoma" w:hAnsi="Tahoma" w:cs="Tahoma"/>
        </w:rPr>
      </w:pPr>
      <w:r w:rsidRPr="00572991">
        <w:rPr>
          <w:rStyle w:val="FootnoteReference"/>
          <w:rFonts w:ascii="Tahoma" w:hAnsi="Tahoma" w:cs="Tahoma"/>
        </w:rPr>
        <w:footnoteRef/>
      </w:r>
      <w:r w:rsidRPr="00572991">
        <w:rPr>
          <w:rFonts w:ascii="Tahoma" w:hAnsi="Tahoma" w:cs="Tahoma"/>
        </w:rPr>
        <w:t xml:space="preserve"> The ‘extent’ refers here to the scale of public DSI use e.g. the number of sequences, while the ‘effect’ covers the impact that DSI use has on a company’s operations (incl. commercial value derived from DSI). </w:t>
      </w:r>
    </w:p>
  </w:footnote>
  <w:footnote w:id="39">
    <w:p w14:paraId="494A0AED" w14:textId="77777777" w:rsidR="005F0A67" w:rsidRPr="00572991" w:rsidRDefault="005F0A67" w:rsidP="005F0A67">
      <w:pPr>
        <w:pStyle w:val="FootnoteText"/>
        <w:rPr>
          <w:rFonts w:ascii="Tahoma" w:hAnsi="Tahoma" w:cs="Tahoma"/>
        </w:rPr>
      </w:pPr>
      <w:r w:rsidRPr="00572991">
        <w:rPr>
          <w:rStyle w:val="FootnoteReference"/>
          <w:rFonts w:ascii="Tahoma" w:hAnsi="Tahoma" w:cs="Tahoma"/>
        </w:rPr>
        <w:footnoteRef/>
      </w:r>
      <w:r w:rsidRPr="00572991">
        <w:rPr>
          <w:rFonts w:ascii="Tahoma" w:hAnsi="Tahoma" w:cs="Tahoma"/>
        </w:rPr>
        <w:t xml:space="preserve"> The ‘extent’ refers here to the scale of public DSI use e.g. the number of sequences, while the ‘effect’ covers the impact that DSI use has on a company’s operations (incl. commercial value derived from DSI). </w:t>
      </w:r>
    </w:p>
  </w:footnote>
  <w:footnote w:id="40">
    <w:p w14:paraId="3891FA3E" w14:textId="77777777" w:rsidR="005F0A67" w:rsidRPr="00572991" w:rsidRDefault="005F0A67" w:rsidP="005F0A67">
      <w:pPr>
        <w:pStyle w:val="FootnoteText"/>
        <w:rPr>
          <w:rFonts w:ascii="Tahoma" w:hAnsi="Tahoma" w:cs="Tahoma"/>
        </w:rPr>
      </w:pPr>
      <w:r w:rsidRPr="00572991">
        <w:rPr>
          <w:rStyle w:val="FootnoteReference"/>
          <w:rFonts w:ascii="Tahoma" w:hAnsi="Tahoma" w:cs="Tahoma"/>
        </w:rPr>
        <w:footnoteRef/>
      </w:r>
      <w:r w:rsidRPr="00572991">
        <w:rPr>
          <w:rFonts w:ascii="Tahoma" w:hAnsi="Tahoma" w:cs="Tahoma"/>
        </w:rPr>
        <w:t xml:space="preserve"> Note that the ‘total-financials’ approach also reflects a practical constraint: apportioning contributions to the share of activity attributable to DSI use is currently not possible, as this information is not observable. </w:t>
      </w:r>
    </w:p>
  </w:footnote>
  <w:footnote w:id="41">
    <w:p w14:paraId="5339F5B0" w14:textId="77777777" w:rsidR="005F0A67" w:rsidRPr="009016CF" w:rsidRDefault="005F0A67" w:rsidP="005F0A67">
      <w:pPr>
        <w:pStyle w:val="FootnoteText"/>
      </w:pPr>
      <w:r>
        <w:rPr>
          <w:rStyle w:val="FootnoteReference"/>
        </w:rPr>
        <w:footnoteRef/>
      </w:r>
      <w:r>
        <w:t xml:space="preserve"> </w:t>
      </w:r>
    </w:p>
  </w:footnote>
  <w:footnote w:id="42">
    <w:p w14:paraId="7193409E" w14:textId="77777777" w:rsidR="005F0A67" w:rsidRPr="00934D4B" w:rsidRDefault="005F0A67" w:rsidP="005F0A67">
      <w:pPr>
        <w:pStyle w:val="FootnoteText"/>
      </w:pPr>
      <w:r>
        <w:rPr>
          <w:rStyle w:val="FootnoteReference"/>
        </w:rPr>
        <w:footnoteRef/>
      </w:r>
      <w:r>
        <w:t xml:space="preserve"> </w:t>
      </w:r>
      <w:r w:rsidRPr="00463B76">
        <w:rPr>
          <w:rFonts w:ascii="Tahoma" w:hAnsi="Tahoma" w:cs="Tahoma"/>
        </w:rPr>
        <w:t xml:space="preserve">Full compliance' (S0) is defined as 100% participation by the eligible population, where eligibility is determined by sector membership (Enclosure I) and the financial thresholds in Annex, paragraph 3, not by verified DSI use; the eligible population therefore includes firms that meet these criteria regardless of whether they in fact use DSI (see 'Financial thresholds and entity definition,' Section 4.1). This study does not distinguish direct from indirect users for eligibility purposes: any firm meeting the sectoral and financial threshold criteria is treated identically, whether its use of DSI would be classified as direct or indirect (see 'Commercial DSI use,' Section </w:t>
      </w:r>
      <w:r>
        <w:rPr>
          <w:rFonts w:ascii="Tahoma" w:hAnsi="Tahoma" w:cs="Tahoma"/>
        </w:rPr>
        <w:fldChar w:fldCharType="begin"/>
      </w:r>
      <w:r>
        <w:rPr>
          <w:rFonts w:ascii="Tahoma" w:hAnsi="Tahoma" w:cs="Tahoma"/>
        </w:rPr>
        <w:instrText xml:space="preserve"> REF _Ref229587181 \r \h </w:instrText>
      </w:r>
      <w:r>
        <w:rPr>
          <w:rFonts w:ascii="Tahoma" w:hAnsi="Tahoma" w:cs="Tahoma"/>
        </w:rPr>
      </w:r>
      <w:r>
        <w:rPr>
          <w:rFonts w:ascii="Tahoma" w:hAnsi="Tahoma" w:cs="Tahoma"/>
        </w:rPr>
        <w:fldChar w:fldCharType="separate"/>
      </w:r>
      <w:r>
        <w:rPr>
          <w:rFonts w:ascii="Tahoma" w:hAnsi="Tahoma" w:cs="Tahoma"/>
        </w:rPr>
        <w:t>4.1</w:t>
      </w:r>
      <w:r>
        <w:rPr>
          <w:rFonts w:ascii="Tahoma" w:hAnsi="Tahoma" w:cs="Tahoma"/>
        </w:rPr>
        <w:fldChar w:fldCharType="end"/>
      </w:r>
      <w:r w:rsidRPr="00463B76">
        <w:rPr>
          <w:rFonts w:ascii="Tahoma" w:hAnsi="Tahoma" w:cs="Tahoma"/>
        </w:rPr>
        <w:t>).</w:t>
      </w:r>
    </w:p>
  </w:footnote>
  <w:footnote w:id="43">
    <w:p w14:paraId="3922EBE1" w14:textId="77777777" w:rsidR="005F0A67" w:rsidRPr="00572991" w:rsidRDefault="005F0A67" w:rsidP="005F0A67">
      <w:pPr>
        <w:pStyle w:val="FootnoteText"/>
        <w:rPr>
          <w:rFonts w:ascii="Tahoma" w:hAnsi="Tahoma" w:cs="Tahoma"/>
        </w:rPr>
      </w:pPr>
      <w:r w:rsidRPr="00572991">
        <w:rPr>
          <w:rStyle w:val="FootnoteReference"/>
          <w:rFonts w:ascii="Tahoma" w:hAnsi="Tahoma" w:cs="Tahoma"/>
        </w:rPr>
        <w:footnoteRef/>
      </w:r>
      <w:r w:rsidRPr="00572991">
        <w:rPr>
          <w:rFonts w:ascii="Tahoma" w:hAnsi="Tahoma" w:cs="Tahoma"/>
        </w:rPr>
        <w:t xml:space="preserve"> Decision 16/2 Annex paragraph 3</w:t>
      </w:r>
    </w:p>
  </w:footnote>
  <w:footnote w:id="44">
    <w:p w14:paraId="0BBFE198" w14:textId="77777777" w:rsidR="005F0A67" w:rsidRPr="00572991" w:rsidRDefault="005F0A67" w:rsidP="005F0A67">
      <w:pPr>
        <w:pStyle w:val="FootnoteText"/>
        <w:rPr>
          <w:rFonts w:ascii="Tahoma" w:hAnsi="Tahoma" w:cs="Tahoma"/>
        </w:rPr>
      </w:pPr>
      <w:r w:rsidRPr="00572991">
        <w:rPr>
          <w:rStyle w:val="FootnoteReference"/>
          <w:rFonts w:ascii="Tahoma" w:hAnsi="Tahoma" w:cs="Tahoma"/>
        </w:rPr>
        <w:footnoteRef/>
      </w:r>
      <w:r w:rsidRPr="00572991">
        <w:rPr>
          <w:rFonts w:ascii="Tahoma" w:hAnsi="Tahoma" w:cs="Tahoma"/>
        </w:rPr>
        <w:t xml:space="preserve"> Commission Recommendation 2003/361/EC, Annex, Article 3(2) and (4).</w:t>
      </w:r>
    </w:p>
  </w:footnote>
  <w:footnote w:id="45">
    <w:p w14:paraId="5B3E494D" w14:textId="77777777" w:rsidR="005F0A67" w:rsidRPr="00572991" w:rsidRDefault="005F0A67" w:rsidP="005F0A67">
      <w:pPr>
        <w:pStyle w:val="FootnoteText"/>
        <w:rPr>
          <w:rFonts w:ascii="Tahoma" w:hAnsi="Tahoma" w:cs="Tahoma"/>
        </w:rPr>
      </w:pPr>
      <w:r w:rsidRPr="00572991">
        <w:rPr>
          <w:rStyle w:val="FootnoteReference"/>
          <w:rFonts w:ascii="Tahoma" w:hAnsi="Tahoma" w:cs="Tahoma"/>
        </w:rPr>
        <w:footnoteRef/>
      </w:r>
      <w:r w:rsidRPr="00572991">
        <w:rPr>
          <w:rFonts w:ascii="Tahoma" w:hAnsi="Tahoma" w:cs="Tahoma"/>
        </w:rPr>
        <w:t xml:space="preserve"> Originally implemented in 2003 </w:t>
      </w:r>
      <w:r w:rsidRPr="00572991">
        <w:rPr>
          <w:rFonts w:ascii="Tahoma" w:hAnsi="Tahoma" w:cs="Tahoma"/>
          <w:lang w:val="pl-PL"/>
        </w:rPr>
        <w:fldChar w:fldCharType="begin"/>
      </w:r>
      <w:r w:rsidRPr="00572991">
        <w:rPr>
          <w:rFonts w:ascii="Tahoma" w:hAnsi="Tahoma" w:cs="Tahoma"/>
        </w:rPr>
        <w:instrText xml:space="preserve"> ADDIN ZOTERO_ITEM CSL_CITATION {"citationID":"eJsPE4Ob","properties":{"unsorted":false,"formattedCitation":"(Chen, 2023)","plainCitation":"(Chen, 2023)","noteIndex":38},"citationItems":[{"id":229,"uris":["http://zotero.org/users/14977742/items/SL6IUZNM"],"itemData":{"id":229,"type":"book","citation-key":"RoleSMEsChinas2023a","collection-title":"Issue Nb. 5","ISBN":"978-87-94507-09-7","language":"dan","note":"OCLC: 1396268646","publisher":"Circular Innovation Lab","publisher-place":"Copenhagen, Denmark","source":"Open WorldCat","title":"The role of SMEs in China's circular economy transition","URL":"https://circulareconomy.europa.eu/platform/sites/default/files/2023-08/The%20Role%20of%20SMEs%20in%20China%27s%20Circular%20Economy%20Transition.pdf","author":[{"family":"Chen","given":"Ru"}],"issued":{"date-parts":[["2023"]]}}}],"schema":"https://github.com/citation-style-language/schema/raw/master/csl-citation.json"} </w:instrText>
      </w:r>
      <w:r w:rsidRPr="00572991">
        <w:rPr>
          <w:rFonts w:ascii="Tahoma" w:hAnsi="Tahoma" w:cs="Tahoma"/>
          <w:lang w:val="pl-PL"/>
        </w:rPr>
        <w:fldChar w:fldCharType="separate"/>
      </w:r>
      <w:r w:rsidRPr="00572991">
        <w:rPr>
          <w:rFonts w:ascii="Tahoma" w:hAnsi="Tahoma" w:cs="Tahoma"/>
          <w:noProof/>
        </w:rPr>
        <w:t>(Chen, 2023)</w:t>
      </w:r>
      <w:r w:rsidRPr="00572991">
        <w:rPr>
          <w:rFonts w:ascii="Tahoma" w:hAnsi="Tahoma" w:cs="Tahoma"/>
          <w:lang w:val="pl-PL"/>
        </w:rPr>
        <w:fldChar w:fldCharType="end"/>
      </w:r>
    </w:p>
  </w:footnote>
  <w:footnote w:id="46">
    <w:p w14:paraId="7F8EFAF1" w14:textId="77777777" w:rsidR="005F0A67" w:rsidRPr="00572991" w:rsidRDefault="005F0A67" w:rsidP="005F0A67">
      <w:pPr>
        <w:pStyle w:val="FootnoteText"/>
        <w:rPr>
          <w:rFonts w:ascii="Tahoma" w:hAnsi="Tahoma" w:cs="Tahoma"/>
        </w:rPr>
      </w:pPr>
      <w:r w:rsidRPr="00572991">
        <w:rPr>
          <w:rStyle w:val="FootnoteReference"/>
          <w:rFonts w:ascii="Tahoma" w:hAnsi="Tahoma" w:cs="Tahoma"/>
        </w:rPr>
        <w:footnoteRef/>
      </w:r>
      <w:r w:rsidRPr="00572991">
        <w:rPr>
          <w:rFonts w:ascii="Tahoma" w:hAnsi="Tahoma" w:cs="Tahoma"/>
        </w:rPr>
        <w:t xml:space="preserve"> Capital here refers to paid-in capital which is a single line position on the balance sheet, unlike the Cali Fund’s total assets, which include everything a company owns (incl. fixed assets). </w:t>
      </w:r>
    </w:p>
  </w:footnote>
  <w:footnote w:id="47">
    <w:p w14:paraId="2B3DE5F0" w14:textId="77777777" w:rsidR="005F0A67" w:rsidRPr="00572991" w:rsidRDefault="005F0A67" w:rsidP="005F0A67">
      <w:pPr>
        <w:pStyle w:val="FootnoteText"/>
        <w:rPr>
          <w:rFonts w:ascii="Tahoma" w:hAnsi="Tahoma" w:cs="Tahoma"/>
        </w:rPr>
      </w:pPr>
      <w:r w:rsidRPr="00572991">
        <w:rPr>
          <w:rStyle w:val="FootnoteReference"/>
          <w:rFonts w:ascii="Tahoma" w:hAnsi="Tahoma" w:cs="Tahoma"/>
        </w:rPr>
        <w:footnoteRef/>
      </w:r>
      <w:r w:rsidRPr="00572991">
        <w:rPr>
          <w:rFonts w:ascii="Tahoma" w:hAnsi="Tahoma" w:cs="Tahoma"/>
        </w:rPr>
        <w:t xml:space="preserve"> The United States is not a Party to the CBD but is included here given the significant presence of US-headquartered firms among Cali Fund-relevant sectors, particularly in pharmaceuticals, biotechnology, and information technology.</w:t>
      </w:r>
    </w:p>
  </w:footnote>
  <w:footnote w:id="48">
    <w:p w14:paraId="00AB01BB" w14:textId="77777777" w:rsidR="005F0A67" w:rsidRPr="00572991" w:rsidRDefault="005F0A67" w:rsidP="005F0A67">
      <w:pPr>
        <w:pStyle w:val="FootnoteText"/>
        <w:rPr>
          <w:rFonts w:ascii="Tahoma" w:hAnsi="Tahoma" w:cs="Tahoma"/>
        </w:rPr>
      </w:pPr>
      <w:r w:rsidRPr="00572991">
        <w:rPr>
          <w:rStyle w:val="FootnoteReference"/>
          <w:rFonts w:ascii="Tahoma" w:hAnsi="Tahoma" w:cs="Tahoma"/>
        </w:rPr>
        <w:footnoteRef/>
      </w:r>
      <w:r w:rsidRPr="00572991">
        <w:rPr>
          <w:rFonts w:ascii="Tahoma" w:hAnsi="Tahoma" w:cs="Tahoma"/>
        </w:rPr>
        <w:t xml:space="preserve"> A full breakdown of CBD Party coverage status, including which Parties have no coverage within the database and which have coverage but no eligible firms meeting the thresholds, is provided in Annex </w:t>
      </w:r>
    </w:p>
    <w:p w14:paraId="3B6E18BC" w14:textId="77777777" w:rsidR="005F0A67" w:rsidRPr="00572991" w:rsidRDefault="005F0A67" w:rsidP="005F0A67">
      <w:pPr>
        <w:pStyle w:val="FootnoteText"/>
        <w:rPr>
          <w:rFonts w:ascii="Tahoma" w:hAnsi="Tahoma" w:cs="Tahoma"/>
        </w:rPr>
      </w:pPr>
      <w:r w:rsidRPr="00572991">
        <w:rPr>
          <w:rFonts w:ascii="Tahoma" w:hAnsi="Tahoma" w:cs="Tahoma"/>
        </w:rPr>
        <w:t xml:space="preserve">reproduced from Makowska-Curran </w:t>
      </w:r>
      <w:r w:rsidRPr="00572991">
        <w:rPr>
          <w:rFonts w:ascii="Tahoma" w:hAnsi="Tahoma" w:cs="Tahoma"/>
        </w:rPr>
        <w:fldChar w:fldCharType="begin"/>
      </w:r>
      <w:r w:rsidRPr="00572991">
        <w:rPr>
          <w:rFonts w:ascii="Tahoma" w:hAnsi="Tahoma" w:cs="Tahoma"/>
        </w:rPr>
        <w:instrText xml:space="preserve"> ADDIN ZOTERO_ITEM CSL_CITATION {"citationID":"nDLX6CIk","properties":{"unsorted":false,"formattedCitation":"(2026)","plainCitation":"(2026)","noteIndex":41},"citationItems":[{"id":77,"uris":["http://zotero.org/users/14977742/items/2PI55QKT"],"itemData":{"id":77,"type":"article-journal","abstract":"This paper provides the first global, firm-level analysis of what the Cali Fund, designed to support global conservation, is likely to raise and how resources would be distributed.","citation-key":"GlobalBiodiversityCommitments","container-title":"Grantham Research Institute on climate change and the environment","language":"en-GB","publisher":"London School of Economics and Political Science (LSE)","title":"From global biodiversity commitments to local action: revenue potential and allocation dynamics of the Cali Fund","title-short":"From global biodiversity commitments to local action","URL":"https://www.lse.ac.uk/granthaminstitute/publication/from-global-biodiversity-commitments-to-local-action-revenue-potential-and-allocation-dynamics-of-the-cali-fund/","author":[{"family":"Makowska-Curran","given":"Agata"}],"accessed":{"date-parts":[["2026",6,3]]},"issued":{"date-parts":[["2026",6]]}},"suppress-author":true}],"schema":"https://github.com/citation-style-language/schema/raw/master/csl-citation.json"} </w:instrText>
      </w:r>
      <w:r w:rsidRPr="00572991">
        <w:rPr>
          <w:rFonts w:ascii="Tahoma" w:hAnsi="Tahoma" w:cs="Tahoma"/>
        </w:rPr>
        <w:fldChar w:fldCharType="separate"/>
      </w:r>
      <w:r w:rsidRPr="00572991">
        <w:rPr>
          <w:rFonts w:ascii="Tahoma" w:hAnsi="Tahoma" w:cs="Tahoma"/>
        </w:rPr>
        <w:t>(2026)</w:t>
      </w:r>
      <w:r w:rsidRPr="00572991">
        <w:rPr>
          <w:rFonts w:ascii="Tahoma" w:hAnsi="Tahoma" w:cs="Tahoma"/>
        </w:rPr>
        <w:fldChar w:fldCharType="end"/>
      </w:r>
      <w:r w:rsidRPr="00572991">
        <w:rPr>
          <w:rFonts w:ascii="Tahoma" w:hAnsi="Tahoma" w:cs="Tahoma"/>
        </w:rPr>
        <w:t>.</w:t>
      </w:r>
    </w:p>
  </w:footnote>
  <w:footnote w:id="49">
    <w:p w14:paraId="09B7A7D0" w14:textId="77777777" w:rsidR="005F0A67" w:rsidRPr="00572991" w:rsidRDefault="005F0A67" w:rsidP="005F0A67">
      <w:pPr>
        <w:pStyle w:val="FootnoteText"/>
        <w:rPr>
          <w:rFonts w:ascii="Tahoma" w:hAnsi="Tahoma" w:cs="Tahoma"/>
        </w:rPr>
      </w:pPr>
      <w:r w:rsidRPr="00572991">
        <w:rPr>
          <w:rStyle w:val="FootnoteReference"/>
          <w:rFonts w:ascii="Tahoma" w:hAnsi="Tahoma" w:cs="Tahoma"/>
        </w:rPr>
        <w:footnoteRef/>
      </w:r>
      <w:r w:rsidRPr="00572991">
        <w:rPr>
          <w:rFonts w:ascii="Tahoma" w:hAnsi="Tahoma" w:cs="Tahoma"/>
        </w:rPr>
        <w:t xml:space="preserve"> NACE stands for “statistical classification of economic activities in the European Community” (translated from French “Nomenclature </w:t>
      </w:r>
      <w:proofErr w:type="spellStart"/>
      <w:r w:rsidRPr="00572991">
        <w:rPr>
          <w:rFonts w:ascii="Tahoma" w:hAnsi="Tahoma" w:cs="Tahoma"/>
        </w:rPr>
        <w:t>statistique</w:t>
      </w:r>
      <w:proofErr w:type="spellEnd"/>
      <w:r w:rsidRPr="00572991">
        <w:rPr>
          <w:rFonts w:ascii="Tahoma" w:hAnsi="Tahoma" w:cs="Tahoma"/>
        </w:rPr>
        <w:t xml:space="preserve"> des </w:t>
      </w:r>
      <w:proofErr w:type="spellStart"/>
      <w:r w:rsidRPr="00572991">
        <w:rPr>
          <w:rFonts w:ascii="Tahoma" w:hAnsi="Tahoma" w:cs="Tahoma"/>
        </w:rPr>
        <w:t>activités</w:t>
      </w:r>
      <w:proofErr w:type="spellEnd"/>
      <w:r w:rsidRPr="00572991">
        <w:rPr>
          <w:rFonts w:ascii="Tahoma" w:hAnsi="Tahoma" w:cs="Tahoma"/>
        </w:rPr>
        <w:t xml:space="preserve"> </w:t>
      </w:r>
      <w:proofErr w:type="spellStart"/>
      <w:r w:rsidRPr="00572991">
        <w:rPr>
          <w:rFonts w:ascii="Tahoma" w:hAnsi="Tahoma" w:cs="Tahoma"/>
        </w:rPr>
        <w:t>économiques</w:t>
      </w:r>
      <w:proofErr w:type="spellEnd"/>
      <w:r w:rsidRPr="00572991">
        <w:rPr>
          <w:rFonts w:ascii="Tahoma" w:hAnsi="Tahoma" w:cs="Tahoma"/>
        </w:rPr>
        <w:t xml:space="preserve"> dans la </w:t>
      </w:r>
      <w:proofErr w:type="spellStart"/>
      <w:r w:rsidRPr="00572991">
        <w:rPr>
          <w:rFonts w:ascii="Tahoma" w:hAnsi="Tahoma" w:cs="Tahoma"/>
        </w:rPr>
        <w:t>Communauté</w:t>
      </w:r>
      <w:proofErr w:type="spellEnd"/>
      <w:r w:rsidRPr="00572991">
        <w:rPr>
          <w:rFonts w:ascii="Tahoma" w:hAnsi="Tahoma" w:cs="Tahoma"/>
        </w:rPr>
        <w:t xml:space="preserve"> </w:t>
      </w:r>
      <w:proofErr w:type="spellStart"/>
      <w:r w:rsidRPr="00572991">
        <w:rPr>
          <w:rFonts w:ascii="Tahoma" w:hAnsi="Tahoma" w:cs="Tahoma"/>
        </w:rPr>
        <w:t>européenne</w:t>
      </w:r>
      <w:proofErr w:type="spellEnd"/>
      <w:r w:rsidRPr="00572991">
        <w:rPr>
          <w:rFonts w:ascii="Tahoma" w:hAnsi="Tahoma" w:cs="Tahoma"/>
        </w:rPr>
        <w:t xml:space="preserve">”). It is the classification of industrial activities used in the European Union </w:t>
      </w:r>
      <w:r w:rsidRPr="00572991">
        <w:rPr>
          <w:rFonts w:ascii="Tahoma" w:hAnsi="Tahoma" w:cs="Tahoma"/>
        </w:rPr>
        <w:fldChar w:fldCharType="begin"/>
      </w:r>
      <w:r w:rsidRPr="00572991">
        <w:rPr>
          <w:rFonts w:ascii="Tahoma" w:hAnsi="Tahoma" w:cs="Tahoma"/>
        </w:rPr>
        <w:instrText xml:space="preserve"> ADDIN ZOTERO_ITEM CSL_CITATION {"citationID":"Dps20o54","properties":{"unsorted":false,"formattedCitation":"(European Commission, 2008)","plainCitation":"(European Commission, 2008)","noteIndex":42},"citationItems":[{"id":1260,"uris":["http://zotero.org/users/14977742/items/C8XD9ZWY"],"itemData":{"id":1260,"type":"book","abstract":"NACE is the acronym used to designate the various statistical classifications of economic activities developed since 1970 in the European Union. NACE provides the framework for collecting and presenting a large range of statistical data according to economic activity in the fields of economic statistics (e.g. production, employment, national accounts) and in other statistical domains. Statistics produced on the basis of NACE are comparable at European and, in general, at world level. The use of NACE is mandatory within the European Statistical System","citation-key":"europeancommissionNACERev22008","ISBN":"978-92-79-04741-1","language":"eng","number-of-pages":"1","publisher":"Publications Office","publisher-place":"Luxembourg","source":"K10plus ISBN","title":"NACE Rev. 2: statistical classification of economic activities in the European Community","title-short":"NACE Rev. 2","editor":[{"literal":"European Commission"}],"issued":{"date-parts":[["2008"]]}}}],"schema":"https://github.com/citation-style-language/schema/raw/master/csl-citation.json"} </w:instrText>
      </w:r>
      <w:r w:rsidRPr="00572991">
        <w:rPr>
          <w:rFonts w:ascii="Tahoma" w:hAnsi="Tahoma" w:cs="Tahoma"/>
        </w:rPr>
        <w:fldChar w:fldCharType="separate"/>
      </w:r>
      <w:r w:rsidRPr="00572991">
        <w:rPr>
          <w:rFonts w:ascii="Tahoma" w:hAnsi="Tahoma" w:cs="Tahoma"/>
          <w:noProof/>
        </w:rPr>
        <w:t>(European Commission, 2008)</w:t>
      </w:r>
      <w:r w:rsidRPr="00572991">
        <w:rPr>
          <w:rFonts w:ascii="Tahoma" w:hAnsi="Tahoma" w:cs="Tahoma"/>
        </w:rPr>
        <w:fldChar w:fldCharType="end"/>
      </w:r>
      <w:r w:rsidRPr="00572991">
        <w:rPr>
          <w:rFonts w:ascii="Tahoma" w:hAnsi="Tahoma" w:cs="Tahoma"/>
        </w:rPr>
        <w:t>.</w:t>
      </w:r>
    </w:p>
  </w:footnote>
  <w:footnote w:id="50">
    <w:p w14:paraId="65AD8863" w14:textId="77777777" w:rsidR="005F0A67" w:rsidRPr="00572991" w:rsidRDefault="005F0A67" w:rsidP="005F0A67">
      <w:pPr>
        <w:pStyle w:val="FootnoteText"/>
        <w:rPr>
          <w:rFonts w:ascii="Tahoma" w:hAnsi="Tahoma" w:cs="Tahoma"/>
        </w:rPr>
      </w:pPr>
      <w:r w:rsidRPr="00572991">
        <w:rPr>
          <w:rStyle w:val="FootnoteReference"/>
          <w:rFonts w:ascii="Tahoma" w:hAnsi="Tahoma" w:cs="Tahoma"/>
        </w:rPr>
        <w:footnoteRef/>
      </w:r>
      <w:r w:rsidRPr="00572991">
        <w:rPr>
          <w:rFonts w:ascii="Tahoma" w:hAnsi="Tahoma" w:cs="Tahoma"/>
        </w:rPr>
        <w:t xml:space="preserve"> ISIC is the International Standard Industrial Classification of All Economic Activities, the United Nations reference framework for classifying economic activities by productive type </w:t>
      </w:r>
      <w:r w:rsidRPr="00572991">
        <w:rPr>
          <w:rFonts w:ascii="Tahoma" w:hAnsi="Tahoma" w:cs="Tahoma"/>
          <w:lang w:val="pl-PL"/>
        </w:rPr>
        <w:fldChar w:fldCharType="begin"/>
      </w:r>
      <w:r w:rsidRPr="00572991">
        <w:rPr>
          <w:rFonts w:ascii="Tahoma" w:hAnsi="Tahoma" w:cs="Tahoma"/>
        </w:rPr>
        <w:instrText xml:space="preserve"> ADDIN ZOTERO_ITEM CSL_CITATION {"citationID":"orzW8DAw","properties":{"unsorted":false,"formattedCitation":"(UNSD, 2026)","plainCitation":"(UNSD, 2026)","noteIndex":43},"citationItems":[{"id":596,"uris":["http://zotero.org/users/14977742/items/FDEF74PG"],"itemData":{"id":596,"type":"webpage","citation-key":"unsdInternationalStandardIndustrial","title":"International Standard Industrial Classification of All Economic Activities (ISIC) Revision 5","URL":"https://unstats.un.org/unsd/classifications/Family/Detail/2095","author":[{"literal":"UNSD"}],"accessed":{"date-parts":[["2025",12,22]]},"issued":{"date-parts":[["2026"]]}}}],"schema":"https://github.com/citation-style-language/schema/raw/master/csl-citation.json"} </w:instrText>
      </w:r>
      <w:r w:rsidRPr="00572991">
        <w:rPr>
          <w:rFonts w:ascii="Tahoma" w:hAnsi="Tahoma" w:cs="Tahoma"/>
          <w:lang w:val="pl-PL"/>
        </w:rPr>
        <w:fldChar w:fldCharType="separate"/>
      </w:r>
      <w:r w:rsidRPr="00572991">
        <w:rPr>
          <w:rFonts w:ascii="Tahoma" w:hAnsi="Tahoma" w:cs="Tahoma"/>
          <w:noProof/>
        </w:rPr>
        <w:t>(UNSD, 2026)</w:t>
      </w:r>
      <w:r w:rsidRPr="00572991">
        <w:rPr>
          <w:rFonts w:ascii="Tahoma" w:hAnsi="Tahoma" w:cs="Tahoma"/>
          <w:lang w:val="pl-PL"/>
        </w:rPr>
        <w:fldChar w:fldCharType="end"/>
      </w:r>
      <w:r w:rsidRPr="00572991">
        <w:rPr>
          <w:rFonts w:ascii="Tahoma" w:hAnsi="Tahoma" w:cs="Tahoma"/>
        </w:rPr>
        <w:t>.</w:t>
      </w:r>
    </w:p>
  </w:footnote>
  <w:footnote w:id="51">
    <w:p w14:paraId="4D563626" w14:textId="77777777" w:rsidR="005F0A67" w:rsidRPr="00572991" w:rsidRDefault="005F0A67" w:rsidP="005F0A67">
      <w:pPr>
        <w:pStyle w:val="FootnoteText"/>
        <w:rPr>
          <w:rFonts w:ascii="Tahoma" w:hAnsi="Tahoma" w:cs="Tahoma"/>
        </w:rPr>
      </w:pPr>
      <w:r w:rsidRPr="00572991">
        <w:rPr>
          <w:rStyle w:val="FootnoteReference"/>
          <w:rFonts w:ascii="Tahoma" w:hAnsi="Tahoma" w:cs="Tahoma"/>
        </w:rPr>
        <w:footnoteRef/>
      </w:r>
      <w:r w:rsidRPr="00572991">
        <w:rPr>
          <w:rFonts w:ascii="Tahoma" w:hAnsi="Tahoma" w:cs="Tahoma"/>
        </w:rPr>
        <w:t xml:space="preserve"> NAICS refers to the North American Industry Classification System, the standard classification framework used by United States federal statistical agencies to categorise business establishments for statistical purposes </w:t>
      </w:r>
      <w:r w:rsidRPr="00572991">
        <w:rPr>
          <w:rFonts w:ascii="Tahoma" w:hAnsi="Tahoma" w:cs="Tahoma"/>
        </w:rPr>
        <w:fldChar w:fldCharType="begin"/>
      </w:r>
      <w:r w:rsidRPr="00572991">
        <w:rPr>
          <w:rFonts w:ascii="Tahoma" w:hAnsi="Tahoma" w:cs="Tahoma"/>
        </w:rPr>
        <w:instrText xml:space="preserve"> ADDIN ZOTERO_ITEM CSL_CITATION {"citationID":"TfRPxyAh","properties":{"unsorted":false,"formattedCitation":"(U.S. Census Bureau, 2022)","plainCitation":"(U.S. Census Bureau, 2022)","noteIndex":44},"citationItems":[{"id":496,"uris":["http://zotero.org/users/14977742/items/LRJGDMXC"],"itemData":{"id":496,"type":"book","citation-key":"naicscensus","publisher":"U.S. Government Publishing Office","publisher-place":"Washington, DC","title":"North American Industry Classification System: United States, 2022","URL":"https://www.census.gov/naics/","author":[{"literal":"U.S. Census Bureau"}],"accessed":{"date-parts":[["2026",3,31]]},"issued":{"date-parts":[["2022"]]}}}],"schema":"https://github.com/citation-style-language/schema/raw/master/csl-citation.json"} </w:instrText>
      </w:r>
      <w:r w:rsidRPr="00572991">
        <w:rPr>
          <w:rFonts w:ascii="Tahoma" w:hAnsi="Tahoma" w:cs="Tahoma"/>
        </w:rPr>
        <w:fldChar w:fldCharType="separate"/>
      </w:r>
      <w:r w:rsidRPr="00572991">
        <w:rPr>
          <w:rFonts w:ascii="Tahoma" w:hAnsi="Tahoma" w:cs="Tahoma"/>
          <w:noProof/>
        </w:rPr>
        <w:t>(U.S. Census Bureau, 2022)</w:t>
      </w:r>
      <w:r w:rsidRPr="00572991">
        <w:rPr>
          <w:rFonts w:ascii="Tahoma" w:hAnsi="Tahoma" w:cs="Tahoma"/>
        </w:rPr>
        <w:fldChar w:fldCharType="end"/>
      </w:r>
      <w:r w:rsidRPr="00572991">
        <w:rPr>
          <w:rFonts w:ascii="Tahoma" w:hAnsi="Tahoma" w:cs="Tahoma"/>
        </w:rPr>
        <w:t>.</w:t>
      </w:r>
    </w:p>
  </w:footnote>
  <w:footnote w:id="52">
    <w:p w14:paraId="7F683721" w14:textId="77777777" w:rsidR="005F0A67" w:rsidRPr="00572991" w:rsidRDefault="005F0A67" w:rsidP="005F0A67">
      <w:pPr>
        <w:pStyle w:val="FootnoteText"/>
        <w:rPr>
          <w:rFonts w:ascii="Tahoma" w:hAnsi="Tahoma" w:cs="Tahoma"/>
        </w:rPr>
      </w:pPr>
      <w:r w:rsidRPr="00572991">
        <w:rPr>
          <w:rStyle w:val="FootnoteReference"/>
          <w:rFonts w:ascii="Tahoma" w:hAnsi="Tahoma" w:cs="Tahoma"/>
        </w:rPr>
        <w:footnoteRef/>
      </w:r>
      <w:r w:rsidRPr="00572991">
        <w:rPr>
          <w:rFonts w:ascii="Tahoma" w:hAnsi="Tahoma" w:cs="Tahoma"/>
        </w:rPr>
        <w:t xml:space="preserve"> Where firms have data for fewer than all three threshold years, the average is computed over available years only. This is a conservative choice that avoids excluding firms with incomplete Orbis coverage rather than genuine recent entry. Full methodological detail is in Makowska-Curran (2026).</w:t>
      </w:r>
    </w:p>
  </w:footnote>
  <w:footnote w:id="53">
    <w:p w14:paraId="5C17D955" w14:textId="77777777" w:rsidR="005F0A67" w:rsidRPr="00572991" w:rsidRDefault="005F0A67" w:rsidP="005F0A67">
      <w:pPr>
        <w:pStyle w:val="FootnoteText"/>
        <w:rPr>
          <w:rFonts w:ascii="Tahoma" w:hAnsi="Tahoma" w:cs="Tahoma"/>
        </w:rPr>
      </w:pPr>
      <w:r w:rsidRPr="00572991">
        <w:rPr>
          <w:rStyle w:val="FootnoteReference"/>
          <w:rFonts w:ascii="Tahoma" w:hAnsi="Tahoma" w:cs="Tahoma"/>
        </w:rPr>
        <w:footnoteRef/>
      </w:r>
      <w:r w:rsidRPr="00572991">
        <w:rPr>
          <w:rFonts w:ascii="Tahoma" w:hAnsi="Tahoma" w:cs="Tahoma"/>
        </w:rPr>
        <w:t xml:space="preserve"> Note that those estimates use 2023 as the reference year, rather than 3-year averages reported in </w:t>
      </w:r>
      <w:r w:rsidRPr="00572991">
        <w:rPr>
          <w:rFonts w:ascii="Tahoma" w:hAnsi="Tahoma" w:cs="Tahoma"/>
        </w:rPr>
        <w:fldChar w:fldCharType="begin"/>
      </w:r>
      <w:r w:rsidRPr="00572991">
        <w:rPr>
          <w:rFonts w:ascii="Tahoma" w:hAnsi="Tahoma" w:cs="Tahoma"/>
        </w:rPr>
        <w:instrText xml:space="preserve"> REF _Ref230019902 \h  \* MERGEFORMAT </w:instrText>
      </w:r>
      <w:r w:rsidRPr="00572991">
        <w:rPr>
          <w:rFonts w:ascii="Tahoma" w:hAnsi="Tahoma" w:cs="Tahoma"/>
        </w:rPr>
      </w:r>
      <w:r w:rsidRPr="00572991">
        <w:rPr>
          <w:rFonts w:ascii="Tahoma" w:hAnsi="Tahoma" w:cs="Tahoma"/>
        </w:rPr>
        <w:fldChar w:fldCharType="separate"/>
      </w:r>
      <w:r w:rsidRPr="00572991">
        <w:rPr>
          <w:rFonts w:ascii="Tahoma" w:hAnsi="Tahoma" w:cs="Tahoma"/>
        </w:rPr>
        <w:t xml:space="preserve">Figure </w:t>
      </w:r>
      <w:r w:rsidRPr="00572991">
        <w:rPr>
          <w:rFonts w:ascii="Tahoma" w:hAnsi="Tahoma" w:cs="Tahoma"/>
          <w:noProof/>
        </w:rPr>
        <w:t>4</w:t>
      </w:r>
      <w:r w:rsidRPr="00572991">
        <w:rPr>
          <w:rFonts w:ascii="Tahoma" w:hAnsi="Tahoma" w:cs="Tahoma"/>
        </w:rPr>
        <w:fldChar w:fldCharType="end"/>
      </w:r>
      <w:r w:rsidRPr="00572991">
        <w:rPr>
          <w:rFonts w:ascii="Tahoma" w:hAnsi="Tahoma" w:cs="Tahoma"/>
        </w:rPr>
        <w:t>. The latter is more aligned with the Decision 16/2 thresholds.</w:t>
      </w:r>
    </w:p>
  </w:footnote>
  <w:footnote w:id="54">
    <w:p w14:paraId="19F984E5" w14:textId="77777777" w:rsidR="005F0A67" w:rsidRPr="00572991" w:rsidRDefault="005F0A67" w:rsidP="005F0A67">
      <w:pPr>
        <w:pStyle w:val="FootnoteText"/>
        <w:rPr>
          <w:rFonts w:ascii="Tahoma" w:hAnsi="Tahoma" w:cs="Tahoma"/>
        </w:rPr>
      </w:pPr>
      <w:r w:rsidRPr="00572991">
        <w:rPr>
          <w:rStyle w:val="FootnoteReference"/>
          <w:rFonts w:ascii="Tahoma" w:hAnsi="Tahoma" w:cs="Tahoma"/>
        </w:rPr>
        <w:footnoteRef/>
      </w:r>
      <w:r w:rsidRPr="00572991">
        <w:rPr>
          <w:rFonts w:ascii="Tahoma" w:hAnsi="Tahoma" w:cs="Tahoma"/>
        </w:rPr>
        <w:t xml:space="preserve"> Net Present Value (see the glossary).</w:t>
      </w:r>
    </w:p>
  </w:footnote>
  <w:footnote w:id="55">
    <w:p w14:paraId="146C1811" w14:textId="77777777" w:rsidR="005F0A67" w:rsidRPr="00572991" w:rsidRDefault="005F0A67" w:rsidP="005F0A67">
      <w:pPr>
        <w:pStyle w:val="FootnoteText"/>
        <w:rPr>
          <w:rFonts w:ascii="Tahoma" w:hAnsi="Tahoma" w:cs="Tahoma"/>
        </w:rPr>
      </w:pPr>
      <w:r w:rsidRPr="00572991">
        <w:rPr>
          <w:rStyle w:val="FootnoteReference"/>
          <w:rFonts w:ascii="Tahoma" w:hAnsi="Tahoma" w:cs="Tahoma"/>
        </w:rPr>
        <w:footnoteRef/>
      </w:r>
      <w:r w:rsidRPr="00572991">
        <w:rPr>
          <w:rFonts w:ascii="Tahoma" w:hAnsi="Tahoma" w:cs="Tahoma"/>
        </w:rPr>
        <w:t xml:space="preserve"> See </w:t>
      </w:r>
      <w:r w:rsidRPr="00572991">
        <w:rPr>
          <w:rFonts w:ascii="Tahoma" w:hAnsi="Tahoma" w:cs="Tahoma"/>
        </w:rPr>
        <w:fldChar w:fldCharType="begin"/>
      </w:r>
      <w:r w:rsidRPr="00572991">
        <w:rPr>
          <w:rFonts w:ascii="Tahoma" w:hAnsi="Tahoma" w:cs="Tahoma"/>
        </w:rPr>
        <w:instrText xml:space="preserve"> REF _Ref230018454 \h  \* MERGEFORMAT </w:instrText>
      </w:r>
      <w:r w:rsidRPr="00572991">
        <w:rPr>
          <w:rFonts w:ascii="Tahoma" w:hAnsi="Tahoma" w:cs="Tahoma"/>
        </w:rPr>
      </w:r>
      <w:r w:rsidRPr="00572991">
        <w:rPr>
          <w:rFonts w:ascii="Tahoma" w:hAnsi="Tahoma" w:cs="Tahoma"/>
        </w:rPr>
        <w:fldChar w:fldCharType="separate"/>
      </w:r>
      <w:r w:rsidRPr="00572991">
        <w:rPr>
          <w:rFonts w:ascii="Tahoma" w:hAnsi="Tahoma" w:cs="Tahoma"/>
        </w:rPr>
        <w:t>Table 8</w:t>
      </w:r>
      <w:r w:rsidRPr="00572991">
        <w:rPr>
          <w:rFonts w:ascii="Tahoma" w:hAnsi="Tahoma" w:cs="Tahoma"/>
        </w:rPr>
        <w:fldChar w:fldCharType="end"/>
      </w:r>
    </w:p>
  </w:footnote>
  <w:footnote w:id="56">
    <w:p w14:paraId="11E3F39C" w14:textId="77777777" w:rsidR="005F0A67" w:rsidRPr="00572991" w:rsidRDefault="005F0A67" w:rsidP="005F0A67">
      <w:pPr>
        <w:pStyle w:val="FootnoteText"/>
        <w:rPr>
          <w:rFonts w:ascii="Tahoma" w:hAnsi="Tahoma" w:cs="Tahoma"/>
        </w:rPr>
      </w:pPr>
      <w:r w:rsidRPr="00572991">
        <w:rPr>
          <w:rStyle w:val="FootnoteReference"/>
          <w:rFonts w:ascii="Tahoma" w:hAnsi="Tahoma" w:cs="Tahoma"/>
        </w:rPr>
        <w:footnoteRef/>
      </w:r>
      <w:r w:rsidRPr="00572991">
        <w:rPr>
          <w:rFonts w:ascii="Tahoma" w:hAnsi="Tahoma" w:cs="Tahoma"/>
        </w:rPr>
        <w:t xml:space="preserve"> Note that the author of the study also points to firm-level data limitations for those regions.</w:t>
      </w:r>
    </w:p>
  </w:footnote>
  <w:footnote w:id="57">
    <w:p w14:paraId="71055A52" w14:textId="77777777" w:rsidR="005F0A67" w:rsidRPr="00572991" w:rsidRDefault="005F0A67" w:rsidP="005F0A67">
      <w:pPr>
        <w:pStyle w:val="FootnoteText"/>
        <w:rPr>
          <w:rFonts w:ascii="Tahoma" w:hAnsi="Tahoma" w:cs="Tahoma"/>
        </w:rPr>
      </w:pPr>
      <w:r w:rsidRPr="00572991">
        <w:rPr>
          <w:rStyle w:val="FootnoteReference"/>
          <w:rFonts w:ascii="Tahoma" w:hAnsi="Tahoma" w:cs="Tahoma"/>
        </w:rPr>
        <w:footnoteRef/>
      </w:r>
      <w:r w:rsidRPr="00572991">
        <w:rPr>
          <w:rFonts w:ascii="Tahoma" w:hAnsi="Tahoma" w:cs="Tahoma"/>
        </w:rPr>
        <w:t xml:space="preserve"> Hurdle rate can be defined as </w:t>
      </w:r>
      <w:r w:rsidRPr="00572991">
        <w:rPr>
          <w:rFonts w:ascii="Tahoma" w:hAnsi="Tahoma" w:cs="Tahoma"/>
          <w:i/>
          <w:iCs/>
        </w:rPr>
        <w:t>“the minimum required return on an investment or project to be deemed acceptable, typically adjusted for risk”</w:t>
      </w:r>
      <w:r>
        <w:rPr>
          <w:rFonts w:ascii="Tahoma" w:hAnsi="Tahoma" w:cs="Tahoma"/>
        </w:rPr>
        <w:t xml:space="preserve"> </w:t>
      </w:r>
      <w:r w:rsidRPr="00572991">
        <w:rPr>
          <w:rFonts w:ascii="Tahoma" w:hAnsi="Tahoma" w:cs="Tahoma"/>
        </w:rPr>
        <w:fldChar w:fldCharType="begin"/>
      </w:r>
      <w:r w:rsidRPr="00572991">
        <w:rPr>
          <w:rFonts w:ascii="Tahoma" w:hAnsi="Tahoma" w:cs="Tahoma"/>
        </w:rPr>
        <w:instrText xml:space="preserve"> ADDIN ZOTERO_ITEM CSL_CITATION {"citationID":"6ass9YrE","properties":{"unsorted":false,"formattedCitation":"(Kenton, 2025)","plainCitation":"(Kenton, 2025)","noteIndex":50},"citationItems":[{"id":204,"uris":["http://zotero.org/users/14977742/items/K92ZW2P4"],"itemData":{"id":204,"type":"webpage","abstract":"Discover how hurdle rates guide investment decisions. Learn the factors affecting it and its role in assessing business projects and investor returns.","citation-key":"editorUnderstandingHurdleRates","container-title":"Investopedia","language":"en","title":"Understanding Hurdle Rates: Essential Insights for Investors and Businesses","title-short":"Understanding Hurdle Rates","URL":"https://www.investopedia.com/terms/h/hurdlerate.asp","author":[{"family":"Kenton","given":"Will"}],"accessed":{"date-parts":[["2026",5,23]]},"issued":{"date-parts":[["2025",9]]}}}],"schema":"https://github.com/citation-style-language/schema/raw/master/csl-citation.json"} </w:instrText>
      </w:r>
      <w:r w:rsidRPr="00572991">
        <w:rPr>
          <w:rFonts w:ascii="Tahoma" w:hAnsi="Tahoma" w:cs="Tahoma"/>
        </w:rPr>
        <w:fldChar w:fldCharType="separate"/>
      </w:r>
      <w:r w:rsidRPr="00572991">
        <w:rPr>
          <w:rFonts w:ascii="Tahoma" w:hAnsi="Tahoma" w:cs="Tahoma"/>
          <w:noProof/>
        </w:rPr>
        <w:t>(Kenton, 2025)</w:t>
      </w:r>
      <w:r w:rsidRPr="00572991">
        <w:rPr>
          <w:rFonts w:ascii="Tahoma" w:hAnsi="Tahoma" w:cs="Tahoma"/>
        </w:rPr>
        <w:fldChar w:fldCharType="end"/>
      </w:r>
      <w:r w:rsidRPr="00572991">
        <w:rPr>
          <w:rFonts w:ascii="Tahoma" w:hAnsi="Tahoma" w:cs="Tahoma"/>
        </w:rPr>
        <w:t>.</w:t>
      </w:r>
    </w:p>
  </w:footnote>
  <w:footnote w:id="58">
    <w:p w14:paraId="7566F3E5" w14:textId="77777777" w:rsidR="005F0A67" w:rsidRPr="00572991" w:rsidRDefault="005F0A67" w:rsidP="005F0A67">
      <w:pPr>
        <w:pStyle w:val="FootnoteText"/>
        <w:rPr>
          <w:rFonts w:ascii="Tahoma" w:hAnsi="Tahoma" w:cs="Tahoma"/>
        </w:rPr>
      </w:pPr>
      <w:r w:rsidRPr="00572991">
        <w:rPr>
          <w:rStyle w:val="FootnoteReference"/>
          <w:rFonts w:ascii="Tahoma" w:hAnsi="Tahoma" w:cs="Tahoma"/>
        </w:rPr>
        <w:footnoteRef/>
      </w:r>
      <w:r w:rsidRPr="00572991">
        <w:rPr>
          <w:rFonts w:ascii="Tahoma" w:hAnsi="Tahoma" w:cs="Tahoma"/>
        </w:rPr>
        <w:t xml:space="preserve"> As of the time of writing, publicly available information indicates that one company, </w:t>
      </w:r>
      <w:proofErr w:type="spellStart"/>
      <w:r w:rsidRPr="00572991">
        <w:rPr>
          <w:rFonts w:ascii="Tahoma" w:hAnsi="Tahoma" w:cs="Tahoma"/>
        </w:rPr>
        <w:t>TierraViva</w:t>
      </w:r>
      <w:proofErr w:type="spellEnd"/>
      <w:r w:rsidRPr="00572991">
        <w:rPr>
          <w:rFonts w:ascii="Tahoma" w:hAnsi="Tahoma" w:cs="Tahoma"/>
        </w:rPr>
        <w:t xml:space="preserve"> AI, has made a voluntary contribution of GBP 1,000 to the Cali Fund. This represents the only known instance of private sector contribution since the mechanism became operational in February 2025 </w:t>
      </w:r>
      <w:r w:rsidRPr="00572991">
        <w:rPr>
          <w:rFonts w:ascii="Tahoma" w:hAnsi="Tahoma" w:cs="Tahoma"/>
        </w:rPr>
        <w:fldChar w:fldCharType="begin"/>
      </w:r>
      <w:r w:rsidRPr="00572991">
        <w:rPr>
          <w:rFonts w:ascii="Tahoma" w:hAnsi="Tahoma" w:cs="Tahoma"/>
        </w:rPr>
        <w:instrText xml:space="preserve"> ADDIN ZOTERO_ITEM CSL_CITATION {"citationID":"kkgdrou2","properties":{"unsorted":false,"formattedCitation":"(UN MPTFO, 2026)","plainCitation":"(UN MPTFO, 2026)","noteIndex":51},"citationItems":[{"id":605,"uris":["http://zotero.org/users/14977742/items/ZGPTDGMW"],"itemData":{"id":605,"type":"webpage","abstract":"The Cali Fund is the first of its kind to rely on the private sector as principal contributors for their use of Digital Sequence Information, and therefore reliance on data from nature. It will support eligible Parties to the Convention on Biological Diversity and indigenous people and local communities in the implementation of the Kunming-Montreal Global Biodiversity Framework to halt and reverse the loss of biodiversity by 2030. For potential contributors, please download this set of documents and submit the filled in forms to mptfo@undp.org Contribution letter and forms","citation-key":"unmptfoCaliFund2026","language":"en","title":"The Cali Fund","URL":"http://mptf.undp.org/fund/cal00","author":[{"literal":"UN MPTFO"}],"accessed":{"date-parts":[["2025",12,17]]},"issued":{"date-parts":[["2026",2,12]]}}}],"schema":"https://github.com/citation-style-language/schema/raw/master/csl-citation.json"} </w:instrText>
      </w:r>
      <w:r w:rsidRPr="00572991">
        <w:rPr>
          <w:rFonts w:ascii="Tahoma" w:hAnsi="Tahoma" w:cs="Tahoma"/>
        </w:rPr>
        <w:fldChar w:fldCharType="separate"/>
      </w:r>
      <w:r w:rsidRPr="00572991">
        <w:rPr>
          <w:rFonts w:ascii="Tahoma" w:hAnsi="Tahoma" w:cs="Tahoma"/>
          <w:noProof/>
        </w:rPr>
        <w:t>(UN MPTFO, 2026)</w:t>
      </w:r>
      <w:r w:rsidRPr="00572991">
        <w:rPr>
          <w:rFonts w:ascii="Tahoma" w:hAnsi="Tahoma" w:cs="Tahoma"/>
        </w:rPr>
        <w:fldChar w:fldCharType="end"/>
      </w:r>
      <w:r w:rsidRPr="00572991">
        <w:rPr>
          <w:rFonts w:ascii="Tahoma" w:hAnsi="Tahoma" w:cs="Tahoma"/>
        </w:rPr>
        <w:t>.</w:t>
      </w:r>
    </w:p>
  </w:footnote>
  <w:footnote w:id="59">
    <w:p w14:paraId="09A79EFE" w14:textId="77777777" w:rsidR="005F0A67" w:rsidRPr="00572991" w:rsidRDefault="005F0A67" w:rsidP="005F0A67">
      <w:pPr>
        <w:pStyle w:val="FootnoteText"/>
        <w:rPr>
          <w:rFonts w:ascii="Tahoma" w:hAnsi="Tahoma" w:cs="Tahoma"/>
        </w:rPr>
      </w:pPr>
      <w:r w:rsidRPr="00572991">
        <w:rPr>
          <w:rStyle w:val="FootnoteReference"/>
          <w:rFonts w:ascii="Tahoma" w:hAnsi="Tahoma" w:cs="Tahoma"/>
        </w:rPr>
        <w:footnoteRef/>
      </w:r>
      <w:r w:rsidRPr="00572991">
        <w:rPr>
          <w:rFonts w:ascii="Tahoma" w:hAnsi="Tahoma" w:cs="Tahoma"/>
        </w:rPr>
        <w:t xml:space="preserve"> </w:t>
      </w:r>
    </w:p>
  </w:footnote>
  <w:footnote w:id="60">
    <w:p w14:paraId="7E8B210E" w14:textId="77777777" w:rsidR="005F0A67" w:rsidRPr="00572991" w:rsidRDefault="005F0A67" w:rsidP="005F0A67">
      <w:pPr>
        <w:pStyle w:val="FootnoteText"/>
        <w:rPr>
          <w:rFonts w:ascii="Tahoma" w:hAnsi="Tahoma" w:cs="Tahoma"/>
        </w:rPr>
      </w:pPr>
      <w:r w:rsidRPr="00572991">
        <w:rPr>
          <w:rStyle w:val="FootnoteReference"/>
          <w:rFonts w:ascii="Tahoma" w:hAnsi="Tahoma" w:cs="Tahoma"/>
        </w:rPr>
        <w:footnoteRef/>
      </w:r>
      <w:r w:rsidRPr="00572991">
        <w:rPr>
          <w:rFonts w:ascii="Tahoma" w:hAnsi="Tahoma" w:cs="Tahoma"/>
        </w:rPr>
        <w:t xml:space="preserve"> Of 24 responses received, three are excluded: one test entry and two near-identical duplicate submissions from the same industry association. A further seven responses are from micro or small enterprises that do not meet the Decision 16/2 financial thresholds and are therefore not used to draw conclusions about eligible firm behaviour. Of the remaining 14 responses from medium and large firms, two are excluded as the respondents report no DSI use, leaving a working sample of 1</w:t>
      </w:r>
      <w:r>
        <w:rPr>
          <w:rFonts w:ascii="Tahoma" w:hAnsi="Tahoma" w:cs="Tahoma"/>
        </w:rPr>
        <w:t>2</w:t>
      </w:r>
      <w:r w:rsidRPr="00572991">
        <w:rPr>
          <w:rFonts w:ascii="Tahoma" w:hAnsi="Tahoma" w:cs="Tahoma"/>
        </w:rPr>
        <w:t xml:space="preserve"> responses. Note that one of the 1</w:t>
      </w:r>
      <w:r>
        <w:rPr>
          <w:rFonts w:ascii="Tahoma" w:hAnsi="Tahoma" w:cs="Tahoma"/>
        </w:rPr>
        <w:t>2</w:t>
      </w:r>
      <w:r w:rsidRPr="00572991">
        <w:rPr>
          <w:rFonts w:ascii="Tahoma" w:hAnsi="Tahoma" w:cs="Tahoma"/>
        </w:rPr>
        <w:t xml:space="preserve"> final responses was submitted by an industry association, meaning that it captures sector-level perspective and positions rather than the operational and financial experience of an individual eligible firm. </w:t>
      </w:r>
    </w:p>
  </w:footnote>
  <w:footnote w:id="61">
    <w:p w14:paraId="3A800B6D" w14:textId="77777777" w:rsidR="005F0A67" w:rsidRPr="00572991" w:rsidRDefault="005F0A67" w:rsidP="005F0A67">
      <w:pPr>
        <w:pStyle w:val="FootnoteText"/>
        <w:rPr>
          <w:rFonts w:ascii="Tahoma" w:hAnsi="Tahoma" w:cs="Tahoma"/>
        </w:rPr>
      </w:pPr>
      <w:r w:rsidRPr="00572991">
        <w:rPr>
          <w:rStyle w:val="FootnoteReference"/>
          <w:rFonts w:ascii="Tahoma" w:hAnsi="Tahoma" w:cs="Tahoma"/>
        </w:rPr>
        <w:footnoteRef/>
      </w:r>
      <w:r w:rsidRPr="00572991">
        <w:rPr>
          <w:rFonts w:ascii="Tahoma" w:hAnsi="Tahoma" w:cs="Tahoma"/>
        </w:rPr>
        <w:t xml:space="preserve"> The minimum rule’s protective effect follows standard cost-minimisation theory, that a rational firm chooses the base with the lower liability, so firms with margins below the indifference threshold are automatically protected. This concept is discussed in more detail in Section </w:t>
      </w:r>
      <w:r>
        <w:rPr>
          <w:rFonts w:ascii="Tahoma" w:hAnsi="Tahoma" w:cs="Tahoma"/>
        </w:rPr>
        <w:t>4.3.</w:t>
      </w:r>
    </w:p>
  </w:footnote>
  <w:footnote w:id="62">
    <w:p w14:paraId="5D431975" w14:textId="77777777" w:rsidR="005F0A67" w:rsidRPr="00572991" w:rsidRDefault="005F0A67" w:rsidP="005F0A67">
      <w:pPr>
        <w:pStyle w:val="FootnoteText"/>
        <w:rPr>
          <w:rFonts w:ascii="Tahoma" w:hAnsi="Tahoma" w:cs="Tahoma"/>
        </w:rPr>
      </w:pPr>
      <w:r w:rsidRPr="00572991">
        <w:rPr>
          <w:rStyle w:val="FootnoteReference"/>
          <w:rFonts w:ascii="Tahoma" w:hAnsi="Tahoma" w:cs="Tahoma"/>
        </w:rPr>
        <w:footnoteRef/>
      </w:r>
      <w:r w:rsidRPr="00572991">
        <w:rPr>
          <w:rFonts w:ascii="Tahoma" w:hAnsi="Tahoma" w:cs="Tahoma"/>
        </w:rPr>
        <w:t xml:space="preserve"> European Union Emissions Trading System </w:t>
      </w:r>
    </w:p>
  </w:footnote>
  <w:footnote w:id="63">
    <w:p w14:paraId="72347491" w14:textId="77777777" w:rsidR="005F0A67" w:rsidRPr="00572991" w:rsidRDefault="005F0A67" w:rsidP="005F0A67">
      <w:pPr>
        <w:pStyle w:val="FootnoteText"/>
        <w:rPr>
          <w:rFonts w:ascii="Tahoma" w:hAnsi="Tahoma" w:cs="Tahoma"/>
        </w:rPr>
      </w:pPr>
      <w:r w:rsidRPr="00572991">
        <w:rPr>
          <w:rStyle w:val="FootnoteReference"/>
          <w:rFonts w:ascii="Tahoma" w:hAnsi="Tahoma" w:cs="Tahoma"/>
        </w:rPr>
        <w:footnoteRef/>
      </w:r>
      <w:r w:rsidRPr="00572991">
        <w:rPr>
          <w:rFonts w:ascii="Tahoma" w:hAnsi="Tahoma" w:cs="Tahoma"/>
        </w:rPr>
        <w:t xml:space="preserve"> See Section </w:t>
      </w:r>
      <w:r w:rsidRPr="00591F30">
        <w:rPr>
          <w:rFonts w:ascii="Tahoma" w:hAnsi="Tahoma" w:cs="Tahoma"/>
        </w:rPr>
        <w:t>7.</w:t>
      </w:r>
      <w:r>
        <w:rPr>
          <w:rFonts w:ascii="Tahoma" w:hAnsi="Tahoma" w:cs="Tahoma"/>
        </w:rPr>
        <w:t>1</w:t>
      </w:r>
      <w:r w:rsidRPr="00572991">
        <w:rPr>
          <w:rFonts w:ascii="Tahoma" w:hAnsi="Tahoma" w:cs="Tahoma"/>
        </w:rPr>
        <w:t xml:space="preserve"> for explanations of key economic terminology used throughout Part III. </w:t>
      </w:r>
    </w:p>
  </w:footnote>
  <w:footnote w:id="64">
    <w:p w14:paraId="6168E16D" w14:textId="77777777" w:rsidR="005F0A67" w:rsidRPr="00572991" w:rsidRDefault="005F0A67" w:rsidP="005F0A67">
      <w:pPr>
        <w:pStyle w:val="FootnoteText"/>
        <w:rPr>
          <w:rFonts w:ascii="Tahoma" w:hAnsi="Tahoma" w:cs="Tahoma"/>
        </w:rPr>
      </w:pPr>
      <w:r w:rsidRPr="00572991">
        <w:rPr>
          <w:rStyle w:val="FootnoteReference"/>
          <w:rFonts w:ascii="Tahoma" w:hAnsi="Tahoma" w:cs="Tahoma"/>
        </w:rPr>
        <w:footnoteRef/>
      </w:r>
      <w:r w:rsidRPr="00572991">
        <w:rPr>
          <w:rFonts w:ascii="Tahoma" w:hAnsi="Tahoma" w:cs="Tahoma"/>
        </w:rPr>
        <w:t xml:space="preserve"> See Section </w:t>
      </w:r>
      <w:r>
        <w:rPr>
          <w:rFonts w:ascii="Tahoma" w:hAnsi="Tahoma" w:cs="Tahoma"/>
        </w:rPr>
        <w:t>7.1</w:t>
      </w:r>
      <w:r w:rsidRPr="00572991">
        <w:rPr>
          <w:rFonts w:ascii="Tahoma" w:hAnsi="Tahoma" w:cs="Tahoma"/>
        </w:rPr>
        <w:t xml:space="preserve"> for the intuition. </w:t>
      </w:r>
    </w:p>
  </w:footnote>
  <w:footnote w:id="65">
    <w:p w14:paraId="0F9CEB17" w14:textId="77777777" w:rsidR="005F0A67" w:rsidRPr="00572991" w:rsidRDefault="005F0A67" w:rsidP="005F0A67">
      <w:pPr>
        <w:pStyle w:val="FootnoteText"/>
        <w:rPr>
          <w:rFonts w:ascii="Tahoma" w:hAnsi="Tahoma" w:cs="Tahoma"/>
        </w:rPr>
      </w:pPr>
      <w:r w:rsidRPr="00572991">
        <w:rPr>
          <w:rStyle w:val="FootnoteReference"/>
          <w:rFonts w:ascii="Tahoma" w:hAnsi="Tahoma" w:cs="Tahoma"/>
        </w:rPr>
        <w:footnoteRef/>
      </w:r>
      <w:r w:rsidRPr="00572991">
        <w:rPr>
          <w:rFonts w:ascii="Tahoma" w:hAnsi="Tahoma" w:cs="Tahoma"/>
        </w:rPr>
        <w:t xml:space="preserve"> First-mover disadvantage is the competitive burden on firms that adopt a voluntary commitment before their competitors. When participation is gradual, early participants bear costs that late or non-participants avoid (e.g. reputational costs due to higher visibility). This in turn, may incentivise other firms to delay participation.</w:t>
      </w:r>
    </w:p>
  </w:footnote>
  <w:footnote w:id="66">
    <w:p w14:paraId="11F398B1" w14:textId="77777777" w:rsidR="005F0A67" w:rsidRPr="00572991" w:rsidRDefault="005F0A67" w:rsidP="005F0A67">
      <w:pPr>
        <w:pStyle w:val="FootnoteText"/>
        <w:jc w:val="both"/>
        <w:rPr>
          <w:rFonts w:ascii="Tahoma" w:hAnsi="Tahoma" w:cs="Tahoma"/>
        </w:rPr>
      </w:pPr>
      <w:r w:rsidRPr="00572991">
        <w:rPr>
          <w:rStyle w:val="FootnoteReference"/>
          <w:rFonts w:ascii="Tahoma" w:hAnsi="Tahoma" w:cs="Tahoma"/>
        </w:rPr>
        <w:footnoteRef/>
      </w:r>
      <w:r w:rsidRPr="00572991">
        <w:rPr>
          <w:rFonts w:ascii="Tahoma" w:hAnsi="Tahoma" w:cs="Tahoma"/>
        </w:rPr>
        <w:t xml:space="preserve"> Cross-jurisdictional regulatory variation is the norm rather than the exception in international policy implementation. Corporate income tax rates, environmental compliance requirements, and labour standards all vary across jurisdictions without necessarily constituting prohibitive competitive distortions.</w:t>
      </w:r>
    </w:p>
  </w:footnote>
  <w:footnote w:id="67">
    <w:p w14:paraId="49356EC7" w14:textId="77777777" w:rsidR="005F0A67" w:rsidRPr="00572991" w:rsidRDefault="005F0A67" w:rsidP="005F0A67">
      <w:pPr>
        <w:pStyle w:val="FootnoteText"/>
        <w:rPr>
          <w:rFonts w:ascii="Tahoma" w:hAnsi="Tahoma" w:cs="Tahoma"/>
        </w:rPr>
      </w:pPr>
      <w:r w:rsidRPr="00572991">
        <w:rPr>
          <w:rStyle w:val="FootnoteReference"/>
          <w:rFonts w:ascii="Tahoma" w:hAnsi="Tahoma" w:cs="Tahoma"/>
        </w:rPr>
        <w:footnoteRef/>
      </w:r>
      <w:r w:rsidRPr="00572991">
        <w:rPr>
          <w:rFonts w:ascii="Tahoma" w:hAnsi="Tahoma" w:cs="Tahoma"/>
        </w:rPr>
        <w:t xml:space="preserve"> </w:t>
      </w:r>
      <w:r w:rsidRPr="00572991">
        <w:rPr>
          <w:rFonts w:ascii="Tahoma" w:eastAsia="Tahoma" w:hAnsi="Tahoma" w:cs="Tahoma"/>
          <w:color w:val="000000"/>
        </w:rPr>
        <w:t>8/13 consultation respondents expect to be more negatively affected than competitors.</w:t>
      </w:r>
    </w:p>
  </w:footnote>
  <w:footnote w:id="68">
    <w:p w14:paraId="21E7B624" w14:textId="77777777" w:rsidR="005F0A67" w:rsidRPr="00572991" w:rsidRDefault="005F0A67" w:rsidP="005F0A67">
      <w:pPr>
        <w:pStyle w:val="FootnoteText"/>
        <w:rPr>
          <w:rFonts w:ascii="Tahoma" w:hAnsi="Tahoma" w:cs="Tahoma"/>
        </w:rPr>
      </w:pPr>
      <w:r w:rsidRPr="00572991">
        <w:rPr>
          <w:rStyle w:val="FootnoteReference"/>
          <w:rFonts w:ascii="Tahoma" w:hAnsi="Tahoma" w:cs="Tahoma"/>
        </w:rPr>
        <w:footnoteRef/>
      </w:r>
      <w:r w:rsidRPr="00572991">
        <w:rPr>
          <w:rFonts w:ascii="Tahoma" w:hAnsi="Tahoma" w:cs="Tahoma"/>
        </w:rPr>
        <w:t xml:space="preserve"> </w:t>
      </w:r>
      <w:r w:rsidRPr="00572991">
        <w:rPr>
          <w:rFonts w:ascii="Tahoma" w:eastAsia="Tahoma" w:hAnsi="Tahoma" w:cs="Tahoma"/>
          <w:color w:val="000000"/>
        </w:rPr>
        <w:t>12/13 consultation respondents expect suppliers to pass on DSI-related cost increases.</w:t>
      </w:r>
    </w:p>
  </w:footnote>
  <w:footnote w:id="69">
    <w:p w14:paraId="5143417E" w14:textId="77777777" w:rsidR="005F0A67" w:rsidRPr="00572991" w:rsidRDefault="005F0A67" w:rsidP="005F0A67">
      <w:pPr>
        <w:pStyle w:val="FootnoteText"/>
        <w:rPr>
          <w:rFonts w:ascii="Tahoma" w:hAnsi="Tahoma" w:cs="Tahoma"/>
        </w:rPr>
      </w:pPr>
      <w:r w:rsidRPr="00572991">
        <w:rPr>
          <w:rStyle w:val="FootnoteReference"/>
          <w:rFonts w:ascii="Tahoma" w:hAnsi="Tahoma" w:cs="Tahoma"/>
        </w:rPr>
        <w:footnoteRef/>
      </w:r>
      <w:r w:rsidRPr="00572991">
        <w:rPr>
          <w:rFonts w:ascii="Tahoma" w:hAnsi="Tahoma" w:cs="Tahoma"/>
        </w:rPr>
        <w:t xml:space="preserve"> 12/13 consultation respondents describe customers as very or moderately price-sensitive, </w:t>
      </w:r>
      <w:r w:rsidRPr="00572991">
        <w:rPr>
          <w:rFonts w:ascii="Tahoma" w:eastAsia="Tahoma" w:hAnsi="Tahoma" w:cs="Tahoma"/>
          <w:color w:val="000000"/>
        </w:rPr>
        <w:t>constraining pass-through capacity.</w:t>
      </w:r>
    </w:p>
  </w:footnote>
  <w:footnote w:id="70">
    <w:p w14:paraId="1C346461" w14:textId="77777777" w:rsidR="005F0A67" w:rsidRPr="00572991" w:rsidRDefault="005F0A67" w:rsidP="005F0A67">
      <w:pPr>
        <w:pStyle w:val="FootnoteText"/>
        <w:rPr>
          <w:rFonts w:ascii="Tahoma" w:hAnsi="Tahoma" w:cs="Tahoma"/>
        </w:rPr>
      </w:pPr>
      <w:r w:rsidRPr="00572991">
        <w:rPr>
          <w:rStyle w:val="FootnoteReference"/>
          <w:rFonts w:ascii="Tahoma" w:hAnsi="Tahoma" w:cs="Tahoma"/>
        </w:rPr>
        <w:footnoteRef/>
      </w:r>
      <w:r w:rsidRPr="00572991">
        <w:rPr>
          <w:rFonts w:ascii="Tahoma" w:hAnsi="Tahoma" w:cs="Tahoma"/>
        </w:rPr>
        <w:t xml:space="preserve"> 8/13 consultation respondents report a small likelihood and 1 a medium likelihood of absorbing the contribution via reduced R&amp;D spending (with 4 respondents selecting don’t know / not applicable)</w:t>
      </w:r>
    </w:p>
  </w:footnote>
  <w:footnote w:id="71">
    <w:p w14:paraId="20FB9C68" w14:textId="77777777" w:rsidR="005F0A67" w:rsidRPr="00572991" w:rsidRDefault="005F0A67" w:rsidP="005F0A67">
      <w:pPr>
        <w:pStyle w:val="FootnoteText"/>
        <w:rPr>
          <w:rFonts w:ascii="Tahoma" w:hAnsi="Tahoma" w:cs="Tahoma"/>
        </w:rPr>
      </w:pPr>
      <w:r w:rsidRPr="00572991">
        <w:rPr>
          <w:rStyle w:val="FootnoteReference"/>
          <w:rFonts w:ascii="Tahoma" w:hAnsi="Tahoma" w:cs="Tahoma"/>
        </w:rPr>
        <w:footnoteRef/>
      </w:r>
      <w:r w:rsidRPr="00572991">
        <w:rPr>
          <w:rFonts w:ascii="Tahoma" w:hAnsi="Tahoma" w:cs="Tahoma"/>
        </w:rPr>
        <w:t xml:space="preserve"> Same impact channel as R&amp;D investment, see the footnote above.</w:t>
      </w:r>
    </w:p>
  </w:footnote>
  <w:footnote w:id="72">
    <w:p w14:paraId="6FABF9FA" w14:textId="77777777" w:rsidR="005F0A67" w:rsidRPr="00572991" w:rsidRDefault="005F0A67" w:rsidP="005F0A67">
      <w:pPr>
        <w:pStyle w:val="FootnoteText"/>
        <w:rPr>
          <w:rStyle w:val="FootnoteReference"/>
          <w:rFonts w:ascii="Tahoma" w:hAnsi="Tahoma" w:cs="Tahoma"/>
          <w:vertAlign w:val="baseline"/>
        </w:rPr>
      </w:pPr>
      <w:r w:rsidRPr="00572991">
        <w:rPr>
          <w:rStyle w:val="FootnoteReference"/>
          <w:rFonts w:ascii="Tahoma" w:hAnsi="Tahoma" w:cs="Tahoma"/>
        </w:rPr>
        <w:footnoteRef/>
      </w:r>
      <w:r w:rsidRPr="00572991">
        <w:rPr>
          <w:rStyle w:val="FootnoteReference"/>
          <w:rFonts w:ascii="Tahoma" w:hAnsi="Tahoma" w:cs="Tahoma"/>
        </w:rPr>
        <w:t xml:space="preserve"> </w:t>
      </w:r>
      <w:r w:rsidRPr="00572991">
        <w:rPr>
          <w:rStyle w:val="FootnoteReference"/>
          <w:rFonts w:ascii="Tahoma" w:hAnsi="Tahoma" w:cs="Tahoma"/>
          <w:vertAlign w:val="baseline"/>
        </w:rPr>
        <w:t>5/13 consultation respondents expect no benefits from contributing</w:t>
      </w:r>
    </w:p>
  </w:footnote>
  <w:footnote w:id="73">
    <w:p w14:paraId="33A1CE81" w14:textId="77777777" w:rsidR="005F0A67" w:rsidRPr="00572991" w:rsidRDefault="005F0A67" w:rsidP="005F0A67">
      <w:pPr>
        <w:pStyle w:val="FootnoteText"/>
        <w:rPr>
          <w:rFonts w:ascii="Tahoma" w:hAnsi="Tahoma" w:cs="Tahoma"/>
        </w:rPr>
      </w:pPr>
      <w:r w:rsidRPr="00572991">
        <w:rPr>
          <w:rStyle w:val="FootnoteReference"/>
          <w:rFonts w:ascii="Tahoma" w:hAnsi="Tahoma" w:cs="Tahoma"/>
        </w:rPr>
        <w:footnoteRef/>
      </w:r>
      <w:r w:rsidRPr="00572991">
        <w:rPr>
          <w:rStyle w:val="FootnoteReference"/>
          <w:rFonts w:ascii="Tahoma" w:hAnsi="Tahoma" w:cs="Tahoma"/>
          <w:lang w:val="fr-FR"/>
        </w:rPr>
        <w:t xml:space="preserve"> </w:t>
      </w:r>
      <w:r w:rsidRPr="00572991">
        <w:rPr>
          <w:rStyle w:val="FootnoteReference"/>
          <w:rFonts w:ascii="Tahoma" w:hAnsi="Tahoma" w:cs="Tahoma"/>
          <w:vertAlign w:val="baseline"/>
          <w:lang w:val="fr-FR"/>
        </w:rPr>
        <w:t xml:space="preserve">The Porter </w:t>
      </w:r>
      <w:proofErr w:type="spellStart"/>
      <w:r w:rsidRPr="000D2725">
        <w:rPr>
          <w:rStyle w:val="FootnoteReference"/>
          <w:rFonts w:ascii="Tahoma" w:hAnsi="Tahoma" w:cs="Tahoma"/>
          <w:vertAlign w:val="baseline"/>
          <w:lang w:val="fr-FR"/>
        </w:rPr>
        <w:t>hypothesis</w:t>
      </w:r>
      <w:proofErr w:type="spellEnd"/>
      <w:r w:rsidRPr="00572991">
        <w:rPr>
          <w:rStyle w:val="FootnoteReference"/>
          <w:rFonts w:ascii="Tahoma" w:hAnsi="Tahoma" w:cs="Tahoma"/>
          <w:vertAlign w:val="baseline"/>
          <w:lang w:val="fr-FR"/>
        </w:rPr>
        <w:t xml:space="preserve"> </w:t>
      </w:r>
      <w:proofErr w:type="spellStart"/>
      <w:r w:rsidRPr="00572991">
        <w:rPr>
          <w:rStyle w:val="FootnoteReference"/>
          <w:rFonts w:ascii="Tahoma" w:hAnsi="Tahoma" w:cs="Tahoma"/>
          <w:vertAlign w:val="baseline"/>
          <w:lang w:val="fr-FR"/>
        </w:rPr>
        <w:t>holds</w:t>
      </w:r>
      <w:proofErr w:type="spellEnd"/>
      <w:r w:rsidRPr="00572991">
        <w:rPr>
          <w:rStyle w:val="FootnoteReference"/>
          <w:rFonts w:ascii="Tahoma" w:hAnsi="Tahoma" w:cs="Tahoma"/>
          <w:vertAlign w:val="baseline"/>
          <w:lang w:val="fr-FR"/>
        </w:rPr>
        <w:t xml:space="preserve"> </w:t>
      </w:r>
      <w:proofErr w:type="spellStart"/>
      <w:r w:rsidRPr="00572991">
        <w:rPr>
          <w:rStyle w:val="FootnoteReference"/>
          <w:rFonts w:ascii="Tahoma" w:hAnsi="Tahoma" w:cs="Tahoma"/>
          <w:vertAlign w:val="baseline"/>
          <w:lang w:val="fr-FR"/>
        </w:rPr>
        <w:t>that</w:t>
      </w:r>
      <w:proofErr w:type="spellEnd"/>
      <w:r w:rsidRPr="00572991">
        <w:rPr>
          <w:rStyle w:val="FootnoteReference"/>
          <w:rFonts w:ascii="Tahoma" w:hAnsi="Tahoma" w:cs="Tahoma"/>
          <w:vertAlign w:val="baseline"/>
          <w:lang w:val="fr-FR"/>
        </w:rPr>
        <w:t xml:space="preserve"> </w:t>
      </w:r>
      <w:proofErr w:type="spellStart"/>
      <w:r w:rsidRPr="00572991">
        <w:rPr>
          <w:rStyle w:val="FootnoteReference"/>
          <w:rFonts w:ascii="Tahoma" w:hAnsi="Tahoma" w:cs="Tahoma"/>
          <w:vertAlign w:val="baseline"/>
          <w:lang w:val="fr-FR"/>
        </w:rPr>
        <w:t>well-designed</w:t>
      </w:r>
      <w:proofErr w:type="spellEnd"/>
      <w:r w:rsidRPr="00572991">
        <w:rPr>
          <w:rStyle w:val="FootnoteReference"/>
          <w:rFonts w:ascii="Tahoma" w:hAnsi="Tahoma" w:cs="Tahoma"/>
          <w:vertAlign w:val="baseline"/>
          <w:lang w:val="fr-FR"/>
        </w:rPr>
        <w:t xml:space="preserve"> </w:t>
      </w:r>
      <w:proofErr w:type="spellStart"/>
      <w:r w:rsidRPr="00572991">
        <w:rPr>
          <w:rStyle w:val="FootnoteReference"/>
          <w:rFonts w:ascii="Tahoma" w:hAnsi="Tahoma" w:cs="Tahoma"/>
          <w:vertAlign w:val="baseline"/>
          <w:lang w:val="fr-FR"/>
        </w:rPr>
        <w:t>environmental</w:t>
      </w:r>
      <w:proofErr w:type="spellEnd"/>
      <w:r w:rsidRPr="00572991">
        <w:rPr>
          <w:rStyle w:val="FootnoteReference"/>
          <w:rFonts w:ascii="Tahoma" w:hAnsi="Tahoma" w:cs="Tahoma"/>
          <w:vertAlign w:val="baseline"/>
          <w:lang w:val="fr-FR"/>
        </w:rPr>
        <w:t xml:space="preserve"> </w:t>
      </w:r>
      <w:proofErr w:type="spellStart"/>
      <w:r w:rsidRPr="00572991">
        <w:rPr>
          <w:rStyle w:val="FootnoteReference"/>
          <w:rFonts w:ascii="Tahoma" w:hAnsi="Tahoma" w:cs="Tahoma"/>
          <w:vertAlign w:val="baseline"/>
          <w:lang w:val="fr-FR"/>
        </w:rPr>
        <w:t>regulation</w:t>
      </w:r>
      <w:proofErr w:type="spellEnd"/>
      <w:r w:rsidRPr="00572991">
        <w:rPr>
          <w:rStyle w:val="FootnoteReference"/>
          <w:rFonts w:ascii="Tahoma" w:hAnsi="Tahoma" w:cs="Tahoma"/>
          <w:vertAlign w:val="baseline"/>
          <w:lang w:val="fr-FR"/>
        </w:rPr>
        <w:t xml:space="preserve"> can </w:t>
      </w:r>
      <w:proofErr w:type="spellStart"/>
      <w:r w:rsidRPr="00572991">
        <w:rPr>
          <w:rStyle w:val="FootnoteReference"/>
          <w:rFonts w:ascii="Tahoma" w:hAnsi="Tahoma" w:cs="Tahoma"/>
          <w:vertAlign w:val="baseline"/>
          <w:lang w:val="fr-FR"/>
        </w:rPr>
        <w:t>stimulate</w:t>
      </w:r>
      <w:proofErr w:type="spellEnd"/>
      <w:r w:rsidRPr="00572991">
        <w:rPr>
          <w:rStyle w:val="FootnoteReference"/>
          <w:rFonts w:ascii="Tahoma" w:hAnsi="Tahoma" w:cs="Tahoma"/>
          <w:vertAlign w:val="baseline"/>
          <w:lang w:val="fr-FR"/>
        </w:rPr>
        <w:t xml:space="preserve"> innovation </w:t>
      </w:r>
      <w:proofErr w:type="spellStart"/>
      <w:r w:rsidRPr="00572991">
        <w:rPr>
          <w:rStyle w:val="FootnoteReference"/>
          <w:rFonts w:ascii="Tahoma" w:hAnsi="Tahoma" w:cs="Tahoma"/>
          <w:vertAlign w:val="baseline"/>
          <w:lang w:val="fr-FR"/>
        </w:rPr>
        <w:t>sufficient</w:t>
      </w:r>
      <w:proofErr w:type="spellEnd"/>
      <w:r w:rsidRPr="00572991">
        <w:rPr>
          <w:rStyle w:val="FootnoteReference"/>
          <w:rFonts w:ascii="Tahoma" w:hAnsi="Tahoma" w:cs="Tahoma"/>
          <w:vertAlign w:val="baseline"/>
          <w:lang w:val="fr-FR"/>
        </w:rPr>
        <w:t xml:space="preserve"> to offset compliance </w:t>
      </w:r>
      <w:proofErr w:type="spellStart"/>
      <w:r w:rsidRPr="00572991">
        <w:rPr>
          <w:rStyle w:val="FootnoteReference"/>
          <w:rFonts w:ascii="Tahoma" w:hAnsi="Tahoma" w:cs="Tahoma"/>
          <w:vertAlign w:val="baseline"/>
          <w:lang w:val="fr-FR"/>
        </w:rPr>
        <w:t>costs</w:t>
      </w:r>
      <w:proofErr w:type="spellEnd"/>
      <w:r w:rsidRPr="00572991">
        <w:rPr>
          <w:rStyle w:val="FootnoteReference"/>
          <w:rFonts w:ascii="Tahoma" w:hAnsi="Tahoma" w:cs="Tahoma"/>
          <w:vertAlign w:val="baseline"/>
          <w:lang w:val="fr-FR"/>
        </w:rPr>
        <w:t xml:space="preserve"> </w:t>
      </w:r>
      <w:r w:rsidRPr="00572991">
        <w:rPr>
          <w:rFonts w:ascii="Tahoma" w:hAnsi="Tahoma" w:cs="Tahoma"/>
        </w:rPr>
        <w:fldChar w:fldCharType="begin"/>
      </w:r>
      <w:r w:rsidRPr="00572991">
        <w:rPr>
          <w:rFonts w:ascii="Tahoma" w:hAnsi="Tahoma" w:cs="Tahoma"/>
          <w:lang w:val="fr-FR"/>
        </w:rPr>
        <w:instrText xml:space="preserve"> ADDIN ZOTERO_ITEM CSL_CITATION {"citationID":"2DtuJo4T","properties":{"unsorted":false,"formattedCitation":"(Porter, 1991)","plainCitation":"(Porter, 1991)","noteIndex":66},"citationItems":[{"id":177,"uris":["http://zotero.org/users/14977742/items/W4U63BTS"],"itemData":{"id":177,"type":"article-journal","citation-key":"porterEssay1991","container-title":"Scientific American","DOI":"10.1038/scientificamerican0491-168","ISSN":"0036-8733","issue":"4","journalAbbreviation":"Sci Am","page":"168-168","source":"DOI.org (Crossref)","title":"America’s Green Strategy","volume":"264","author":[{"family":"Porter","given":"Michael E."}],"issued":{"date-parts":[["1991",4]]}}}],"schema":"https://github.com/citation-style-language/schema/raw/master/csl-citation.json"} </w:instrText>
      </w:r>
      <w:r w:rsidRPr="00572991">
        <w:rPr>
          <w:rFonts w:ascii="Tahoma" w:hAnsi="Tahoma" w:cs="Tahoma"/>
        </w:rPr>
        <w:fldChar w:fldCharType="separate"/>
      </w:r>
      <w:r w:rsidRPr="00572991">
        <w:rPr>
          <w:rFonts w:ascii="Tahoma" w:hAnsi="Tahoma" w:cs="Tahoma"/>
          <w:lang w:val="fr-FR"/>
        </w:rPr>
        <w:t>(Porter, 1991)</w:t>
      </w:r>
      <w:r w:rsidRPr="00572991">
        <w:rPr>
          <w:rFonts w:ascii="Tahoma" w:hAnsi="Tahoma" w:cs="Tahoma"/>
        </w:rPr>
        <w:fldChar w:fldCharType="end"/>
      </w:r>
      <w:r w:rsidRPr="00572991">
        <w:rPr>
          <w:rStyle w:val="FootnoteReference"/>
          <w:rFonts w:ascii="Tahoma" w:hAnsi="Tahoma" w:cs="Tahoma"/>
          <w:vertAlign w:val="baseline"/>
          <w:lang w:val="fr-FR"/>
        </w:rPr>
        <w:t>. Meta-</w:t>
      </w:r>
      <w:proofErr w:type="spellStart"/>
      <w:r w:rsidRPr="00572991">
        <w:rPr>
          <w:rStyle w:val="FootnoteReference"/>
          <w:rFonts w:ascii="Tahoma" w:hAnsi="Tahoma" w:cs="Tahoma"/>
          <w:vertAlign w:val="baseline"/>
          <w:lang w:val="fr-FR"/>
        </w:rPr>
        <w:t>analytic</w:t>
      </w:r>
      <w:proofErr w:type="spellEnd"/>
      <w:r w:rsidRPr="00572991">
        <w:rPr>
          <w:rStyle w:val="FootnoteReference"/>
          <w:rFonts w:ascii="Tahoma" w:hAnsi="Tahoma" w:cs="Tahoma"/>
          <w:vertAlign w:val="baseline"/>
          <w:lang w:val="fr-FR"/>
        </w:rPr>
        <w:t xml:space="preserve"> </w:t>
      </w:r>
      <w:proofErr w:type="spellStart"/>
      <w:r w:rsidRPr="00572991">
        <w:rPr>
          <w:rStyle w:val="FootnoteReference"/>
          <w:rFonts w:ascii="Tahoma" w:hAnsi="Tahoma" w:cs="Tahoma"/>
          <w:vertAlign w:val="baseline"/>
          <w:lang w:val="fr-FR"/>
        </w:rPr>
        <w:t>evidence</w:t>
      </w:r>
      <w:proofErr w:type="spellEnd"/>
      <w:r w:rsidRPr="00572991">
        <w:rPr>
          <w:rStyle w:val="FootnoteReference"/>
          <w:rFonts w:ascii="Tahoma" w:hAnsi="Tahoma" w:cs="Tahoma"/>
          <w:vertAlign w:val="baseline"/>
          <w:lang w:val="fr-FR"/>
        </w:rPr>
        <w:t xml:space="preserve"> </w:t>
      </w:r>
      <w:proofErr w:type="spellStart"/>
      <w:r w:rsidRPr="00572991">
        <w:rPr>
          <w:rStyle w:val="FootnoteReference"/>
          <w:rFonts w:ascii="Tahoma" w:hAnsi="Tahoma" w:cs="Tahoma"/>
          <w:vertAlign w:val="baseline"/>
          <w:lang w:val="fr-FR"/>
        </w:rPr>
        <w:t>confirms</w:t>
      </w:r>
      <w:proofErr w:type="spellEnd"/>
      <w:r w:rsidRPr="00572991">
        <w:rPr>
          <w:rStyle w:val="FootnoteReference"/>
          <w:rFonts w:ascii="Tahoma" w:hAnsi="Tahoma" w:cs="Tahoma"/>
          <w:vertAlign w:val="baseline"/>
          <w:lang w:val="fr-FR"/>
        </w:rPr>
        <w:t xml:space="preserve"> </w:t>
      </w:r>
      <w:proofErr w:type="spellStart"/>
      <w:r w:rsidRPr="00572991">
        <w:rPr>
          <w:rStyle w:val="FootnoteReference"/>
          <w:rFonts w:ascii="Tahoma" w:hAnsi="Tahoma" w:cs="Tahoma"/>
          <w:vertAlign w:val="baseline"/>
          <w:lang w:val="fr-FR"/>
        </w:rPr>
        <w:t>this</w:t>
      </w:r>
      <w:proofErr w:type="spellEnd"/>
      <w:r w:rsidRPr="00572991">
        <w:rPr>
          <w:rStyle w:val="FootnoteReference"/>
          <w:rFonts w:ascii="Tahoma" w:hAnsi="Tahoma" w:cs="Tahoma"/>
          <w:vertAlign w:val="baseline"/>
          <w:lang w:val="fr-FR"/>
        </w:rPr>
        <w:t xml:space="preserve"> </w:t>
      </w:r>
      <w:proofErr w:type="spellStart"/>
      <w:r w:rsidRPr="00572991">
        <w:rPr>
          <w:rStyle w:val="FootnoteReference"/>
          <w:rFonts w:ascii="Tahoma" w:hAnsi="Tahoma" w:cs="Tahoma"/>
          <w:vertAlign w:val="baseline"/>
          <w:lang w:val="fr-FR"/>
        </w:rPr>
        <w:t>effect</w:t>
      </w:r>
      <w:proofErr w:type="spellEnd"/>
      <w:r w:rsidRPr="00572991">
        <w:rPr>
          <w:rStyle w:val="FootnoteReference"/>
          <w:rFonts w:ascii="Tahoma" w:hAnsi="Tahoma" w:cs="Tahoma"/>
          <w:vertAlign w:val="baseline"/>
          <w:lang w:val="fr-FR"/>
        </w:rPr>
        <w:t xml:space="preserve"> </w:t>
      </w:r>
      <w:proofErr w:type="spellStart"/>
      <w:r w:rsidRPr="00572991">
        <w:rPr>
          <w:rStyle w:val="FootnoteReference"/>
          <w:rFonts w:ascii="Tahoma" w:hAnsi="Tahoma" w:cs="Tahoma"/>
          <w:vertAlign w:val="baseline"/>
          <w:lang w:val="fr-FR"/>
        </w:rPr>
        <w:t>is</w:t>
      </w:r>
      <w:proofErr w:type="spellEnd"/>
      <w:r w:rsidRPr="00572991">
        <w:rPr>
          <w:rStyle w:val="FootnoteReference"/>
          <w:rFonts w:ascii="Tahoma" w:hAnsi="Tahoma" w:cs="Tahoma"/>
          <w:vertAlign w:val="baseline"/>
          <w:lang w:val="fr-FR"/>
        </w:rPr>
        <w:t xml:space="preserve"> </w:t>
      </w:r>
      <w:proofErr w:type="spellStart"/>
      <w:r w:rsidRPr="00572991">
        <w:rPr>
          <w:rStyle w:val="FootnoteReference"/>
          <w:rFonts w:ascii="Tahoma" w:hAnsi="Tahoma" w:cs="Tahoma"/>
          <w:vertAlign w:val="baseline"/>
          <w:lang w:val="fr-FR"/>
        </w:rPr>
        <w:t>concentrated</w:t>
      </w:r>
      <w:proofErr w:type="spellEnd"/>
      <w:r w:rsidRPr="00572991">
        <w:rPr>
          <w:rStyle w:val="FootnoteReference"/>
          <w:rFonts w:ascii="Tahoma" w:hAnsi="Tahoma" w:cs="Tahoma"/>
          <w:vertAlign w:val="baseline"/>
          <w:lang w:val="fr-FR"/>
        </w:rPr>
        <w:t xml:space="preserve"> in command-and-control </w:t>
      </w:r>
      <w:proofErr w:type="spellStart"/>
      <w:r w:rsidRPr="00572991">
        <w:rPr>
          <w:rStyle w:val="FootnoteReference"/>
          <w:rFonts w:ascii="Tahoma" w:hAnsi="Tahoma" w:cs="Tahoma"/>
          <w:vertAlign w:val="baseline"/>
          <w:lang w:val="fr-FR"/>
        </w:rPr>
        <w:t>regulation</w:t>
      </w:r>
      <w:proofErr w:type="spellEnd"/>
      <w:r w:rsidRPr="00572991">
        <w:rPr>
          <w:rStyle w:val="FootnoteReference"/>
          <w:rFonts w:ascii="Tahoma" w:hAnsi="Tahoma" w:cs="Tahoma"/>
          <w:vertAlign w:val="baseline"/>
          <w:lang w:val="fr-FR"/>
        </w:rPr>
        <w:t xml:space="preserve">; </w:t>
      </w:r>
      <w:proofErr w:type="spellStart"/>
      <w:r w:rsidRPr="00572991">
        <w:rPr>
          <w:rStyle w:val="FootnoteReference"/>
          <w:rFonts w:ascii="Tahoma" w:hAnsi="Tahoma" w:cs="Tahoma"/>
          <w:vertAlign w:val="baseline"/>
          <w:lang w:val="fr-FR"/>
        </w:rPr>
        <w:t>levy-based</w:t>
      </w:r>
      <w:proofErr w:type="spellEnd"/>
      <w:r w:rsidRPr="00572991">
        <w:rPr>
          <w:rStyle w:val="FootnoteReference"/>
          <w:rFonts w:ascii="Tahoma" w:hAnsi="Tahoma" w:cs="Tahoma"/>
          <w:vertAlign w:val="baseline"/>
          <w:lang w:val="fr-FR"/>
        </w:rPr>
        <w:t xml:space="preserve"> instruments show no </w:t>
      </w:r>
      <w:proofErr w:type="spellStart"/>
      <w:r w:rsidRPr="00572991">
        <w:rPr>
          <w:rStyle w:val="FootnoteReference"/>
          <w:rFonts w:ascii="Tahoma" w:hAnsi="Tahoma" w:cs="Tahoma"/>
          <w:vertAlign w:val="baseline"/>
          <w:lang w:val="fr-FR"/>
        </w:rPr>
        <w:t>significant</w:t>
      </w:r>
      <w:proofErr w:type="spellEnd"/>
      <w:r w:rsidRPr="00572991">
        <w:rPr>
          <w:rStyle w:val="FootnoteReference"/>
          <w:rFonts w:ascii="Tahoma" w:hAnsi="Tahoma" w:cs="Tahoma"/>
          <w:vertAlign w:val="baseline"/>
          <w:lang w:val="fr-FR"/>
        </w:rPr>
        <w:t xml:space="preserve"> </w:t>
      </w:r>
      <w:proofErr w:type="spellStart"/>
      <w:r w:rsidRPr="00572991">
        <w:rPr>
          <w:rStyle w:val="FootnoteReference"/>
          <w:rFonts w:ascii="Tahoma" w:hAnsi="Tahoma" w:cs="Tahoma"/>
          <w:vertAlign w:val="baseline"/>
          <w:lang w:val="fr-FR"/>
        </w:rPr>
        <w:t>relationship</w:t>
      </w:r>
      <w:proofErr w:type="spellEnd"/>
      <w:r w:rsidRPr="00572991">
        <w:rPr>
          <w:rStyle w:val="FootnoteReference"/>
          <w:rFonts w:ascii="Tahoma" w:hAnsi="Tahoma" w:cs="Tahoma"/>
          <w:vertAlign w:val="baseline"/>
          <w:lang w:val="fr-FR"/>
        </w:rPr>
        <w:t xml:space="preserve"> </w:t>
      </w:r>
      <w:proofErr w:type="spellStart"/>
      <w:r w:rsidRPr="00572991">
        <w:rPr>
          <w:rStyle w:val="FootnoteReference"/>
          <w:rFonts w:ascii="Tahoma" w:hAnsi="Tahoma" w:cs="Tahoma"/>
          <w:vertAlign w:val="baseline"/>
          <w:lang w:val="fr-FR"/>
        </w:rPr>
        <w:t>with</w:t>
      </w:r>
      <w:proofErr w:type="spellEnd"/>
      <w:r w:rsidRPr="00572991">
        <w:rPr>
          <w:rStyle w:val="FootnoteReference"/>
          <w:rFonts w:ascii="Tahoma" w:hAnsi="Tahoma" w:cs="Tahoma"/>
          <w:vertAlign w:val="baseline"/>
          <w:lang w:val="fr-FR"/>
        </w:rPr>
        <w:t xml:space="preserve"> green innovation </w:t>
      </w:r>
      <w:r w:rsidRPr="00572991">
        <w:rPr>
          <w:rFonts w:ascii="Tahoma" w:hAnsi="Tahoma" w:cs="Tahoma"/>
        </w:rPr>
        <w:fldChar w:fldCharType="begin"/>
      </w:r>
      <w:r w:rsidRPr="00572991">
        <w:rPr>
          <w:rFonts w:ascii="Tahoma" w:hAnsi="Tahoma" w:cs="Tahoma"/>
          <w:lang w:val="fr-FR"/>
        </w:rPr>
        <w:instrText xml:space="preserve"> ADDIN ZOTERO_ITEM CSL_CITATION {"citationID":"3i7toK4Z","properties":{"unsorted":false,"formattedCitation":"(Zhang {\\i{}et al.}, 2024)","plainCitation":"(Zhang et al., 2024)","noteIndex":66},"citationItems":[{"id":178,"uris":["http://zotero.org/users/14977742/items/6KQHH7B9"],"itemData":{"id":178,"type":"article-journal","abstract":"Although large numbers of studies have examined the Porter hypothesis, one important issue that remains to be addressed is that why past studies give rise to mixed results. By filling this knowledge gap, our research aimed to provide a fuller picture of the Porter hypothesis. By using the method of meta-analysis, including a total of 58 papers across the world, the findings showed that (1) the overall Porter hypothesis was confirmed—that, in general, environmental regulation had a positive effect on green innovation; (2) by decomposing environmental regulatory types and measures of green innovation, it validated the ‘narrow’ version of the Porter hypothesis—th</w:instrText>
      </w:r>
      <w:r w:rsidRPr="006D18BD">
        <w:rPr>
          <w:rFonts w:ascii="Tahoma" w:hAnsi="Tahoma" w:cs="Tahoma"/>
          <w:lang w:val="en-CA"/>
        </w:rPr>
        <w:instrText>at flexible environmental regulation could foster innovation. Especially, we found the command and control regulation had shown its highest consistency and effectiveness in driving green innovation, whereas voluntary regulation had the highest level of flexibility among all regulatory measures; (3) we also found that heterogeneities of the results were attributed to country type and level of analysis. Overall, by integrating studies with large sample sizes and identifying variations among studies, we offered a comprehensive understanding of the mixed results of the Porter hypothesis and generated more precise and generalizable conclusions than the past studies.","citation-key":"zhangRevisitingPorterHypothesis2024","container-title":"Humanities and Social Sciences Communications","DOI":"10.1057/s41599-024-02671-9","ISSN":"2662-9992","issue":"1","journalAbbreviation":"Humanit Soc Sci Commun</w:instrText>
      </w:r>
      <w:r w:rsidRPr="000D2725">
        <w:rPr>
          <w:rFonts w:ascii="Tahoma" w:hAnsi="Tahoma" w:cs="Tahoma"/>
          <w:lang w:val="en-US"/>
        </w:rPr>
        <w:instrText xml:space="preserve">","language":"en","license":"2024 The Author(s)","page":"232","publisher":"Palgrave","source":"www.nature.com","title":"Revisiting the Porter hypothesis: a multi-country meta-analysis of the relationship between environmental regulation and green innovation","title-short":"Revisiting the Porter hypothesis","volume":"11","author":[{"family":"Zhang","given":"Wanli"},{"family":"Zhu","given":"Bin"},{"family":"Li","given":"Yongling"},{"family":"Yan","given":"Dan"}],"issued":{"date-parts":[["2024",2,8]]}}}],"schema":"https://github.com/citation-style-language/schema/raw/master/csl-citation.json"} </w:instrText>
      </w:r>
      <w:r w:rsidRPr="00572991">
        <w:rPr>
          <w:rFonts w:ascii="Tahoma" w:hAnsi="Tahoma" w:cs="Tahoma"/>
        </w:rPr>
        <w:fldChar w:fldCharType="separate"/>
      </w:r>
      <w:r w:rsidRPr="00572991">
        <w:rPr>
          <w:rFonts w:ascii="Tahoma" w:hAnsi="Tahoma" w:cs="Tahoma"/>
          <w:color w:val="000000"/>
        </w:rPr>
        <w:t xml:space="preserve">(Zhang </w:t>
      </w:r>
      <w:r w:rsidRPr="00572991">
        <w:rPr>
          <w:rFonts w:ascii="Tahoma" w:hAnsi="Tahoma" w:cs="Tahoma"/>
          <w:i/>
          <w:iCs/>
          <w:color w:val="000000"/>
        </w:rPr>
        <w:t>et al.</w:t>
      </w:r>
      <w:r w:rsidRPr="00572991">
        <w:rPr>
          <w:rFonts w:ascii="Tahoma" w:hAnsi="Tahoma" w:cs="Tahoma"/>
          <w:color w:val="000000"/>
        </w:rPr>
        <w:t>, 2024)</w:t>
      </w:r>
      <w:r w:rsidRPr="00572991">
        <w:rPr>
          <w:rFonts w:ascii="Tahoma" w:hAnsi="Tahoma" w:cs="Tahoma"/>
        </w:rPr>
        <w:fldChar w:fldCharType="end"/>
      </w:r>
      <w:r w:rsidRPr="00572991">
        <w:rPr>
          <w:rStyle w:val="FootnoteReference"/>
          <w:rFonts w:ascii="Tahoma" w:hAnsi="Tahoma" w:cs="Tahoma"/>
          <w:vertAlign w:val="baseline"/>
        </w:rPr>
        <w:t>. As the Cali Fund addresses a distributional equity gap rather than a pollution externality, the innovation-offset logic does not apply.</w:t>
      </w:r>
    </w:p>
  </w:footnote>
  <w:footnote w:id="74">
    <w:p w14:paraId="617BE6E1" w14:textId="77777777" w:rsidR="005F0A67" w:rsidRPr="00572991" w:rsidRDefault="005F0A67" w:rsidP="005F0A67">
      <w:pPr>
        <w:pStyle w:val="FootnoteText"/>
        <w:rPr>
          <w:rFonts w:ascii="Tahoma" w:hAnsi="Tahoma" w:cs="Tahoma"/>
        </w:rPr>
      </w:pPr>
      <w:r w:rsidRPr="00572991">
        <w:rPr>
          <w:rStyle w:val="FootnoteReference"/>
          <w:rFonts w:ascii="Tahoma" w:hAnsi="Tahoma" w:cs="Tahoma"/>
        </w:rPr>
        <w:footnoteRef/>
      </w:r>
      <w:r w:rsidRPr="00572991">
        <w:rPr>
          <w:rFonts w:ascii="Tahoma" w:hAnsi="Tahoma" w:cs="Tahoma"/>
        </w:rPr>
        <w:t xml:space="preserve"> </w:t>
      </w:r>
      <w:r w:rsidRPr="00572991">
        <w:rPr>
          <w:rFonts w:ascii="Tahoma" w:eastAsia="Tahoma" w:hAnsi="Tahoma" w:cs="Tahoma"/>
          <w:color w:val="000000"/>
          <w:szCs w:val="18"/>
        </w:rPr>
        <w:t>9/13 consultation respondents cite North America as a competitor location; 8/13 expect to be more negatively affected than competitors.</w:t>
      </w:r>
    </w:p>
  </w:footnote>
  <w:footnote w:id="75">
    <w:p w14:paraId="69553288" w14:textId="77777777" w:rsidR="005F0A67" w:rsidRPr="00572991" w:rsidRDefault="005F0A67" w:rsidP="005F0A67">
      <w:pPr>
        <w:pStyle w:val="FootnoteText"/>
        <w:rPr>
          <w:rFonts w:ascii="Tahoma" w:hAnsi="Tahoma" w:cs="Tahoma"/>
        </w:rPr>
      </w:pPr>
      <w:r w:rsidRPr="00572991">
        <w:rPr>
          <w:rStyle w:val="FootnoteReference"/>
          <w:rFonts w:ascii="Tahoma" w:hAnsi="Tahoma" w:cs="Tahoma"/>
        </w:rPr>
        <w:footnoteRef/>
      </w:r>
      <w:r w:rsidRPr="00572991">
        <w:rPr>
          <w:rFonts w:ascii="Tahoma" w:hAnsi="Tahoma" w:cs="Tahoma"/>
        </w:rPr>
        <w:t xml:space="preserve"> See the footnote above.</w:t>
      </w:r>
    </w:p>
  </w:footnote>
  <w:footnote w:id="76">
    <w:p w14:paraId="048081B9" w14:textId="77777777" w:rsidR="005F0A67" w:rsidRPr="00572991" w:rsidRDefault="005F0A67" w:rsidP="005F0A67">
      <w:pPr>
        <w:pStyle w:val="FootnoteText"/>
        <w:rPr>
          <w:rFonts w:ascii="Tahoma" w:hAnsi="Tahoma" w:cs="Tahoma"/>
        </w:rPr>
      </w:pPr>
      <w:r w:rsidRPr="00572991">
        <w:rPr>
          <w:rStyle w:val="FootnoteReference"/>
          <w:rFonts w:ascii="Tahoma" w:hAnsi="Tahoma" w:cs="Tahoma"/>
        </w:rPr>
        <w:footnoteRef/>
      </w:r>
      <w:r w:rsidRPr="00572991">
        <w:rPr>
          <w:rFonts w:ascii="Tahoma" w:hAnsi="Tahoma" w:cs="Tahoma"/>
        </w:rPr>
        <w:t xml:space="preserve"> Submissions to CBD Notification 2024-114 from commercial sector representatives raised concerns about divergent national implementation and overlapping framework obligations; see </w:t>
      </w:r>
      <w:r w:rsidRPr="00572991">
        <w:rPr>
          <w:rFonts w:ascii="Tahoma" w:hAnsi="Tahoma" w:cs="Tahoma"/>
        </w:rPr>
        <w:fldChar w:fldCharType="begin"/>
      </w:r>
      <w:r w:rsidRPr="00572991">
        <w:rPr>
          <w:rFonts w:ascii="Tahoma" w:hAnsi="Tahoma" w:cs="Tahoma"/>
        </w:rPr>
        <w:instrText xml:space="preserve"> ADDIN ZOTERO_ITEM CSL_CITATION {"citationID":"5Snk62rI","properties":{"unsorted":false,"formattedCitation":"(CBD, 2024b)","plainCitation":"(CBD, 2024b)","noteIndex":69},"citationItems":[{"id":278,"uris":["http://zotero.org/users/14977742/items/SDF3HC2R"],"itemData":{"id":278,"type":"webpage","citation-key":"ConventionBiologicalDiversitya","container-title":"Convention on Biological Diversity","language":"en","title":"Notification 2024-114. The multilateral mechanism for the fair and equitable sharing of benefits from the use of digital sequence information on genetic resources, including a global fund (\"The Cali Fund\"): Submission of views on possible additional modalities of the multilateral mechanism.","URL":"https://www.cbd.int/notifications/2024-114","author":[{"literal":"CBD"}],"accessed":{"date-parts":[["2026",5,13]]},"issued":{"date-parts":[["2024",12]]}}}],"schema":"https://github.com/citation-style-language/schema/raw/master/csl-citation.json"} </w:instrText>
      </w:r>
      <w:r w:rsidRPr="00572991">
        <w:rPr>
          <w:rFonts w:ascii="Tahoma" w:hAnsi="Tahoma" w:cs="Tahoma"/>
        </w:rPr>
        <w:fldChar w:fldCharType="separate"/>
      </w:r>
      <w:r w:rsidRPr="00572991">
        <w:rPr>
          <w:rFonts w:ascii="Tahoma" w:hAnsi="Tahoma" w:cs="Tahoma"/>
          <w:noProof/>
        </w:rPr>
        <w:t>(CBD, 2024b)</w:t>
      </w:r>
      <w:r w:rsidRPr="00572991">
        <w:rPr>
          <w:rFonts w:ascii="Tahoma" w:hAnsi="Tahoma" w:cs="Tahoma"/>
        </w:rPr>
        <w:fldChar w:fldCharType="end"/>
      </w:r>
      <w:r w:rsidRPr="00572991">
        <w:rPr>
          <w:rFonts w:ascii="Tahoma" w:hAnsi="Tahoma" w:cs="Tahoma"/>
        </w:rPr>
        <w:t>.</w:t>
      </w:r>
    </w:p>
  </w:footnote>
  <w:footnote w:id="77">
    <w:p w14:paraId="50FD426A" w14:textId="77777777" w:rsidR="005F0A67" w:rsidRPr="00572991" w:rsidRDefault="005F0A67" w:rsidP="005F0A67">
      <w:pPr>
        <w:pStyle w:val="FootnoteText"/>
        <w:rPr>
          <w:rFonts w:ascii="Tahoma" w:hAnsi="Tahoma" w:cs="Tahoma"/>
        </w:rPr>
      </w:pPr>
      <w:r w:rsidRPr="00572991">
        <w:rPr>
          <w:rStyle w:val="FootnoteReference"/>
          <w:rFonts w:ascii="Tahoma" w:hAnsi="Tahoma" w:cs="Tahoma"/>
        </w:rPr>
        <w:footnoteRef/>
      </w:r>
      <w:r w:rsidRPr="00572991">
        <w:rPr>
          <w:rFonts w:ascii="Tahoma" w:hAnsi="Tahoma" w:cs="Tahoma"/>
        </w:rPr>
        <w:t xml:space="preserve"> See above.</w:t>
      </w:r>
    </w:p>
  </w:footnote>
  <w:footnote w:id="78">
    <w:p w14:paraId="1EE9BCCB" w14:textId="77777777" w:rsidR="005F0A67" w:rsidRPr="00572991" w:rsidRDefault="005F0A67" w:rsidP="005F0A67">
      <w:pPr>
        <w:pStyle w:val="FootnoteText"/>
        <w:rPr>
          <w:rFonts w:ascii="Tahoma" w:hAnsi="Tahoma" w:cs="Tahoma"/>
        </w:rPr>
      </w:pPr>
      <w:r w:rsidRPr="00572991">
        <w:rPr>
          <w:rStyle w:val="FootnoteReference"/>
          <w:rFonts w:ascii="Tahoma" w:hAnsi="Tahoma" w:cs="Tahoma"/>
        </w:rPr>
        <w:footnoteRef/>
      </w:r>
      <w:r w:rsidRPr="00572991">
        <w:rPr>
          <w:rFonts w:ascii="Tahoma" w:hAnsi="Tahoma" w:cs="Tahoma"/>
        </w:rPr>
        <w:t xml:space="preserve"> </w:t>
      </w:r>
      <w:r w:rsidRPr="00572991">
        <w:rPr>
          <w:rFonts w:ascii="Tahoma" w:eastAsia="Tahoma" w:hAnsi="Tahoma" w:cs="Tahoma"/>
          <w:color w:val="000000"/>
        </w:rPr>
        <w:t>5/8 consultation respondents answering report medium or large likelihood of shifting R&amp;D abroad (remaining 5: 4 not applicable and 1 don’t know). 3/8 responses reporting small likelihood.</w:t>
      </w:r>
    </w:p>
  </w:footnote>
  <w:footnote w:id="79">
    <w:p w14:paraId="07FC7AE3" w14:textId="77777777" w:rsidR="005F0A67" w:rsidRPr="00572991" w:rsidRDefault="005F0A67" w:rsidP="005F0A67">
      <w:pPr>
        <w:pStyle w:val="FootnoteText"/>
        <w:rPr>
          <w:rFonts w:ascii="Tahoma" w:hAnsi="Tahoma" w:cs="Tahoma"/>
        </w:rPr>
      </w:pPr>
      <w:r w:rsidRPr="00572991">
        <w:rPr>
          <w:rStyle w:val="FootnoteReference"/>
          <w:rFonts w:ascii="Tahoma" w:hAnsi="Tahoma" w:cs="Tahoma"/>
        </w:rPr>
        <w:footnoteRef/>
      </w:r>
      <w:r w:rsidRPr="00572991">
        <w:rPr>
          <w:rFonts w:ascii="Tahoma" w:hAnsi="Tahoma" w:cs="Tahoma"/>
        </w:rPr>
        <w:t xml:space="preserve"> The S3 estimate of participating revenues (USD 1,668 billion) is broadly consistent with the independent estimate of USD 1,560 billion from an early study for the CBD Secretariat </w:t>
      </w:r>
      <w:r w:rsidRPr="00572991">
        <w:rPr>
          <w:rFonts w:ascii="Tahoma" w:hAnsi="Tahoma" w:cs="Tahoma"/>
        </w:rPr>
        <w:fldChar w:fldCharType="begin"/>
      </w:r>
      <w:r w:rsidRPr="00572991">
        <w:rPr>
          <w:rFonts w:ascii="Tahoma" w:hAnsi="Tahoma" w:cs="Tahoma"/>
        </w:rPr>
        <w:instrText xml:space="preserve"> ADDIN ZOTERO_ITEM CSL_CITATION {"citationID":"xEqVM1lk","properties":{"unsorted":false,"formattedCitation":"(CBD, 2024d)","plainCitation":"(CBD, 2024d)","noteIndex":72},"citationItems":[{"id":240,"uris":["http://zotero.org/users/14977742/items/L8MGTCIL"],"itemData":{"id":240,"type":"report","citation-key":"cbdStudiesCommissionedFurther2024","number":"CBD/WGDSI/2/INF/1","title":"Studies commissioned further to decision 15/9","URL":"https://www.cbd.int/doc/c/58d2/cd87/2ef418ccca31155fb8d0a4f5/wgdsi-02-inf-01-en.pdf","author":[{"literal":"CBD"}],"issued":{"date-parts":[["2024"]]}}}],"schema":"https://github.com/citation-style-language/schema/raw/master/csl-citation.json"} </w:instrText>
      </w:r>
      <w:r w:rsidRPr="00572991">
        <w:rPr>
          <w:rFonts w:ascii="Tahoma" w:hAnsi="Tahoma" w:cs="Tahoma"/>
        </w:rPr>
        <w:fldChar w:fldCharType="separate"/>
      </w:r>
      <w:r w:rsidRPr="00572991">
        <w:rPr>
          <w:rFonts w:ascii="Tahoma" w:hAnsi="Tahoma" w:cs="Tahoma"/>
          <w:noProof/>
        </w:rPr>
        <w:t>(CBD, 2024d)</w:t>
      </w:r>
      <w:r w:rsidRPr="00572991">
        <w:rPr>
          <w:rFonts w:ascii="Tahoma" w:hAnsi="Tahoma" w:cs="Tahoma"/>
        </w:rPr>
        <w:fldChar w:fldCharType="end"/>
      </w:r>
      <w:r w:rsidRPr="00572991">
        <w:rPr>
          <w:rFonts w:ascii="Tahoma" w:hAnsi="Tahoma" w:cs="Tahoma"/>
        </w:rPr>
        <w:t xml:space="preserve">, commissioned to inform the COP16 DSI negotiations (i.e. prior the implementation of the Decision 16/2). However, the two estimates are not directly comparable. The earlier study’s figure covers total revenues across five DSI‑using sectors and does not apply the financial thresholds in Decision 16/2 or any participation or ownership adjustments. This study’s figure, by contrast, reflects only the total revenues of firms identified after applying the eligibility thresholds, adjusting for participation, and calibrating for DSI intensity. The similarity in totals is therefore partly coincidental: for this study’s estimate, the threshold and DSI‑intensity adjustments shrink the revenue base in a way that roughly offsets differences in sector coverage and methodology. This comparison thus provides only a coarse external plausibility check on the S3 calibration, not a direct validation. Sector‑level differences are discussed in Makowska‑Curran </w:t>
      </w:r>
      <w:r w:rsidRPr="00572991">
        <w:rPr>
          <w:rFonts w:ascii="Tahoma" w:hAnsi="Tahoma" w:cs="Tahoma"/>
        </w:rPr>
        <w:fldChar w:fldCharType="begin"/>
      </w:r>
      <w:r w:rsidRPr="00572991">
        <w:rPr>
          <w:rFonts w:ascii="Tahoma" w:hAnsi="Tahoma" w:cs="Tahoma"/>
        </w:rPr>
        <w:instrText xml:space="preserve"> ADDIN ZOTERO_ITEM CSL_CITATION {"citationID":"cbbFJdPS","properties":{"unsorted":false,"formattedCitation":"(2026)","plainCitation":"(2026)","noteIndex":72},"citationItems":[{"id":54,"uris":["http://zotero.org/users/14977742/items/RKMGCBQW"],"itemData":{"id":54,"type":"post-weblog","abstract":"Animal genetics market size was estimated at $7.80 billion in 2025 and is projected to reach $13.35 billion by 2033, at a CAGR of 7.09% from 2026 to 2033","citation-key":"AnimalGeneticsMarket2026","language":"en","title":"Animal Genetics Market Size, Share | Industry Report, 2033","URL":"https://www.grandviewresearch.com/industry-analysis/animal-genetics-market","author":[{"literal":"Grand View Research"}],"accessed":{"date-parts":[["2026",6,3]]},"issued":{"date-parts":[["2026",5]]}},"suppress-author":true}],"schema":"https://github.com/citation-style-language/schema/raw/master/csl-citation.json"} </w:instrText>
      </w:r>
      <w:r w:rsidRPr="00572991">
        <w:rPr>
          <w:rFonts w:ascii="Tahoma" w:hAnsi="Tahoma" w:cs="Tahoma"/>
        </w:rPr>
        <w:fldChar w:fldCharType="separate"/>
      </w:r>
      <w:r w:rsidRPr="00572991">
        <w:rPr>
          <w:rFonts w:ascii="Tahoma" w:hAnsi="Tahoma" w:cs="Tahoma"/>
          <w:noProof/>
        </w:rPr>
        <w:t>(2026)</w:t>
      </w:r>
      <w:r w:rsidRPr="00572991">
        <w:rPr>
          <w:rFonts w:ascii="Tahoma" w:hAnsi="Tahoma" w:cs="Tahoma"/>
        </w:rPr>
        <w:fldChar w:fldCharType="end"/>
      </w:r>
      <w:r w:rsidRPr="00572991">
        <w:rPr>
          <w:rFonts w:ascii="Tahoma" w:hAnsi="Tahoma" w:cs="Tahoma"/>
        </w:rPr>
        <w:t>.</w:t>
      </w:r>
    </w:p>
  </w:footnote>
  <w:footnote w:id="80">
    <w:p w14:paraId="7C030059" w14:textId="77777777" w:rsidR="005F0A67" w:rsidRPr="00572991" w:rsidRDefault="005F0A67" w:rsidP="005F0A67">
      <w:pPr>
        <w:pStyle w:val="FootnoteText"/>
        <w:rPr>
          <w:rFonts w:ascii="Tahoma" w:hAnsi="Tahoma" w:cs="Tahoma"/>
        </w:rPr>
      </w:pPr>
      <w:r w:rsidRPr="00572991">
        <w:rPr>
          <w:rStyle w:val="FootnoteReference"/>
          <w:rFonts w:ascii="Tahoma" w:hAnsi="Tahoma" w:cs="Tahoma"/>
        </w:rPr>
        <w:footnoteRef/>
      </w:r>
      <w:r w:rsidRPr="00572991">
        <w:rPr>
          <w:rFonts w:ascii="Tahoma" w:hAnsi="Tahoma" w:cs="Tahoma"/>
        </w:rPr>
        <w:t xml:space="preserve"> Although biosimilars are produced using biological systems, they are classified here in this group rather than under biotechnology because of how they are positioned commercially: as follow-on products that enter the market once exclusivity has lapsed (e.g. from patents). They primarily compete through lower prices relative to an established reference product (i.e. biologics) rather than through innovation, which makes their competitive behaviour more similar to generics than to originator biologics.</w:t>
      </w:r>
    </w:p>
  </w:footnote>
  <w:footnote w:id="81">
    <w:p w14:paraId="1A3144C7" w14:textId="77777777" w:rsidR="005F0A67" w:rsidRPr="00572991" w:rsidRDefault="005F0A67" w:rsidP="005F0A67">
      <w:pPr>
        <w:pStyle w:val="FootnoteText"/>
        <w:rPr>
          <w:rFonts w:ascii="Tahoma" w:hAnsi="Tahoma" w:cs="Tahoma"/>
        </w:rPr>
      </w:pPr>
      <w:r w:rsidRPr="00572991">
        <w:rPr>
          <w:rStyle w:val="FootnoteReference"/>
          <w:rFonts w:ascii="Tahoma" w:hAnsi="Tahoma" w:cs="Tahoma"/>
        </w:rPr>
        <w:footnoteRef/>
      </w:r>
      <w:r w:rsidRPr="00572991">
        <w:rPr>
          <w:rFonts w:ascii="Tahoma" w:hAnsi="Tahoma" w:cs="Tahoma"/>
        </w:rPr>
        <w:t xml:space="preserve"> Note, however, that some biologicals producers could be partially captured under the NACE codes used for pharmaceuticals in the contribution modelling.</w:t>
      </w:r>
    </w:p>
  </w:footnote>
  <w:footnote w:id="82">
    <w:p w14:paraId="6F28563D" w14:textId="77777777" w:rsidR="005F0A67" w:rsidRPr="00572991" w:rsidRDefault="005F0A67" w:rsidP="005F0A67">
      <w:pPr>
        <w:pStyle w:val="FootnoteText"/>
        <w:rPr>
          <w:rFonts w:ascii="Tahoma" w:hAnsi="Tahoma" w:cs="Tahoma"/>
        </w:rPr>
      </w:pPr>
      <w:r w:rsidRPr="00572991">
        <w:rPr>
          <w:rStyle w:val="FootnoteReference"/>
          <w:rFonts w:ascii="Tahoma" w:hAnsi="Tahoma" w:cs="Tahoma"/>
        </w:rPr>
        <w:footnoteRef/>
      </w:r>
      <w:r w:rsidRPr="00572991">
        <w:rPr>
          <w:rFonts w:ascii="Tahoma" w:hAnsi="Tahoma" w:cs="Tahoma"/>
        </w:rPr>
        <w:t xml:space="preserve"> McGeeney et. al </w:t>
      </w:r>
      <w:r w:rsidRPr="00572991">
        <w:rPr>
          <w:rFonts w:ascii="Tahoma" w:hAnsi="Tahoma" w:cs="Tahoma"/>
        </w:rPr>
        <w:fldChar w:fldCharType="begin"/>
      </w:r>
      <w:r w:rsidRPr="00572991">
        <w:rPr>
          <w:rFonts w:ascii="Tahoma" w:hAnsi="Tahoma" w:cs="Tahoma"/>
        </w:rPr>
        <w:instrText xml:space="preserve"> ADDIN ZOTERO_ITEM CSL_CITATION {"citationID":"3lhYqibk","properties":{"unsorted":false,"formattedCitation":"(2025)","plainCitation":"(2025)","noteIndex":75},"citationItems":[{"id":151,"uris":["http://zotero.org/users/14977742/items/QN37B2DA"],"itemData":{"id":151,"type":"chapter","abstract":"Across all three study years, the sample contained a total of 2,117 drugs, 528 HCPCS codes, and $38.7 billion in gross spending. This included 1,778 small molecule drugs ($5.6 billion in gross spending) and 339 biologics ($33.1 billion). Among small molecules, the sample contained 349 brand drugs ($5.0 billion in gross spending) and 1,429 generic drugs ($0.6 billion). The biologics in the sample included 310 original biologics ($31.3 billion in gross spending) and 29 biosimilars ($1.8 billion). Over the full study period, we observed 249 noncompetitive or single-source small molecule drugs ($4.1 billion in gross spending) and 1,538 competitive or multi-source small molecule drugs ($1.5 billion). We also observed 293 noncompetitive biologics ($27.4 billion in gross spending) and 46 competitive biologics ($5.7 billion).35 There were 519 oncology drugs in the sample ($23.7 billion in gross spending), compared to 1,598 drugs for other therapeutic areas ($15.0 billion). In the sample, 1,644 drugs were classified as treating acute conditions ($29.5 billion in gross spending), 467 drugs were classified as treating chronic conditions ($9.1 billion), and 6 drugs were unclassified ($0.1 billion). Table B-1 shows the characteristics of the sample for each year in the study period.","citation-key":"easternresearchgroupRESULTS2025","container-title":"Profit Margins of Pharmaceutical Supply Chain Entities on Provider-Administered Drugs in Outpatient and Physician Settings [Internet]","language":"en","publisher":"Office of the Assistant Secretary for Planning and Evaluation (ASPE)","source":"www.ncbi.nlm.nih.gov","title":"RESULTS","URL":"https://www.ncbi.nlm.nih.gov/books/NBK611872/","author":[{"family":"McGeeney","given":"J. Daniel"},{"family":"Rathnavel","given":"Shruti"},{"family":"Sertkaya","given":"Aylin"}],"accessed":{"date-parts":[["2026",6,1]]},"issued":{"date-parts":[["2025",1,10]]}},"suppress-author":true}],"schema":"https://github.com/citation-style-language/schema/raw/master/csl-citation.json"} </w:instrText>
      </w:r>
      <w:r w:rsidRPr="00572991">
        <w:rPr>
          <w:rFonts w:ascii="Tahoma" w:hAnsi="Tahoma" w:cs="Tahoma"/>
        </w:rPr>
        <w:fldChar w:fldCharType="separate"/>
      </w:r>
      <w:r w:rsidRPr="00572991">
        <w:rPr>
          <w:rFonts w:ascii="Tahoma" w:hAnsi="Tahoma" w:cs="Tahoma"/>
          <w:noProof/>
        </w:rPr>
        <w:t>(2025)</w:t>
      </w:r>
      <w:r w:rsidRPr="00572991">
        <w:rPr>
          <w:rFonts w:ascii="Tahoma" w:hAnsi="Tahoma" w:cs="Tahoma"/>
        </w:rPr>
        <w:fldChar w:fldCharType="end"/>
      </w:r>
      <w:r w:rsidRPr="00572991">
        <w:rPr>
          <w:rFonts w:ascii="Tahoma" w:hAnsi="Tahoma" w:cs="Tahoma"/>
        </w:rPr>
        <w:t xml:space="preserve"> report that manufacturers retained 34-39% of net spending on generic small molecules compared to 60-67% on branded products and 62-68% on biosimilars, consistent with the more competitive pricing dynamics in generic markets.</w:t>
      </w:r>
    </w:p>
  </w:footnote>
  <w:footnote w:id="83">
    <w:p w14:paraId="79815B17" w14:textId="77777777" w:rsidR="005F0A67" w:rsidRDefault="005F0A67" w:rsidP="005F0A67">
      <w:pPr>
        <w:pStyle w:val="FootnoteText"/>
      </w:pPr>
      <w:r w:rsidRPr="39B3AD14">
        <w:rPr>
          <w:rStyle w:val="FootnoteReference"/>
        </w:rPr>
        <w:footnoteRef/>
      </w:r>
      <w:r>
        <w:t xml:space="preserve"> This would consi</w:t>
      </w:r>
      <w:r w:rsidRPr="00FB65AE">
        <w:t>der on</w:t>
      </w:r>
      <w:r>
        <w:t>ly</w:t>
      </w:r>
      <w:r w:rsidRPr="00FB65AE">
        <w:t xml:space="preserve"> </w:t>
      </w:r>
      <w:r w:rsidRPr="000D2725">
        <w:rPr>
          <w:rFonts w:ascii="Georgia" w:eastAsia="Georgia" w:hAnsi="Georgia" w:cs="Georgia"/>
          <w:color w:val="1A1A1A"/>
          <w:sz w:val="20"/>
        </w:rPr>
        <w:t xml:space="preserve">pathogen with pandemic potential, </w:t>
      </w:r>
      <w:r w:rsidRPr="39B3AD14">
        <w:t>not all</w:t>
      </w:r>
      <w:r w:rsidRPr="000D2725">
        <w:rPr>
          <w:rFonts w:ascii="Georgia" w:eastAsia="Georgia" w:hAnsi="Georgia" w:cs="Georgia"/>
          <w:color w:val="1A1A1A"/>
          <w:sz w:val="20"/>
        </w:rPr>
        <w:t xml:space="preserve"> vaccines produced.</w:t>
      </w:r>
    </w:p>
  </w:footnote>
  <w:footnote w:id="84">
    <w:p w14:paraId="72908826" w14:textId="77777777" w:rsidR="005F0A67" w:rsidRPr="00572991" w:rsidRDefault="005F0A67" w:rsidP="005F0A67">
      <w:pPr>
        <w:pStyle w:val="FootnoteText"/>
        <w:jc w:val="both"/>
        <w:rPr>
          <w:rFonts w:ascii="Tahoma" w:hAnsi="Tahoma" w:cs="Tahoma"/>
        </w:rPr>
      </w:pPr>
      <w:r w:rsidRPr="00572991">
        <w:rPr>
          <w:rStyle w:val="FootnoteReference"/>
          <w:rFonts w:ascii="Tahoma" w:hAnsi="Tahoma" w:cs="Tahoma"/>
        </w:rPr>
        <w:footnoteRef/>
      </w:r>
      <w:r w:rsidRPr="00572991">
        <w:rPr>
          <w:rFonts w:ascii="Tahoma" w:hAnsi="Tahoma" w:cs="Tahoma"/>
        </w:rPr>
        <w:t xml:space="preserve"> </w:t>
      </w:r>
      <w:r w:rsidRPr="00572991">
        <w:rPr>
          <w:rStyle w:val="Emphasis"/>
          <w:rFonts w:ascii="Tahoma" w:hAnsi="Tahoma" w:cs="Tahoma"/>
          <w:i w:val="0"/>
          <w:iCs w:val="0"/>
        </w:rPr>
        <w:t xml:space="preserve">The classification used in the contribution modelling presented in Part II use the NACE-based firm-level extraction from </w:t>
      </w:r>
      <w:r w:rsidRPr="00572991">
        <w:rPr>
          <w:rFonts w:ascii="Tahoma" w:hAnsi="Tahoma" w:cs="Tahoma"/>
        </w:rPr>
        <w:t xml:space="preserve">Makowska-Curran </w:t>
      </w:r>
      <w:r w:rsidRPr="00572991">
        <w:rPr>
          <w:rFonts w:ascii="Tahoma" w:hAnsi="Tahoma" w:cs="Tahoma"/>
        </w:rPr>
        <w:fldChar w:fldCharType="begin"/>
      </w:r>
      <w:r w:rsidRPr="00572991">
        <w:rPr>
          <w:rFonts w:ascii="Tahoma" w:hAnsi="Tahoma" w:cs="Tahoma"/>
        </w:rPr>
        <w:instrText xml:space="preserve"> ADDIN ZOTERO_ITEM CSL_CITATION {"citationID":"Gfx4zMPs","properties":{"unsorted":false,"formattedCitation":"(2026)","plainCitation":"(2026)","noteIndex":76},"citationItems":[{"id":77,"uris":["http://zotero.org/users/14977742/items/2PI55QKT"],"itemData":{"id":77,"type":"article-journal","abstract":"This paper provides the first global, firm-level analysis of what the Cali Fund, designed to support global conservation, is likely to raise and how resources would be distributed.","citation-key":"GlobalBiodiversityCommitments","container-title":"Grantham Research Institute on climate change and the environment","language":"en-GB","publisher":"London School of Economics and Political Science (LSE)","title":"From global biodiversity commitments to local action: revenue potential and allocation dynamics of the Cali Fund","title-short":"From global biodiversity commitments to local action","URL":"https://www.lse.ac.uk/granthaminstitute/publication/from-global-biodiversity-commitments-to-local-action-revenue-potential-and-allocation-dynamics-of-the-cali-fund/","author":[{"family":"Makowska-Curran","given":"Agata"}],"accessed":{"date-parts":[["2026",6,3]]},"issued":{"date-parts":[["2026",6]]}},"suppress-author":true}],"schema":"https://github.com/citation-style-language/schema/raw/master/csl-citation.json"} </w:instrText>
      </w:r>
      <w:r w:rsidRPr="00572991">
        <w:rPr>
          <w:rFonts w:ascii="Tahoma" w:hAnsi="Tahoma" w:cs="Tahoma"/>
        </w:rPr>
        <w:fldChar w:fldCharType="separate"/>
      </w:r>
      <w:r w:rsidRPr="00572991">
        <w:rPr>
          <w:rFonts w:ascii="Tahoma" w:hAnsi="Tahoma" w:cs="Tahoma"/>
        </w:rPr>
        <w:t>(2026)</w:t>
      </w:r>
      <w:r w:rsidRPr="00572991">
        <w:rPr>
          <w:rFonts w:ascii="Tahoma" w:hAnsi="Tahoma" w:cs="Tahoma"/>
        </w:rPr>
        <w:fldChar w:fldCharType="end"/>
      </w:r>
      <w:r w:rsidRPr="00572991">
        <w:rPr>
          <w:rFonts w:ascii="Tahoma" w:hAnsi="Tahoma" w:cs="Tahoma"/>
        </w:rPr>
        <w:t xml:space="preserve">, </w:t>
      </w:r>
      <w:r w:rsidRPr="00572991">
        <w:rPr>
          <w:rStyle w:val="Emphasis"/>
          <w:rFonts w:ascii="Tahoma" w:hAnsi="Tahoma" w:cs="Tahoma"/>
          <w:i w:val="0"/>
          <w:iCs w:val="0"/>
        </w:rPr>
        <w:t>which broadly matches this scope but may (</w:t>
      </w:r>
      <w:proofErr w:type="spellStart"/>
      <w:r w:rsidRPr="00572991">
        <w:rPr>
          <w:rStyle w:val="Emphasis"/>
          <w:rFonts w:ascii="Tahoma" w:hAnsi="Tahoma" w:cs="Tahoma"/>
          <w:i w:val="0"/>
          <w:iCs w:val="0"/>
        </w:rPr>
        <w:t>i</w:t>
      </w:r>
      <w:proofErr w:type="spellEnd"/>
      <w:r w:rsidRPr="00572991">
        <w:rPr>
          <w:rStyle w:val="Emphasis"/>
          <w:rFonts w:ascii="Tahoma" w:hAnsi="Tahoma" w:cs="Tahoma"/>
          <w:i w:val="0"/>
          <w:iCs w:val="0"/>
        </w:rPr>
        <w:t>) classify some conventional chemical manufacturers as industrial biotechnology and (ii) assign firms active in both pharmaceuticals and biotechnology to the pharmaceuticals sector according to their primary registered activity.</w:t>
      </w:r>
    </w:p>
  </w:footnote>
  <w:footnote w:id="85">
    <w:p w14:paraId="2DC41151" w14:textId="77777777" w:rsidR="005F0A67" w:rsidRPr="00572991" w:rsidRDefault="005F0A67" w:rsidP="005F0A67">
      <w:pPr>
        <w:pStyle w:val="FootnoteText"/>
        <w:rPr>
          <w:rFonts w:ascii="Tahoma" w:hAnsi="Tahoma" w:cs="Tahoma"/>
        </w:rPr>
      </w:pPr>
      <w:r w:rsidRPr="00572991">
        <w:rPr>
          <w:rStyle w:val="FootnoteReference"/>
          <w:rFonts w:ascii="Tahoma" w:hAnsi="Tahoma" w:cs="Tahoma"/>
        </w:rPr>
        <w:footnoteRef/>
      </w:r>
      <w:r w:rsidRPr="00572991">
        <w:rPr>
          <w:rFonts w:ascii="Tahoma" w:hAnsi="Tahoma" w:cs="Tahoma"/>
        </w:rPr>
        <w:t xml:space="preserve"> The study looked at top 25 firms in the sector. </w:t>
      </w:r>
    </w:p>
  </w:footnote>
  <w:footnote w:id="86">
    <w:p w14:paraId="55D91F79" w14:textId="77777777" w:rsidR="005F0A67" w:rsidRPr="00572991" w:rsidRDefault="005F0A67" w:rsidP="005F0A67">
      <w:pPr>
        <w:pStyle w:val="FootnoteText"/>
        <w:rPr>
          <w:rFonts w:ascii="Tahoma" w:hAnsi="Tahoma" w:cs="Tahoma"/>
        </w:rPr>
      </w:pPr>
      <w:r w:rsidRPr="00572991">
        <w:rPr>
          <w:rStyle w:val="FootnoteReference"/>
          <w:rFonts w:ascii="Tahoma" w:hAnsi="Tahoma" w:cs="Tahoma"/>
        </w:rPr>
        <w:footnoteRef/>
      </w:r>
      <w:r w:rsidRPr="00572991">
        <w:rPr>
          <w:rFonts w:ascii="Tahoma" w:hAnsi="Tahoma" w:cs="Tahoma"/>
        </w:rPr>
        <w:t xml:space="preserve"> Commercial market size estimates for molecular diagnostics may encompass both laboratory equipment as well as clinical laboratory service providers. The distinction between these segments is not consistently clear in market research sources and could not be fully determined from the available data.</w:t>
      </w:r>
    </w:p>
  </w:footnote>
  <w:footnote w:id="87">
    <w:p w14:paraId="05995700" w14:textId="77777777" w:rsidR="005F0A67" w:rsidRPr="00572991" w:rsidRDefault="005F0A67" w:rsidP="005F0A67">
      <w:pPr>
        <w:pStyle w:val="FootnoteText"/>
        <w:rPr>
          <w:rFonts w:ascii="Tahoma" w:hAnsi="Tahoma" w:cs="Tahoma"/>
        </w:rPr>
      </w:pPr>
      <w:r w:rsidRPr="00572991">
        <w:rPr>
          <w:rStyle w:val="FootnoteReference"/>
          <w:rFonts w:ascii="Tahoma" w:hAnsi="Tahoma" w:cs="Tahoma"/>
        </w:rPr>
        <w:footnoteRef/>
      </w:r>
      <w:r w:rsidRPr="00572991">
        <w:rPr>
          <w:rFonts w:ascii="Tahoma" w:hAnsi="Tahoma" w:cs="Tahoma"/>
        </w:rPr>
        <w:t xml:space="preserve"> Trait licensing is the arrangement in which seed companies grant other firms the right to use particular genetic traits e.g. herbicide tolerance or insect resistance, in return for royalty payments. This system enables the trait developer to capture value through intellectual property rather than relying solely on selling seed directly.</w:t>
      </w:r>
    </w:p>
  </w:footnote>
  <w:footnote w:id="88">
    <w:p w14:paraId="66AB6002" w14:textId="77777777" w:rsidR="005F0A67" w:rsidRPr="00572991" w:rsidRDefault="005F0A67" w:rsidP="005F0A67">
      <w:pPr>
        <w:pStyle w:val="FootnoteText"/>
        <w:rPr>
          <w:rFonts w:ascii="Tahoma" w:hAnsi="Tahoma" w:cs="Tahoma"/>
        </w:rPr>
      </w:pPr>
      <w:r w:rsidRPr="00572991">
        <w:rPr>
          <w:rStyle w:val="FootnoteReference"/>
          <w:rFonts w:ascii="Tahoma" w:hAnsi="Tahoma" w:cs="Tahoma"/>
        </w:rPr>
        <w:footnoteRef/>
      </w:r>
      <w:r w:rsidRPr="00572991">
        <w:rPr>
          <w:rFonts w:ascii="Tahoma" w:hAnsi="Tahoma" w:cs="Tahoma"/>
        </w:rPr>
        <w:t xml:space="preserve"> Breeding pyramid = a hierarchical system where a small number of elite animals at the top generate genetics distributed through multiplier tiers to commercial producers below </w:t>
      </w:r>
      <w:r w:rsidRPr="00572991">
        <w:rPr>
          <w:rFonts w:ascii="Tahoma" w:hAnsi="Tahoma" w:cs="Tahoma"/>
        </w:rPr>
        <w:fldChar w:fldCharType="begin"/>
      </w:r>
      <w:r w:rsidRPr="00572991">
        <w:rPr>
          <w:rFonts w:ascii="Tahoma" w:hAnsi="Tahoma" w:cs="Tahoma"/>
        </w:rPr>
        <w:instrText xml:space="preserve"> ADDIN ZOTERO_ITEM CSL_CITATION {"citationID":"xItZkVxl","properties":{"unsorted":false,"formattedCitation":"(Neeteson {\\i{}et al.}, 2023a)","plainCitation":"(Neeteson et al., 2023a)","noteIndex":80},"citationItems":[{"id":56,"uris":["http://zotero.org/users/14977742/items/SQFPWVSE"],"itemData":{"id":56,"type":"article-journal","abstract":"Simple Summary\nPoultry meat is an affordable, lean source of animal protein. Where does it come from? Broilers (meat chickens) or turkeys raised on farms stem from core breeding families, which are crossed to generate commercial hybrids. It takes around four years for the birds from the core families to the birds on the farms. Over time, poultry breeding has developed from primarily looking at production (e.g., live weight and egg production) to balanced, holistic breeding, including a wide range of attributes (e.g., gait, leg health, robustness and cardiovascular health). All birds in the core breeding families are carefully measured for over forty items covering bird health and welfare, robustness, environmental impact, reproduction and production. Modern poultry breeding aims for the holistic improvement of all the traits included in a broad and balanced breeding goal. New and improved selection techniques and analytical tools are continuously developed to allow increases in the accuracy of selection’s long-term progress. There are different broiler and turkey genotypes for different market requirements, and commercial portfolios will continue evolving with future markets and customer preferences.\n\nAbstract\nThis paper provides a comprehensive overview of the history of commercial poultry breeding, from domestication to the development of science and commercial breeding structures. The development of breeding goals over time, from mainly focusing on production to broad goals, including bird welfare and health, robustness, environmental impact, biological efficiency and reproduction, is detailed. The paper outlines current breeding goals, including traits (e.g., on foot and leg health, contact dermatitis, gait, cardiovascular health, robustness and livability), recording techniques, their genetic basis and how trait these antagonisms, for example, between welfare and production, are managed. Novel areas like genomic selection and gut health research and their current and potential impact on breeding are highlighted. The environmental impact differences of various genotypes are explained. A future outlook shows that balanced, holistic breeding will continue to enable affordable lean animal protein to feed the world, with a focus on the welfare of the birds and a diversity of choice for the various preferences and cultures across the world.","citation-key":"neetesonEvolutionsCommercialMeat2023a","container-title":"Animals : an Open Access Journal from MDPI","DOI":"10.3390/ani13193150","ISSN":"2076-2615","issue":"19","journalAbbreviation":"Animals (Basel)","page":"3150","PMID":"37835756","PMCID":"PMC10571742","source":"PubMed Central","title":"Evolutions in Commercial Meat Poultry Breeding","volume":"13","author":[{"family":"Neeteson","given":"Anne-Marie"},{"family":"Avendaño","given":"Santiago"},{"family":"Koerhuis","given":"Alfons"},{"family":"Duggan","given":"Brendan"},{"family":"Souza","given":"Eduardo"},{"family":"Mason","given":"James"},{"family":"Ralph","given":"John"},{"family":"Rohlf","given":"Paige"},{"family":"Burnside","given":"Tim"},{"family":"Kranis","given":"Andreas"},{"family":"Bailey","given":"Richard"}],"issued":{"date-parts":[["2023",10,9]]}}}],"schema":"https://github.com/citation-style-language/schema/raw/master/csl-citation.json"} </w:instrText>
      </w:r>
      <w:r w:rsidRPr="00572991">
        <w:rPr>
          <w:rFonts w:ascii="Tahoma" w:hAnsi="Tahoma" w:cs="Tahoma"/>
        </w:rPr>
        <w:fldChar w:fldCharType="separate"/>
      </w:r>
      <w:r w:rsidRPr="00572991">
        <w:rPr>
          <w:rFonts w:ascii="Tahoma" w:hAnsi="Tahoma" w:cs="Tahoma"/>
          <w:color w:val="000000"/>
        </w:rPr>
        <w:t xml:space="preserve">(Neeteson </w:t>
      </w:r>
      <w:r w:rsidRPr="00572991">
        <w:rPr>
          <w:rFonts w:ascii="Tahoma" w:hAnsi="Tahoma" w:cs="Tahoma"/>
          <w:i/>
          <w:iCs/>
          <w:color w:val="000000"/>
        </w:rPr>
        <w:t>et al.</w:t>
      </w:r>
      <w:r w:rsidRPr="00572991">
        <w:rPr>
          <w:rFonts w:ascii="Tahoma" w:hAnsi="Tahoma" w:cs="Tahoma"/>
          <w:color w:val="000000"/>
        </w:rPr>
        <w:t>, 2023a)</w:t>
      </w:r>
      <w:r w:rsidRPr="00572991">
        <w:rPr>
          <w:rFonts w:ascii="Tahoma" w:hAnsi="Tahoma" w:cs="Tahoma"/>
        </w:rPr>
        <w:fldChar w:fldCharType="end"/>
      </w:r>
      <w:r w:rsidRPr="00572991">
        <w:rPr>
          <w:rFonts w:ascii="Tahoma" w:hAnsi="Tahoma" w:cs="Tahoma"/>
        </w:rPr>
        <w:t>.</w:t>
      </w:r>
    </w:p>
  </w:footnote>
  <w:footnote w:id="89">
    <w:p w14:paraId="578F11BB" w14:textId="77777777" w:rsidR="005F0A67" w:rsidRPr="00572991" w:rsidRDefault="005F0A67" w:rsidP="005F0A67">
      <w:pPr>
        <w:pStyle w:val="FootnoteText"/>
        <w:rPr>
          <w:rFonts w:ascii="Tahoma" w:hAnsi="Tahoma" w:cs="Tahoma"/>
        </w:rPr>
      </w:pPr>
      <w:r w:rsidRPr="00572991">
        <w:rPr>
          <w:rStyle w:val="FootnoteReference"/>
          <w:rFonts w:ascii="Tahoma" w:hAnsi="Tahoma" w:cs="Tahoma"/>
        </w:rPr>
        <w:footnoteRef/>
      </w:r>
      <w:r w:rsidRPr="00572991">
        <w:rPr>
          <w:rFonts w:ascii="Tahoma" w:hAnsi="Tahoma" w:cs="Tahoma"/>
        </w:rPr>
        <w:t xml:space="preserve"> Multiplication chain = A network of licensed farms that produce and distribute commercial breeding stock from elite lines under contractual arrangements with the breeding firm </w:t>
      </w:r>
      <w:r w:rsidRPr="00572991">
        <w:rPr>
          <w:rFonts w:ascii="Tahoma" w:hAnsi="Tahoma" w:cs="Tahoma"/>
        </w:rPr>
        <w:fldChar w:fldCharType="begin"/>
      </w:r>
      <w:r w:rsidRPr="00572991">
        <w:rPr>
          <w:rFonts w:ascii="Tahoma" w:hAnsi="Tahoma" w:cs="Tahoma"/>
        </w:rPr>
        <w:instrText xml:space="preserve"> ADDIN ZOTERO_ITEM CSL_CITATION {"citationID":"4qGRD7Mf","properties":{"unsorted":false,"formattedCitation":"(Neeteson {\\i{}et al.}, 2023a)","plainCitation":"(Neeteson et al., 2023a)","noteIndex":81},"citationItems":[{"id":56,"uris":["http://zotero.org/users/14977742/items/SQFPWVSE"],"itemData":{"id":56,"type":"article-journal","abstract":"Simple Summary\nPoultry meat is an affordable, lean source of animal protein. Where does it come from? Broilers (meat chickens) or turkeys raised on farms stem from core breeding families, which are crossed to generate commercial hybrids. It takes around four years for the birds from the core families to the birds on the farms. Over time, poultry breeding has developed from primarily looking at production (e.g., live weight and egg production) to balanced, holistic breeding, including a wide range of attributes (e.g., gait, leg health, robustness and cardiovascular health). All birds in the core breeding families are carefully measured for over forty items covering bird health and welfare, robustness, environmental impact, reproduction and production. Modern poultry breeding aims for the holistic improvement of all the traits included in a broad and balanced breeding goal. New and improved selection techniques and analytical tools are continuously developed to allow increases in the accuracy of selection’s long-term progress. There are different broiler and turkey genotypes for different market requirements, and commercial portfolios will continue evolving with future markets and customer preferences.\n\nAbstract\nThis paper provides a comprehensive overview of the history of commercial poultry breeding, from domestication to the development of science and commercial breeding structures. The development of breeding goals over time, from mainly focusing on production to broad goals, including bird welfare and health, robustness, environmental impact, biological efficiency and reproduction, is detailed. The paper outlines current breeding goals, including traits (e.g., on foot and leg health, contact dermatitis, gait, cardiovascular health, robustness and livability), recording techniques, their genetic basis and how trait these antagonisms, for example, between welfare and production, are managed. Novel areas like genomic selection and gut health research and their current and potential impact on breeding are highlighted. The environmental impact differences of various genotypes are explained. A future outlook shows that balanced, holistic breeding will continue to enable affordable lean animal protein to feed the world, with a focus on the welfare of the birds and a diversity of choice for the various preferences and cultures across the world.","citation-key":"neetesonEvolutionsCommercialMeat2023a","container-title":"Animals : an Open Access Journal from MDPI","DOI":"10.3390/ani13193150","ISSN":"2076-2615","issue":"19","journalAbbreviation":"Animals (Basel)","page":"3150","PMID":"37835756","PMCID":"PMC10571742","source":"PubMed Central","title":"Evolutions in Commercial Meat Poultry Breeding","volume":"13","author":[{"family":"Neeteson","given":"Anne-Marie"},{"family":"Avendaño","given":"Santiago"},{"family":"Koerhuis","given":"Alfons"},{"family":"Duggan","given":"Brendan"},{"family":"Souza","given":"Eduardo"},{"family":"Mason","given":"James"},{"family":"Ralph","given":"John"},{"family":"Rohlf","given":"Paige"},{"family":"Burnside","given":"Tim"},{"family":"Kranis","given":"Andreas"},{"family":"Bailey","given":"Richard"}],"issued":{"date-parts":[["2023",10,9]]}}}],"schema":"https://github.com/citation-style-language/schema/raw/master/csl-citation.json"} </w:instrText>
      </w:r>
      <w:r w:rsidRPr="00572991">
        <w:rPr>
          <w:rFonts w:ascii="Tahoma" w:hAnsi="Tahoma" w:cs="Tahoma"/>
        </w:rPr>
        <w:fldChar w:fldCharType="separate"/>
      </w:r>
      <w:r w:rsidRPr="00572991">
        <w:rPr>
          <w:rFonts w:ascii="Tahoma" w:hAnsi="Tahoma" w:cs="Tahoma"/>
          <w:color w:val="000000"/>
        </w:rPr>
        <w:t xml:space="preserve">(Neeteson </w:t>
      </w:r>
      <w:r w:rsidRPr="00572991">
        <w:rPr>
          <w:rFonts w:ascii="Tahoma" w:hAnsi="Tahoma" w:cs="Tahoma"/>
          <w:i/>
          <w:iCs/>
          <w:color w:val="000000"/>
        </w:rPr>
        <w:t>et al.</w:t>
      </w:r>
      <w:r w:rsidRPr="00572991">
        <w:rPr>
          <w:rFonts w:ascii="Tahoma" w:hAnsi="Tahoma" w:cs="Tahoma"/>
          <w:color w:val="000000"/>
        </w:rPr>
        <w:t>, 2023a)</w:t>
      </w:r>
      <w:r w:rsidRPr="00572991">
        <w:rPr>
          <w:rFonts w:ascii="Tahoma" w:hAnsi="Tahoma" w:cs="Tahoma"/>
        </w:rPr>
        <w:fldChar w:fldCharType="end"/>
      </w:r>
      <w:r w:rsidRPr="00572991">
        <w:rPr>
          <w:rFonts w:ascii="Tahoma" w:hAnsi="Tahoma" w:cs="Tahoma"/>
        </w:rPr>
        <w:t>..</w:t>
      </w:r>
    </w:p>
  </w:footnote>
  <w:footnote w:id="90">
    <w:p w14:paraId="26A80714" w14:textId="77777777" w:rsidR="005F0A67" w:rsidRPr="00572991" w:rsidRDefault="005F0A67" w:rsidP="005F0A67">
      <w:pPr>
        <w:pStyle w:val="FootnoteText"/>
        <w:rPr>
          <w:rFonts w:ascii="Tahoma" w:hAnsi="Tahoma" w:cs="Tahoma"/>
          <w:b/>
          <w:bCs/>
        </w:rPr>
      </w:pPr>
      <w:r w:rsidRPr="00572991">
        <w:rPr>
          <w:rStyle w:val="FootnoteReference"/>
          <w:rFonts w:ascii="Tahoma" w:hAnsi="Tahoma" w:cs="Tahoma"/>
        </w:rPr>
        <w:footnoteRef/>
      </w:r>
      <w:r w:rsidRPr="00572991">
        <w:rPr>
          <w:rFonts w:ascii="Tahoma" w:hAnsi="Tahoma" w:cs="Tahoma"/>
        </w:rPr>
        <w:t xml:space="preserve"> The</w:t>
      </w:r>
      <w:r w:rsidRPr="00572991">
        <w:rPr>
          <w:rFonts w:ascii="Tahoma" w:hAnsi="Tahoma" w:cs="Tahoma"/>
          <w:b/>
          <w:bCs/>
        </w:rPr>
        <w:t xml:space="preserve"> </w:t>
      </w:r>
      <w:r w:rsidRPr="00572991">
        <w:rPr>
          <w:rStyle w:val="Strong"/>
          <w:rFonts w:ascii="Tahoma" w:hAnsi="Tahoma" w:cs="Tahoma"/>
          <w:b w:val="0"/>
          <w:bCs w:val="0"/>
        </w:rPr>
        <w:t>Dietary Supplement Health and Education Act of 1994 (DSHEA).</w:t>
      </w:r>
    </w:p>
  </w:footnote>
  <w:footnote w:id="91">
    <w:p w14:paraId="1724636F" w14:textId="77777777" w:rsidR="005F0A67" w:rsidRPr="00572991" w:rsidRDefault="005F0A67" w:rsidP="005F0A67">
      <w:pPr>
        <w:pStyle w:val="FootnoteText"/>
        <w:rPr>
          <w:rFonts w:ascii="Tahoma" w:hAnsi="Tahoma" w:cs="Tahoma"/>
        </w:rPr>
      </w:pPr>
      <w:r w:rsidRPr="00572991">
        <w:rPr>
          <w:rStyle w:val="FootnoteReference"/>
          <w:rFonts w:ascii="Tahoma" w:hAnsi="Tahoma" w:cs="Tahoma"/>
        </w:rPr>
        <w:footnoteRef/>
      </w:r>
      <w:r w:rsidRPr="00572991">
        <w:rPr>
          <w:rFonts w:ascii="Tahoma" w:hAnsi="Tahoma" w:cs="Tahoma"/>
        </w:rPr>
        <w:t xml:space="preserve"> Polymerase Chain Reaction.</w:t>
      </w:r>
    </w:p>
  </w:footnote>
  <w:footnote w:id="92">
    <w:p w14:paraId="6A0752A4" w14:textId="77777777" w:rsidR="005F0A67" w:rsidRPr="00572991" w:rsidRDefault="005F0A67" w:rsidP="005F0A67">
      <w:pPr>
        <w:pStyle w:val="FootnoteText"/>
        <w:rPr>
          <w:rFonts w:ascii="Tahoma" w:hAnsi="Tahoma" w:cs="Tahoma"/>
        </w:rPr>
      </w:pPr>
      <w:r w:rsidRPr="00572991">
        <w:rPr>
          <w:rStyle w:val="FootnoteReference"/>
          <w:rFonts w:ascii="Tahoma" w:hAnsi="Tahoma" w:cs="Tahoma"/>
        </w:rPr>
        <w:footnoteRef/>
      </w:r>
      <w:r w:rsidRPr="00572991">
        <w:rPr>
          <w:rFonts w:ascii="Tahoma" w:hAnsi="Tahoma" w:cs="Tahoma"/>
        </w:rPr>
        <w:t xml:space="preserve"> For example, see the AWS website dedicated to genomics research at </w:t>
      </w:r>
      <w:hyperlink r:id="rId3" w:history="1">
        <w:r w:rsidRPr="00572991">
          <w:rPr>
            <w:rStyle w:val="Hyperlink"/>
            <w:rFonts w:ascii="Tahoma" w:hAnsi="Tahoma" w:cs="Tahoma"/>
          </w:rPr>
          <w:t>https://aws.amazon.com/health/genomics/</w:t>
        </w:r>
      </w:hyperlink>
      <w:r w:rsidRPr="00572991">
        <w:rPr>
          <w:rFonts w:ascii="Tahoma" w:hAnsi="Tahoma" w:cs="Tahoma"/>
        </w:rPr>
        <w:t xml:space="preserve"> Accessed 4</w:t>
      </w:r>
      <w:r w:rsidRPr="00572991">
        <w:rPr>
          <w:rFonts w:ascii="Tahoma" w:hAnsi="Tahoma" w:cs="Tahoma"/>
          <w:vertAlign w:val="superscript"/>
        </w:rPr>
        <w:t>th</w:t>
      </w:r>
      <w:r w:rsidRPr="00572991">
        <w:rPr>
          <w:rFonts w:ascii="Tahoma" w:hAnsi="Tahoma" w:cs="Tahoma"/>
        </w:rPr>
        <w:t xml:space="preserve"> June 2026.</w:t>
      </w:r>
    </w:p>
  </w:footnote>
  <w:footnote w:id="93">
    <w:p w14:paraId="35FA5C0F" w14:textId="77777777" w:rsidR="005F0A67" w:rsidRPr="00572991" w:rsidRDefault="005F0A67" w:rsidP="005F0A67">
      <w:pPr>
        <w:pStyle w:val="FootnoteText"/>
        <w:rPr>
          <w:rFonts w:ascii="Tahoma" w:hAnsi="Tahoma" w:cs="Tahoma"/>
        </w:rPr>
      </w:pPr>
      <w:r w:rsidRPr="00572991">
        <w:rPr>
          <w:rStyle w:val="FootnoteReference"/>
          <w:rFonts w:ascii="Tahoma" w:hAnsi="Tahoma" w:cs="Tahoma"/>
        </w:rPr>
        <w:footnoteRef/>
      </w:r>
      <w:r w:rsidRPr="00572991">
        <w:rPr>
          <w:rFonts w:ascii="Tahoma" w:hAnsi="Tahoma" w:cs="Tahoma"/>
        </w:rPr>
        <w:t xml:space="preserve"> Note that this smaller number compared to other sectors may be the consequence of the data limitations (see Makowska-Curran </w:t>
      </w:r>
      <w:r w:rsidRPr="00572991">
        <w:rPr>
          <w:rFonts w:ascii="Tahoma" w:hAnsi="Tahoma" w:cs="Tahoma"/>
        </w:rPr>
        <w:fldChar w:fldCharType="begin"/>
      </w:r>
      <w:r w:rsidRPr="00572991">
        <w:rPr>
          <w:rFonts w:ascii="Tahoma" w:hAnsi="Tahoma" w:cs="Tahoma"/>
        </w:rPr>
        <w:instrText xml:space="preserve"> ADDIN ZOTERO_ITEM CSL_CITATION {"citationID":"2VkrIIWM","properties":{"unsorted":false,"formattedCitation":"(2026)","plainCitation":"(2026)","noteIndex":85},"citationItems":[{"id":77,"uris":["http://zotero.org/users/14977742/items/2PI55QKT"],"itemData":{"id":77,"type":"article-journal","abstract":"This paper provides the first global, firm-level analysis of what the Cali Fund, designed to support global conservation, is likely to raise and how resources would be distributed.","citation-key":"GlobalBiodiversityCommitments","container-title":"Grantham Research Institute on climate change and the environment","language":"en-GB","publisher":"London School of Economics and Political Science (LSE)","title":"From global biodiversity commitments to local action: revenue potential and allocation dynamics of the Cali Fund","title-short":"From global biodiversity commitments to local action","URL":"https://www.lse.ac.uk/granthaminstitute/publication/from-global-biodiversity-commitments-to-local-action-revenue-potential-and-allocation-dynamics-of-the-cali-fund/","author":[{"family":"Makowska-Curran","given":"Agata"}],"accessed":{"date-parts":[["2026",6,3]]},"issued":{"date-parts":[["2026",6]]}},"suppress-author":true}],"schema":"https://github.com/citation-style-language/schema/raw/master/csl-citation.json"} </w:instrText>
      </w:r>
      <w:r w:rsidRPr="00572991">
        <w:rPr>
          <w:rFonts w:ascii="Tahoma" w:hAnsi="Tahoma" w:cs="Tahoma"/>
        </w:rPr>
        <w:fldChar w:fldCharType="separate"/>
      </w:r>
      <w:r w:rsidRPr="00572991">
        <w:rPr>
          <w:rFonts w:ascii="Tahoma" w:hAnsi="Tahoma" w:cs="Tahoma"/>
          <w:noProof/>
        </w:rPr>
        <w:t>(2026)</w:t>
      </w:r>
      <w:r w:rsidRPr="00572991">
        <w:rPr>
          <w:rFonts w:ascii="Tahoma" w:hAnsi="Tahoma" w:cs="Tahoma"/>
        </w:rPr>
        <w:fldChar w:fldCharType="end"/>
      </w:r>
      <w:r w:rsidRPr="00572991">
        <w:rPr>
          <w:rFonts w:ascii="Tahoma" w:hAnsi="Tahoma" w:cs="Tahoma"/>
        </w:rPr>
        <w:t xml:space="preserve">). </w:t>
      </w:r>
    </w:p>
  </w:footnote>
  <w:footnote w:id="94">
    <w:p w14:paraId="60AA764D" w14:textId="77777777" w:rsidR="005F0A67" w:rsidRPr="00572991" w:rsidRDefault="005F0A67" w:rsidP="005F0A67">
      <w:pPr>
        <w:pStyle w:val="FootnoteText"/>
        <w:rPr>
          <w:rFonts w:ascii="Tahoma" w:hAnsi="Tahoma" w:cs="Tahoma"/>
        </w:rPr>
      </w:pPr>
      <w:r w:rsidRPr="00572991">
        <w:rPr>
          <w:rStyle w:val="FootnoteReference"/>
          <w:rFonts w:ascii="Tahoma" w:hAnsi="Tahoma" w:cs="Tahoma"/>
        </w:rPr>
        <w:footnoteRef/>
      </w:r>
      <w:r w:rsidRPr="00572991">
        <w:rPr>
          <w:rFonts w:ascii="Tahoma" w:hAnsi="Tahoma" w:cs="Tahoma"/>
        </w:rPr>
        <w:t xml:space="preserve"> The eligible population under the Decision 16/2 classification may also include contract manufacturers, formulation specialists, and distribution-focused firms whose competitive position does not fit neatly into either category. For these firms, the contribution operates primarily as a downstream commercial cost with limited DSI-specific implications, and they are assessed under the downstream branded firms group for the purposes of the pillar assessments.</w:t>
      </w:r>
    </w:p>
  </w:footnote>
  <w:footnote w:id="95">
    <w:p w14:paraId="0689536C" w14:textId="77777777" w:rsidR="005F0A67" w:rsidRPr="00572991" w:rsidRDefault="005F0A67" w:rsidP="005F0A67">
      <w:pPr>
        <w:pStyle w:val="FootnoteText"/>
        <w:rPr>
          <w:rFonts w:ascii="Tahoma" w:hAnsi="Tahoma" w:cs="Tahoma"/>
        </w:rPr>
      </w:pPr>
      <w:r w:rsidRPr="00572991">
        <w:rPr>
          <w:rStyle w:val="FootnoteReference"/>
          <w:rFonts w:ascii="Tahoma" w:hAnsi="Tahoma" w:cs="Tahoma"/>
        </w:rPr>
        <w:footnoteRef/>
      </w:r>
      <w:r w:rsidRPr="00572991">
        <w:rPr>
          <w:rFonts w:ascii="Tahoma" w:hAnsi="Tahoma" w:cs="Tahoma"/>
        </w:rPr>
        <w:t xml:space="preserve"> Product Information File (PIF) is a mandatory document required by the European Union and the United Kingdom for new cosmetics products registration. It compiles information and data regarding product safety and quality measures </w:t>
      </w:r>
      <w:r w:rsidRPr="00572991">
        <w:rPr>
          <w:rFonts w:ascii="Tahoma" w:hAnsi="Tahoma" w:cs="Tahoma"/>
        </w:rPr>
        <w:fldChar w:fldCharType="begin"/>
      </w:r>
      <w:r w:rsidRPr="00572991">
        <w:rPr>
          <w:rFonts w:ascii="Tahoma" w:hAnsi="Tahoma" w:cs="Tahoma"/>
        </w:rPr>
        <w:instrText xml:space="preserve"> ADDIN ZOTERO_ITEM CSL_CITATION {"citationID":"vOAWJ8IA","properties":{"unsorted":false,"formattedCitation":"({\\i{}Product Information File (PIF)}, 2026)","plainCitation":"(Product Information File (PIF), 2026)","noteIndex":87},"citationItems":[{"id":42,"uris":["http://zotero.org/users/14977742/items/AHXF2L76"],"itemData":{"id":42,"type":"webpage","abstract":"A Product Information File (PIF) is an essential document required for the registration of cosmetic products in the European Union (EU) and the United Kingdom (UK). It is a compilation of all the necessary information and data regarding the safety, quality, and efficacy of a cosmetic product.\n\nA PIF is a very important document that is needed for compliance with the EU and UK cosmetic regulations, and it should be prepared with utmost care and attention to detail.","citation-key":"ProductInformationFile2026","language":"en","title":"Product Information File (PIF)","URL":"http://www.cirs-group.com/en/cosmetics/product-information-file-pif","accessed":{"date-parts":[["2026",6,3]]},"issued":{"date-parts":[["2026",4,23]]}}}],"schema":"https://github.com/citation-style-language/schema/raw/master/csl-citation.json"} </w:instrText>
      </w:r>
      <w:r w:rsidRPr="00572991">
        <w:rPr>
          <w:rFonts w:ascii="Tahoma" w:hAnsi="Tahoma" w:cs="Tahoma"/>
        </w:rPr>
        <w:fldChar w:fldCharType="separate"/>
      </w:r>
      <w:r w:rsidRPr="00572991">
        <w:rPr>
          <w:rFonts w:ascii="Tahoma" w:hAnsi="Tahoma" w:cs="Tahoma"/>
          <w:color w:val="000000"/>
        </w:rPr>
        <w:t>(Product Information File (PIF), 2026)</w:t>
      </w:r>
      <w:r w:rsidRPr="00572991">
        <w:rPr>
          <w:rFonts w:ascii="Tahoma" w:hAnsi="Tahoma" w:cs="Tahoma"/>
        </w:rPr>
        <w:fldChar w:fldCharType="end"/>
      </w:r>
      <w:r w:rsidRPr="00572991">
        <w:rPr>
          <w:rFonts w:ascii="Tahoma" w:hAnsi="Tahoma" w:cs="Tahoma"/>
        </w:rPr>
        <w:t xml:space="preserve">. </w:t>
      </w:r>
    </w:p>
  </w:footnote>
  <w:footnote w:id="96">
    <w:p w14:paraId="5D521BD7" w14:textId="77777777" w:rsidR="005F0A67" w:rsidRPr="00572991" w:rsidRDefault="005F0A67" w:rsidP="005F0A67">
      <w:pPr>
        <w:pStyle w:val="FootnoteText"/>
        <w:rPr>
          <w:rFonts w:ascii="Tahoma" w:hAnsi="Tahoma" w:cs="Tahoma"/>
        </w:rPr>
      </w:pPr>
      <w:r w:rsidRPr="00572991">
        <w:rPr>
          <w:rStyle w:val="FootnoteReference"/>
          <w:rFonts w:ascii="Tahoma" w:hAnsi="Tahoma" w:cs="Tahoma"/>
        </w:rPr>
        <w:footnoteRef/>
      </w:r>
      <w:r w:rsidRPr="00572991">
        <w:rPr>
          <w:rFonts w:ascii="Tahoma" w:hAnsi="Tahoma" w:cs="Tahoma"/>
        </w:rPr>
        <w:t xml:space="preserve"> In practice, the distinction between laboratory equipment and the information, scientific, and technical services sector is often blurred. Companies that deliver integrated sequencing platforms may simultaneously offer bioinformatics software, cloud-based data processing, and AI-driven interpretation services, which fall under the information and AI sector as specified in Enclosure I. When such companies satisfy the eligibility criteria for both sector categories, Makowska-Curran </w:t>
      </w:r>
      <w:r w:rsidRPr="00572991">
        <w:rPr>
          <w:rFonts w:ascii="Tahoma" w:hAnsi="Tahoma" w:cs="Tahoma"/>
        </w:rPr>
        <w:fldChar w:fldCharType="begin"/>
      </w:r>
      <w:r w:rsidRPr="00572991">
        <w:rPr>
          <w:rFonts w:ascii="Tahoma" w:hAnsi="Tahoma" w:cs="Tahoma"/>
        </w:rPr>
        <w:instrText xml:space="preserve"> ADDIN ZOTERO_ITEM CSL_CITATION {"citationID":"sWlxVv3b","properties":{"unsorted":false,"formattedCitation":"(2026)","plainCitation":"(2026)","noteIndex":88},"citationItems":[{"id":77,"uris":["http://zotero.org/users/14977742/items/2PI55QKT"],"itemData":{"id":77,"type":"article-journal","abstract":"This paper provides the first global, firm-level analysis of what the Cali Fund, designed to support global conservation, is likely to raise and how resources would be distributed.","citation-key":"GlobalBiodiversityCommitments","container-title":"Grantham Research Institute on climate change and the environment","language":"en-GB","publisher":"London School of Economics and Political Science (LSE)","title":"From global biodiversity commitments to local action: revenue potential and allocation dynamics of the Cali Fund","title-short":"From global biodiversity commitments to local action","URL":"https://www.lse.ac.uk/granthaminstitute/publication/from-global-biodiversity-commitments-to-local-action-revenue-potential-and-allocation-dynamics-of-the-cali-fund/","author":[{"family":"Makowska-Curran","given":"Agata"}],"accessed":{"date-parts":[["2026",6,3]]},"issued":{"date-parts":[["2026",6]]}},"suppress-author":true}],"schema":"https://github.com/citation-style-language/schema/raw/master/csl-citation.json"} </w:instrText>
      </w:r>
      <w:r w:rsidRPr="00572991">
        <w:rPr>
          <w:rFonts w:ascii="Tahoma" w:hAnsi="Tahoma" w:cs="Tahoma"/>
        </w:rPr>
        <w:fldChar w:fldCharType="separate"/>
      </w:r>
      <w:r w:rsidRPr="00572991">
        <w:rPr>
          <w:rFonts w:ascii="Tahoma" w:hAnsi="Tahoma" w:cs="Tahoma"/>
          <w:noProof/>
        </w:rPr>
        <w:t>(2026)</w:t>
      </w:r>
      <w:r w:rsidRPr="00572991">
        <w:rPr>
          <w:rFonts w:ascii="Tahoma" w:hAnsi="Tahoma" w:cs="Tahoma"/>
        </w:rPr>
        <w:fldChar w:fldCharType="end"/>
      </w:r>
      <w:r w:rsidRPr="00572991">
        <w:rPr>
          <w:rFonts w:ascii="Tahoma" w:hAnsi="Tahoma" w:cs="Tahoma"/>
        </w:rPr>
        <w:t xml:space="preserve"> classifies them according to the primary NACE code reported in Orbis.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B2C98" w14:textId="5B84E8A9" w:rsidR="00502E73" w:rsidRPr="008B4B27" w:rsidRDefault="00502E73" w:rsidP="008B4B27">
    <w:pPr>
      <w:pStyle w:val="Header"/>
      <w:spacing w:after="240"/>
      <w:rPr>
        <w:lang w:val="en-US"/>
      </w:rPr>
    </w:pPr>
    <w:r>
      <w:rPr>
        <w:lang w:val="en-US"/>
      </w:rPr>
      <w:t>CBD/COP/17/INF/18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1AE3E" w14:textId="775A2595" w:rsidR="00502E73" w:rsidRPr="008B4B27" w:rsidRDefault="00502E73" w:rsidP="008B4B27">
    <w:pPr>
      <w:pStyle w:val="Header"/>
      <w:spacing w:after="240"/>
      <w:jc w:val="right"/>
      <w:rPr>
        <w:lang w:val="en-US"/>
      </w:rPr>
    </w:pPr>
    <w:r>
      <w:rPr>
        <w:lang w:val="en-US"/>
      </w:rPr>
      <w:t>CBD/COP/17/INF/18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B2BF8" w14:textId="470DE03B" w:rsidR="005F0A67" w:rsidRDefault="005F0A67" w:rsidP="008B4B27">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1DDAC40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45pt;height:4.1pt" o:bullet="t">
        <v:imagedata r:id="rId1" o:title="image2"/>
      </v:shape>
    </w:pict>
  </w:numPicBullet>
  <w:abstractNum w:abstractNumId="0" w15:restartNumberingAfterBreak="0">
    <w:nsid w:val="030F10B0"/>
    <w:multiLevelType w:val="hybridMultilevel"/>
    <w:tmpl w:val="2732137A"/>
    <w:lvl w:ilvl="0" w:tplc="72745378">
      <w:start w:val="1"/>
      <w:numFmt w:val="bullet"/>
      <w:lvlText w:val=""/>
      <w:lvlJc w:val="left"/>
      <w:pPr>
        <w:ind w:left="360" w:hanging="360"/>
      </w:pPr>
      <w:rPr>
        <w:rFonts w:ascii="Symbol" w:hAnsi="Symbol" w:hint="default"/>
        <w:color w:val="auto"/>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05D323C1"/>
    <w:multiLevelType w:val="multilevel"/>
    <w:tmpl w:val="9CA85562"/>
    <w:styleLink w:val="CurrentList15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3ED252D"/>
    <w:multiLevelType w:val="hybridMultilevel"/>
    <w:tmpl w:val="335247A2"/>
    <w:lvl w:ilvl="0" w:tplc="08090017">
      <w:start w:val="1"/>
      <w:numFmt w:val="lowerLetter"/>
      <w:lvlText w:val="%1)"/>
      <w:lvlJc w:val="left"/>
      <w:pPr>
        <w:ind w:left="84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1EC10397"/>
    <w:multiLevelType w:val="hybridMultilevel"/>
    <w:tmpl w:val="B694EE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010487F"/>
    <w:multiLevelType w:val="multilevel"/>
    <w:tmpl w:val="0809001D"/>
    <w:styleLink w:val="CurrentList9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0D9660B"/>
    <w:multiLevelType w:val="multilevel"/>
    <w:tmpl w:val="5C709138"/>
    <w:styleLink w:val="1111111"/>
    <w:lvl w:ilvl="0">
      <w:start w:val="1"/>
      <w:numFmt w:val="decimal"/>
      <w:lvlText w:val="%1."/>
      <w:lvlJc w:val="left"/>
      <w:pPr>
        <w:ind w:left="0" w:hanging="360"/>
      </w:pPr>
      <w:rPr>
        <w:rFonts w:hint="default"/>
      </w:rPr>
    </w:lvl>
    <w:lvl w:ilvl="1">
      <w:start w:val="1"/>
      <w:numFmt w:val="decimal"/>
      <w:lvlText w:val="%1.%2."/>
      <w:lvlJc w:val="left"/>
      <w:pPr>
        <w:ind w:left="432" w:hanging="432"/>
      </w:pPr>
      <w:rPr>
        <w:rFonts w:hint="default"/>
      </w:rPr>
    </w:lvl>
    <w:lvl w:ilvl="2">
      <w:start w:val="1"/>
      <w:numFmt w:val="decimal"/>
      <w:lvlText w:val="%1.%2.%3."/>
      <w:lvlJc w:val="left"/>
      <w:pPr>
        <w:ind w:left="864" w:hanging="504"/>
      </w:pPr>
      <w:rPr>
        <w:rFonts w:hint="default"/>
      </w:rPr>
    </w:lvl>
    <w:lvl w:ilvl="3">
      <w:start w:val="1"/>
      <w:numFmt w:val="decimal"/>
      <w:lvlText w:val="%1.%2.%3.%4."/>
      <w:lvlJc w:val="left"/>
      <w:pPr>
        <w:ind w:left="1368" w:hanging="648"/>
      </w:pPr>
      <w:rPr>
        <w:rFonts w:hint="default"/>
      </w:rPr>
    </w:lvl>
    <w:lvl w:ilvl="4">
      <w:start w:val="1"/>
      <w:numFmt w:val="decimal"/>
      <w:lvlText w:val="%1.%2.%3.%4.%5."/>
      <w:lvlJc w:val="left"/>
      <w:pPr>
        <w:ind w:left="1872" w:hanging="792"/>
      </w:pPr>
      <w:rPr>
        <w:rFonts w:hint="default"/>
      </w:rPr>
    </w:lvl>
    <w:lvl w:ilvl="5">
      <w:start w:val="1"/>
      <w:numFmt w:val="decimal"/>
      <w:lvlText w:val="%1.%2.%3.%4.%5.%6."/>
      <w:lvlJc w:val="left"/>
      <w:pPr>
        <w:ind w:left="2376" w:hanging="936"/>
      </w:pPr>
      <w:rPr>
        <w:rFonts w:hint="default"/>
      </w:rPr>
    </w:lvl>
    <w:lvl w:ilvl="6">
      <w:start w:val="1"/>
      <w:numFmt w:val="decimal"/>
      <w:lvlText w:val="%1.%2.%3.%4.%5.%6.%7."/>
      <w:lvlJc w:val="left"/>
      <w:pPr>
        <w:ind w:left="2880" w:hanging="1080"/>
      </w:pPr>
      <w:rPr>
        <w:rFonts w:hint="default"/>
      </w:rPr>
    </w:lvl>
    <w:lvl w:ilvl="7">
      <w:start w:val="1"/>
      <w:numFmt w:val="decimal"/>
      <w:lvlText w:val="%1.%2.%3.%4.%5.%6.%7.%8."/>
      <w:lvlJc w:val="left"/>
      <w:pPr>
        <w:ind w:left="3384" w:hanging="1224"/>
      </w:pPr>
      <w:rPr>
        <w:rFonts w:hint="default"/>
      </w:rPr>
    </w:lvl>
    <w:lvl w:ilvl="8">
      <w:start w:val="1"/>
      <w:numFmt w:val="decimal"/>
      <w:lvlText w:val="%1.%2.%3.%4.%5.%6.%7.%8.%9."/>
      <w:lvlJc w:val="left"/>
      <w:pPr>
        <w:ind w:left="3960" w:hanging="1440"/>
      </w:pPr>
      <w:rPr>
        <w:rFonts w:hint="default"/>
      </w:rPr>
    </w:lvl>
  </w:abstractNum>
  <w:abstractNum w:abstractNumId="6" w15:restartNumberingAfterBreak="0">
    <w:nsid w:val="27220E35"/>
    <w:multiLevelType w:val="multilevel"/>
    <w:tmpl w:val="5C709138"/>
    <w:styleLink w:val="CurrentList141"/>
    <w:lvl w:ilvl="0">
      <w:start w:val="1"/>
      <w:numFmt w:val="decimal"/>
      <w:lvlText w:val="%1."/>
      <w:lvlJc w:val="left"/>
      <w:pPr>
        <w:ind w:left="0" w:hanging="360"/>
      </w:pPr>
      <w:rPr>
        <w:rFonts w:hint="default"/>
      </w:rPr>
    </w:lvl>
    <w:lvl w:ilvl="1">
      <w:start w:val="1"/>
      <w:numFmt w:val="decimal"/>
      <w:lvlText w:val="%1.%2."/>
      <w:lvlJc w:val="left"/>
      <w:pPr>
        <w:ind w:left="432" w:hanging="432"/>
      </w:pPr>
      <w:rPr>
        <w:rFonts w:hint="default"/>
      </w:rPr>
    </w:lvl>
    <w:lvl w:ilvl="2">
      <w:start w:val="1"/>
      <w:numFmt w:val="decimal"/>
      <w:lvlText w:val="%1.%2.%3."/>
      <w:lvlJc w:val="left"/>
      <w:pPr>
        <w:ind w:left="864" w:hanging="504"/>
      </w:pPr>
      <w:rPr>
        <w:rFonts w:hint="default"/>
      </w:rPr>
    </w:lvl>
    <w:lvl w:ilvl="3">
      <w:start w:val="1"/>
      <w:numFmt w:val="decimal"/>
      <w:lvlText w:val="%1.%2.%3.%4."/>
      <w:lvlJc w:val="left"/>
      <w:pPr>
        <w:ind w:left="1368" w:hanging="648"/>
      </w:pPr>
      <w:rPr>
        <w:rFonts w:hint="default"/>
      </w:rPr>
    </w:lvl>
    <w:lvl w:ilvl="4">
      <w:start w:val="1"/>
      <w:numFmt w:val="decimal"/>
      <w:lvlText w:val="%1.%2.%3.%4.%5."/>
      <w:lvlJc w:val="left"/>
      <w:pPr>
        <w:ind w:left="1872" w:hanging="792"/>
      </w:pPr>
      <w:rPr>
        <w:rFonts w:hint="default"/>
      </w:rPr>
    </w:lvl>
    <w:lvl w:ilvl="5">
      <w:start w:val="1"/>
      <w:numFmt w:val="decimal"/>
      <w:lvlText w:val="%1.%2.%3.%4.%5.%6."/>
      <w:lvlJc w:val="left"/>
      <w:pPr>
        <w:ind w:left="2376" w:hanging="936"/>
      </w:pPr>
      <w:rPr>
        <w:rFonts w:hint="default"/>
      </w:rPr>
    </w:lvl>
    <w:lvl w:ilvl="6">
      <w:start w:val="1"/>
      <w:numFmt w:val="decimal"/>
      <w:lvlText w:val="%1.%2.%3.%4.%5.%6.%7."/>
      <w:lvlJc w:val="left"/>
      <w:pPr>
        <w:ind w:left="2880" w:hanging="1080"/>
      </w:pPr>
      <w:rPr>
        <w:rFonts w:hint="default"/>
      </w:rPr>
    </w:lvl>
    <w:lvl w:ilvl="7">
      <w:start w:val="1"/>
      <w:numFmt w:val="decimal"/>
      <w:lvlText w:val="%1.%2.%3.%4.%5.%6.%7.%8."/>
      <w:lvlJc w:val="left"/>
      <w:pPr>
        <w:ind w:left="3384" w:hanging="1224"/>
      </w:pPr>
      <w:rPr>
        <w:rFonts w:hint="default"/>
      </w:rPr>
    </w:lvl>
    <w:lvl w:ilvl="8">
      <w:start w:val="1"/>
      <w:numFmt w:val="decimal"/>
      <w:lvlText w:val="%1.%2.%3.%4.%5.%6.%7.%8.%9."/>
      <w:lvlJc w:val="left"/>
      <w:pPr>
        <w:ind w:left="3960" w:hanging="1440"/>
      </w:pPr>
      <w:rPr>
        <w:rFonts w:hint="default"/>
      </w:rPr>
    </w:lvl>
  </w:abstractNum>
  <w:abstractNum w:abstractNumId="7" w15:restartNumberingAfterBreak="0">
    <w:nsid w:val="2DB53BB9"/>
    <w:multiLevelType w:val="multilevel"/>
    <w:tmpl w:val="3D7636DE"/>
    <w:styleLink w:val="CurrentList16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E8A25F2"/>
    <w:multiLevelType w:val="multilevel"/>
    <w:tmpl w:val="0809001D"/>
    <w:styleLink w:val="CurrentList8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F697AAD"/>
    <w:multiLevelType w:val="hybridMultilevel"/>
    <w:tmpl w:val="36EA106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3063CA6"/>
    <w:multiLevelType w:val="multilevel"/>
    <w:tmpl w:val="71485266"/>
    <w:styleLink w:val="CurrentList18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33783574"/>
    <w:multiLevelType w:val="hybridMultilevel"/>
    <w:tmpl w:val="DBBC7014"/>
    <w:lvl w:ilvl="0" w:tplc="72745378">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7A27F84"/>
    <w:multiLevelType w:val="multilevel"/>
    <w:tmpl w:val="4E58F22E"/>
    <w:lvl w:ilvl="0">
      <w:start w:val="1"/>
      <w:numFmt w:val="decimal"/>
      <w:pStyle w:val="Style4"/>
      <w:lvlText w:val="%1."/>
      <w:lvlJc w:val="left"/>
      <w:pPr>
        <w:ind w:left="-360" w:hanging="360"/>
      </w:pPr>
      <w:rPr>
        <w:rFonts w:hint="default"/>
      </w:rPr>
    </w:lvl>
    <w:lvl w:ilvl="1">
      <w:start w:val="1"/>
      <w:numFmt w:val="decimal"/>
      <w:lvlText w:val="%1.%2."/>
      <w:lvlJc w:val="left"/>
      <w:pPr>
        <w:ind w:left="72" w:hanging="432"/>
      </w:pPr>
      <w:rPr>
        <w:rFonts w:hint="default"/>
      </w:rPr>
    </w:lvl>
    <w:lvl w:ilvl="2">
      <w:start w:val="1"/>
      <w:numFmt w:val="decimal"/>
      <w:pStyle w:val="Style4"/>
      <w:lvlText w:val="%1.%2.%3."/>
      <w:lvlJc w:val="left"/>
      <w:pPr>
        <w:ind w:left="504" w:hanging="504"/>
      </w:pPr>
      <w:rPr>
        <w:rFonts w:hint="default"/>
      </w:rPr>
    </w:lvl>
    <w:lvl w:ilvl="3">
      <w:start w:val="1"/>
      <w:numFmt w:val="decimal"/>
      <w:lvlText w:val="%1.%2.%3.%4."/>
      <w:lvlJc w:val="left"/>
      <w:pPr>
        <w:ind w:left="1008" w:hanging="648"/>
      </w:pPr>
      <w:rPr>
        <w:rFonts w:hint="default"/>
      </w:rPr>
    </w:lvl>
    <w:lvl w:ilvl="4">
      <w:start w:val="1"/>
      <w:numFmt w:val="decimal"/>
      <w:lvlText w:val="%1.%2.%3.%4.%5."/>
      <w:lvlJc w:val="left"/>
      <w:pPr>
        <w:ind w:left="1512" w:hanging="792"/>
      </w:pPr>
      <w:rPr>
        <w:rFonts w:hint="default"/>
      </w:rPr>
    </w:lvl>
    <w:lvl w:ilvl="5">
      <w:start w:val="1"/>
      <w:numFmt w:val="decimal"/>
      <w:lvlText w:val="%1.%2.%3.%4.%5.%6."/>
      <w:lvlJc w:val="left"/>
      <w:pPr>
        <w:ind w:left="2016" w:hanging="936"/>
      </w:pPr>
      <w:rPr>
        <w:rFonts w:hint="default"/>
      </w:rPr>
    </w:lvl>
    <w:lvl w:ilvl="6">
      <w:start w:val="1"/>
      <w:numFmt w:val="decimal"/>
      <w:lvlText w:val="%1.%2.%3.%4.%5.%6.%7."/>
      <w:lvlJc w:val="left"/>
      <w:pPr>
        <w:ind w:left="2520" w:hanging="1080"/>
      </w:pPr>
      <w:rPr>
        <w:rFonts w:hint="default"/>
      </w:rPr>
    </w:lvl>
    <w:lvl w:ilvl="7">
      <w:start w:val="1"/>
      <w:numFmt w:val="decimal"/>
      <w:lvlText w:val="%1.%2.%3.%4.%5.%6.%7.%8."/>
      <w:lvlJc w:val="left"/>
      <w:pPr>
        <w:ind w:left="3024" w:hanging="1224"/>
      </w:pPr>
      <w:rPr>
        <w:rFonts w:hint="default"/>
      </w:rPr>
    </w:lvl>
    <w:lvl w:ilvl="8">
      <w:start w:val="1"/>
      <w:numFmt w:val="decimal"/>
      <w:lvlText w:val="%1.%2.%3.%4.%5.%6.%7.%8.%9."/>
      <w:lvlJc w:val="left"/>
      <w:pPr>
        <w:ind w:left="3600" w:hanging="1440"/>
      </w:pPr>
      <w:rPr>
        <w:rFonts w:hint="default"/>
      </w:rPr>
    </w:lvl>
  </w:abstractNum>
  <w:abstractNum w:abstractNumId="13" w15:restartNumberingAfterBreak="0">
    <w:nsid w:val="38A26AC0"/>
    <w:multiLevelType w:val="hybridMultilevel"/>
    <w:tmpl w:val="78C6A2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E017E61"/>
    <w:multiLevelType w:val="hybridMultilevel"/>
    <w:tmpl w:val="17743BDE"/>
    <w:lvl w:ilvl="0" w:tplc="01E87B34">
      <w:start w:val="1"/>
      <w:numFmt w:val="decimal"/>
      <w:lvlText w:val="%1."/>
      <w:lvlJc w:val="left"/>
      <w:pPr>
        <w:ind w:left="614" w:hanging="189"/>
        <w:jc w:val="right"/>
      </w:pPr>
      <w:rPr>
        <w:rFonts w:ascii="Tahoma" w:eastAsia="Arial" w:hAnsi="Tahoma" w:cs="Tahoma" w:hint="default"/>
        <w:b w:val="0"/>
        <w:bCs w:val="0"/>
        <w:i w:val="0"/>
        <w:iCs w:val="0"/>
        <w:color w:val="242424"/>
        <w:spacing w:val="0"/>
        <w:w w:val="90"/>
        <w:sz w:val="20"/>
        <w:szCs w:val="20"/>
        <w:lang w:val="en-US" w:eastAsia="en-US" w:bidi="ar-SA"/>
      </w:rPr>
    </w:lvl>
    <w:lvl w:ilvl="1" w:tplc="2062CE74">
      <w:numFmt w:val="bullet"/>
      <w:lvlText w:val="&amp;"/>
      <w:lvlPicBulletId w:val="0"/>
      <w:lvlJc w:val="left"/>
      <w:pPr>
        <w:ind w:left="705" w:hanging="170"/>
      </w:pPr>
      <w:rPr>
        <w:rFonts w:ascii="Times New Roman" w:eastAsia="Times New Roman" w:hAnsi="Times New Roman" w:cs="Times New Roman" w:hint="default"/>
        <w:b w:val="0"/>
        <w:bCs w:val="0"/>
        <w:i w:val="0"/>
        <w:iCs w:val="0"/>
        <w:w w:val="100"/>
        <w:position w:val="3"/>
        <w:sz w:val="9"/>
        <w:szCs w:val="9"/>
        <w:lang w:val="en-US" w:eastAsia="en-US" w:bidi="ar-SA"/>
      </w:rPr>
    </w:lvl>
    <w:lvl w:ilvl="2" w:tplc="C902EF96">
      <w:numFmt w:val="bullet"/>
      <w:lvlText w:val="•"/>
      <w:lvlJc w:val="left"/>
      <w:pPr>
        <w:ind w:left="2259" w:hanging="170"/>
      </w:pPr>
      <w:rPr>
        <w:rFonts w:hint="default"/>
        <w:lang w:val="en-US" w:eastAsia="en-US" w:bidi="ar-SA"/>
      </w:rPr>
    </w:lvl>
    <w:lvl w:ilvl="3" w:tplc="F9BE71B2">
      <w:numFmt w:val="bullet"/>
      <w:lvlText w:val="•"/>
      <w:lvlJc w:val="left"/>
      <w:pPr>
        <w:ind w:left="3039" w:hanging="170"/>
      </w:pPr>
      <w:rPr>
        <w:rFonts w:hint="default"/>
        <w:lang w:val="en-US" w:eastAsia="en-US" w:bidi="ar-SA"/>
      </w:rPr>
    </w:lvl>
    <w:lvl w:ilvl="4" w:tplc="50DC7934">
      <w:numFmt w:val="bullet"/>
      <w:lvlText w:val="•"/>
      <w:lvlJc w:val="left"/>
      <w:pPr>
        <w:ind w:left="3819" w:hanging="170"/>
      </w:pPr>
      <w:rPr>
        <w:rFonts w:hint="default"/>
        <w:lang w:val="en-US" w:eastAsia="en-US" w:bidi="ar-SA"/>
      </w:rPr>
    </w:lvl>
    <w:lvl w:ilvl="5" w:tplc="381AA082">
      <w:numFmt w:val="bullet"/>
      <w:lvlText w:val="•"/>
      <w:lvlJc w:val="left"/>
      <w:pPr>
        <w:ind w:left="4599" w:hanging="170"/>
      </w:pPr>
      <w:rPr>
        <w:rFonts w:hint="default"/>
        <w:lang w:val="en-US" w:eastAsia="en-US" w:bidi="ar-SA"/>
      </w:rPr>
    </w:lvl>
    <w:lvl w:ilvl="6" w:tplc="2F9CF78C">
      <w:numFmt w:val="bullet"/>
      <w:lvlText w:val="•"/>
      <w:lvlJc w:val="left"/>
      <w:pPr>
        <w:ind w:left="5379" w:hanging="170"/>
      </w:pPr>
      <w:rPr>
        <w:rFonts w:hint="default"/>
        <w:lang w:val="en-US" w:eastAsia="en-US" w:bidi="ar-SA"/>
      </w:rPr>
    </w:lvl>
    <w:lvl w:ilvl="7" w:tplc="4FD4D13E">
      <w:numFmt w:val="bullet"/>
      <w:lvlText w:val="•"/>
      <w:lvlJc w:val="left"/>
      <w:pPr>
        <w:ind w:left="6159" w:hanging="170"/>
      </w:pPr>
      <w:rPr>
        <w:rFonts w:hint="default"/>
        <w:lang w:val="en-US" w:eastAsia="en-US" w:bidi="ar-SA"/>
      </w:rPr>
    </w:lvl>
    <w:lvl w:ilvl="8" w:tplc="B492C366">
      <w:numFmt w:val="bullet"/>
      <w:lvlText w:val="•"/>
      <w:lvlJc w:val="left"/>
      <w:pPr>
        <w:ind w:left="6939" w:hanging="170"/>
      </w:pPr>
      <w:rPr>
        <w:rFonts w:hint="default"/>
        <w:lang w:val="en-US" w:eastAsia="en-US" w:bidi="ar-SA"/>
      </w:rPr>
    </w:lvl>
  </w:abstractNum>
  <w:abstractNum w:abstractNumId="15" w15:restartNumberingAfterBreak="0">
    <w:nsid w:val="3F0F62A4"/>
    <w:multiLevelType w:val="hybridMultilevel"/>
    <w:tmpl w:val="08A041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01C3301"/>
    <w:multiLevelType w:val="multilevel"/>
    <w:tmpl w:val="1688D574"/>
    <w:styleLink w:val="CurrentList201"/>
    <w:lvl w:ilvl="0">
      <w:start w:val="1"/>
      <w:numFmt w:val="decimal"/>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7" w15:restartNumberingAfterBreak="0">
    <w:nsid w:val="412D18D4"/>
    <w:multiLevelType w:val="hybridMultilevel"/>
    <w:tmpl w:val="628C08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18D7CC6"/>
    <w:multiLevelType w:val="hybridMultilevel"/>
    <w:tmpl w:val="325A01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E8047E"/>
    <w:multiLevelType w:val="hybridMultilevel"/>
    <w:tmpl w:val="42E00BC6"/>
    <w:lvl w:ilvl="0" w:tplc="08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45150477"/>
    <w:multiLevelType w:val="multilevel"/>
    <w:tmpl w:val="0809001F"/>
    <w:styleLink w:val="CurrentList19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5F51076"/>
    <w:multiLevelType w:val="hybridMultilevel"/>
    <w:tmpl w:val="55528866"/>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8E4287B"/>
    <w:multiLevelType w:val="multilevel"/>
    <w:tmpl w:val="2E6A1D38"/>
    <w:styleLink w:val="CurrentList11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99D5F66"/>
    <w:multiLevelType w:val="multilevel"/>
    <w:tmpl w:val="222A08B4"/>
    <w:styleLink w:val="CurrentList41"/>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4" w15:restartNumberingAfterBreak="0">
    <w:nsid w:val="4DBA1125"/>
    <w:multiLevelType w:val="multilevel"/>
    <w:tmpl w:val="0809001D"/>
    <w:styleLink w:val="CurrentList18"/>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15:restartNumberingAfterBreak="0">
    <w:nsid w:val="4F5F474A"/>
    <w:multiLevelType w:val="multilevel"/>
    <w:tmpl w:val="0809001D"/>
    <w:styleLink w:val="CurrentList1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50034A51"/>
    <w:multiLevelType w:val="hybridMultilevel"/>
    <w:tmpl w:val="9B0CBF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1271246"/>
    <w:multiLevelType w:val="multilevel"/>
    <w:tmpl w:val="FA38CF3A"/>
    <w:styleLink w:val="CurrentList19"/>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16B2FFA"/>
    <w:multiLevelType w:val="hybridMultilevel"/>
    <w:tmpl w:val="A4D27458"/>
    <w:lvl w:ilvl="0" w:tplc="08090017">
      <w:start w:val="1"/>
      <w:numFmt w:val="lowerLetter"/>
      <w:lvlText w:val="%1)"/>
      <w:lvlJc w:val="left"/>
      <w:pPr>
        <w:ind w:left="840" w:hanging="360"/>
      </w:pPr>
    </w:lvl>
    <w:lvl w:ilvl="1" w:tplc="08090019" w:tentative="1">
      <w:start w:val="1"/>
      <w:numFmt w:val="lowerLetter"/>
      <w:lvlText w:val="%2."/>
      <w:lvlJc w:val="left"/>
      <w:pPr>
        <w:ind w:left="1560" w:hanging="360"/>
      </w:pPr>
    </w:lvl>
    <w:lvl w:ilvl="2" w:tplc="0809001B" w:tentative="1">
      <w:start w:val="1"/>
      <w:numFmt w:val="lowerRoman"/>
      <w:lvlText w:val="%3."/>
      <w:lvlJc w:val="right"/>
      <w:pPr>
        <w:ind w:left="2280" w:hanging="180"/>
      </w:pPr>
    </w:lvl>
    <w:lvl w:ilvl="3" w:tplc="0809000F" w:tentative="1">
      <w:start w:val="1"/>
      <w:numFmt w:val="decimal"/>
      <w:lvlText w:val="%4."/>
      <w:lvlJc w:val="left"/>
      <w:pPr>
        <w:ind w:left="3000" w:hanging="360"/>
      </w:pPr>
    </w:lvl>
    <w:lvl w:ilvl="4" w:tplc="08090019" w:tentative="1">
      <w:start w:val="1"/>
      <w:numFmt w:val="lowerLetter"/>
      <w:lvlText w:val="%5."/>
      <w:lvlJc w:val="left"/>
      <w:pPr>
        <w:ind w:left="3720" w:hanging="360"/>
      </w:pPr>
    </w:lvl>
    <w:lvl w:ilvl="5" w:tplc="0809001B" w:tentative="1">
      <w:start w:val="1"/>
      <w:numFmt w:val="lowerRoman"/>
      <w:lvlText w:val="%6."/>
      <w:lvlJc w:val="right"/>
      <w:pPr>
        <w:ind w:left="4440" w:hanging="180"/>
      </w:pPr>
    </w:lvl>
    <w:lvl w:ilvl="6" w:tplc="0809000F" w:tentative="1">
      <w:start w:val="1"/>
      <w:numFmt w:val="decimal"/>
      <w:lvlText w:val="%7."/>
      <w:lvlJc w:val="left"/>
      <w:pPr>
        <w:ind w:left="5160" w:hanging="360"/>
      </w:pPr>
    </w:lvl>
    <w:lvl w:ilvl="7" w:tplc="08090019" w:tentative="1">
      <w:start w:val="1"/>
      <w:numFmt w:val="lowerLetter"/>
      <w:lvlText w:val="%8."/>
      <w:lvlJc w:val="left"/>
      <w:pPr>
        <w:ind w:left="5880" w:hanging="360"/>
      </w:pPr>
    </w:lvl>
    <w:lvl w:ilvl="8" w:tplc="0809001B" w:tentative="1">
      <w:start w:val="1"/>
      <w:numFmt w:val="lowerRoman"/>
      <w:lvlText w:val="%9."/>
      <w:lvlJc w:val="right"/>
      <w:pPr>
        <w:ind w:left="6600" w:hanging="180"/>
      </w:pPr>
    </w:lvl>
  </w:abstractNum>
  <w:abstractNum w:abstractNumId="30" w15:restartNumberingAfterBreak="0">
    <w:nsid w:val="524B3F06"/>
    <w:multiLevelType w:val="multilevel"/>
    <w:tmpl w:val="236665E8"/>
    <w:styleLink w:val="CurrentList14"/>
    <w:lvl w:ilvl="0">
      <w:start w:val="1"/>
      <w:numFmt w:val="decimal"/>
      <w:lvlText w:val="%1."/>
      <w:lvlJc w:val="left"/>
      <w:pPr>
        <w:ind w:left="0" w:hanging="360"/>
      </w:pPr>
      <w:rPr>
        <w:rFonts w:hint="default"/>
      </w:rPr>
    </w:lvl>
    <w:lvl w:ilvl="1">
      <w:start w:val="1"/>
      <w:numFmt w:val="decimal"/>
      <w:lvlText w:val="%1.%2."/>
      <w:lvlJc w:val="left"/>
      <w:pPr>
        <w:ind w:left="432" w:hanging="432"/>
      </w:pPr>
      <w:rPr>
        <w:rFonts w:hint="default"/>
      </w:rPr>
    </w:lvl>
    <w:lvl w:ilvl="2">
      <w:start w:val="1"/>
      <w:numFmt w:val="decimal"/>
      <w:lvlText w:val="%1.%2.%3."/>
      <w:lvlJc w:val="left"/>
      <w:pPr>
        <w:ind w:left="864" w:hanging="504"/>
      </w:pPr>
      <w:rPr>
        <w:rFonts w:hint="default"/>
      </w:rPr>
    </w:lvl>
    <w:lvl w:ilvl="3">
      <w:start w:val="1"/>
      <w:numFmt w:val="decimal"/>
      <w:lvlText w:val="%1.%2.%3.%4."/>
      <w:lvlJc w:val="left"/>
      <w:pPr>
        <w:ind w:left="1368" w:hanging="648"/>
      </w:pPr>
      <w:rPr>
        <w:rFonts w:hint="default"/>
      </w:rPr>
    </w:lvl>
    <w:lvl w:ilvl="4">
      <w:start w:val="1"/>
      <w:numFmt w:val="decimal"/>
      <w:lvlText w:val="%1.%2.%3.%4.%5."/>
      <w:lvlJc w:val="left"/>
      <w:pPr>
        <w:ind w:left="1872" w:hanging="792"/>
      </w:pPr>
      <w:rPr>
        <w:rFonts w:hint="default"/>
      </w:rPr>
    </w:lvl>
    <w:lvl w:ilvl="5">
      <w:start w:val="1"/>
      <w:numFmt w:val="decimal"/>
      <w:lvlText w:val="%1.%2.%3.%4.%5.%6."/>
      <w:lvlJc w:val="left"/>
      <w:pPr>
        <w:ind w:left="2376" w:hanging="936"/>
      </w:pPr>
      <w:rPr>
        <w:rFonts w:hint="default"/>
      </w:rPr>
    </w:lvl>
    <w:lvl w:ilvl="6">
      <w:start w:val="1"/>
      <w:numFmt w:val="decimal"/>
      <w:lvlText w:val="%1.%2.%3.%4.%5.%6.%7."/>
      <w:lvlJc w:val="left"/>
      <w:pPr>
        <w:ind w:left="2880" w:hanging="1080"/>
      </w:pPr>
      <w:rPr>
        <w:rFonts w:hint="default"/>
      </w:rPr>
    </w:lvl>
    <w:lvl w:ilvl="7">
      <w:start w:val="1"/>
      <w:numFmt w:val="decimal"/>
      <w:lvlText w:val="%1.%2.%3.%4.%5.%6.%7.%8."/>
      <w:lvlJc w:val="left"/>
      <w:pPr>
        <w:ind w:left="3384" w:hanging="1224"/>
      </w:pPr>
      <w:rPr>
        <w:rFonts w:hint="default"/>
      </w:rPr>
    </w:lvl>
    <w:lvl w:ilvl="8">
      <w:start w:val="1"/>
      <w:numFmt w:val="decimal"/>
      <w:lvlText w:val="%1.%2.%3.%4.%5.%6.%7.%8.%9."/>
      <w:lvlJc w:val="left"/>
      <w:pPr>
        <w:ind w:left="3960" w:hanging="1440"/>
      </w:pPr>
      <w:rPr>
        <w:rFonts w:hint="default"/>
      </w:rPr>
    </w:lvl>
  </w:abstractNum>
  <w:abstractNum w:abstractNumId="31" w15:restartNumberingAfterBreak="0">
    <w:nsid w:val="5741225E"/>
    <w:multiLevelType w:val="hybridMultilevel"/>
    <w:tmpl w:val="5A8C229E"/>
    <w:lvl w:ilvl="0" w:tplc="731A08B0">
      <w:start w:val="1"/>
      <w:numFmt w:val="upperLetter"/>
      <w:lvlText w:val="%1."/>
      <w:lvlJc w:val="left"/>
      <w:pPr>
        <w:ind w:left="682" w:hanging="168"/>
      </w:pPr>
      <w:rPr>
        <w:rFonts w:ascii="Arial" w:eastAsia="Arial" w:hAnsi="Arial" w:cs="Arial" w:hint="default"/>
        <w:b/>
        <w:bCs/>
        <w:i w:val="0"/>
        <w:iCs w:val="0"/>
        <w:color w:val="242424"/>
        <w:spacing w:val="-3"/>
        <w:w w:val="97"/>
        <w:sz w:val="14"/>
        <w:szCs w:val="14"/>
        <w:lang w:val="en-US" w:eastAsia="en-US" w:bidi="ar-SA"/>
      </w:rPr>
    </w:lvl>
    <w:lvl w:ilvl="1" w:tplc="BD667EB8">
      <w:numFmt w:val="bullet"/>
      <w:lvlText w:val="-"/>
      <w:lvlJc w:val="left"/>
      <w:pPr>
        <w:ind w:left="515" w:hanging="90"/>
      </w:pPr>
      <w:rPr>
        <w:rFonts w:ascii="Arial" w:eastAsia="Arial" w:hAnsi="Arial" w:cs="Arial" w:hint="default"/>
        <w:b w:val="0"/>
        <w:bCs w:val="0"/>
        <w:i w:val="0"/>
        <w:iCs w:val="0"/>
        <w:color w:val="242424"/>
        <w:spacing w:val="0"/>
        <w:w w:val="120"/>
        <w:sz w:val="14"/>
        <w:szCs w:val="14"/>
        <w:lang w:val="en-US" w:eastAsia="en-US" w:bidi="ar-SA"/>
      </w:rPr>
    </w:lvl>
    <w:lvl w:ilvl="2" w:tplc="C610F114">
      <w:numFmt w:val="bullet"/>
      <w:lvlText w:val="•"/>
      <w:lvlJc w:val="left"/>
      <w:pPr>
        <w:ind w:left="1548" w:hanging="90"/>
      </w:pPr>
      <w:rPr>
        <w:rFonts w:hint="default"/>
        <w:lang w:val="en-US" w:eastAsia="en-US" w:bidi="ar-SA"/>
      </w:rPr>
    </w:lvl>
    <w:lvl w:ilvl="3" w:tplc="10A0403A">
      <w:numFmt w:val="bullet"/>
      <w:lvlText w:val="•"/>
      <w:lvlJc w:val="left"/>
      <w:pPr>
        <w:ind w:left="2417" w:hanging="90"/>
      </w:pPr>
      <w:rPr>
        <w:rFonts w:hint="default"/>
        <w:lang w:val="en-US" w:eastAsia="en-US" w:bidi="ar-SA"/>
      </w:rPr>
    </w:lvl>
    <w:lvl w:ilvl="4" w:tplc="3A96DB54">
      <w:numFmt w:val="bullet"/>
      <w:lvlText w:val="•"/>
      <w:lvlJc w:val="left"/>
      <w:pPr>
        <w:ind w:left="3286" w:hanging="90"/>
      </w:pPr>
      <w:rPr>
        <w:rFonts w:hint="default"/>
        <w:lang w:val="en-US" w:eastAsia="en-US" w:bidi="ar-SA"/>
      </w:rPr>
    </w:lvl>
    <w:lvl w:ilvl="5" w:tplc="AEB28B48">
      <w:numFmt w:val="bullet"/>
      <w:lvlText w:val="•"/>
      <w:lvlJc w:val="left"/>
      <w:pPr>
        <w:ind w:left="4155" w:hanging="90"/>
      </w:pPr>
      <w:rPr>
        <w:rFonts w:hint="default"/>
        <w:lang w:val="en-US" w:eastAsia="en-US" w:bidi="ar-SA"/>
      </w:rPr>
    </w:lvl>
    <w:lvl w:ilvl="6" w:tplc="B33C7898">
      <w:numFmt w:val="bullet"/>
      <w:lvlText w:val="•"/>
      <w:lvlJc w:val="left"/>
      <w:pPr>
        <w:ind w:left="5024" w:hanging="90"/>
      </w:pPr>
      <w:rPr>
        <w:rFonts w:hint="default"/>
        <w:lang w:val="en-US" w:eastAsia="en-US" w:bidi="ar-SA"/>
      </w:rPr>
    </w:lvl>
    <w:lvl w:ilvl="7" w:tplc="D2EC6750">
      <w:numFmt w:val="bullet"/>
      <w:lvlText w:val="•"/>
      <w:lvlJc w:val="left"/>
      <w:pPr>
        <w:ind w:left="5892" w:hanging="90"/>
      </w:pPr>
      <w:rPr>
        <w:rFonts w:hint="default"/>
        <w:lang w:val="en-US" w:eastAsia="en-US" w:bidi="ar-SA"/>
      </w:rPr>
    </w:lvl>
    <w:lvl w:ilvl="8" w:tplc="BE8C871C">
      <w:numFmt w:val="bullet"/>
      <w:lvlText w:val="•"/>
      <w:lvlJc w:val="left"/>
      <w:pPr>
        <w:ind w:left="6761" w:hanging="90"/>
      </w:pPr>
      <w:rPr>
        <w:rFonts w:hint="default"/>
        <w:lang w:val="en-US" w:eastAsia="en-US" w:bidi="ar-SA"/>
      </w:rPr>
    </w:lvl>
  </w:abstractNum>
  <w:abstractNum w:abstractNumId="32" w15:restartNumberingAfterBreak="0">
    <w:nsid w:val="5A303B2B"/>
    <w:multiLevelType w:val="multilevel"/>
    <w:tmpl w:val="A03EEC86"/>
    <w:styleLink w:val="CurrentList111"/>
    <w:lvl w:ilvl="0">
      <w:start w:val="1"/>
      <w:numFmt w:val="decimal"/>
      <w:pStyle w:val="heading"/>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5AD451BC"/>
    <w:multiLevelType w:val="multilevel"/>
    <w:tmpl w:val="CD141D3A"/>
    <w:styleLink w:val="CurrentList12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5D764775"/>
    <w:multiLevelType w:val="hybridMultilevel"/>
    <w:tmpl w:val="3D881194"/>
    <w:lvl w:ilvl="0" w:tplc="B1D83EFA">
      <w:start w:val="1"/>
      <w:numFmt w:val="lowerLetter"/>
      <w:lvlText w:val="(%1)"/>
      <w:lvlJc w:val="left"/>
      <w:pPr>
        <w:ind w:left="699" w:hanging="185"/>
      </w:pPr>
      <w:rPr>
        <w:rFonts w:ascii="Arial" w:eastAsia="Arial" w:hAnsi="Arial" w:cs="Arial" w:hint="default"/>
        <w:b w:val="0"/>
        <w:bCs w:val="0"/>
        <w:i w:val="0"/>
        <w:iCs w:val="0"/>
        <w:color w:val="242424"/>
        <w:spacing w:val="-3"/>
        <w:w w:val="90"/>
        <w:sz w:val="14"/>
        <w:szCs w:val="14"/>
        <w:lang w:val="en-US" w:eastAsia="en-US" w:bidi="ar-SA"/>
      </w:rPr>
    </w:lvl>
    <w:lvl w:ilvl="1" w:tplc="696A94D4">
      <w:numFmt w:val="bullet"/>
      <w:lvlText w:val="•"/>
      <w:lvlJc w:val="left"/>
      <w:pPr>
        <w:ind w:left="1479" w:hanging="185"/>
      </w:pPr>
      <w:rPr>
        <w:rFonts w:hint="default"/>
        <w:lang w:val="en-US" w:eastAsia="en-US" w:bidi="ar-SA"/>
      </w:rPr>
    </w:lvl>
    <w:lvl w:ilvl="2" w:tplc="1BD2CB4E">
      <w:numFmt w:val="bullet"/>
      <w:lvlText w:val="•"/>
      <w:lvlJc w:val="left"/>
      <w:pPr>
        <w:ind w:left="2259" w:hanging="185"/>
      </w:pPr>
      <w:rPr>
        <w:rFonts w:hint="default"/>
        <w:lang w:val="en-US" w:eastAsia="en-US" w:bidi="ar-SA"/>
      </w:rPr>
    </w:lvl>
    <w:lvl w:ilvl="3" w:tplc="0B10AC34">
      <w:numFmt w:val="bullet"/>
      <w:lvlText w:val="•"/>
      <w:lvlJc w:val="left"/>
      <w:pPr>
        <w:ind w:left="3039" w:hanging="185"/>
      </w:pPr>
      <w:rPr>
        <w:rFonts w:hint="default"/>
        <w:lang w:val="en-US" w:eastAsia="en-US" w:bidi="ar-SA"/>
      </w:rPr>
    </w:lvl>
    <w:lvl w:ilvl="4" w:tplc="E4B0E8CE">
      <w:numFmt w:val="bullet"/>
      <w:lvlText w:val="•"/>
      <w:lvlJc w:val="left"/>
      <w:pPr>
        <w:ind w:left="3819" w:hanging="185"/>
      </w:pPr>
      <w:rPr>
        <w:rFonts w:hint="default"/>
        <w:lang w:val="en-US" w:eastAsia="en-US" w:bidi="ar-SA"/>
      </w:rPr>
    </w:lvl>
    <w:lvl w:ilvl="5" w:tplc="BCDA89C6">
      <w:numFmt w:val="bullet"/>
      <w:lvlText w:val="•"/>
      <w:lvlJc w:val="left"/>
      <w:pPr>
        <w:ind w:left="4599" w:hanging="185"/>
      </w:pPr>
      <w:rPr>
        <w:rFonts w:hint="default"/>
        <w:lang w:val="en-US" w:eastAsia="en-US" w:bidi="ar-SA"/>
      </w:rPr>
    </w:lvl>
    <w:lvl w:ilvl="6" w:tplc="DFAA2492">
      <w:numFmt w:val="bullet"/>
      <w:lvlText w:val="•"/>
      <w:lvlJc w:val="left"/>
      <w:pPr>
        <w:ind w:left="5379" w:hanging="185"/>
      </w:pPr>
      <w:rPr>
        <w:rFonts w:hint="default"/>
        <w:lang w:val="en-US" w:eastAsia="en-US" w:bidi="ar-SA"/>
      </w:rPr>
    </w:lvl>
    <w:lvl w:ilvl="7" w:tplc="600E8094">
      <w:numFmt w:val="bullet"/>
      <w:lvlText w:val="•"/>
      <w:lvlJc w:val="left"/>
      <w:pPr>
        <w:ind w:left="6159" w:hanging="185"/>
      </w:pPr>
      <w:rPr>
        <w:rFonts w:hint="default"/>
        <w:lang w:val="en-US" w:eastAsia="en-US" w:bidi="ar-SA"/>
      </w:rPr>
    </w:lvl>
    <w:lvl w:ilvl="8" w:tplc="1318EFD4">
      <w:numFmt w:val="bullet"/>
      <w:lvlText w:val="•"/>
      <w:lvlJc w:val="left"/>
      <w:pPr>
        <w:ind w:left="6939" w:hanging="185"/>
      </w:pPr>
      <w:rPr>
        <w:rFonts w:hint="default"/>
        <w:lang w:val="en-US" w:eastAsia="en-US" w:bidi="ar-SA"/>
      </w:rPr>
    </w:lvl>
  </w:abstractNum>
  <w:abstractNum w:abstractNumId="35" w15:restartNumberingAfterBreak="0">
    <w:nsid w:val="5D943BEE"/>
    <w:multiLevelType w:val="multilevel"/>
    <w:tmpl w:val="222A08B4"/>
    <w:styleLink w:val="CurrentList6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6" w15:restartNumberingAfterBreak="0">
    <w:nsid w:val="67D22880"/>
    <w:multiLevelType w:val="hybridMultilevel"/>
    <w:tmpl w:val="E29ACE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92E5567"/>
    <w:multiLevelType w:val="multilevel"/>
    <w:tmpl w:val="3D7636DE"/>
    <w:styleLink w:val="CurrentList17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6D191DF4"/>
    <w:multiLevelType w:val="multilevel"/>
    <w:tmpl w:val="07D269C8"/>
    <w:styleLink w:val="CurrentList51"/>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6D5E79E4"/>
    <w:multiLevelType w:val="multilevel"/>
    <w:tmpl w:val="CD141D3A"/>
    <w:styleLink w:val="CurrentList13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6ED82968"/>
    <w:multiLevelType w:val="hybridMultilevel"/>
    <w:tmpl w:val="FE162F2C"/>
    <w:styleLink w:val="CurrentList21"/>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FF7321D"/>
    <w:multiLevelType w:val="multilevel"/>
    <w:tmpl w:val="035AFA5E"/>
    <w:styleLink w:val="CurrentList31"/>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2" w15:restartNumberingAfterBreak="0">
    <w:nsid w:val="715400C2"/>
    <w:multiLevelType w:val="hybridMultilevel"/>
    <w:tmpl w:val="7ECCB9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2405E32"/>
    <w:multiLevelType w:val="multilevel"/>
    <w:tmpl w:val="FA38CF3A"/>
    <w:styleLink w:val="CurrentList2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730E2003"/>
    <w:multiLevelType w:val="multilevel"/>
    <w:tmpl w:val="E5F45D4C"/>
    <w:styleLink w:val="CurrentList1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15:restartNumberingAfterBreak="0">
    <w:nsid w:val="7A584E7F"/>
    <w:multiLevelType w:val="multilevel"/>
    <w:tmpl w:val="0809001D"/>
    <w:styleLink w:val="CurrentList10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6" w15:restartNumberingAfterBreak="0">
    <w:nsid w:val="7E350BC2"/>
    <w:multiLevelType w:val="multilevel"/>
    <w:tmpl w:val="0809001D"/>
    <w:styleLink w:val="CurrentList7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7" w15:restartNumberingAfterBreak="0">
    <w:nsid w:val="7FDA292E"/>
    <w:multiLevelType w:val="multilevel"/>
    <w:tmpl w:val="59D80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30828777">
    <w:abstractNumId w:val="25"/>
  </w:num>
  <w:num w:numId="2" w16cid:durableId="1858829">
    <w:abstractNumId w:val="22"/>
  </w:num>
  <w:num w:numId="3" w16cid:durableId="1333221471">
    <w:abstractNumId w:val="40"/>
  </w:num>
  <w:num w:numId="4" w16cid:durableId="1072390599">
    <w:abstractNumId w:val="41"/>
  </w:num>
  <w:num w:numId="5" w16cid:durableId="960385107">
    <w:abstractNumId w:val="23"/>
  </w:num>
  <w:num w:numId="6" w16cid:durableId="893932166">
    <w:abstractNumId w:val="38"/>
  </w:num>
  <w:num w:numId="7" w16cid:durableId="323945383">
    <w:abstractNumId w:val="35"/>
  </w:num>
  <w:num w:numId="8" w16cid:durableId="1885022073">
    <w:abstractNumId w:val="46"/>
  </w:num>
  <w:num w:numId="9" w16cid:durableId="1340892991">
    <w:abstractNumId w:val="8"/>
  </w:num>
  <w:num w:numId="10" w16cid:durableId="1421754492">
    <w:abstractNumId w:val="4"/>
  </w:num>
  <w:num w:numId="11" w16cid:durableId="1035085545">
    <w:abstractNumId w:val="45"/>
  </w:num>
  <w:num w:numId="12" w16cid:durableId="512647885">
    <w:abstractNumId w:val="32"/>
  </w:num>
  <w:num w:numId="13" w16cid:durableId="1527864451">
    <w:abstractNumId w:val="33"/>
  </w:num>
  <w:num w:numId="14" w16cid:durableId="1813474994">
    <w:abstractNumId w:val="39"/>
  </w:num>
  <w:num w:numId="15" w16cid:durableId="1170873844">
    <w:abstractNumId w:val="6"/>
  </w:num>
  <w:num w:numId="16" w16cid:durableId="326831494">
    <w:abstractNumId w:val="5"/>
  </w:num>
  <w:num w:numId="17" w16cid:durableId="1357582560">
    <w:abstractNumId w:val="1"/>
  </w:num>
  <w:num w:numId="18" w16cid:durableId="1952083679">
    <w:abstractNumId w:val="7"/>
  </w:num>
  <w:num w:numId="19" w16cid:durableId="686752360">
    <w:abstractNumId w:val="37"/>
  </w:num>
  <w:num w:numId="20" w16cid:durableId="1556047233">
    <w:abstractNumId w:val="10"/>
  </w:num>
  <w:num w:numId="21" w16cid:durableId="287008514">
    <w:abstractNumId w:val="30"/>
  </w:num>
  <w:num w:numId="22" w16cid:durableId="2082438564">
    <w:abstractNumId w:val="20"/>
  </w:num>
  <w:num w:numId="23" w16cid:durableId="1635939513">
    <w:abstractNumId w:val="16"/>
  </w:num>
  <w:num w:numId="24" w16cid:durableId="1449469976">
    <w:abstractNumId w:val="44"/>
  </w:num>
  <w:num w:numId="25" w16cid:durableId="189343938">
    <w:abstractNumId w:val="26"/>
  </w:num>
  <w:num w:numId="26" w16cid:durableId="455564986">
    <w:abstractNumId w:val="24"/>
  </w:num>
  <w:num w:numId="27" w16cid:durableId="859195881">
    <w:abstractNumId w:val="12"/>
  </w:num>
  <w:num w:numId="28" w16cid:durableId="958535177">
    <w:abstractNumId w:val="28"/>
  </w:num>
  <w:num w:numId="29" w16cid:durableId="1960838530">
    <w:abstractNumId w:val="43"/>
  </w:num>
  <w:num w:numId="30" w16cid:durableId="1978680935">
    <w:abstractNumId w:val="0"/>
  </w:num>
  <w:num w:numId="31" w16cid:durableId="698551304">
    <w:abstractNumId w:val="11"/>
  </w:num>
  <w:num w:numId="32" w16cid:durableId="1129973655">
    <w:abstractNumId w:val="29"/>
  </w:num>
  <w:num w:numId="33" w16cid:durableId="1766030091">
    <w:abstractNumId w:val="2"/>
  </w:num>
  <w:num w:numId="34" w16cid:durableId="271982835">
    <w:abstractNumId w:val="27"/>
  </w:num>
  <w:num w:numId="35" w16cid:durableId="2049260605">
    <w:abstractNumId w:val="15"/>
  </w:num>
  <w:num w:numId="36" w16cid:durableId="1965648096">
    <w:abstractNumId w:val="3"/>
  </w:num>
  <w:num w:numId="37" w16cid:durableId="1669361380">
    <w:abstractNumId w:val="42"/>
  </w:num>
  <w:num w:numId="38" w16cid:durableId="1965843850">
    <w:abstractNumId w:val="9"/>
  </w:num>
  <w:num w:numId="39" w16cid:durableId="205525998">
    <w:abstractNumId w:val="21"/>
  </w:num>
  <w:num w:numId="40" w16cid:durableId="1820461818">
    <w:abstractNumId w:val="18"/>
  </w:num>
  <w:num w:numId="41" w16cid:durableId="73017531">
    <w:abstractNumId w:val="13"/>
  </w:num>
  <w:num w:numId="42" w16cid:durableId="287977595">
    <w:abstractNumId w:val="19"/>
  </w:num>
  <w:num w:numId="43" w16cid:durableId="1060059589">
    <w:abstractNumId w:val="36"/>
  </w:num>
  <w:num w:numId="44" w16cid:durableId="1689091451">
    <w:abstractNumId w:val="14"/>
  </w:num>
  <w:num w:numId="45" w16cid:durableId="673191426">
    <w:abstractNumId w:val="34"/>
  </w:num>
  <w:num w:numId="46" w16cid:durableId="241112684">
    <w:abstractNumId w:val="31"/>
  </w:num>
  <w:num w:numId="47" w16cid:durableId="895504911">
    <w:abstractNumId w:val="17"/>
  </w:num>
  <w:num w:numId="48" w16cid:durableId="1745951001">
    <w:abstractNumId w:val="47"/>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proofState w:spelling="clean"/>
  <w:defaultTabStop w:val="720"/>
  <w:evenAndOddHeaders/>
  <w:characterSpacingControl w:val="doNotCompress"/>
  <w:hdrShapeDefaults>
    <o:shapedefaults v:ext="edit" spidmax="2050">
      <o:colormru v:ext="edit" colors="white"/>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0EE6"/>
    <w:rsid w:val="00027B17"/>
    <w:rsid w:val="0005091C"/>
    <w:rsid w:val="0007171B"/>
    <w:rsid w:val="000D0F68"/>
    <w:rsid w:val="000D4EC5"/>
    <w:rsid w:val="000D6BC6"/>
    <w:rsid w:val="000E673A"/>
    <w:rsid w:val="000F6945"/>
    <w:rsid w:val="000F74F5"/>
    <w:rsid w:val="000F78FC"/>
    <w:rsid w:val="001031DF"/>
    <w:rsid w:val="00105372"/>
    <w:rsid w:val="001054A6"/>
    <w:rsid w:val="001078A1"/>
    <w:rsid w:val="00107E1A"/>
    <w:rsid w:val="001312AD"/>
    <w:rsid w:val="00131E7A"/>
    <w:rsid w:val="00134846"/>
    <w:rsid w:val="00145078"/>
    <w:rsid w:val="00172AF6"/>
    <w:rsid w:val="00176CEE"/>
    <w:rsid w:val="00186DD8"/>
    <w:rsid w:val="001A2AF6"/>
    <w:rsid w:val="001A35EC"/>
    <w:rsid w:val="001B13FE"/>
    <w:rsid w:val="001C68F9"/>
    <w:rsid w:val="00202741"/>
    <w:rsid w:val="00205EF0"/>
    <w:rsid w:val="00227D0F"/>
    <w:rsid w:val="00240EE6"/>
    <w:rsid w:val="00254EB5"/>
    <w:rsid w:val="00265EE0"/>
    <w:rsid w:val="00275AAD"/>
    <w:rsid w:val="002F6E18"/>
    <w:rsid w:val="003008FE"/>
    <w:rsid w:val="0030169D"/>
    <w:rsid w:val="003060EB"/>
    <w:rsid w:val="003071F8"/>
    <w:rsid w:val="003153EB"/>
    <w:rsid w:val="0032136E"/>
    <w:rsid w:val="00321985"/>
    <w:rsid w:val="00330F71"/>
    <w:rsid w:val="00341131"/>
    <w:rsid w:val="003469AD"/>
    <w:rsid w:val="00351205"/>
    <w:rsid w:val="00372F74"/>
    <w:rsid w:val="00380BE4"/>
    <w:rsid w:val="003A387A"/>
    <w:rsid w:val="003B5957"/>
    <w:rsid w:val="003B5C01"/>
    <w:rsid w:val="003F1A75"/>
    <w:rsid w:val="003F7224"/>
    <w:rsid w:val="00427D21"/>
    <w:rsid w:val="00447F4A"/>
    <w:rsid w:val="00456F67"/>
    <w:rsid w:val="004644C2"/>
    <w:rsid w:val="0046582E"/>
    <w:rsid w:val="00466864"/>
    <w:rsid w:val="00467F9C"/>
    <w:rsid w:val="00502E73"/>
    <w:rsid w:val="0051006C"/>
    <w:rsid w:val="00534681"/>
    <w:rsid w:val="0056068E"/>
    <w:rsid w:val="00563442"/>
    <w:rsid w:val="0056348E"/>
    <w:rsid w:val="00565B42"/>
    <w:rsid w:val="005915BE"/>
    <w:rsid w:val="005A6E13"/>
    <w:rsid w:val="005B06D9"/>
    <w:rsid w:val="005B35E2"/>
    <w:rsid w:val="005C0023"/>
    <w:rsid w:val="005C4CE6"/>
    <w:rsid w:val="005F0A67"/>
    <w:rsid w:val="005F2B8D"/>
    <w:rsid w:val="005F7399"/>
    <w:rsid w:val="006122BA"/>
    <w:rsid w:val="006478BF"/>
    <w:rsid w:val="00655D83"/>
    <w:rsid w:val="0066429B"/>
    <w:rsid w:val="006A6529"/>
    <w:rsid w:val="006A73C1"/>
    <w:rsid w:val="006B2290"/>
    <w:rsid w:val="006B53BF"/>
    <w:rsid w:val="006D18BD"/>
    <w:rsid w:val="006E7BE2"/>
    <w:rsid w:val="00717D88"/>
    <w:rsid w:val="00724CF4"/>
    <w:rsid w:val="00726A43"/>
    <w:rsid w:val="007415A6"/>
    <w:rsid w:val="00786056"/>
    <w:rsid w:val="007942D3"/>
    <w:rsid w:val="007B2099"/>
    <w:rsid w:val="007B6C09"/>
    <w:rsid w:val="007B7741"/>
    <w:rsid w:val="007C4951"/>
    <w:rsid w:val="007C5372"/>
    <w:rsid w:val="007E09DA"/>
    <w:rsid w:val="007E0F8A"/>
    <w:rsid w:val="007F718D"/>
    <w:rsid w:val="00801FAD"/>
    <w:rsid w:val="00816482"/>
    <w:rsid w:val="008178B6"/>
    <w:rsid w:val="00865B74"/>
    <w:rsid w:val="00866063"/>
    <w:rsid w:val="008705AD"/>
    <w:rsid w:val="008974F0"/>
    <w:rsid w:val="008A1499"/>
    <w:rsid w:val="008B012A"/>
    <w:rsid w:val="008B4B27"/>
    <w:rsid w:val="008D1056"/>
    <w:rsid w:val="00906E17"/>
    <w:rsid w:val="00930BA1"/>
    <w:rsid w:val="0093169E"/>
    <w:rsid w:val="009505C9"/>
    <w:rsid w:val="00950752"/>
    <w:rsid w:val="00966424"/>
    <w:rsid w:val="009B2DDC"/>
    <w:rsid w:val="009C2DE6"/>
    <w:rsid w:val="009F3B4D"/>
    <w:rsid w:val="00A00235"/>
    <w:rsid w:val="00A111D1"/>
    <w:rsid w:val="00A459E6"/>
    <w:rsid w:val="00A51CAD"/>
    <w:rsid w:val="00A6312B"/>
    <w:rsid w:val="00A80A95"/>
    <w:rsid w:val="00AA6F92"/>
    <w:rsid w:val="00AB6934"/>
    <w:rsid w:val="00AD0631"/>
    <w:rsid w:val="00AF0F8C"/>
    <w:rsid w:val="00AF42DE"/>
    <w:rsid w:val="00B009ED"/>
    <w:rsid w:val="00B3369F"/>
    <w:rsid w:val="00B51FC6"/>
    <w:rsid w:val="00B54840"/>
    <w:rsid w:val="00B550A1"/>
    <w:rsid w:val="00B634DD"/>
    <w:rsid w:val="00B94E6C"/>
    <w:rsid w:val="00BB4606"/>
    <w:rsid w:val="00BE3246"/>
    <w:rsid w:val="00BE5659"/>
    <w:rsid w:val="00C12084"/>
    <w:rsid w:val="00C23D2F"/>
    <w:rsid w:val="00C443BD"/>
    <w:rsid w:val="00C451C5"/>
    <w:rsid w:val="00C62720"/>
    <w:rsid w:val="00C65B88"/>
    <w:rsid w:val="00C9161D"/>
    <w:rsid w:val="00CA0C1D"/>
    <w:rsid w:val="00CB048A"/>
    <w:rsid w:val="00CC1A82"/>
    <w:rsid w:val="00CF1848"/>
    <w:rsid w:val="00D12044"/>
    <w:rsid w:val="00D170D9"/>
    <w:rsid w:val="00D24B0E"/>
    <w:rsid w:val="00D33EFC"/>
    <w:rsid w:val="00D363A9"/>
    <w:rsid w:val="00D40DBC"/>
    <w:rsid w:val="00D61C85"/>
    <w:rsid w:val="00D75CA6"/>
    <w:rsid w:val="00D76A18"/>
    <w:rsid w:val="00D80849"/>
    <w:rsid w:val="00D82E8F"/>
    <w:rsid w:val="00DA433C"/>
    <w:rsid w:val="00DB5E0F"/>
    <w:rsid w:val="00DD118C"/>
    <w:rsid w:val="00DD2BE4"/>
    <w:rsid w:val="00DE765C"/>
    <w:rsid w:val="00DE7C49"/>
    <w:rsid w:val="00E66235"/>
    <w:rsid w:val="00E83C24"/>
    <w:rsid w:val="00E9318D"/>
    <w:rsid w:val="00E93F3E"/>
    <w:rsid w:val="00EB2297"/>
    <w:rsid w:val="00ED1534"/>
    <w:rsid w:val="00EE0C7D"/>
    <w:rsid w:val="00F063C2"/>
    <w:rsid w:val="00F53193"/>
    <w:rsid w:val="00F5357E"/>
    <w:rsid w:val="00F6586C"/>
    <w:rsid w:val="00F9038B"/>
    <w:rsid w:val="00F94774"/>
    <w:rsid w:val="00FA663B"/>
    <w:rsid w:val="00FB671B"/>
    <w:rsid w:val="00FC3D7B"/>
    <w:rsid w:val="00FC53DB"/>
    <w:rsid w:val="00FE259D"/>
    <w:rsid w:val="5EA5AF20"/>
    <w:rsid w:val="79729ECF"/>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ru v:ext="edit" colors="white"/>
    </o:shapedefaults>
    <o:shapelayout v:ext="edit">
      <o:idmap v:ext="edit" data="2"/>
    </o:shapelayout>
  </w:shapeDefaults>
  <w:decimalSymbol w:val="."/>
  <w:listSeparator w:val=","/>
  <w14:docId w14:val="2C3B4990"/>
  <w15:docId w15:val="{684DF198-1DDB-4EEB-8C0F-2B962FC82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iPriority="1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uiPriority w:val="9"/>
    <w:qFormat/>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
    <w:qFormat/>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uiPriority w:val="9"/>
    <w:qFormat/>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uiPriority w:val="9"/>
    <w:qFormat/>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uiPriority w:val="99"/>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1"/>
    <w:unhideWhenUsed/>
    <w:qFormat/>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1"/>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rsid w:val="003F1A75"/>
    <w:rPr>
      <w:sz w:val="20"/>
      <w:szCs w:val="20"/>
    </w:rPr>
  </w:style>
  <w:style w:type="character" w:customStyle="1" w:styleId="CommentTextChar">
    <w:name w:val="Comment Text Char"/>
    <w:basedOn w:val="DefaultParagraphFont"/>
    <w:link w:val="CommentText"/>
    <w:uiPriority w:val="99"/>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uiPriority w:val="99"/>
    <w:semiHidden/>
    <w:rsid w:val="007E09DA"/>
    <w:rPr>
      <w:vertAlign w:val="superscript"/>
      <w:lang w:val="en-GB"/>
    </w:rPr>
  </w:style>
  <w:style w:type="paragraph" w:styleId="EndnoteText">
    <w:name w:val="endnote text"/>
    <w:basedOn w:val="Normal"/>
    <w:link w:val="EndnoteTextChar"/>
    <w:uiPriority w:val="99"/>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uiPriority w:val="99"/>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3F1A75"/>
    <w:rPr>
      <w:vertAlign w:val="superscript"/>
      <w:lang w:val="en-GB"/>
    </w:rPr>
  </w:style>
  <w:style w:type="paragraph" w:styleId="FootnoteText">
    <w:name w:val="footnote text"/>
    <w:basedOn w:val="Normal"/>
    <w:link w:val="FootnoteTextChar"/>
    <w:uiPriority w:val="99"/>
    <w:unhideWhenUsed/>
    <w:rsid w:val="003F1A75"/>
    <w:pPr>
      <w:jc w:val="left"/>
    </w:pPr>
    <w:rPr>
      <w:sz w:val="18"/>
      <w:szCs w:val="20"/>
    </w:rPr>
  </w:style>
  <w:style w:type="character" w:customStyle="1" w:styleId="FootnoteTextChar">
    <w:name w:val="Footnote Text Char"/>
    <w:basedOn w:val="DefaultParagraphFont"/>
    <w:link w:val="FootnoteText"/>
    <w:uiPriority w:val="99"/>
    <w:rsid w:val="003F1A75"/>
    <w:rPr>
      <w:rFonts w:ascii="Times New Roman" w:eastAsia="SimSun" w:hAnsi="Times New Roman" w:cs="Times New Roman"/>
      <w:sz w:val="18"/>
      <w:szCs w:val="20"/>
      <w:lang w:val="en-GB"/>
    </w:rPr>
  </w:style>
  <w:style w:type="paragraph" w:customStyle="1" w:styleId="HEADING0">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uiPriority w:val="9"/>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uiPriority w:val="9"/>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uiPriority w:val="9"/>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uiPriority w:val="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1"/>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link w:val="CBDNormalChar"/>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style>
  <w:style w:type="numbering" w:customStyle="1" w:styleId="CBDHeadings">
    <w:name w:val="CBD_Headings"/>
    <w:basedOn w:val="ListCBD"/>
    <w:uiPriority w:val="99"/>
    <w:rsid w:val="003F1A75"/>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11"/>
    <w:unhideWhenUsed/>
    <w:qFormat/>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Caliheading1">
    <w:name w:val="Cali_heading1"/>
    <w:basedOn w:val="Heading1"/>
    <w:next w:val="Calinormal"/>
    <w:qFormat/>
    <w:rsid w:val="00816482"/>
    <w:pPr>
      <w:keepNext w:val="0"/>
      <w:keepLines w:val="0"/>
      <w:pBdr>
        <w:bottom w:val="single" w:sz="2" w:space="6" w:color="D9D9D9"/>
      </w:pBdr>
      <w:tabs>
        <w:tab w:val="clear" w:pos="567"/>
        <w:tab w:val="clear" w:pos="1134"/>
        <w:tab w:val="clear" w:pos="1701"/>
        <w:tab w:val="clear" w:pos="2268"/>
      </w:tabs>
      <w:spacing w:before="400" w:after="60"/>
      <w:ind w:left="432" w:hanging="432"/>
    </w:pPr>
    <w:rPr>
      <w:rFonts w:ascii="Tahoma" w:eastAsia="Arial" w:hAnsi="Tahoma" w:cs="Tahoma"/>
      <w:color w:val="1A1A1A"/>
      <w:kern w:val="0"/>
      <w:szCs w:val="28"/>
      <w:lang w:val="en-CA" w:eastAsia="en-GB"/>
      <w14:ligatures w14:val="none"/>
    </w:rPr>
  </w:style>
  <w:style w:type="paragraph" w:customStyle="1" w:styleId="Calinormal">
    <w:name w:val="Cali_normal"/>
    <w:basedOn w:val="Normal"/>
    <w:uiPriority w:val="1"/>
    <w:qFormat/>
    <w:rsid w:val="00816482"/>
    <w:pPr>
      <w:tabs>
        <w:tab w:val="clear" w:pos="567"/>
        <w:tab w:val="clear" w:pos="1134"/>
        <w:tab w:val="clear" w:pos="1701"/>
        <w:tab w:val="clear" w:pos="2268"/>
      </w:tabs>
      <w:spacing w:after="180" w:line="292" w:lineRule="auto"/>
    </w:pPr>
    <w:rPr>
      <w:rFonts w:ascii="Tahoma" w:eastAsia="Times New Roman" w:hAnsi="Tahoma"/>
      <w:lang w:val="en-CA" w:eastAsia="en-GB"/>
    </w:rPr>
  </w:style>
  <w:style w:type="paragraph" w:customStyle="1" w:styleId="Calihead3">
    <w:name w:val="Cali_head3"/>
    <w:basedOn w:val="Normal"/>
    <w:qFormat/>
    <w:rsid w:val="00816482"/>
    <w:pPr>
      <w:tabs>
        <w:tab w:val="clear" w:pos="567"/>
        <w:tab w:val="clear" w:pos="1134"/>
        <w:tab w:val="clear" w:pos="1701"/>
        <w:tab w:val="clear" w:pos="2268"/>
      </w:tabs>
      <w:spacing w:before="320" w:after="160"/>
      <w:ind w:left="720" w:hanging="720"/>
      <w:jc w:val="left"/>
      <w:outlineLvl w:val="1"/>
    </w:pPr>
    <w:rPr>
      <w:rFonts w:ascii="Tahoma" w:eastAsia="Arial" w:hAnsi="Tahoma" w:cs="Tahoma"/>
      <w:b/>
      <w:bCs/>
      <w:color w:val="7F7F7F" w:themeColor="text1" w:themeTint="80"/>
      <w:sz w:val="23"/>
      <w:szCs w:val="23"/>
      <w:lang w:val="en-CA" w:eastAsia="en-GB"/>
    </w:rPr>
  </w:style>
  <w:style w:type="paragraph" w:customStyle="1" w:styleId="Strong1">
    <w:name w:val="Strong1"/>
    <w:qFormat/>
    <w:rsid w:val="00ED1534"/>
    <w:rPr>
      <w:rFonts w:ascii="Georgia" w:eastAsia="Georgia" w:hAnsi="Georgia" w:cs="Georgia"/>
      <w:b/>
      <w:bCs/>
      <w:color w:val="1A1A1A"/>
      <w:sz w:val="22"/>
      <w:szCs w:val="22"/>
      <w:lang w:val="en-GB" w:eastAsia="en-GB"/>
    </w:rPr>
  </w:style>
  <w:style w:type="paragraph" w:customStyle="1" w:styleId="Califootnote">
    <w:name w:val="Cali_footnote"/>
    <w:basedOn w:val="Normal"/>
    <w:uiPriority w:val="1"/>
    <w:qFormat/>
    <w:rsid w:val="00ED1534"/>
    <w:pPr>
      <w:pBdr>
        <w:bottom w:val="single" w:sz="1" w:space="4" w:color="D9D9D9"/>
      </w:pBdr>
      <w:tabs>
        <w:tab w:val="clear" w:pos="567"/>
        <w:tab w:val="clear" w:pos="1134"/>
        <w:tab w:val="clear" w:pos="1701"/>
        <w:tab w:val="clear" w:pos="2268"/>
        <w:tab w:val="right" w:pos="9360"/>
      </w:tabs>
      <w:spacing w:after="120"/>
      <w:jc w:val="left"/>
    </w:pPr>
    <w:rPr>
      <w:rFonts w:eastAsia="Arial" w:cs="Arial"/>
      <w:color w:val="777777"/>
      <w:sz w:val="16"/>
      <w:szCs w:val="16"/>
      <w:lang w:val="en-CA" w:eastAsia="en-GB"/>
    </w:rPr>
  </w:style>
  <w:style w:type="paragraph" w:customStyle="1" w:styleId="Califooter">
    <w:name w:val="Cali_footer"/>
    <w:basedOn w:val="Normal"/>
    <w:uiPriority w:val="1"/>
    <w:qFormat/>
    <w:rsid w:val="00ED1534"/>
    <w:pPr>
      <w:pBdr>
        <w:top w:val="single" w:sz="1" w:space="4" w:color="D9D9D9"/>
      </w:pBdr>
      <w:tabs>
        <w:tab w:val="clear" w:pos="567"/>
        <w:tab w:val="clear" w:pos="1134"/>
        <w:tab w:val="clear" w:pos="1701"/>
        <w:tab w:val="clear" w:pos="2268"/>
        <w:tab w:val="right" w:pos="9360"/>
      </w:tabs>
      <w:spacing w:before="120"/>
      <w:jc w:val="left"/>
    </w:pPr>
    <w:rPr>
      <w:rFonts w:eastAsia="Arial" w:cs="Arial"/>
      <w:color w:val="777777"/>
      <w:sz w:val="16"/>
      <w:szCs w:val="16"/>
      <w:lang w:val="en-CA" w:eastAsia="en-GB"/>
    </w:rPr>
  </w:style>
  <w:style w:type="paragraph" w:customStyle="1" w:styleId="Calititle">
    <w:name w:val="Cali_title"/>
    <w:basedOn w:val="Normal"/>
    <w:uiPriority w:val="1"/>
    <w:qFormat/>
    <w:rsid w:val="00ED1534"/>
    <w:pPr>
      <w:tabs>
        <w:tab w:val="clear" w:pos="567"/>
        <w:tab w:val="clear" w:pos="1134"/>
        <w:tab w:val="clear" w:pos="1701"/>
        <w:tab w:val="clear" w:pos="2268"/>
      </w:tabs>
      <w:spacing w:after="160"/>
      <w:jc w:val="left"/>
    </w:pPr>
    <w:rPr>
      <w:rFonts w:eastAsia="Arial" w:cs="Arial"/>
      <w:b/>
      <w:bCs/>
      <w:sz w:val="44"/>
      <w:szCs w:val="44"/>
      <w:lang w:val="en-CA" w:eastAsia="en-GB"/>
    </w:rPr>
  </w:style>
  <w:style w:type="paragraph" w:customStyle="1" w:styleId="Calisubtitle">
    <w:name w:val="Cali_subtitle"/>
    <w:basedOn w:val="Normal"/>
    <w:uiPriority w:val="1"/>
    <w:qFormat/>
    <w:rsid w:val="00ED1534"/>
    <w:pPr>
      <w:tabs>
        <w:tab w:val="clear" w:pos="567"/>
        <w:tab w:val="clear" w:pos="1134"/>
        <w:tab w:val="clear" w:pos="1701"/>
        <w:tab w:val="clear" w:pos="2268"/>
      </w:tabs>
      <w:spacing w:after="400"/>
      <w:jc w:val="left"/>
    </w:pPr>
    <w:rPr>
      <w:rFonts w:eastAsia="Arial" w:cs="Arial"/>
      <w:color w:val="777777"/>
      <w:sz w:val="28"/>
      <w:szCs w:val="28"/>
      <w:lang w:val="en-CA" w:eastAsia="en-GB"/>
    </w:rPr>
  </w:style>
  <w:style w:type="paragraph" w:customStyle="1" w:styleId="Style2">
    <w:name w:val="Style2"/>
    <w:basedOn w:val="ListBullet"/>
    <w:qFormat/>
    <w:rsid w:val="00ED1534"/>
    <w:pPr>
      <w:tabs>
        <w:tab w:val="clear" w:pos="360"/>
        <w:tab w:val="clear" w:pos="567"/>
        <w:tab w:val="clear" w:pos="1134"/>
        <w:tab w:val="clear" w:pos="1701"/>
        <w:tab w:val="clear" w:pos="2268"/>
      </w:tabs>
      <w:ind w:left="0" w:firstLine="0"/>
      <w:jc w:val="left"/>
    </w:pPr>
    <w:rPr>
      <w:rFonts w:eastAsia="Times New Roman"/>
      <w:sz w:val="24"/>
      <w:szCs w:val="24"/>
      <w:lang w:val="en-CA" w:eastAsia="en-GB"/>
    </w:rPr>
  </w:style>
  <w:style w:type="paragraph" w:customStyle="1" w:styleId="font-claude-response-body">
    <w:name w:val="font-claude-response-body"/>
    <w:basedOn w:val="Normal"/>
    <w:uiPriority w:val="1"/>
    <w:rsid w:val="00ED1534"/>
    <w:pPr>
      <w:tabs>
        <w:tab w:val="clear" w:pos="567"/>
        <w:tab w:val="clear" w:pos="1134"/>
        <w:tab w:val="clear" w:pos="1701"/>
        <w:tab w:val="clear" w:pos="2268"/>
      </w:tabs>
      <w:spacing w:beforeAutospacing="1" w:afterAutospacing="1"/>
      <w:jc w:val="left"/>
    </w:pPr>
    <w:rPr>
      <w:rFonts w:eastAsia="Times New Roman"/>
      <w:sz w:val="24"/>
      <w:szCs w:val="24"/>
      <w:lang w:val="en-CA" w:eastAsia="en-GB"/>
    </w:rPr>
  </w:style>
  <w:style w:type="numbering" w:customStyle="1" w:styleId="CurrentList6">
    <w:name w:val="Current List6"/>
    <w:uiPriority w:val="99"/>
    <w:rsid w:val="00ED1534"/>
  </w:style>
  <w:style w:type="numbering" w:customStyle="1" w:styleId="CurrentList1">
    <w:name w:val="Current List1"/>
    <w:uiPriority w:val="99"/>
    <w:rsid w:val="00ED1534"/>
  </w:style>
  <w:style w:type="numbering" w:customStyle="1" w:styleId="CurrentList2">
    <w:name w:val="Current List2"/>
    <w:uiPriority w:val="99"/>
    <w:rsid w:val="00ED1534"/>
  </w:style>
  <w:style w:type="numbering" w:customStyle="1" w:styleId="CurrentList3">
    <w:name w:val="Current List3"/>
    <w:uiPriority w:val="99"/>
    <w:rsid w:val="00ED1534"/>
  </w:style>
  <w:style w:type="numbering" w:customStyle="1" w:styleId="CurrentList4">
    <w:name w:val="Current List4"/>
    <w:uiPriority w:val="99"/>
    <w:rsid w:val="00ED1534"/>
  </w:style>
  <w:style w:type="numbering" w:customStyle="1" w:styleId="CurrentList5">
    <w:name w:val="Current List5"/>
    <w:uiPriority w:val="99"/>
    <w:rsid w:val="00ED1534"/>
  </w:style>
  <w:style w:type="numbering" w:customStyle="1" w:styleId="CurrentList17">
    <w:name w:val="Current List17"/>
    <w:uiPriority w:val="99"/>
    <w:rsid w:val="00ED1534"/>
    <w:pPr>
      <w:numPr>
        <w:numId w:val="25"/>
      </w:numPr>
    </w:pPr>
  </w:style>
  <w:style w:type="numbering" w:customStyle="1" w:styleId="CurrentList7">
    <w:name w:val="Current List7"/>
    <w:uiPriority w:val="99"/>
    <w:rsid w:val="00ED1534"/>
  </w:style>
  <w:style w:type="numbering" w:customStyle="1" w:styleId="CurrentList8">
    <w:name w:val="Current List8"/>
    <w:uiPriority w:val="99"/>
    <w:rsid w:val="00ED1534"/>
  </w:style>
  <w:style w:type="numbering" w:customStyle="1" w:styleId="CurrentList9">
    <w:name w:val="Current List9"/>
    <w:uiPriority w:val="99"/>
    <w:rsid w:val="00ED1534"/>
  </w:style>
  <w:style w:type="numbering" w:customStyle="1" w:styleId="CurrentList10">
    <w:name w:val="Current List10"/>
    <w:uiPriority w:val="99"/>
    <w:rsid w:val="00ED1534"/>
  </w:style>
  <w:style w:type="numbering" w:customStyle="1" w:styleId="CurrentList11">
    <w:name w:val="Current List11"/>
    <w:uiPriority w:val="99"/>
    <w:rsid w:val="00ED1534"/>
  </w:style>
  <w:style w:type="numbering" w:customStyle="1" w:styleId="CurrentList12">
    <w:name w:val="Current List12"/>
    <w:uiPriority w:val="99"/>
    <w:rsid w:val="00ED1534"/>
  </w:style>
  <w:style w:type="numbering" w:customStyle="1" w:styleId="CurrentList13">
    <w:name w:val="Current List13"/>
    <w:uiPriority w:val="99"/>
    <w:rsid w:val="00ED1534"/>
  </w:style>
  <w:style w:type="numbering" w:customStyle="1" w:styleId="CurrentList14">
    <w:name w:val="Current List14"/>
    <w:uiPriority w:val="99"/>
    <w:rsid w:val="00ED1534"/>
    <w:pPr>
      <w:numPr>
        <w:numId w:val="21"/>
      </w:numPr>
    </w:pPr>
  </w:style>
  <w:style w:type="numbering" w:styleId="111111">
    <w:name w:val="Outline List 2"/>
    <w:basedOn w:val="NoList"/>
    <w:uiPriority w:val="99"/>
    <w:semiHidden/>
    <w:unhideWhenUsed/>
    <w:rsid w:val="00ED1534"/>
  </w:style>
  <w:style w:type="numbering" w:customStyle="1" w:styleId="CurrentList15">
    <w:name w:val="Current List15"/>
    <w:uiPriority w:val="99"/>
    <w:rsid w:val="00ED1534"/>
  </w:style>
  <w:style w:type="numbering" w:customStyle="1" w:styleId="CurrentList16">
    <w:name w:val="Current List16"/>
    <w:uiPriority w:val="99"/>
    <w:rsid w:val="00ED1534"/>
    <w:pPr>
      <w:numPr>
        <w:numId w:val="24"/>
      </w:numPr>
    </w:pPr>
  </w:style>
  <w:style w:type="paragraph" w:customStyle="1" w:styleId="Calihead2">
    <w:name w:val="Cali_head2"/>
    <w:basedOn w:val="Heading2"/>
    <w:qFormat/>
    <w:rsid w:val="00ED1534"/>
    <w:pPr>
      <w:keepNext w:val="0"/>
      <w:keepLines w:val="0"/>
      <w:numPr>
        <w:ilvl w:val="0"/>
        <w:numId w:val="0"/>
      </w:numPr>
      <w:tabs>
        <w:tab w:val="clear" w:pos="1134"/>
        <w:tab w:val="clear" w:pos="1701"/>
        <w:tab w:val="clear" w:pos="2268"/>
      </w:tabs>
      <w:spacing w:before="320" w:after="160"/>
    </w:pPr>
    <w:rPr>
      <w:rFonts w:ascii="Tahoma" w:eastAsia="Arial" w:hAnsi="Tahoma" w:cs="Tahoma"/>
      <w:bCs/>
      <w:color w:val="1A1A1A"/>
      <w:sz w:val="23"/>
      <w:szCs w:val="23"/>
      <w:lang w:val="en-CA" w:eastAsia="en-GB"/>
    </w:rPr>
  </w:style>
  <w:style w:type="paragraph" w:customStyle="1" w:styleId="Style4">
    <w:name w:val="Style4"/>
    <w:basedOn w:val="Heading3"/>
    <w:qFormat/>
    <w:rsid w:val="00ED1534"/>
    <w:pPr>
      <w:keepNext w:val="0"/>
      <w:keepLines w:val="0"/>
      <w:numPr>
        <w:numId w:val="27"/>
      </w:numPr>
      <w:tabs>
        <w:tab w:val="clear" w:pos="1134"/>
        <w:tab w:val="clear" w:pos="1701"/>
        <w:tab w:val="clear" w:pos="2268"/>
      </w:tabs>
      <w:spacing w:before="320" w:after="160" w:line="293" w:lineRule="auto"/>
      <w:ind w:left="0" w:firstLine="0"/>
    </w:pPr>
    <w:rPr>
      <w:rFonts w:ascii="Tahoma" w:eastAsia="Arial" w:hAnsi="Tahoma" w:cs="Tahoma"/>
      <w:color w:val="7F7F7F" w:themeColor="text1" w:themeTint="80"/>
      <w:sz w:val="23"/>
      <w:szCs w:val="23"/>
      <w:lang w:val="en-CA" w:eastAsia="en-GB"/>
    </w:rPr>
  </w:style>
  <w:style w:type="numbering" w:customStyle="1" w:styleId="CurrentList18">
    <w:name w:val="Current List18"/>
    <w:uiPriority w:val="99"/>
    <w:rsid w:val="00ED1534"/>
    <w:pPr>
      <w:numPr>
        <w:numId w:val="26"/>
      </w:numPr>
    </w:pPr>
  </w:style>
  <w:style w:type="numbering" w:customStyle="1" w:styleId="CurrentList19">
    <w:name w:val="Current List19"/>
    <w:uiPriority w:val="99"/>
    <w:rsid w:val="00ED1534"/>
    <w:pPr>
      <w:numPr>
        <w:numId w:val="28"/>
      </w:numPr>
    </w:pPr>
  </w:style>
  <w:style w:type="numbering" w:customStyle="1" w:styleId="CurrentList20">
    <w:name w:val="Current List20"/>
    <w:uiPriority w:val="99"/>
    <w:rsid w:val="00ED1534"/>
    <w:pPr>
      <w:numPr>
        <w:numId w:val="29"/>
      </w:numPr>
    </w:pPr>
  </w:style>
  <w:style w:type="paragraph" w:customStyle="1" w:styleId="Califigures">
    <w:name w:val="Cali_figures"/>
    <w:basedOn w:val="Heading5"/>
    <w:qFormat/>
    <w:rsid w:val="00ED1534"/>
    <w:pPr>
      <w:keepNext w:val="0"/>
      <w:numPr>
        <w:ilvl w:val="0"/>
        <w:numId w:val="0"/>
      </w:numPr>
      <w:tabs>
        <w:tab w:val="clear" w:pos="1134"/>
        <w:tab w:val="clear" w:pos="1701"/>
        <w:tab w:val="clear" w:pos="2268"/>
      </w:tabs>
      <w:spacing w:before="0"/>
    </w:pPr>
    <w:rPr>
      <w:rFonts w:ascii="Tahoma" w:eastAsia="Georgia" w:hAnsi="Tahoma" w:cs="Tahoma"/>
      <w:b/>
      <w:bCs/>
      <w:i w:val="0"/>
      <w:iCs w:val="0"/>
      <w:color w:val="419844"/>
      <w:lang w:eastAsia="en-GB"/>
    </w:rPr>
  </w:style>
  <w:style w:type="character" w:customStyle="1" w:styleId="text-text-500">
    <w:name w:val="text-text-500"/>
    <w:basedOn w:val="DefaultParagraphFont"/>
    <w:rsid w:val="00ED1534"/>
  </w:style>
  <w:style w:type="paragraph" w:customStyle="1" w:styleId="Table">
    <w:name w:val="Table"/>
    <w:basedOn w:val="Calinormal"/>
    <w:qFormat/>
    <w:rsid w:val="00ED1534"/>
    <w:pPr>
      <w:spacing w:after="60" w:line="240" w:lineRule="auto"/>
    </w:pPr>
  </w:style>
  <w:style w:type="character" w:customStyle="1" w:styleId="absolute">
    <w:name w:val="absolute"/>
    <w:basedOn w:val="DefaultParagraphFont"/>
    <w:rsid w:val="00ED1534"/>
  </w:style>
  <w:style w:type="character" w:customStyle="1" w:styleId="inline-flex">
    <w:name w:val="inline-flex"/>
    <w:basedOn w:val="DefaultParagraphFont"/>
    <w:rsid w:val="00ED1534"/>
  </w:style>
  <w:style w:type="character" w:customStyle="1" w:styleId="transition-all">
    <w:name w:val="transition-all"/>
    <w:basedOn w:val="DefaultParagraphFont"/>
    <w:rsid w:val="00ED1534"/>
  </w:style>
  <w:style w:type="paragraph" w:customStyle="1" w:styleId="TableParagraph">
    <w:name w:val="Table Paragraph"/>
    <w:basedOn w:val="Normal"/>
    <w:uiPriority w:val="1"/>
    <w:qFormat/>
    <w:rsid w:val="00ED1534"/>
    <w:pPr>
      <w:widowControl w:val="0"/>
      <w:tabs>
        <w:tab w:val="clear" w:pos="567"/>
        <w:tab w:val="clear" w:pos="1134"/>
        <w:tab w:val="clear" w:pos="1701"/>
        <w:tab w:val="clear" w:pos="2268"/>
      </w:tabs>
      <w:jc w:val="left"/>
    </w:pPr>
    <w:rPr>
      <w:rFonts w:ascii="Arial" w:eastAsia="Arial" w:hAnsi="Arial" w:cs="Arial"/>
      <w:lang w:val="en-US"/>
    </w:rPr>
  </w:style>
  <w:style w:type="paragraph" w:customStyle="1" w:styleId="heading">
    <w:name w:val="heading"/>
    <w:basedOn w:val="CBDNormal"/>
    <w:link w:val="headingChar"/>
    <w:qFormat/>
    <w:rsid w:val="005915BE"/>
    <w:pPr>
      <w:numPr>
        <w:numId w:val="12"/>
      </w:numPr>
      <w:spacing w:before="120" w:after="120"/>
    </w:pPr>
  </w:style>
  <w:style w:type="character" w:customStyle="1" w:styleId="CBDNormalChar">
    <w:name w:val="CBD_Normal Char"/>
    <w:basedOn w:val="DefaultParagraphFont"/>
    <w:link w:val="CBDNormal"/>
    <w:rsid w:val="005915BE"/>
    <w:rPr>
      <w:rFonts w:ascii="Times New Roman" w:eastAsia="SimSun" w:hAnsi="Times New Roman" w:cs="Times New Roman"/>
      <w:sz w:val="22"/>
      <w:szCs w:val="22"/>
      <w:lang w:val="en-GB"/>
    </w:rPr>
  </w:style>
  <w:style w:type="character" w:customStyle="1" w:styleId="headingChar">
    <w:name w:val="heading Char"/>
    <w:basedOn w:val="CBDNormalChar"/>
    <w:link w:val="heading"/>
    <w:rsid w:val="005915BE"/>
    <w:rPr>
      <w:rFonts w:ascii="Times New Roman" w:eastAsia="SimSun" w:hAnsi="Times New Roman" w:cs="Times New Roman"/>
      <w:sz w:val="22"/>
      <w:szCs w:val="22"/>
      <w:lang w:val="en-GB"/>
    </w:rPr>
  </w:style>
  <w:style w:type="paragraph" w:customStyle="1" w:styleId="Style3">
    <w:name w:val="Style3"/>
    <w:basedOn w:val="heading"/>
    <w:link w:val="Style3Char"/>
    <w:qFormat/>
    <w:rsid w:val="005915BE"/>
    <w:rPr>
      <w:b/>
      <w:bCs/>
      <w:lang w:val="en-CA"/>
    </w:rPr>
  </w:style>
  <w:style w:type="character" w:customStyle="1" w:styleId="Style3Char">
    <w:name w:val="Style3 Char"/>
    <w:basedOn w:val="headingChar"/>
    <w:link w:val="Style3"/>
    <w:rsid w:val="005915BE"/>
    <w:rPr>
      <w:rFonts w:ascii="Times New Roman" w:eastAsia="SimSun" w:hAnsi="Times New Roman" w:cs="Times New Roman"/>
      <w:b/>
      <w:bCs/>
      <w:sz w:val="22"/>
      <w:szCs w:val="22"/>
      <w:lang w:val="en-CA"/>
    </w:rPr>
  </w:style>
  <w:style w:type="numbering" w:customStyle="1" w:styleId="NoList1">
    <w:name w:val="No List1"/>
    <w:next w:val="NoList"/>
    <w:uiPriority w:val="99"/>
    <w:semiHidden/>
    <w:unhideWhenUsed/>
    <w:rsid w:val="005F0A67"/>
  </w:style>
  <w:style w:type="numbering" w:customStyle="1" w:styleId="CurrentList61">
    <w:name w:val="Current List61"/>
    <w:uiPriority w:val="99"/>
    <w:rsid w:val="005F0A67"/>
    <w:pPr>
      <w:numPr>
        <w:numId w:val="7"/>
      </w:numPr>
    </w:pPr>
  </w:style>
  <w:style w:type="numbering" w:customStyle="1" w:styleId="CurrentList110">
    <w:name w:val="Current List110"/>
    <w:uiPriority w:val="99"/>
    <w:rsid w:val="005F0A67"/>
    <w:pPr>
      <w:numPr>
        <w:numId w:val="2"/>
      </w:numPr>
    </w:pPr>
  </w:style>
  <w:style w:type="numbering" w:customStyle="1" w:styleId="CurrentList21">
    <w:name w:val="Current List21"/>
    <w:uiPriority w:val="99"/>
    <w:rsid w:val="005F0A67"/>
    <w:pPr>
      <w:numPr>
        <w:numId w:val="3"/>
      </w:numPr>
    </w:pPr>
  </w:style>
  <w:style w:type="numbering" w:customStyle="1" w:styleId="CurrentList31">
    <w:name w:val="Current List31"/>
    <w:uiPriority w:val="99"/>
    <w:rsid w:val="005F0A67"/>
    <w:pPr>
      <w:numPr>
        <w:numId w:val="4"/>
      </w:numPr>
    </w:pPr>
  </w:style>
  <w:style w:type="numbering" w:customStyle="1" w:styleId="CurrentList41">
    <w:name w:val="Current List41"/>
    <w:uiPriority w:val="99"/>
    <w:rsid w:val="005F0A67"/>
    <w:pPr>
      <w:numPr>
        <w:numId w:val="5"/>
      </w:numPr>
    </w:pPr>
  </w:style>
  <w:style w:type="numbering" w:customStyle="1" w:styleId="CurrentList51">
    <w:name w:val="Current List51"/>
    <w:uiPriority w:val="99"/>
    <w:rsid w:val="005F0A67"/>
    <w:pPr>
      <w:numPr>
        <w:numId w:val="6"/>
      </w:numPr>
    </w:pPr>
  </w:style>
  <w:style w:type="numbering" w:customStyle="1" w:styleId="CurrentList171">
    <w:name w:val="Current List171"/>
    <w:uiPriority w:val="99"/>
    <w:rsid w:val="005F0A67"/>
    <w:pPr>
      <w:numPr>
        <w:numId w:val="19"/>
      </w:numPr>
    </w:pPr>
  </w:style>
  <w:style w:type="numbering" w:customStyle="1" w:styleId="CurrentList71">
    <w:name w:val="Current List71"/>
    <w:uiPriority w:val="99"/>
    <w:rsid w:val="005F0A67"/>
    <w:pPr>
      <w:numPr>
        <w:numId w:val="8"/>
      </w:numPr>
    </w:pPr>
  </w:style>
  <w:style w:type="numbering" w:customStyle="1" w:styleId="CurrentList81">
    <w:name w:val="Current List81"/>
    <w:uiPriority w:val="99"/>
    <w:rsid w:val="005F0A67"/>
    <w:pPr>
      <w:numPr>
        <w:numId w:val="9"/>
      </w:numPr>
    </w:pPr>
  </w:style>
  <w:style w:type="numbering" w:customStyle="1" w:styleId="CurrentList91">
    <w:name w:val="Current List91"/>
    <w:uiPriority w:val="99"/>
    <w:rsid w:val="005F0A67"/>
    <w:pPr>
      <w:numPr>
        <w:numId w:val="10"/>
      </w:numPr>
    </w:pPr>
  </w:style>
  <w:style w:type="numbering" w:customStyle="1" w:styleId="CurrentList101">
    <w:name w:val="Current List101"/>
    <w:uiPriority w:val="99"/>
    <w:rsid w:val="005F0A67"/>
    <w:pPr>
      <w:numPr>
        <w:numId w:val="11"/>
      </w:numPr>
    </w:pPr>
  </w:style>
  <w:style w:type="numbering" w:customStyle="1" w:styleId="CurrentList111">
    <w:name w:val="Current List111"/>
    <w:uiPriority w:val="99"/>
    <w:rsid w:val="005F0A67"/>
    <w:pPr>
      <w:numPr>
        <w:numId w:val="12"/>
      </w:numPr>
    </w:pPr>
  </w:style>
  <w:style w:type="numbering" w:customStyle="1" w:styleId="CurrentList121">
    <w:name w:val="Current List121"/>
    <w:uiPriority w:val="99"/>
    <w:rsid w:val="005F0A67"/>
    <w:pPr>
      <w:numPr>
        <w:numId w:val="13"/>
      </w:numPr>
    </w:pPr>
  </w:style>
  <w:style w:type="numbering" w:customStyle="1" w:styleId="CurrentList131">
    <w:name w:val="Current List131"/>
    <w:uiPriority w:val="99"/>
    <w:rsid w:val="005F0A67"/>
    <w:pPr>
      <w:numPr>
        <w:numId w:val="14"/>
      </w:numPr>
    </w:pPr>
  </w:style>
  <w:style w:type="numbering" w:customStyle="1" w:styleId="CurrentList141">
    <w:name w:val="Current List141"/>
    <w:uiPriority w:val="99"/>
    <w:rsid w:val="005F0A67"/>
    <w:pPr>
      <w:numPr>
        <w:numId w:val="15"/>
      </w:numPr>
    </w:pPr>
  </w:style>
  <w:style w:type="numbering" w:customStyle="1" w:styleId="1111111">
    <w:name w:val="1 / 1.1 / 1.1.11"/>
    <w:basedOn w:val="NoList"/>
    <w:next w:val="111111"/>
    <w:uiPriority w:val="99"/>
    <w:semiHidden/>
    <w:unhideWhenUsed/>
    <w:rsid w:val="005F0A67"/>
    <w:pPr>
      <w:numPr>
        <w:numId w:val="16"/>
      </w:numPr>
    </w:pPr>
  </w:style>
  <w:style w:type="numbering" w:customStyle="1" w:styleId="CurrentList151">
    <w:name w:val="Current List151"/>
    <w:uiPriority w:val="99"/>
    <w:rsid w:val="005F0A67"/>
    <w:pPr>
      <w:numPr>
        <w:numId w:val="17"/>
      </w:numPr>
    </w:pPr>
  </w:style>
  <w:style w:type="numbering" w:customStyle="1" w:styleId="CurrentList161">
    <w:name w:val="Current List161"/>
    <w:uiPriority w:val="99"/>
    <w:rsid w:val="005F0A67"/>
    <w:pPr>
      <w:numPr>
        <w:numId w:val="18"/>
      </w:numPr>
    </w:pPr>
  </w:style>
  <w:style w:type="numbering" w:customStyle="1" w:styleId="CurrentList181">
    <w:name w:val="Current List181"/>
    <w:uiPriority w:val="99"/>
    <w:rsid w:val="005F0A67"/>
    <w:pPr>
      <w:numPr>
        <w:numId w:val="20"/>
      </w:numPr>
    </w:pPr>
  </w:style>
  <w:style w:type="numbering" w:customStyle="1" w:styleId="CurrentList191">
    <w:name w:val="Current List191"/>
    <w:uiPriority w:val="99"/>
    <w:rsid w:val="005F0A67"/>
    <w:pPr>
      <w:numPr>
        <w:numId w:val="22"/>
      </w:numPr>
    </w:pPr>
  </w:style>
  <w:style w:type="numbering" w:customStyle="1" w:styleId="CurrentList201">
    <w:name w:val="Current List201"/>
    <w:uiPriority w:val="99"/>
    <w:rsid w:val="005F0A67"/>
    <w:pPr>
      <w:numPr>
        <w:numId w:val="23"/>
      </w:numPr>
    </w:pPr>
  </w:style>
  <w:style w:type="table" w:customStyle="1" w:styleId="TableGrid20">
    <w:name w:val="Table Grid2"/>
    <w:basedOn w:val="TableNormal"/>
    <w:next w:val="TableGrid"/>
    <w:uiPriority w:val="59"/>
    <w:rsid w:val="005F0A67"/>
    <w:rPr>
      <w:rFonts w:ascii="Georgia" w:eastAsia="Georgia" w:hAnsi="Georgia" w:cs="Georgia"/>
      <w:color w:val="1A1A1A"/>
      <w:sz w:val="22"/>
      <w:szCs w:val="22"/>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6.emf"/><Relationship Id="rId21" Type="http://schemas.openxmlformats.org/officeDocument/2006/relationships/header" Target="header1.xml"/><Relationship Id="rId34" Type="http://schemas.openxmlformats.org/officeDocument/2006/relationships/image" Target="media/image14.emf"/><Relationship Id="rId42" Type="http://schemas.openxmlformats.org/officeDocument/2006/relationships/image" Target="media/image22.png"/><Relationship Id="rId47" Type="http://schemas.openxmlformats.org/officeDocument/2006/relationships/image" Target="media/image27.png"/><Relationship Id="rId50" Type="http://schemas.openxmlformats.org/officeDocument/2006/relationships/image" Target="media/image30.png"/><Relationship Id="rId55" Type="http://schemas.openxmlformats.org/officeDocument/2006/relationships/image" Target="media/image35.png"/><Relationship Id="rId63"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notifications/2024-116" TargetMode="External"/><Relationship Id="rId29" Type="http://schemas.openxmlformats.org/officeDocument/2006/relationships/image" Target="media/image9.emf"/><Relationship Id="rId11" Type="http://schemas.openxmlformats.org/officeDocument/2006/relationships/endnotes" Target="endnotes.xml"/><Relationship Id="rId24" Type="http://schemas.openxmlformats.org/officeDocument/2006/relationships/footer" Target="footer2.xml"/><Relationship Id="rId32" Type="http://schemas.openxmlformats.org/officeDocument/2006/relationships/image" Target="media/image12.emf"/><Relationship Id="rId37" Type="http://schemas.openxmlformats.org/officeDocument/2006/relationships/image" Target="media/image17.png"/><Relationship Id="rId40" Type="http://schemas.openxmlformats.org/officeDocument/2006/relationships/image" Target="media/image20.png"/><Relationship Id="rId45" Type="http://schemas.openxmlformats.org/officeDocument/2006/relationships/image" Target="media/image25.png"/><Relationship Id="rId53" Type="http://schemas.openxmlformats.org/officeDocument/2006/relationships/image" Target="media/image33.png"/><Relationship Id="rId58" Type="http://schemas.openxmlformats.org/officeDocument/2006/relationships/image" Target="media/image38.png"/><Relationship Id="rId5" Type="http://schemas.openxmlformats.org/officeDocument/2006/relationships/customXml" Target="../customXml/item5.xml"/><Relationship Id="rId61" Type="http://schemas.openxmlformats.org/officeDocument/2006/relationships/image" Target="media/image41.png"/><Relationship Id="rId19" Type="http://schemas.openxmlformats.org/officeDocument/2006/relationships/hyperlink" Target="https://www.cbd.int/doc/notifications/2024/ntf-2024-116-dsi-en.pdf" TargetMode="External"/><Relationship Id="rId14" Type="http://schemas.openxmlformats.org/officeDocument/2006/relationships/image" Target="media/image4.png"/><Relationship Id="rId22" Type="http://schemas.openxmlformats.org/officeDocument/2006/relationships/header" Target="header2.xml"/><Relationship Id="rId27" Type="http://schemas.openxmlformats.org/officeDocument/2006/relationships/image" Target="media/image7.emf"/><Relationship Id="rId30" Type="http://schemas.openxmlformats.org/officeDocument/2006/relationships/image" Target="media/image10.emf"/><Relationship Id="rId35" Type="http://schemas.openxmlformats.org/officeDocument/2006/relationships/image" Target="media/image15.emf"/><Relationship Id="rId43" Type="http://schemas.openxmlformats.org/officeDocument/2006/relationships/image" Target="media/image23.png"/><Relationship Id="rId48" Type="http://schemas.openxmlformats.org/officeDocument/2006/relationships/image" Target="media/image28.png"/><Relationship Id="rId56" Type="http://schemas.openxmlformats.org/officeDocument/2006/relationships/image" Target="media/image36.png"/><Relationship Id="rId64" Type="http://schemas.openxmlformats.org/officeDocument/2006/relationships/glossaryDocument" Target="glossary/document.xml"/><Relationship Id="rId8" Type="http://schemas.openxmlformats.org/officeDocument/2006/relationships/settings" Target="settings.xml"/><Relationship Id="rId51" Type="http://schemas.openxmlformats.org/officeDocument/2006/relationships/image" Target="media/image31.png"/><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cbd.int/documents/CBD/COP/17/6/ADD3" TargetMode="External"/><Relationship Id="rId25" Type="http://schemas.openxmlformats.org/officeDocument/2006/relationships/header" Target="header3.xml"/><Relationship Id="rId33" Type="http://schemas.openxmlformats.org/officeDocument/2006/relationships/image" Target="media/image13.png"/><Relationship Id="rId38" Type="http://schemas.openxmlformats.org/officeDocument/2006/relationships/image" Target="media/image18.png"/><Relationship Id="rId46" Type="http://schemas.openxmlformats.org/officeDocument/2006/relationships/image" Target="media/image26.png"/><Relationship Id="rId59" Type="http://schemas.openxmlformats.org/officeDocument/2006/relationships/image" Target="media/image39.png"/><Relationship Id="rId20" Type="http://schemas.openxmlformats.org/officeDocument/2006/relationships/image" Target="media/image5.emf"/><Relationship Id="rId41" Type="http://schemas.openxmlformats.org/officeDocument/2006/relationships/image" Target="media/image21.png"/><Relationship Id="rId54" Type="http://schemas.openxmlformats.org/officeDocument/2006/relationships/image" Target="media/image34.png"/><Relationship Id="rId62" Type="http://schemas.openxmlformats.org/officeDocument/2006/relationships/image" Target="media/image42.png"/><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cbd.int/doc/decisions/cop-16/cop-16-dec-02-en.pdf" TargetMode="External"/><Relationship Id="rId23" Type="http://schemas.openxmlformats.org/officeDocument/2006/relationships/footer" Target="footer1.xml"/><Relationship Id="rId28" Type="http://schemas.openxmlformats.org/officeDocument/2006/relationships/image" Target="media/image8.emf"/><Relationship Id="rId36" Type="http://schemas.openxmlformats.org/officeDocument/2006/relationships/image" Target="media/image16.emf"/><Relationship Id="rId49" Type="http://schemas.openxmlformats.org/officeDocument/2006/relationships/image" Target="media/image29.png"/><Relationship Id="rId57" Type="http://schemas.openxmlformats.org/officeDocument/2006/relationships/image" Target="media/image37.png"/><Relationship Id="rId10" Type="http://schemas.openxmlformats.org/officeDocument/2006/relationships/footnotes" Target="footnotes.xml"/><Relationship Id="rId31" Type="http://schemas.openxmlformats.org/officeDocument/2006/relationships/image" Target="media/image11.emf"/><Relationship Id="rId44" Type="http://schemas.openxmlformats.org/officeDocument/2006/relationships/image" Target="media/image24.png"/><Relationship Id="rId52" Type="http://schemas.openxmlformats.org/officeDocument/2006/relationships/image" Target="media/image32.png"/><Relationship Id="rId60" Type="http://schemas.openxmlformats.org/officeDocument/2006/relationships/image" Target="media/image40.png"/><Relationship Id="rId65"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notifications/2026-050" TargetMode="External"/><Relationship Id="rId39" Type="http://schemas.openxmlformats.org/officeDocument/2006/relationships/image" Target="media/image19.png"/></Relationships>
</file>

<file path=word/_rels/footnotes.xml.rels><?xml version="1.0" encoding="UTF-8" standalone="yes"?>
<Relationships xmlns="http://schemas.openxmlformats.org/package/2006/relationships"><Relationship Id="rId3" Type="http://schemas.openxmlformats.org/officeDocument/2006/relationships/hyperlink" Target="https://aws.amazon.com/health/genomics/" TargetMode="External"/><Relationship Id="rId2" Type="http://schemas.openxmlformats.org/officeDocument/2006/relationships/hyperlink" Target="https://www.lse.ac.uk/granthaminstitute/about/about-the-institute/" TargetMode="External"/><Relationship Id="rId1" Type="http://schemas.openxmlformats.org/officeDocument/2006/relationships/hyperlink" Target="https://www.cbd.int/documents/CBD/COP/17/1"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689300CA2444A60B12385EE98E4F90F"/>
        <w:category>
          <w:name w:val="General"/>
          <w:gallery w:val="placeholder"/>
        </w:category>
        <w:types>
          <w:type w:val="bbPlcHdr"/>
        </w:types>
        <w:behaviors>
          <w:behavior w:val="content"/>
        </w:behaviors>
        <w:guid w:val="{7AB64240-510C-4A04-AD1F-65B5BCAF9D94}"/>
      </w:docPartPr>
      <w:docPartBody>
        <w:p w:rsidR="00A6312B" w:rsidRDefault="00A6312B">
          <w:pPr>
            <w:pStyle w:val="C689300CA2444A60B12385EE98E4F90F"/>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Georgia">
    <w:panose1 w:val="02040502050405020303"/>
    <w:charset w:val="00"/>
    <w:family w:val="roman"/>
    <w:pitch w:val="variable"/>
    <w:sig w:usb0="00000287" w:usb1="00000000" w:usb2="00000000" w:usb3="00000000" w:csb0="0000009F" w:csb1="00000000"/>
  </w:font>
  <w:font w:name="Yu Mincho">
    <w:charset w:val="80"/>
    <w:family w:val="roman"/>
    <w:pitch w:val="variable"/>
    <w:sig w:usb0="800002E7" w:usb1="2AC7FCFF" w:usb2="00000012" w:usb3="00000000" w:csb0="0002009F" w:csb1="00000000"/>
  </w:font>
  <w:font w:name="Microsoft JhengHei">
    <w:panose1 w:val="020B0604030504040204"/>
    <w:charset w:val="88"/>
    <w:family w:val="swiss"/>
    <w:pitch w:val="variable"/>
    <w:sig w:usb0="000002A7" w:usb1="28CF4400" w:usb2="00000016" w:usb3="00000000" w:csb0="00100009" w:csb1="00000000"/>
  </w:font>
  <w:font w:name="Segoe UI Emoji">
    <w:panose1 w:val="020B0502040204020203"/>
    <w:charset w:val="00"/>
    <w:family w:val="swiss"/>
    <w:pitch w:val="variable"/>
    <w:sig w:usb0="00000003" w:usb1="02000000" w:usb2="08000000" w:usb3="00000000" w:csb0="00000001"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12B"/>
    <w:rsid w:val="001031DF"/>
    <w:rsid w:val="00145078"/>
    <w:rsid w:val="00205EF0"/>
    <w:rsid w:val="00247966"/>
    <w:rsid w:val="00254EB5"/>
    <w:rsid w:val="003A1108"/>
    <w:rsid w:val="00466864"/>
    <w:rsid w:val="00475487"/>
    <w:rsid w:val="004C3276"/>
    <w:rsid w:val="005F2B8D"/>
    <w:rsid w:val="00784276"/>
    <w:rsid w:val="007E0AC1"/>
    <w:rsid w:val="0082004A"/>
    <w:rsid w:val="00A51CAD"/>
    <w:rsid w:val="00A6312B"/>
    <w:rsid w:val="00AD0631"/>
    <w:rsid w:val="00B51FC6"/>
    <w:rsid w:val="00BF5EC8"/>
    <w:rsid w:val="00C65B88"/>
    <w:rsid w:val="00D04D76"/>
    <w:rsid w:val="00DC00DD"/>
    <w:rsid w:val="00DE7C49"/>
    <w:rsid w:val="00F2626E"/>
    <w:rsid w:val="00FB684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689300CA2444A60B12385EE98E4F90F">
    <w:name w:val="C689300CA2444A60B12385EE98E4F90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D7DE35C2-EF03-4384-BD44-D0D6293352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202</Pages>
  <Words>222468</Words>
  <Characters>1268071</Characters>
  <Application>Microsoft Office Word</Application>
  <DocSecurity>0</DocSecurity>
  <Lines>10567</Lines>
  <Paragraphs>2975</Paragraphs>
  <ScaleCrop>false</ScaleCrop>
  <Company>SCBD</Company>
  <LinksUpToDate>false</LinksUpToDate>
  <CharactersWithSpaces>1487564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Study on contribution rates, including implications for revenue generation and economic competitiveness and on national and international standards for the identification of the small, medium and large entities</dc:title>
  <dc:subject>CBD/COP/17/--</dc:subject>
  <dc:creator>Secretariat of the Convention on Biological Diversity</dc:creator>
  <cp:keywords>Convention on Biological Diversity</cp:keywords>
  <cp:lastModifiedBy>Veronique Lefebvre</cp:lastModifiedBy>
  <cp:revision>6</cp:revision>
  <cp:lastPrinted>2020-01-21T16:56:00Z</cp:lastPrinted>
  <dcterms:created xsi:type="dcterms:W3CDTF">2026-09-29T19:43:00Z</dcterms:created>
  <dcterms:modified xsi:type="dcterms:W3CDTF">2026-09-30T21:04:00Z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