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C094B" w14:textId="77777777" w:rsidR="00591382" w:rsidRPr="003B5AD4" w:rsidRDefault="00591382" w:rsidP="00591382">
      <w:pPr>
        <w:jc w:val="center"/>
        <w:rPr>
          <w:rStyle w:val="Titre1Car"/>
          <w:szCs w:val="22"/>
          <w:lang w:val="fr-FR"/>
        </w:rPr>
      </w:pPr>
      <w:r w:rsidRPr="003B5AD4">
        <w:rPr>
          <w:rStyle w:val="Titre1Car"/>
          <w:szCs w:val="22"/>
          <w:lang w:val="fr-FR"/>
        </w:rPr>
        <w:t xml:space="preserve">TEXTE DES CO-PRÉSIDENTS </w:t>
      </w:r>
    </w:p>
    <w:p w14:paraId="214D3BFC" w14:textId="2EED54E5" w:rsidR="00AE0E87" w:rsidRPr="003B5AD4" w:rsidRDefault="00591382" w:rsidP="00591382">
      <w:pPr>
        <w:jc w:val="center"/>
        <w:rPr>
          <w:rFonts w:cstheme="majorBidi"/>
          <w:b/>
          <w:caps/>
          <w:szCs w:val="22"/>
          <w:lang w:val="fr-FR"/>
        </w:rPr>
      </w:pPr>
      <w:r w:rsidRPr="003B5AD4">
        <w:rPr>
          <w:rStyle w:val="Titre1Car"/>
          <w:szCs w:val="22"/>
          <w:lang w:val="fr-FR"/>
        </w:rPr>
        <w:t>GROUPE DE CONTACT SUR LE POINT 6</w:t>
      </w:r>
    </w:p>
    <w:p w14:paraId="5BFFFC05" w14:textId="7D3191B4" w:rsidR="0072144E" w:rsidRPr="003B5AD4" w:rsidRDefault="00591382" w:rsidP="00A70D05">
      <w:pPr>
        <w:pStyle w:val="Titre2"/>
        <w:suppressLineNumbers/>
        <w:tabs>
          <w:tab w:val="clear" w:pos="720"/>
        </w:tabs>
        <w:suppressAutoHyphens/>
        <w:rPr>
          <w:caps/>
          <w:snapToGrid w:val="0"/>
          <w:szCs w:val="22"/>
          <w:lang w:val="fr-FR"/>
        </w:rPr>
      </w:pPr>
      <w:bookmarkStart w:id="0" w:name="_Hlk37343827"/>
      <w:r w:rsidRPr="003B5AD4">
        <w:rPr>
          <w:caps/>
          <w:snapToGrid w:val="0"/>
          <w:szCs w:val="22"/>
          <w:lang w:val="fr-FR"/>
        </w:rPr>
        <w:t>projet d</w:t>
      </w:r>
      <w:r w:rsidR="00713803" w:rsidRPr="003B5AD4">
        <w:rPr>
          <w:caps/>
          <w:snapToGrid w:val="0"/>
          <w:szCs w:val="22"/>
          <w:lang w:val="fr-FR"/>
        </w:rPr>
        <w:t>’</w:t>
      </w:r>
      <w:r w:rsidR="007011DF">
        <w:rPr>
          <w:caps/>
          <w:snapToGrid w:val="0"/>
          <w:szCs w:val="22"/>
          <w:lang w:val="fr-FR"/>
        </w:rPr>
        <w:t>É</w:t>
      </w:r>
      <w:r w:rsidR="00713803" w:rsidRPr="003B5AD4">
        <w:rPr>
          <w:caps/>
          <w:snapToGrid w:val="0"/>
          <w:szCs w:val="22"/>
          <w:lang w:val="fr-FR"/>
        </w:rPr>
        <w:t>l</w:t>
      </w:r>
      <w:r w:rsidR="007011DF">
        <w:rPr>
          <w:caps/>
          <w:snapToGrid w:val="0"/>
          <w:szCs w:val="22"/>
          <w:lang w:val="fr-FR"/>
        </w:rPr>
        <w:t>É</w:t>
      </w:r>
      <w:r w:rsidR="00713803" w:rsidRPr="003B5AD4">
        <w:rPr>
          <w:caps/>
          <w:snapToGrid w:val="0"/>
          <w:szCs w:val="22"/>
          <w:lang w:val="fr-FR"/>
        </w:rPr>
        <w:t>ments relatifs à la</w:t>
      </w:r>
      <w:r w:rsidRPr="003B5AD4">
        <w:rPr>
          <w:caps/>
          <w:snapToGrid w:val="0"/>
          <w:szCs w:val="22"/>
          <w:lang w:val="fr-FR"/>
        </w:rPr>
        <w:t xml:space="preserve"> mobilisation des ressources </w:t>
      </w:r>
      <w:r w:rsidR="00713803" w:rsidRPr="003B5AD4">
        <w:rPr>
          <w:caps/>
          <w:snapToGrid w:val="0"/>
          <w:szCs w:val="22"/>
          <w:lang w:val="fr-FR"/>
        </w:rPr>
        <w:t>aux fins du</w:t>
      </w:r>
      <w:r w:rsidRPr="003B5AD4">
        <w:rPr>
          <w:caps/>
          <w:snapToGrid w:val="0"/>
          <w:szCs w:val="22"/>
          <w:lang w:val="fr-FR"/>
        </w:rPr>
        <w:t xml:space="preserve"> cadre mondial de la biodiversit</w:t>
      </w:r>
      <w:r w:rsidR="007011DF">
        <w:rPr>
          <w:caps/>
          <w:snapToGrid w:val="0"/>
          <w:szCs w:val="22"/>
          <w:lang w:val="fr-FR"/>
        </w:rPr>
        <w:t>É</w:t>
      </w:r>
      <w:r w:rsidRPr="003B5AD4">
        <w:rPr>
          <w:caps/>
          <w:snapToGrid w:val="0"/>
          <w:szCs w:val="22"/>
          <w:lang w:val="fr-FR"/>
        </w:rPr>
        <w:t xml:space="preserve"> pour l'apr</w:t>
      </w:r>
      <w:r w:rsidR="007011DF">
        <w:rPr>
          <w:caps/>
          <w:snapToGrid w:val="0"/>
          <w:szCs w:val="22"/>
          <w:lang w:val="fr-FR"/>
        </w:rPr>
        <w:t>È</w:t>
      </w:r>
      <w:r w:rsidRPr="003B5AD4">
        <w:rPr>
          <w:caps/>
          <w:snapToGrid w:val="0"/>
          <w:szCs w:val="22"/>
          <w:lang w:val="fr-FR"/>
        </w:rPr>
        <w:t>s-2020</w:t>
      </w:r>
    </w:p>
    <w:p w14:paraId="4C8F5DBB" w14:textId="77777777" w:rsidR="00D244A3" w:rsidRPr="003B5AD4" w:rsidRDefault="00D244A3" w:rsidP="00D17F87">
      <w:pPr>
        <w:rPr>
          <w:szCs w:val="22"/>
          <w:lang w:val="fr-FR"/>
        </w:rPr>
      </w:pPr>
    </w:p>
    <w:p w14:paraId="399DB8D9" w14:textId="4EFE18A5" w:rsidR="00C43FBD" w:rsidRPr="003B5AD4" w:rsidRDefault="00B42445" w:rsidP="001545C0">
      <w:pPr>
        <w:pStyle w:val="Titre1"/>
        <w:tabs>
          <w:tab w:val="clear" w:pos="720"/>
          <w:tab w:val="left" w:pos="426"/>
        </w:tabs>
        <w:spacing w:before="120"/>
        <w:rPr>
          <w:szCs w:val="22"/>
          <w:lang w:val="fr-FR"/>
        </w:rPr>
      </w:pPr>
      <w:r w:rsidRPr="003B5AD4">
        <w:rPr>
          <w:szCs w:val="22"/>
          <w:lang w:val="fr-FR"/>
        </w:rPr>
        <w:t>I.</w:t>
      </w:r>
      <w:r w:rsidRPr="003B5AD4">
        <w:rPr>
          <w:szCs w:val="22"/>
          <w:lang w:val="fr-FR"/>
        </w:rPr>
        <w:tab/>
      </w:r>
      <w:r w:rsidR="00C43FBD" w:rsidRPr="003B5AD4">
        <w:rPr>
          <w:szCs w:val="22"/>
          <w:lang w:val="fr-FR"/>
        </w:rPr>
        <w:t>Introduct</w:t>
      </w:r>
      <w:r w:rsidR="00D25A97" w:rsidRPr="003B5AD4">
        <w:rPr>
          <w:szCs w:val="22"/>
          <w:lang w:val="fr-FR"/>
        </w:rPr>
        <w:t>ion</w:t>
      </w:r>
    </w:p>
    <w:p w14:paraId="6F1CF1FE" w14:textId="7BC7EC6C" w:rsidR="0007296F" w:rsidRPr="003B5AD4" w:rsidRDefault="00B755C7" w:rsidP="00FD2617">
      <w:pPr>
        <w:spacing w:before="120"/>
        <w:rPr>
          <w:szCs w:val="22"/>
          <w:lang w:val="fr-FR"/>
        </w:rPr>
      </w:pPr>
      <w:r w:rsidRPr="003B5AD4">
        <w:rPr>
          <w:szCs w:val="22"/>
          <w:lang w:val="fr-FR"/>
        </w:rPr>
        <w:t>1.</w:t>
      </w:r>
      <w:r w:rsidRPr="003B5AD4">
        <w:rPr>
          <w:szCs w:val="22"/>
          <w:lang w:val="fr-FR"/>
        </w:rPr>
        <w:tab/>
      </w:r>
      <w:r w:rsidR="00713803" w:rsidRPr="003B5AD4">
        <w:rPr>
          <w:szCs w:val="22"/>
          <w:lang w:val="fr-FR"/>
        </w:rPr>
        <w:t xml:space="preserve">Le présent document a été élaboré par les coprésidentes du Groupe de contact sur le point 6, Mme </w:t>
      </w:r>
      <w:proofErr w:type="spellStart"/>
      <w:r w:rsidR="00713803" w:rsidRPr="003B5AD4">
        <w:rPr>
          <w:szCs w:val="22"/>
          <w:lang w:val="fr-FR"/>
        </w:rPr>
        <w:t>Teona</w:t>
      </w:r>
      <w:proofErr w:type="spellEnd"/>
      <w:r w:rsidR="00713803" w:rsidRPr="003B5AD4">
        <w:rPr>
          <w:szCs w:val="22"/>
          <w:lang w:val="fr-FR"/>
        </w:rPr>
        <w:t xml:space="preserve"> </w:t>
      </w:r>
      <w:proofErr w:type="spellStart"/>
      <w:r w:rsidR="00713803" w:rsidRPr="003B5AD4">
        <w:rPr>
          <w:szCs w:val="22"/>
          <w:lang w:val="fr-FR"/>
        </w:rPr>
        <w:t>Karchava</w:t>
      </w:r>
      <w:proofErr w:type="spellEnd"/>
      <w:r w:rsidR="00713803" w:rsidRPr="003B5AD4">
        <w:rPr>
          <w:szCs w:val="22"/>
          <w:lang w:val="fr-FR"/>
        </w:rPr>
        <w:t xml:space="preserve"> (Géorgie) et Mme </w:t>
      </w:r>
      <w:proofErr w:type="spellStart"/>
      <w:r w:rsidR="00713803" w:rsidRPr="003B5AD4">
        <w:rPr>
          <w:szCs w:val="22"/>
          <w:lang w:val="fr-FR"/>
        </w:rPr>
        <w:t>Ines</w:t>
      </w:r>
      <w:proofErr w:type="spellEnd"/>
      <w:r w:rsidR="00713803" w:rsidRPr="003B5AD4">
        <w:rPr>
          <w:szCs w:val="22"/>
          <w:lang w:val="fr-FR"/>
        </w:rPr>
        <w:t xml:space="preserve"> </w:t>
      </w:r>
      <w:proofErr w:type="spellStart"/>
      <w:r w:rsidR="00713803" w:rsidRPr="003B5AD4">
        <w:rPr>
          <w:szCs w:val="22"/>
          <w:lang w:val="fr-FR"/>
        </w:rPr>
        <w:t>Verleye</w:t>
      </w:r>
      <w:proofErr w:type="spellEnd"/>
      <w:r w:rsidR="00713803" w:rsidRPr="003B5AD4">
        <w:rPr>
          <w:szCs w:val="22"/>
          <w:lang w:val="fr-FR"/>
        </w:rPr>
        <w:t xml:space="preserve"> (Belgique), sur la base des contributions reçues des délégués. Il s'agit d'une synthèse des points de vue sur la mobilisation des ressources, exprimés lors de la session plénière de l'Organe subsidiaire chargé de l'application le 17 mai 2021, des sessions informelles de l'Organe subsidiaire le 9 mars 2021 et des sessions du Groupe de contact au titre du point 6 de l'ordre du jour de l'Organe subsidiaire (19 mai au </w:t>
      </w:r>
      <w:r w:rsidR="00694043">
        <w:rPr>
          <w:szCs w:val="22"/>
          <w:lang w:val="fr-FR"/>
        </w:rPr>
        <w:t>9</w:t>
      </w:r>
      <w:r w:rsidR="00713803" w:rsidRPr="003B5AD4">
        <w:rPr>
          <w:szCs w:val="22"/>
          <w:lang w:val="fr-FR"/>
        </w:rPr>
        <w:t xml:space="preserve"> juin 2021). En vue de rationaliser les conseils aux coprésidents du Groupe de travail à composition non limitée sur le Cadre mondial de la biodiversité pour l'après-2020, une action a également été menée pour recenser les éléments pertinents en matière de mobilisation des ressources soulevés au titre d'autres points de l'ordre du jour</w:t>
      </w:r>
      <w:r w:rsidR="000B1D7B" w:rsidRPr="003B5AD4">
        <w:rPr>
          <w:szCs w:val="22"/>
          <w:lang w:val="fr-FR"/>
        </w:rPr>
        <w:t>.</w:t>
      </w:r>
    </w:p>
    <w:p w14:paraId="7886C4D5" w14:textId="36B826BD" w:rsidR="00B755C7" w:rsidRPr="003B5AD4" w:rsidRDefault="0007296F" w:rsidP="00FD2617">
      <w:pPr>
        <w:spacing w:before="120"/>
        <w:rPr>
          <w:szCs w:val="22"/>
          <w:lang w:val="fr-FR"/>
        </w:rPr>
      </w:pPr>
      <w:r w:rsidRPr="003B5AD4">
        <w:rPr>
          <w:szCs w:val="22"/>
          <w:lang w:val="fr-FR"/>
        </w:rPr>
        <w:t>2.</w:t>
      </w:r>
      <w:r w:rsidRPr="003B5AD4">
        <w:rPr>
          <w:szCs w:val="22"/>
          <w:lang w:val="fr-FR"/>
        </w:rPr>
        <w:tab/>
      </w:r>
      <w:r w:rsidR="00713803" w:rsidRPr="003B5AD4">
        <w:rPr>
          <w:szCs w:val="22"/>
          <w:lang w:val="fr-FR"/>
        </w:rPr>
        <w:t>Compte tenu du mandat spécifique du Groupe de travail à composition non limitée, le contenu de la présente note n'a pas été négocié par les Parties et n'implique pas qu'un accord ou un consensus ait été atteint sur une partie quelconque de ce texte. Ce document n'est pas destiné à remplacer les interventions des Parties et des observateurs lors des réunions susmentionnées, qui seront également à la disposition des coprésidents du Groupe de travail, ainsi que les recommandations du Groupe d'experts. Il présente plutôt une structure qui reflète les différents axes et éléments que les Parties considèrent comme importants pour intégrer la mobilisation des ressources dans le Cadre mondial de la biodiversité pour l'après-2020. L'objectif de ce document est de fournir des conseils aux coprésidents du Groupe de travail à composition non limitée sur les éléments clés et leurs interdépendances lors de l'élaboration du premier projet de cadre mondial de la biodiversité pour l'après-2020. Il ne suggère pas de choix entre ces éléments afin de ne pas préjuger d'éventuelles négociations entre les parties lors de la troisième réunion du groupe de travail à composition non limitée</w:t>
      </w:r>
      <w:r w:rsidR="00B755C7" w:rsidRPr="003B5AD4">
        <w:rPr>
          <w:szCs w:val="22"/>
          <w:lang w:val="fr-FR"/>
        </w:rPr>
        <w:t>.</w:t>
      </w:r>
    </w:p>
    <w:p w14:paraId="1492730C" w14:textId="7838622D" w:rsidR="0036087D" w:rsidRPr="003B5AD4" w:rsidRDefault="000301A0" w:rsidP="00FD2617">
      <w:pPr>
        <w:spacing w:before="120"/>
        <w:rPr>
          <w:szCs w:val="22"/>
          <w:lang w:val="fr-FR"/>
        </w:rPr>
      </w:pPr>
      <w:r w:rsidRPr="003B5AD4">
        <w:rPr>
          <w:szCs w:val="22"/>
          <w:lang w:val="fr-FR"/>
        </w:rPr>
        <w:t>3</w:t>
      </w:r>
      <w:r w:rsidR="00B755C7" w:rsidRPr="003B5AD4">
        <w:rPr>
          <w:szCs w:val="22"/>
          <w:lang w:val="fr-FR"/>
        </w:rPr>
        <w:t>.</w:t>
      </w:r>
      <w:r w:rsidR="00B755C7" w:rsidRPr="003B5AD4">
        <w:rPr>
          <w:szCs w:val="22"/>
          <w:lang w:val="fr-FR"/>
        </w:rPr>
        <w:tab/>
      </w:r>
      <w:r w:rsidR="00713803" w:rsidRPr="003B5AD4">
        <w:rPr>
          <w:szCs w:val="22"/>
          <w:lang w:val="fr-FR"/>
        </w:rPr>
        <w:t>Le projet actuel de Cadre mondial de la biodiversité pour l'après-2020 fournit un certain nombre de points d'entrée potentiels pour examiner la question de la mobilisation des ressources, indépendamment de l'évolution future du Cadre et de la prérogative des Parties à la troisième réunion du Groupe de travail sur le Cadre mondial d'orienter cette évolution. Par exemple, dans le projet actuel de Cadre mondial, la question des éléments liés à la mobilisation des ressources pourrait être incluse dans : les objectifs à l'horizon 2050 ; les jalons à l'horizon 2030 ; les cibles d'action à l'horizon 2030, en particulier la section sur les outils et les solutions ; la section F sur les mécanismes de soutien à la mise en œuvre ; et les indicateurs et le cadre de suivi. La mobilisation des ressources pourrait également être abordée, ou soulignée, dans la décision de la COP-15 approuvant le Cadre mondial de la biodiversité pour l'après-2020, ainsi que dans une décision complémentaire sur la mobilisation des ressources ou une éventuelle nouvelle stratégie de mobilisation des ressources. En outre, la mobilisation des ressources est également mentionnée en relation avec plusieurs autres points transversaux, y compris l'intégration, le renforcement des capacités, les transferts de technologie, la gestion des connaissances, le partage des avantages, la planification nationale et l'établissement de rapports</w:t>
      </w:r>
      <w:r w:rsidR="007D1E00" w:rsidRPr="003B5AD4">
        <w:rPr>
          <w:szCs w:val="22"/>
          <w:lang w:val="fr-FR"/>
        </w:rPr>
        <w:t>.</w:t>
      </w:r>
    </w:p>
    <w:p w14:paraId="01EE880D" w14:textId="261B4B5D" w:rsidR="00B755C7" w:rsidRPr="003B5AD4" w:rsidRDefault="000301A0" w:rsidP="00FD2617">
      <w:pPr>
        <w:spacing w:before="120"/>
        <w:rPr>
          <w:szCs w:val="22"/>
          <w:lang w:val="fr-FR"/>
        </w:rPr>
      </w:pPr>
      <w:r w:rsidRPr="003B5AD4">
        <w:rPr>
          <w:szCs w:val="22"/>
          <w:lang w:val="fr-FR"/>
        </w:rPr>
        <w:t>4</w:t>
      </w:r>
      <w:r w:rsidR="0036087D" w:rsidRPr="003B5AD4">
        <w:rPr>
          <w:szCs w:val="22"/>
          <w:lang w:val="fr-FR"/>
        </w:rPr>
        <w:t>.</w:t>
      </w:r>
      <w:r w:rsidR="0036087D" w:rsidRPr="003B5AD4">
        <w:rPr>
          <w:szCs w:val="22"/>
          <w:lang w:val="fr-FR"/>
        </w:rPr>
        <w:tab/>
      </w:r>
      <w:r w:rsidR="00633963" w:rsidRPr="003B5AD4">
        <w:rPr>
          <w:szCs w:val="22"/>
          <w:lang w:val="fr-FR"/>
        </w:rPr>
        <w:t>Les conseils ci-dessous visent à fournir une vue d'ensemble des éléments considérés comme importants à aborder en ce qui concerne la façon dont la mobilisation des ressources est traitée dans l'élaboration et la mise en œuvre du Cadre mondial de la biodiversité, sans spécifier où ces éléments individuels devraient être reflétés, car il appartiendra aux Parties de le décider lors de la troisième réunion du Groupe de travail sur le Cadre mondial ou lors de la quinzième réunion de la Conférence des Parties</w:t>
      </w:r>
      <w:r w:rsidR="0095648F" w:rsidRPr="003B5AD4">
        <w:rPr>
          <w:szCs w:val="22"/>
          <w:lang w:val="fr-FR"/>
        </w:rPr>
        <w:t>.</w:t>
      </w:r>
    </w:p>
    <w:p w14:paraId="648F807C" w14:textId="64559B4B" w:rsidR="00D244A3" w:rsidRPr="003B5AD4" w:rsidRDefault="000301A0" w:rsidP="00512011">
      <w:pPr>
        <w:spacing w:before="120"/>
        <w:rPr>
          <w:szCs w:val="22"/>
          <w:lang w:val="fr-FR"/>
        </w:rPr>
      </w:pPr>
      <w:r w:rsidRPr="003B5AD4">
        <w:rPr>
          <w:szCs w:val="22"/>
          <w:lang w:val="fr-FR"/>
        </w:rPr>
        <w:t>5</w:t>
      </w:r>
      <w:r w:rsidR="008B00AE" w:rsidRPr="003B5AD4">
        <w:rPr>
          <w:szCs w:val="22"/>
          <w:lang w:val="fr-FR"/>
        </w:rPr>
        <w:t>.</w:t>
      </w:r>
      <w:r w:rsidR="008B00AE" w:rsidRPr="003B5AD4">
        <w:rPr>
          <w:szCs w:val="22"/>
          <w:lang w:val="fr-FR"/>
        </w:rPr>
        <w:tab/>
      </w:r>
      <w:r w:rsidR="00633963" w:rsidRPr="003B5AD4">
        <w:rPr>
          <w:szCs w:val="22"/>
          <w:lang w:val="fr-FR"/>
        </w:rPr>
        <w:t xml:space="preserve">Le texte est structuré comme suit. Après cette section introductive, la section II indique, à partir des points de vue exprimés par les Parties, un certain nombre de grands principes susceptibles de guider les réflexions sur la mobilisation des ressources pour la décennie à venir. La section III recense une série d'éléments susceptibles de refléter l'ambition ainsi que les voies possibles pour atteindre les résultats requis. Enfin, la section IV expose </w:t>
      </w:r>
      <w:r w:rsidR="00633963" w:rsidRPr="003B5AD4">
        <w:rPr>
          <w:szCs w:val="22"/>
          <w:lang w:val="fr-FR"/>
        </w:rPr>
        <w:lastRenderedPageBreak/>
        <w:t>certains des instruments clés que peuvent utiliser les Parties et d'autres acteurs pour aborder la mobilisation des ressources en tant que question transversale</w:t>
      </w:r>
      <w:r w:rsidR="008B0DD7" w:rsidRPr="003B5AD4">
        <w:rPr>
          <w:szCs w:val="22"/>
          <w:lang w:val="fr-FR"/>
        </w:rPr>
        <w:t>.</w:t>
      </w:r>
    </w:p>
    <w:p w14:paraId="4586A712" w14:textId="1F681C2D" w:rsidR="00AE0E87" w:rsidRPr="003B5AD4" w:rsidRDefault="00B42445" w:rsidP="00D45E15">
      <w:pPr>
        <w:pStyle w:val="Titre1"/>
        <w:tabs>
          <w:tab w:val="clear" w:pos="720"/>
          <w:tab w:val="left" w:pos="426"/>
        </w:tabs>
        <w:rPr>
          <w:lang w:val="fr-FR"/>
        </w:rPr>
      </w:pPr>
      <w:r w:rsidRPr="003B5AD4">
        <w:rPr>
          <w:lang w:val="fr-FR"/>
        </w:rPr>
        <w:t>II.</w:t>
      </w:r>
      <w:r w:rsidRPr="003B5AD4">
        <w:rPr>
          <w:lang w:val="fr-FR"/>
        </w:rPr>
        <w:tab/>
      </w:r>
      <w:r w:rsidR="00633963" w:rsidRPr="003B5AD4">
        <w:rPr>
          <w:lang w:val="fr-FR"/>
        </w:rPr>
        <w:t>PRINCIPES RELATIFS À LA MOBILISATION DES RESSOURCES</w:t>
      </w:r>
    </w:p>
    <w:p w14:paraId="4FC35139" w14:textId="22066557" w:rsidR="00340B52" w:rsidRPr="003B5AD4" w:rsidRDefault="000301A0" w:rsidP="00AE0E87">
      <w:pPr>
        <w:rPr>
          <w:szCs w:val="22"/>
          <w:lang w:val="fr-FR"/>
        </w:rPr>
      </w:pPr>
      <w:r w:rsidRPr="003B5AD4">
        <w:rPr>
          <w:szCs w:val="22"/>
          <w:lang w:val="fr-FR"/>
        </w:rPr>
        <w:t>6</w:t>
      </w:r>
      <w:r w:rsidR="0036087D" w:rsidRPr="003B5AD4">
        <w:rPr>
          <w:szCs w:val="22"/>
          <w:lang w:val="fr-FR"/>
        </w:rPr>
        <w:t>.</w:t>
      </w:r>
      <w:r w:rsidR="002B0FF8" w:rsidRPr="003B5AD4">
        <w:rPr>
          <w:szCs w:val="22"/>
          <w:lang w:val="fr-FR"/>
        </w:rPr>
        <w:tab/>
      </w:r>
      <w:r w:rsidR="00633963" w:rsidRPr="003B5AD4">
        <w:rPr>
          <w:szCs w:val="22"/>
          <w:lang w:val="fr-FR"/>
        </w:rPr>
        <w:t>Pour combler le déficit de financement de la biodiversité mondiale, il faudra aborder la question sous différents angles et au moyen de plusieurs mécanismes simultanément. Il est nécessaire d'agir parallèlement sur différentes voies pour faire en sorte qu'une mobilisation accrue des ressources se traduise par des progrès concrets au niveau national afin d'aider les Parties à mettre en œuvre leurs objectifs nationaux en matière de biodiversité et à atteindre les cibles mondiales du Cadre mondial de la biodiversité</w:t>
      </w:r>
      <w:r w:rsidR="00340B52" w:rsidRPr="003B5AD4">
        <w:rPr>
          <w:szCs w:val="22"/>
          <w:lang w:val="fr-FR"/>
        </w:rPr>
        <w:t>.</w:t>
      </w:r>
    </w:p>
    <w:p w14:paraId="724AEDD9" w14:textId="3A40346A" w:rsidR="00B5030C" w:rsidRPr="003B5AD4" w:rsidRDefault="000301A0" w:rsidP="000175E8">
      <w:pPr>
        <w:spacing w:before="120" w:after="120"/>
        <w:rPr>
          <w:szCs w:val="22"/>
          <w:lang w:val="fr-FR"/>
        </w:rPr>
      </w:pPr>
      <w:r w:rsidRPr="003B5AD4">
        <w:rPr>
          <w:szCs w:val="22"/>
          <w:lang w:val="fr-FR"/>
        </w:rPr>
        <w:t>7</w:t>
      </w:r>
      <w:r w:rsidR="00340B52" w:rsidRPr="003B5AD4">
        <w:rPr>
          <w:szCs w:val="22"/>
          <w:lang w:val="fr-FR"/>
        </w:rPr>
        <w:t xml:space="preserve">. </w:t>
      </w:r>
      <w:r w:rsidR="00340B52" w:rsidRPr="003B5AD4">
        <w:rPr>
          <w:szCs w:val="22"/>
          <w:lang w:val="fr-FR"/>
        </w:rPr>
        <w:tab/>
      </w:r>
      <w:r w:rsidR="00633963" w:rsidRPr="003B5AD4">
        <w:rPr>
          <w:szCs w:val="22"/>
          <w:lang w:val="fr-FR"/>
        </w:rPr>
        <w:t>Il sera important de tenir compte du caractère multidimensionnel et transversal de la mobilisation des ressources dans les résultats de la quinzième réunion de la Conférence des Parties. Afin de faciliter ces discussions de manière équilibrée, plusieurs principes ont été mentionnés par les délégués. Ceux-ci sont repris dans la liste suivante, qui n'implique toutefois pas une approbation de leur pertinence pour les discussions sur la mobilisation des ressources dans le cadre de la Convention, ni une hiérarchie, une sélection ou un ordre d'importance</w:t>
      </w:r>
      <w:r w:rsidR="008B51A2" w:rsidRPr="003B5AD4">
        <w:rPr>
          <w:szCs w:val="22"/>
          <w:lang w:val="fr-FR"/>
        </w:rPr>
        <w:t xml:space="preserve">. Ces principes sont les suivants </w:t>
      </w:r>
      <w:r w:rsidR="00566F0F" w:rsidRPr="003B5AD4">
        <w:rPr>
          <w:szCs w:val="22"/>
          <w:lang w:val="fr-FR"/>
        </w:rPr>
        <w:t>:</w:t>
      </w:r>
    </w:p>
    <w:p w14:paraId="4476A640" w14:textId="4184EC0F" w:rsidR="001A6904" w:rsidRPr="003B5AD4" w:rsidRDefault="008B51A2" w:rsidP="00AE38E1">
      <w:pPr>
        <w:pStyle w:val="Paragraphedeliste"/>
        <w:numPr>
          <w:ilvl w:val="0"/>
          <w:numId w:val="6"/>
        </w:numPr>
        <w:spacing w:after="120"/>
        <w:ind w:left="0" w:firstLine="720"/>
        <w:contextualSpacing w:val="0"/>
        <w:rPr>
          <w:szCs w:val="22"/>
          <w:lang w:val="fr-FR"/>
        </w:rPr>
      </w:pPr>
      <w:r w:rsidRPr="003B5AD4">
        <w:rPr>
          <w:szCs w:val="22"/>
          <w:lang w:val="fr-FR"/>
        </w:rPr>
        <w:t xml:space="preserve">Faire partie intégrante du cadre mondial de la biodiversité pour l'après-2020 et être à la hauteur de son ambition </w:t>
      </w:r>
      <w:r w:rsidR="00833ACF" w:rsidRPr="003B5AD4">
        <w:rPr>
          <w:rFonts w:asciiTheme="majorBidi" w:hAnsiTheme="majorBidi" w:cstheme="majorBidi"/>
          <w:szCs w:val="22"/>
          <w:lang w:val="fr-FR"/>
        </w:rPr>
        <w:t>;</w:t>
      </w:r>
    </w:p>
    <w:p w14:paraId="4F0BBE26" w14:textId="36F6CBBB" w:rsidR="00E53CDB" w:rsidRPr="003B5AD4" w:rsidRDefault="008B51A2" w:rsidP="00AE38E1">
      <w:pPr>
        <w:pStyle w:val="Paragraphedeliste"/>
        <w:numPr>
          <w:ilvl w:val="0"/>
          <w:numId w:val="6"/>
        </w:numPr>
        <w:spacing w:after="120"/>
        <w:ind w:left="0" w:firstLine="720"/>
        <w:contextualSpacing w:val="0"/>
        <w:rPr>
          <w:szCs w:val="22"/>
          <w:lang w:val="fr-FR"/>
        </w:rPr>
      </w:pPr>
      <w:r w:rsidRPr="003B5AD4">
        <w:rPr>
          <w:szCs w:val="22"/>
          <w:lang w:val="fr-FR"/>
        </w:rPr>
        <w:t xml:space="preserve">Soutenir les trois objectifs de la Convention et de ses protocoles </w:t>
      </w:r>
      <w:r w:rsidR="00833ACF" w:rsidRPr="003B5AD4">
        <w:rPr>
          <w:szCs w:val="22"/>
          <w:lang w:val="fr-FR"/>
        </w:rPr>
        <w:t>;</w:t>
      </w:r>
    </w:p>
    <w:p w14:paraId="5BB37FA8" w14:textId="3E43021B" w:rsidR="00FC6DDF" w:rsidRPr="003B5AD4" w:rsidRDefault="008B51A2" w:rsidP="00AE38E1">
      <w:pPr>
        <w:pStyle w:val="Paragraphedeliste"/>
        <w:numPr>
          <w:ilvl w:val="0"/>
          <w:numId w:val="6"/>
        </w:numPr>
        <w:spacing w:after="120"/>
        <w:ind w:left="0" w:firstLine="720"/>
        <w:contextualSpacing w:val="0"/>
        <w:rPr>
          <w:szCs w:val="22"/>
          <w:lang w:val="fr-FR"/>
        </w:rPr>
      </w:pPr>
      <w:r w:rsidRPr="003B5AD4">
        <w:rPr>
          <w:szCs w:val="22"/>
          <w:lang w:val="fr-FR"/>
        </w:rPr>
        <w:t xml:space="preserve">Être </w:t>
      </w:r>
      <w:proofErr w:type="gramStart"/>
      <w:r w:rsidRPr="003B5AD4">
        <w:rPr>
          <w:szCs w:val="22"/>
          <w:lang w:val="fr-FR"/>
        </w:rPr>
        <w:t>cohérent</w:t>
      </w:r>
      <w:proofErr w:type="gramEnd"/>
      <w:r w:rsidRPr="003B5AD4">
        <w:rPr>
          <w:szCs w:val="22"/>
          <w:lang w:val="fr-FR"/>
        </w:rPr>
        <w:t xml:space="preserve"> et en harmonie avec la Convention et les autres obligations internationales pertinentes</w:t>
      </w:r>
      <w:r w:rsidR="00D130EF">
        <w:rPr>
          <w:szCs w:val="22"/>
          <w:lang w:val="fr-FR"/>
        </w:rPr>
        <w:t xml:space="preserve"> </w:t>
      </w:r>
      <w:r w:rsidR="00833ACF" w:rsidRPr="003B5AD4">
        <w:rPr>
          <w:szCs w:val="22"/>
          <w:lang w:val="fr-FR"/>
        </w:rPr>
        <w:t>;</w:t>
      </w:r>
    </w:p>
    <w:p w14:paraId="39895482" w14:textId="1CC14A10" w:rsidR="00FC6DDF" w:rsidRDefault="008B51A2" w:rsidP="00AE38E1">
      <w:pPr>
        <w:pStyle w:val="Paragraphedeliste"/>
        <w:numPr>
          <w:ilvl w:val="0"/>
          <w:numId w:val="6"/>
        </w:numPr>
        <w:spacing w:after="120"/>
        <w:ind w:left="0" w:firstLine="720"/>
        <w:contextualSpacing w:val="0"/>
        <w:rPr>
          <w:szCs w:val="22"/>
          <w:lang w:val="fr-FR"/>
        </w:rPr>
      </w:pPr>
      <w:r w:rsidRPr="003B5AD4">
        <w:rPr>
          <w:szCs w:val="22"/>
          <w:lang w:val="fr-FR"/>
        </w:rPr>
        <w:t>Être en conformité avec les articles 20 et 21 de la Convention</w:t>
      </w:r>
      <w:r w:rsidR="00D130EF">
        <w:rPr>
          <w:szCs w:val="22"/>
          <w:lang w:val="fr-FR"/>
        </w:rPr>
        <w:t xml:space="preserve"> </w:t>
      </w:r>
      <w:r w:rsidR="00833ACF" w:rsidRPr="003B5AD4">
        <w:rPr>
          <w:szCs w:val="22"/>
          <w:lang w:val="fr-FR"/>
        </w:rPr>
        <w:t>;</w:t>
      </w:r>
    </w:p>
    <w:p w14:paraId="7920061A" w14:textId="288BF84C" w:rsidR="00671914" w:rsidRPr="003B5AD4" w:rsidRDefault="00671914" w:rsidP="00AE38E1">
      <w:pPr>
        <w:pStyle w:val="Paragraphedeliste"/>
        <w:numPr>
          <w:ilvl w:val="0"/>
          <w:numId w:val="6"/>
        </w:numPr>
        <w:spacing w:after="120"/>
        <w:ind w:left="0" w:firstLine="720"/>
        <w:contextualSpacing w:val="0"/>
        <w:rPr>
          <w:szCs w:val="22"/>
          <w:lang w:val="fr-FR"/>
        </w:rPr>
      </w:pPr>
      <w:r>
        <w:rPr>
          <w:szCs w:val="22"/>
          <w:lang w:val="fr-FR"/>
        </w:rPr>
        <w:t>E</w:t>
      </w:r>
      <w:r w:rsidRPr="00671914">
        <w:rPr>
          <w:szCs w:val="22"/>
          <w:lang w:val="fr-FR"/>
        </w:rPr>
        <w:t>ncourager les contributions d'autres pays et sources sur une base volontaire</w:t>
      </w:r>
      <w:r w:rsidR="00D130EF">
        <w:rPr>
          <w:szCs w:val="22"/>
          <w:lang w:val="fr-FR"/>
        </w:rPr>
        <w:t> ;</w:t>
      </w:r>
    </w:p>
    <w:p w14:paraId="0A54CE21" w14:textId="5936CB1D" w:rsidR="00E53CDB" w:rsidRPr="003B5AD4" w:rsidRDefault="008B51A2" w:rsidP="00AE38E1">
      <w:pPr>
        <w:pStyle w:val="Paragraphedeliste"/>
        <w:numPr>
          <w:ilvl w:val="0"/>
          <w:numId w:val="6"/>
        </w:numPr>
        <w:spacing w:after="120"/>
        <w:ind w:left="0" w:firstLine="720"/>
        <w:contextualSpacing w:val="0"/>
        <w:rPr>
          <w:szCs w:val="22"/>
          <w:lang w:val="fr-FR"/>
        </w:rPr>
      </w:pPr>
      <w:r w:rsidRPr="003B5AD4">
        <w:rPr>
          <w:szCs w:val="22"/>
          <w:lang w:val="fr-FR"/>
        </w:rPr>
        <w:t xml:space="preserve">Provenir de toutes les sources : internationales et nationales, publiques et privées, traditionnelles et innovantes </w:t>
      </w:r>
      <w:r w:rsidR="00833ACF" w:rsidRPr="003B5AD4">
        <w:rPr>
          <w:szCs w:val="22"/>
          <w:lang w:val="fr-FR"/>
        </w:rPr>
        <w:t>;</w:t>
      </w:r>
    </w:p>
    <w:p w14:paraId="4F2B16FA" w14:textId="35BB3B1F" w:rsidR="0026226A" w:rsidRPr="00671914" w:rsidRDefault="008B51A2" w:rsidP="00AE38E1">
      <w:pPr>
        <w:pStyle w:val="Paragraphedeliste"/>
        <w:numPr>
          <w:ilvl w:val="0"/>
          <w:numId w:val="6"/>
        </w:numPr>
        <w:spacing w:after="120"/>
        <w:ind w:left="0" w:firstLine="720"/>
        <w:contextualSpacing w:val="0"/>
        <w:rPr>
          <w:szCs w:val="22"/>
          <w:lang w:val="fr-FR"/>
        </w:rPr>
      </w:pPr>
      <w:r w:rsidRPr="003B5AD4">
        <w:rPr>
          <w:bCs/>
          <w:szCs w:val="22"/>
          <w:lang w:val="fr-FR"/>
        </w:rPr>
        <w:t xml:space="preserve">Élargir le partage de la charge des ressources provenant de toutes les sources entre tous les constituants, en tenant compte de l'évolution des circonstances socio-économiques mondiales, y compris les grands acteurs non étatiques et les organisations philanthropiques </w:t>
      </w:r>
      <w:r w:rsidR="00833ACF" w:rsidRPr="003B5AD4">
        <w:rPr>
          <w:rFonts w:eastAsiaTheme="minorEastAsia"/>
          <w:szCs w:val="22"/>
          <w:lang w:val="fr-FR"/>
        </w:rPr>
        <w:t>;</w:t>
      </w:r>
    </w:p>
    <w:p w14:paraId="6AD7E7A8" w14:textId="123A647A" w:rsidR="00671914" w:rsidRPr="003B5AD4" w:rsidRDefault="00671914" w:rsidP="00AE38E1">
      <w:pPr>
        <w:pStyle w:val="Paragraphedeliste"/>
        <w:numPr>
          <w:ilvl w:val="0"/>
          <w:numId w:val="6"/>
        </w:numPr>
        <w:spacing w:after="120"/>
        <w:ind w:left="0" w:firstLine="720"/>
        <w:contextualSpacing w:val="0"/>
        <w:rPr>
          <w:szCs w:val="22"/>
          <w:lang w:val="fr-FR"/>
        </w:rPr>
      </w:pPr>
      <w:r w:rsidRPr="00671914">
        <w:rPr>
          <w:szCs w:val="22"/>
          <w:lang w:val="fr-FR"/>
        </w:rPr>
        <w:t>Maintenir l'éligibilité de tous les pays en développement au soutien financier en faveur de la biodiversité</w:t>
      </w:r>
    </w:p>
    <w:p w14:paraId="282D3AFB" w14:textId="7A3440BE" w:rsidR="006712BD" w:rsidRDefault="008B51A2" w:rsidP="00AE38E1">
      <w:pPr>
        <w:pStyle w:val="Paragraphedeliste"/>
        <w:numPr>
          <w:ilvl w:val="0"/>
          <w:numId w:val="6"/>
        </w:numPr>
        <w:spacing w:after="120"/>
        <w:ind w:left="0" w:firstLine="720"/>
        <w:contextualSpacing w:val="0"/>
        <w:rPr>
          <w:szCs w:val="22"/>
          <w:lang w:val="fr-FR"/>
        </w:rPr>
      </w:pPr>
      <w:r w:rsidRPr="003B5AD4">
        <w:rPr>
          <w:szCs w:val="22"/>
          <w:lang w:val="fr-FR"/>
        </w:rPr>
        <w:t xml:space="preserve">Prendre en compte les différentes circonstances, priorités et capacités nationales </w:t>
      </w:r>
      <w:r w:rsidR="00833ACF" w:rsidRPr="003B5AD4">
        <w:rPr>
          <w:szCs w:val="22"/>
          <w:lang w:val="fr-FR"/>
        </w:rPr>
        <w:t>;</w:t>
      </w:r>
    </w:p>
    <w:p w14:paraId="265B1647" w14:textId="77777777" w:rsidR="00671914" w:rsidRDefault="00671914" w:rsidP="00AE38E1">
      <w:pPr>
        <w:pStyle w:val="Paragraphedeliste"/>
        <w:numPr>
          <w:ilvl w:val="0"/>
          <w:numId w:val="6"/>
        </w:numPr>
        <w:spacing w:after="120"/>
        <w:ind w:left="0" w:firstLine="720"/>
        <w:contextualSpacing w:val="0"/>
        <w:rPr>
          <w:szCs w:val="22"/>
          <w:lang w:val="fr-FR"/>
        </w:rPr>
      </w:pPr>
      <w:r w:rsidRPr="00671914">
        <w:rPr>
          <w:szCs w:val="22"/>
          <w:lang w:val="fr-FR"/>
        </w:rPr>
        <w:t>Être conforme à l'article 11 de la Convention ;</w:t>
      </w:r>
    </w:p>
    <w:p w14:paraId="4C42EDB5" w14:textId="659BD584" w:rsidR="00671914" w:rsidRPr="003B5AD4" w:rsidRDefault="00671914" w:rsidP="00AE38E1">
      <w:pPr>
        <w:pStyle w:val="Paragraphedeliste"/>
        <w:numPr>
          <w:ilvl w:val="0"/>
          <w:numId w:val="6"/>
        </w:numPr>
        <w:spacing w:after="120"/>
        <w:ind w:left="0" w:firstLine="720"/>
        <w:contextualSpacing w:val="0"/>
        <w:rPr>
          <w:szCs w:val="22"/>
          <w:lang w:val="fr-FR"/>
        </w:rPr>
      </w:pPr>
      <w:r w:rsidRPr="003B5AD4">
        <w:rPr>
          <w:szCs w:val="22"/>
          <w:lang w:val="fr-FR"/>
        </w:rPr>
        <w:t>Être opportun, efficient, efficace et transparent, en apportant les ressources là où elles sont nécessaires ;</w:t>
      </w:r>
    </w:p>
    <w:p w14:paraId="230A4F4E" w14:textId="41AC9605" w:rsidR="00671914" w:rsidRPr="00C6748C" w:rsidRDefault="00671914" w:rsidP="00AE38E1">
      <w:pPr>
        <w:pStyle w:val="Paragraphedeliste"/>
        <w:numPr>
          <w:ilvl w:val="0"/>
          <w:numId w:val="6"/>
        </w:numPr>
        <w:spacing w:after="120"/>
        <w:ind w:left="0" w:firstLine="720"/>
        <w:contextualSpacing w:val="0"/>
        <w:rPr>
          <w:szCs w:val="22"/>
          <w:lang w:val="fr-FR"/>
        </w:rPr>
      </w:pPr>
      <w:r w:rsidRPr="003B5AD4">
        <w:rPr>
          <w:szCs w:val="22"/>
          <w:lang w:val="fr-FR"/>
        </w:rPr>
        <w:t>Viser des résultats tangibles, durables et soutenables pour améliorer la biodiversité</w:t>
      </w:r>
      <w:r w:rsidR="00D130EF">
        <w:rPr>
          <w:szCs w:val="22"/>
          <w:lang w:val="fr-FR"/>
        </w:rPr>
        <w:t xml:space="preserve"> </w:t>
      </w:r>
      <w:r w:rsidRPr="003B5AD4">
        <w:rPr>
          <w:szCs w:val="22"/>
          <w:lang w:val="fr-FR"/>
        </w:rPr>
        <w:t>;</w:t>
      </w:r>
    </w:p>
    <w:p w14:paraId="1C632DDA" w14:textId="5A566C3F" w:rsidR="00C750F4" w:rsidRPr="007011DF" w:rsidRDefault="008B51A2" w:rsidP="00AE38E1">
      <w:pPr>
        <w:pStyle w:val="Paragraphedeliste"/>
        <w:numPr>
          <w:ilvl w:val="0"/>
          <w:numId w:val="6"/>
        </w:numPr>
        <w:spacing w:after="120"/>
        <w:ind w:left="0" w:firstLine="720"/>
        <w:contextualSpacing w:val="0"/>
        <w:rPr>
          <w:szCs w:val="22"/>
          <w:lang w:val="fr-FR"/>
        </w:rPr>
      </w:pPr>
      <w:r w:rsidRPr="007011DF">
        <w:rPr>
          <w:szCs w:val="22"/>
          <w:lang w:val="fr-FR"/>
        </w:rPr>
        <w:t xml:space="preserve">Refléter trois voies de réalisation : i) </w:t>
      </w:r>
      <w:r w:rsidR="00C6748C">
        <w:rPr>
          <w:szCs w:val="22"/>
          <w:lang w:val="fr-FR"/>
        </w:rPr>
        <w:t>éliminer, r</w:t>
      </w:r>
      <w:r w:rsidRPr="007011DF">
        <w:rPr>
          <w:szCs w:val="22"/>
          <w:lang w:val="fr-FR"/>
        </w:rPr>
        <w:t>éduire</w:t>
      </w:r>
      <w:r w:rsidR="00C6748C">
        <w:rPr>
          <w:szCs w:val="22"/>
          <w:lang w:val="fr-FR"/>
        </w:rPr>
        <w:t xml:space="preserve"> ou rediriger</w:t>
      </w:r>
      <w:r w:rsidRPr="007011DF">
        <w:rPr>
          <w:szCs w:val="22"/>
          <w:lang w:val="fr-FR"/>
        </w:rPr>
        <w:t xml:space="preserve"> les ressources consacrées aux activités ayant des impacts négatifs sur les objectifs mondiaux en matière de biodiversité, ii) augmenter les ressources consacrées aux activités qui soutiennent les objectifs mondiaux en matière de biodiversité, et iii) améliorer l'utilisation efficace, efficiente et transparente des ressources </w:t>
      </w:r>
      <w:r w:rsidR="00833ACF" w:rsidRPr="007011DF">
        <w:rPr>
          <w:szCs w:val="22"/>
          <w:lang w:val="fr-FR"/>
        </w:rPr>
        <w:t>;</w:t>
      </w:r>
    </w:p>
    <w:p w14:paraId="5F3C93AD" w14:textId="48EA9373" w:rsidR="00E53CDB" w:rsidRPr="003B5AD4" w:rsidRDefault="008B51A2" w:rsidP="00AE38E1">
      <w:pPr>
        <w:pStyle w:val="Paragraphedeliste"/>
        <w:numPr>
          <w:ilvl w:val="0"/>
          <w:numId w:val="6"/>
        </w:numPr>
        <w:spacing w:after="120"/>
        <w:ind w:left="0" w:firstLine="720"/>
        <w:contextualSpacing w:val="0"/>
        <w:rPr>
          <w:szCs w:val="22"/>
          <w:lang w:val="fr-FR"/>
        </w:rPr>
      </w:pPr>
      <w:r w:rsidRPr="003B5AD4">
        <w:rPr>
          <w:szCs w:val="22"/>
          <w:lang w:val="fr-FR"/>
        </w:rPr>
        <w:t xml:space="preserve">Être inclusif, en impliquant les acteurs publics et privés, y compris toutes les Parties, tous les groupes (par exemple, les </w:t>
      </w:r>
      <w:r w:rsidR="007011DF">
        <w:rPr>
          <w:szCs w:val="22"/>
          <w:lang w:val="fr-FR"/>
        </w:rPr>
        <w:t>peuples autochtones et les communautés locales</w:t>
      </w:r>
      <w:r w:rsidRPr="003B5AD4">
        <w:rPr>
          <w:szCs w:val="22"/>
          <w:lang w:val="fr-FR"/>
        </w:rPr>
        <w:t xml:space="preserve">, les femmes et les jeunes) et tous les secteurs </w:t>
      </w:r>
      <w:r w:rsidR="00833ACF" w:rsidRPr="003B5AD4">
        <w:rPr>
          <w:szCs w:val="22"/>
          <w:lang w:val="fr-FR"/>
        </w:rPr>
        <w:t>;</w:t>
      </w:r>
    </w:p>
    <w:p w14:paraId="61984B6F" w14:textId="6EB22B27" w:rsidR="006712BD" w:rsidRPr="003B5AD4" w:rsidRDefault="008B51A2" w:rsidP="00AE38E1">
      <w:pPr>
        <w:pStyle w:val="Paragraphedeliste"/>
        <w:numPr>
          <w:ilvl w:val="0"/>
          <w:numId w:val="6"/>
        </w:numPr>
        <w:spacing w:after="120"/>
        <w:ind w:left="0" w:firstLine="720"/>
        <w:contextualSpacing w:val="0"/>
        <w:rPr>
          <w:szCs w:val="22"/>
          <w:lang w:val="fr-FR"/>
        </w:rPr>
      </w:pPr>
      <w:r w:rsidRPr="003B5AD4">
        <w:rPr>
          <w:szCs w:val="22"/>
          <w:lang w:val="fr-FR"/>
        </w:rPr>
        <w:lastRenderedPageBreak/>
        <w:t xml:space="preserve">Appliquer </w:t>
      </w:r>
      <w:hyperlink r:id="rId12" w:history="1">
        <w:r w:rsidRPr="00694043">
          <w:rPr>
            <w:rStyle w:val="Lienhypertexte"/>
            <w:sz w:val="22"/>
            <w:szCs w:val="22"/>
            <w:lang w:val="fr-FR"/>
          </w:rPr>
          <w:t>l'approche écosystémique</w:t>
        </w:r>
      </w:hyperlink>
      <w:r w:rsidR="00C6748C">
        <w:rPr>
          <w:rStyle w:val="Appelnotedebasdep"/>
          <w:szCs w:val="22"/>
        </w:rPr>
        <w:footnoteReference w:id="2"/>
      </w:r>
      <w:r w:rsidR="00C6748C" w:rsidRPr="00C6748C">
        <w:t xml:space="preserve"> </w:t>
      </w:r>
      <w:r w:rsidR="00C6748C" w:rsidRPr="00C6748C">
        <w:rPr>
          <w:szCs w:val="22"/>
          <w:lang w:val="fr-FR"/>
        </w:rPr>
        <w:t>telle que définie dans la Convention sur la diversité biologique</w:t>
      </w:r>
      <w:r w:rsidRPr="003B5AD4">
        <w:rPr>
          <w:szCs w:val="22"/>
          <w:lang w:val="fr-FR"/>
        </w:rPr>
        <w:t xml:space="preserve"> et contribuer à la réalisation des objectifs de développement durable </w:t>
      </w:r>
      <w:r w:rsidR="00833ACF" w:rsidRPr="003B5AD4">
        <w:rPr>
          <w:szCs w:val="22"/>
          <w:lang w:val="fr-FR"/>
        </w:rPr>
        <w:t>;</w:t>
      </w:r>
    </w:p>
    <w:p w14:paraId="5DA86613" w14:textId="7E7934A3" w:rsidR="00E53CDB" w:rsidRPr="003B5AD4" w:rsidRDefault="008B51A2" w:rsidP="00AE38E1">
      <w:pPr>
        <w:pStyle w:val="Paragraphedeliste"/>
        <w:numPr>
          <w:ilvl w:val="0"/>
          <w:numId w:val="6"/>
        </w:numPr>
        <w:spacing w:after="120"/>
        <w:ind w:left="0" w:firstLine="720"/>
        <w:contextualSpacing w:val="0"/>
        <w:rPr>
          <w:szCs w:val="22"/>
          <w:lang w:val="fr-FR"/>
        </w:rPr>
      </w:pPr>
      <w:bookmarkStart w:id="1" w:name="_Hlk73606929"/>
      <w:r w:rsidRPr="003B5AD4">
        <w:rPr>
          <w:szCs w:val="22"/>
          <w:lang w:val="fr-FR"/>
        </w:rPr>
        <w:t xml:space="preserve">Promouvoir les synergies et les partenariats entre les différents accords et processus internationaux, en gardant à l'esprit leurs mandats respectifs, ainsi que leurs mécanismes financiers </w:t>
      </w:r>
      <w:r w:rsidR="00833ACF" w:rsidRPr="003B5AD4">
        <w:rPr>
          <w:szCs w:val="22"/>
          <w:lang w:val="fr-FR"/>
        </w:rPr>
        <w:t>;</w:t>
      </w:r>
    </w:p>
    <w:bookmarkEnd w:id="1"/>
    <w:p w14:paraId="122D6DCC" w14:textId="5529C8EB" w:rsidR="00E60DD4" w:rsidRPr="003B5AD4" w:rsidRDefault="008B51A2" w:rsidP="00AE38E1">
      <w:pPr>
        <w:pStyle w:val="Paragraphedeliste"/>
        <w:numPr>
          <w:ilvl w:val="0"/>
          <w:numId w:val="6"/>
        </w:numPr>
        <w:spacing w:after="120"/>
        <w:ind w:left="0" w:firstLine="709"/>
        <w:contextualSpacing w:val="0"/>
        <w:rPr>
          <w:b/>
          <w:bCs/>
          <w:sz w:val="24"/>
          <w:u w:val="single"/>
          <w:lang w:val="fr-FR"/>
        </w:rPr>
      </w:pPr>
      <w:r w:rsidRPr="003B5AD4">
        <w:rPr>
          <w:szCs w:val="22"/>
          <w:lang w:val="fr-FR"/>
        </w:rPr>
        <w:t>Prendre en compte les principes de Rio, en particulier le principe 7</w:t>
      </w:r>
      <w:r w:rsidR="000175E8" w:rsidRPr="003B5AD4">
        <w:rPr>
          <w:szCs w:val="22"/>
          <w:lang w:val="fr-FR"/>
        </w:rPr>
        <w:t>.</w:t>
      </w:r>
    </w:p>
    <w:p w14:paraId="774FD502" w14:textId="614BA21F" w:rsidR="002B009B" w:rsidRPr="003B5AD4" w:rsidRDefault="00740AA5" w:rsidP="000A224A">
      <w:pPr>
        <w:pStyle w:val="Titre1"/>
        <w:tabs>
          <w:tab w:val="clear" w:pos="720"/>
          <w:tab w:val="left" w:pos="426"/>
        </w:tabs>
        <w:rPr>
          <w:i/>
          <w:lang w:val="fr-FR"/>
        </w:rPr>
      </w:pPr>
      <w:r w:rsidRPr="003B5AD4">
        <w:rPr>
          <w:lang w:val="fr-FR"/>
        </w:rPr>
        <w:t>III.</w:t>
      </w:r>
      <w:r w:rsidR="00FB3A9E" w:rsidRPr="003B5AD4">
        <w:rPr>
          <w:lang w:val="fr-FR"/>
        </w:rPr>
        <w:tab/>
      </w:r>
      <w:r w:rsidR="008B51A2" w:rsidRPr="003B5AD4">
        <w:rPr>
          <w:lang w:val="fr-FR"/>
        </w:rPr>
        <w:t>ÉLÉMENTS POSSIBLES EN MATIÈRE DE MOBILISATION DE RESSOURCES</w:t>
      </w:r>
    </w:p>
    <w:p w14:paraId="61F401D5" w14:textId="5BA5813C" w:rsidR="009B30ED" w:rsidRPr="003B5AD4" w:rsidRDefault="000301A0" w:rsidP="00150506">
      <w:pPr>
        <w:spacing w:before="120"/>
        <w:rPr>
          <w:szCs w:val="22"/>
          <w:lang w:val="fr-FR"/>
        </w:rPr>
      </w:pPr>
      <w:r w:rsidRPr="003B5AD4">
        <w:rPr>
          <w:szCs w:val="22"/>
          <w:lang w:val="fr-FR"/>
        </w:rPr>
        <w:t>8</w:t>
      </w:r>
      <w:r w:rsidR="00740AA5" w:rsidRPr="003B5AD4">
        <w:rPr>
          <w:szCs w:val="22"/>
          <w:lang w:val="fr-FR"/>
        </w:rPr>
        <w:t>.</w:t>
      </w:r>
      <w:r w:rsidR="00965AA2" w:rsidRPr="003B5AD4">
        <w:rPr>
          <w:szCs w:val="22"/>
          <w:lang w:val="fr-FR"/>
        </w:rPr>
        <w:tab/>
      </w:r>
      <w:r w:rsidR="008B51A2" w:rsidRPr="003B5AD4">
        <w:rPr>
          <w:szCs w:val="22"/>
          <w:lang w:val="fr-FR"/>
        </w:rPr>
        <w:t>Afin de saisir la nature complexe de la mobilisation des ressources aux fins du Cadre mondial de la biodiversité pour l'après-2020, en gardant à l'esprit les différents points d'entrée possibles identifiés au paragraphe 3 ci-dessus, et compte tenu des principes identifiés au paragraphe 7, cette section rassemble différentes suggestions pour refléter a) l'ambition mondiale en matière de mobilisation des ressources aux fins du Cadre mondial de la biodiversité pour l'après-2020 (paragraphe 9) et b) les éléments qui pourraient contribuer à concrétiser cette ambition (paragraphe 10)</w:t>
      </w:r>
      <w:r w:rsidR="00A56B85" w:rsidRPr="003B5AD4">
        <w:rPr>
          <w:szCs w:val="22"/>
          <w:lang w:val="fr-FR"/>
        </w:rPr>
        <w:t>.</w:t>
      </w:r>
    </w:p>
    <w:p w14:paraId="58E4D694" w14:textId="069C7D07" w:rsidR="00D42242" w:rsidRPr="003B5AD4" w:rsidRDefault="000301A0" w:rsidP="00150506">
      <w:pPr>
        <w:spacing w:before="120"/>
        <w:rPr>
          <w:color w:val="000000" w:themeColor="text1"/>
          <w:szCs w:val="22"/>
          <w:lang w:val="fr-FR"/>
        </w:rPr>
      </w:pPr>
      <w:r w:rsidRPr="003B5AD4">
        <w:rPr>
          <w:szCs w:val="22"/>
          <w:lang w:val="fr-FR"/>
        </w:rPr>
        <w:t>9</w:t>
      </w:r>
      <w:r w:rsidR="009B30ED" w:rsidRPr="003B5AD4">
        <w:rPr>
          <w:szCs w:val="22"/>
          <w:lang w:val="fr-FR"/>
        </w:rPr>
        <w:t>.</w:t>
      </w:r>
      <w:r w:rsidR="009B30ED" w:rsidRPr="003B5AD4">
        <w:rPr>
          <w:szCs w:val="22"/>
          <w:lang w:val="fr-FR"/>
        </w:rPr>
        <w:tab/>
      </w:r>
      <w:r w:rsidR="008B51A2" w:rsidRPr="003B5AD4">
        <w:rPr>
          <w:szCs w:val="22"/>
          <w:lang w:val="fr-FR"/>
        </w:rPr>
        <w:t>Étant donné que les objectifs mondiaux en matière de mobilisation des ressources doivent être à la hauteur de ceux du Cadre mondial de la biodiversité pour l'après-2020, les premiers doivent figurer en bonne place dans le cadre, en termes qualitatifs et/ou quantitatifs. Cela pourrait prendre la forme, par exemple, d'un objectif ou d'une cible primordiale, ou d'une combinaison des deux, qui pourrait inclure, par exemple, la réduction du déficit financier mondial en matière de biodiversité, l'alignement des flux financiers sur les résultats positifs en matière de biodiversité, la mobilisation accrue des moyens de mise en œuvre, etc</w:t>
      </w:r>
      <w:r w:rsidR="002E733C" w:rsidRPr="003B5AD4">
        <w:rPr>
          <w:color w:val="000000" w:themeColor="text1"/>
          <w:szCs w:val="22"/>
          <w:lang w:val="fr-FR"/>
        </w:rPr>
        <w:t>.</w:t>
      </w:r>
    </w:p>
    <w:bookmarkEnd w:id="0"/>
    <w:p w14:paraId="3C45618A" w14:textId="14792F12" w:rsidR="00AC0BDC" w:rsidRPr="003B5AD4" w:rsidRDefault="000301A0" w:rsidP="00002F60">
      <w:pPr>
        <w:spacing w:before="120"/>
        <w:rPr>
          <w:szCs w:val="22"/>
          <w:lang w:val="fr-FR"/>
        </w:rPr>
      </w:pPr>
      <w:r w:rsidRPr="003B5AD4">
        <w:rPr>
          <w:szCs w:val="22"/>
          <w:lang w:val="fr-FR"/>
        </w:rPr>
        <w:t>10</w:t>
      </w:r>
      <w:r w:rsidR="00FB4C03" w:rsidRPr="003B5AD4">
        <w:rPr>
          <w:szCs w:val="22"/>
          <w:lang w:val="fr-FR"/>
        </w:rPr>
        <w:t>.</w:t>
      </w:r>
      <w:r w:rsidR="00FB4C03" w:rsidRPr="003B5AD4">
        <w:rPr>
          <w:szCs w:val="22"/>
          <w:lang w:val="fr-FR"/>
        </w:rPr>
        <w:tab/>
      </w:r>
      <w:r w:rsidR="008B51A2" w:rsidRPr="003B5AD4">
        <w:rPr>
          <w:szCs w:val="22"/>
          <w:lang w:val="fr-FR"/>
        </w:rPr>
        <w:t>L'ambition mondiale pourrait en outre être décomposée en plusieurs éléments pouvant être saisis soit dans le Cadre mondial de la biodiversité, soit ailleurs, par exemple sous la forme de cibles spécifiques, de sous-cibles, d'indicateurs, du cadre de suivi ou de rapport, ou d'engagements nationaux. Les groupes suivants donnent un aperçu des éléments possibles tels que soulevés par les délégués, organisés selon les trois voies mentionnées dans les principes ci-dessus</w:t>
      </w:r>
      <w:r w:rsidR="00B90988" w:rsidRPr="003B5AD4">
        <w:rPr>
          <w:szCs w:val="22"/>
          <w:lang w:val="fr-FR"/>
        </w:rPr>
        <w:t>.</w:t>
      </w:r>
    </w:p>
    <w:p w14:paraId="73D44D6E" w14:textId="0A760F1F" w:rsidR="00BB3A31" w:rsidRPr="003B5AD4" w:rsidRDefault="00AC0BDC" w:rsidP="006F7930">
      <w:pPr>
        <w:spacing w:before="120"/>
        <w:rPr>
          <w:szCs w:val="22"/>
          <w:lang w:val="fr-FR"/>
        </w:rPr>
      </w:pPr>
      <w:r w:rsidRPr="003B5AD4">
        <w:rPr>
          <w:szCs w:val="22"/>
          <w:lang w:val="fr-FR"/>
        </w:rPr>
        <w:t>11.</w:t>
      </w:r>
      <w:r w:rsidRPr="003B5AD4">
        <w:rPr>
          <w:szCs w:val="22"/>
          <w:lang w:val="fr-FR"/>
        </w:rPr>
        <w:tab/>
      </w:r>
      <w:r w:rsidR="00412697" w:rsidRPr="003B5AD4">
        <w:rPr>
          <w:szCs w:val="22"/>
          <w:lang w:val="fr-FR"/>
        </w:rPr>
        <w:t>Comme indiqué au paragraphe 3, il existe différents points d'entrée pour de tels éléments et, afin de ne pas anticiper cette discussion, la liste ci-dessous ne vise pas à indiquer comment ceux-ci devraient être reflétés. De plus, l'énumération de ces éléments possibles ici ne signifie pas qu'ils sont pertinents pour les discussions sur la mobilisation des ressources, ni qu'ils sont hiérarchisés, sélectionnés ou classés par ordre d'importance</w:t>
      </w:r>
      <w:r w:rsidR="00A305F7" w:rsidRPr="003B5AD4">
        <w:rPr>
          <w:szCs w:val="22"/>
          <w:lang w:val="fr-FR"/>
        </w:rPr>
        <w:t>.</w:t>
      </w:r>
    </w:p>
    <w:p w14:paraId="6D91DDDC" w14:textId="1D88DD04" w:rsidR="00F05F4E" w:rsidRPr="003B5AD4" w:rsidRDefault="00C6748C" w:rsidP="00AE38E1">
      <w:pPr>
        <w:pStyle w:val="Titre2"/>
        <w:numPr>
          <w:ilvl w:val="0"/>
          <w:numId w:val="5"/>
        </w:numPr>
        <w:rPr>
          <w:lang w:val="fr-FR"/>
        </w:rPr>
      </w:pPr>
      <w:r>
        <w:rPr>
          <w:lang w:val="fr-FR"/>
        </w:rPr>
        <w:t>Éliminer, r</w:t>
      </w:r>
      <w:r w:rsidR="00412697" w:rsidRPr="003B5AD4">
        <w:rPr>
          <w:lang w:val="fr-FR"/>
        </w:rPr>
        <w:t>éduire ou réorienter les ressources nuisant à la biodiversité</w:t>
      </w:r>
    </w:p>
    <w:p w14:paraId="2192240E" w14:textId="6F96FDE0" w:rsidR="00C11444" w:rsidRPr="003B5AD4" w:rsidRDefault="00412697" w:rsidP="00AE38E1">
      <w:pPr>
        <w:pStyle w:val="Paragraphedeliste"/>
        <w:numPr>
          <w:ilvl w:val="0"/>
          <w:numId w:val="7"/>
        </w:numPr>
        <w:suppressLineNumbers/>
        <w:suppressAutoHyphens/>
        <w:spacing w:before="120" w:after="120"/>
        <w:ind w:left="0" w:firstLine="709"/>
        <w:contextualSpacing w:val="0"/>
        <w:rPr>
          <w:bCs/>
          <w:snapToGrid w:val="0"/>
          <w:szCs w:val="22"/>
          <w:lang w:val="fr-FR"/>
        </w:rPr>
      </w:pPr>
      <w:r w:rsidRPr="003B5AD4">
        <w:rPr>
          <w:rFonts w:eastAsiaTheme="minorEastAsia"/>
          <w:color w:val="000000" w:themeColor="text1"/>
          <w:kern w:val="24"/>
          <w:szCs w:val="22"/>
          <w:lang w:val="fr-FR"/>
        </w:rPr>
        <w:t>Intégration de la biodiversité dans les politiques, les programmes et les plans de dépenses des gouvernements et des organismes publics, notamment par l'approche à long terme de l'intégration</w:t>
      </w:r>
      <w:r w:rsidR="00FD788D" w:rsidRPr="003B5AD4">
        <w:rPr>
          <w:rFonts w:eastAsiaTheme="minorEastAsia"/>
          <w:color w:val="000000" w:themeColor="text1"/>
          <w:kern w:val="24"/>
          <w:szCs w:val="22"/>
          <w:lang w:val="fr-FR"/>
        </w:rPr>
        <w:t>.</w:t>
      </w:r>
    </w:p>
    <w:p w14:paraId="458BE43D" w14:textId="057CD277" w:rsidR="00164E02" w:rsidRPr="003B5AD4" w:rsidRDefault="00412697" w:rsidP="00AE38E1">
      <w:pPr>
        <w:pStyle w:val="Paragraphedeliste"/>
        <w:numPr>
          <w:ilvl w:val="0"/>
          <w:numId w:val="7"/>
        </w:numPr>
        <w:suppressLineNumbers/>
        <w:suppressAutoHyphens/>
        <w:spacing w:before="120" w:after="120"/>
        <w:ind w:left="0" w:firstLine="709"/>
        <w:contextualSpacing w:val="0"/>
        <w:rPr>
          <w:szCs w:val="22"/>
          <w:lang w:val="fr-FR"/>
        </w:rPr>
      </w:pPr>
      <w:r w:rsidRPr="003B5AD4">
        <w:rPr>
          <w:bCs/>
          <w:snapToGrid w:val="0"/>
          <w:szCs w:val="22"/>
          <w:lang w:val="fr-FR"/>
        </w:rPr>
        <w:t>Identification, élimination, suppression progressive, réorientation, réaffectation des activités, des budgets et des incitations, y compris les subventions, nuisibles à la biodiversité et augmentation des activités et/ou des incitations positives par les acteurs publics et privés (par exemple, en utilisant les outils de l'OCDE, la méthodologie PNUD/BIOFIN).</w:t>
      </w:r>
    </w:p>
    <w:p w14:paraId="281DE093" w14:textId="0C3E7573" w:rsidR="005757B4" w:rsidRPr="003B5AD4" w:rsidRDefault="00B91731" w:rsidP="00AE38E1">
      <w:pPr>
        <w:pStyle w:val="Paragraphedeliste"/>
        <w:numPr>
          <w:ilvl w:val="0"/>
          <w:numId w:val="7"/>
        </w:numPr>
        <w:suppressLineNumbers/>
        <w:suppressAutoHyphens/>
        <w:spacing w:before="120" w:after="120"/>
        <w:ind w:left="0" w:firstLine="709"/>
        <w:contextualSpacing w:val="0"/>
        <w:rPr>
          <w:szCs w:val="22"/>
          <w:lang w:val="fr-FR"/>
        </w:rPr>
      </w:pPr>
      <w:r w:rsidRPr="003B5AD4">
        <w:rPr>
          <w:szCs w:val="22"/>
          <w:lang w:val="fr-FR"/>
        </w:rPr>
        <w:t>Transition des secteurs économiques vers des pratiques positives pour la biodiversité, par exemple, par des réformes politiques/juridiques/stratégiques, l'internalisation/la gestion des impacts et des risques liés à la biodiversité, y compris le long des chaînes d'approvisionnement, l'augmentation des activités et des investissements ayant des impacts positifs sur la biodiversité et son utilisation durable</w:t>
      </w:r>
      <w:r w:rsidR="00D813A0" w:rsidRPr="003B5AD4">
        <w:rPr>
          <w:szCs w:val="22"/>
          <w:lang w:val="fr-FR"/>
        </w:rPr>
        <w:t>.</w:t>
      </w:r>
    </w:p>
    <w:p w14:paraId="12E8F2C7" w14:textId="542AC644" w:rsidR="00247825" w:rsidRPr="003B5AD4" w:rsidRDefault="00C6748C" w:rsidP="00AE38E1">
      <w:pPr>
        <w:pStyle w:val="Paragraphedeliste"/>
        <w:numPr>
          <w:ilvl w:val="0"/>
          <w:numId w:val="7"/>
        </w:numPr>
        <w:suppressLineNumbers/>
        <w:suppressAutoHyphens/>
        <w:spacing w:before="120" w:after="120"/>
        <w:ind w:left="0" w:firstLine="709"/>
        <w:contextualSpacing w:val="0"/>
        <w:rPr>
          <w:szCs w:val="22"/>
          <w:lang w:val="fr-FR"/>
        </w:rPr>
      </w:pPr>
      <w:r w:rsidRPr="00C6748C">
        <w:rPr>
          <w:szCs w:val="22"/>
          <w:lang w:val="fr-FR"/>
        </w:rPr>
        <w:t xml:space="preserve">Transition du secteur financier, public et privé, vers une harmonisation des flux financiers avec les pratiques positives en matière de biodiversité, notamment afin que les institutions financières mesurent, évaluent, divulguent, justifient et prennent en compte les risques, les dépendances et les impacts associés à la perte de biodiversité, entre autres en reflétant les risques et les opportunités évalués dans leurs décisions d'investissement, afin de réduire les impacts négatifs du financement sur la biodiversité et d'augmenter le </w:t>
      </w:r>
      <w:r w:rsidRPr="00C6748C">
        <w:rPr>
          <w:szCs w:val="22"/>
          <w:lang w:val="fr-FR"/>
        </w:rPr>
        <w:lastRenderedPageBreak/>
        <w:t>financement des impacts positifs sur celle-ci ; et résolution des difficultés rencontrées par les pays en développement pour accéder à ces flux financiers</w:t>
      </w:r>
      <w:r w:rsidR="00164E02" w:rsidRPr="003B5AD4">
        <w:rPr>
          <w:rFonts w:eastAsia="Arial" w:cs="Arial"/>
          <w:szCs w:val="22"/>
          <w:lang w:val="fr-FR"/>
        </w:rPr>
        <w:t>.</w:t>
      </w:r>
    </w:p>
    <w:p w14:paraId="3A6B8837" w14:textId="461D6651" w:rsidR="00FD757E" w:rsidRPr="003B5AD4" w:rsidRDefault="00B91731" w:rsidP="00AE38E1">
      <w:pPr>
        <w:pStyle w:val="Titre2"/>
        <w:numPr>
          <w:ilvl w:val="0"/>
          <w:numId w:val="5"/>
        </w:numPr>
        <w:ind w:left="0" w:firstLine="360"/>
        <w:rPr>
          <w:lang w:val="fr-FR"/>
        </w:rPr>
      </w:pPr>
      <w:r w:rsidRPr="003B5AD4">
        <w:rPr>
          <w:lang w:val="fr-FR"/>
        </w:rPr>
        <w:t>Générer des ressources supplémentaires à partir de toutes les sources</w:t>
      </w:r>
    </w:p>
    <w:p w14:paraId="00405F24" w14:textId="51509B07" w:rsidR="008C3DF9" w:rsidRDefault="00B91731" w:rsidP="00AE38E1">
      <w:pPr>
        <w:pStyle w:val="Paragraphedeliste"/>
        <w:numPr>
          <w:ilvl w:val="0"/>
          <w:numId w:val="8"/>
        </w:numPr>
        <w:suppressLineNumbers/>
        <w:suppressAutoHyphens/>
        <w:spacing w:after="120"/>
        <w:ind w:left="0" w:firstLine="709"/>
        <w:contextualSpacing w:val="0"/>
        <w:rPr>
          <w:szCs w:val="22"/>
          <w:lang w:val="fr-FR"/>
        </w:rPr>
      </w:pPr>
      <w:r w:rsidRPr="003B5AD4">
        <w:rPr>
          <w:szCs w:val="22"/>
          <w:lang w:val="fr-FR"/>
        </w:rPr>
        <w:t xml:space="preserve">Augmentation significative des ressources provenant de toutes les sources, y compris les ressources internationales et nationales, les financements publics et privés, les financements innovants et la philanthropie </w:t>
      </w:r>
      <w:r w:rsidR="00FE0EE6" w:rsidRPr="003B5AD4">
        <w:rPr>
          <w:szCs w:val="22"/>
          <w:lang w:val="fr-FR"/>
        </w:rPr>
        <w:t>:</w:t>
      </w:r>
    </w:p>
    <w:p w14:paraId="03035B77" w14:textId="79C62377" w:rsidR="007B0FF3" w:rsidRPr="003B5AD4" w:rsidRDefault="00B91731" w:rsidP="00AE38E1">
      <w:pPr>
        <w:pStyle w:val="Paragraphedeliste"/>
        <w:numPr>
          <w:ilvl w:val="1"/>
          <w:numId w:val="9"/>
        </w:numPr>
        <w:suppressLineNumbers/>
        <w:suppressAutoHyphens/>
        <w:spacing w:after="120"/>
        <w:contextualSpacing w:val="0"/>
        <w:rPr>
          <w:szCs w:val="22"/>
          <w:lang w:val="fr-FR"/>
        </w:rPr>
      </w:pPr>
      <w:r w:rsidRPr="003B5AD4">
        <w:rPr>
          <w:bCs/>
          <w:snapToGrid w:val="0"/>
          <w:szCs w:val="22"/>
          <w:lang w:val="fr-FR"/>
        </w:rPr>
        <w:t xml:space="preserve">Mobilisation accrue des flux financiers internationaux (par exemple, </w:t>
      </w:r>
      <w:r w:rsidR="00C6748C" w:rsidRPr="00C6748C">
        <w:rPr>
          <w:bCs/>
          <w:snapToGrid w:val="0"/>
          <w:szCs w:val="22"/>
          <w:lang w:val="fr-FR"/>
        </w:rPr>
        <w:t>vers les pays en développement, en provenance des pays développés,</w:t>
      </w:r>
      <w:r w:rsidR="00C6748C">
        <w:rPr>
          <w:bCs/>
          <w:snapToGrid w:val="0"/>
          <w:szCs w:val="22"/>
          <w:lang w:val="fr-FR"/>
        </w:rPr>
        <w:t xml:space="preserve"> </w:t>
      </w:r>
      <w:r w:rsidRPr="003B5AD4">
        <w:rPr>
          <w:bCs/>
          <w:snapToGrid w:val="0"/>
          <w:szCs w:val="22"/>
          <w:lang w:val="fr-FR"/>
        </w:rPr>
        <w:t xml:space="preserve">bilatéraux, multilatéraux, Nord-Sud, Sud-Sud), éventuellement assortie d'un élément quantitatif (par exemple, un fonds mondial </w:t>
      </w:r>
      <w:r w:rsidR="00FD3E5E">
        <w:rPr>
          <w:bCs/>
          <w:snapToGrid w:val="0"/>
          <w:szCs w:val="22"/>
          <w:lang w:val="fr-FR"/>
        </w:rPr>
        <w:t xml:space="preserve">pour la biodiversité </w:t>
      </w:r>
      <w:r w:rsidRPr="003B5AD4">
        <w:rPr>
          <w:bCs/>
          <w:snapToGrid w:val="0"/>
          <w:szCs w:val="22"/>
          <w:lang w:val="fr-FR"/>
        </w:rPr>
        <w:t xml:space="preserve">doté de X dollars par an, X % du PIB/budget consacré aux activités liées à la biodiversité, X % de l'APD </w:t>
      </w:r>
      <w:r w:rsidR="00FD3E5E">
        <w:rPr>
          <w:bCs/>
          <w:snapToGrid w:val="0"/>
          <w:szCs w:val="22"/>
          <w:lang w:val="fr-FR"/>
        </w:rPr>
        <w:t xml:space="preserve">des pays développés </w:t>
      </w:r>
      <w:r w:rsidRPr="003B5AD4">
        <w:rPr>
          <w:bCs/>
          <w:snapToGrid w:val="0"/>
          <w:szCs w:val="22"/>
          <w:lang w:val="fr-FR"/>
        </w:rPr>
        <w:t xml:space="preserve">en pourcentage du PIB, X % d'augmentation </w:t>
      </w:r>
      <w:r w:rsidR="00FD3E5E">
        <w:rPr>
          <w:bCs/>
          <w:snapToGrid w:val="0"/>
          <w:szCs w:val="22"/>
          <w:lang w:val="fr-FR"/>
        </w:rPr>
        <w:t xml:space="preserve">en faveur des pays en développement </w:t>
      </w:r>
      <w:r w:rsidRPr="003B5AD4">
        <w:rPr>
          <w:bCs/>
          <w:snapToGrid w:val="0"/>
          <w:szCs w:val="22"/>
          <w:lang w:val="fr-FR"/>
        </w:rPr>
        <w:t xml:space="preserve">par rapport aux flux internationaux existants, X % de réduction du déficit de financement mondial) </w:t>
      </w:r>
      <w:r w:rsidR="00A01883" w:rsidRPr="003B5AD4">
        <w:rPr>
          <w:color w:val="222222"/>
          <w:szCs w:val="22"/>
          <w:shd w:val="clear" w:color="auto" w:fill="FFFFFF"/>
          <w:lang w:val="fr-FR"/>
        </w:rPr>
        <w:t>;</w:t>
      </w:r>
    </w:p>
    <w:p w14:paraId="4E0DF519" w14:textId="57AC5FD7" w:rsidR="00FD757E" w:rsidRPr="003B5AD4" w:rsidRDefault="00B91731" w:rsidP="00AE38E1">
      <w:pPr>
        <w:pStyle w:val="Paragraphedeliste"/>
        <w:numPr>
          <w:ilvl w:val="1"/>
          <w:numId w:val="9"/>
        </w:numPr>
        <w:suppressLineNumbers/>
        <w:suppressAutoHyphens/>
        <w:spacing w:after="120"/>
        <w:contextualSpacing w:val="0"/>
        <w:rPr>
          <w:szCs w:val="22"/>
          <w:lang w:val="fr-FR"/>
        </w:rPr>
      </w:pPr>
      <w:r w:rsidRPr="003B5AD4">
        <w:rPr>
          <w:szCs w:val="22"/>
          <w:lang w:val="fr-FR"/>
        </w:rPr>
        <w:t xml:space="preserve">Mobilisation accrue des ressources nationales à l'appui des objectifs et cibles nationaux (les éléments pourraient inclure un objectif déterminé au niveau national (par exemple X% du PIB, X% de réduction du déficit de financement national, etc.), ou le développement et la mise en œuvre de plans de financement nationaux) </w:t>
      </w:r>
      <w:r w:rsidR="00A01883" w:rsidRPr="003B5AD4">
        <w:rPr>
          <w:szCs w:val="22"/>
          <w:lang w:val="fr-FR"/>
        </w:rPr>
        <w:t>;</w:t>
      </w:r>
    </w:p>
    <w:p w14:paraId="08809EF2" w14:textId="4C9E3BE8" w:rsidR="00FD757E" w:rsidRPr="003B5AD4" w:rsidRDefault="00B91731" w:rsidP="00AE38E1">
      <w:pPr>
        <w:pStyle w:val="Paragraphedeliste"/>
        <w:numPr>
          <w:ilvl w:val="1"/>
          <w:numId w:val="9"/>
        </w:numPr>
        <w:suppressLineNumbers/>
        <w:suppressAutoHyphens/>
        <w:spacing w:after="120"/>
        <w:contextualSpacing w:val="0"/>
        <w:rPr>
          <w:szCs w:val="22"/>
          <w:lang w:val="fr-FR"/>
        </w:rPr>
      </w:pPr>
      <w:r w:rsidRPr="003B5AD4">
        <w:rPr>
          <w:szCs w:val="22"/>
          <w:lang w:val="fr-FR"/>
        </w:rPr>
        <w:t>Mobilisation accrue des ressources du secteur financier public et privé, notamment grâce à des solutions de financement innovantes, telles que le financement vert, les obligations de performance environnementale, les taxes, les grands fonds publics, le financement mixte, les solutions fondées sur la nature à petite et grande échelle, les systèmes de paiement des services environnementaux ou les mécanismes volontaires</w:t>
      </w:r>
      <w:r w:rsidR="00FD3E5E">
        <w:rPr>
          <w:szCs w:val="22"/>
          <w:lang w:val="fr-FR"/>
        </w:rPr>
        <w:t xml:space="preserve">, </w:t>
      </w:r>
      <w:r w:rsidR="00FD3E5E" w:rsidRPr="00FD3E5E">
        <w:rPr>
          <w:szCs w:val="22"/>
          <w:lang w:val="fr-FR"/>
        </w:rPr>
        <w:t>en tenant compte de l'importance de mettre en place des dispositifs de protection sociale et environnementale solides</w:t>
      </w:r>
      <w:r w:rsidR="00FD3E5E">
        <w:rPr>
          <w:szCs w:val="22"/>
          <w:lang w:val="fr-FR"/>
        </w:rPr>
        <w:t xml:space="preserve"> </w:t>
      </w:r>
      <w:r w:rsidR="00A01883" w:rsidRPr="003B5AD4">
        <w:rPr>
          <w:rFonts w:eastAsia="Arial" w:cs="Arial"/>
          <w:szCs w:val="22"/>
          <w:lang w:val="fr-FR"/>
        </w:rPr>
        <w:t>;</w:t>
      </w:r>
    </w:p>
    <w:p w14:paraId="113F8268" w14:textId="76CE5CFF" w:rsidR="006903E7" w:rsidRDefault="006903E7" w:rsidP="00AE38E1">
      <w:pPr>
        <w:pStyle w:val="Paragraphedeliste"/>
        <w:numPr>
          <w:ilvl w:val="0"/>
          <w:numId w:val="8"/>
        </w:numPr>
        <w:suppressLineNumbers/>
        <w:tabs>
          <w:tab w:val="left" w:pos="851"/>
        </w:tabs>
        <w:suppressAutoHyphens/>
        <w:spacing w:after="120"/>
        <w:ind w:left="142" w:firstLine="640"/>
        <w:contextualSpacing w:val="0"/>
        <w:rPr>
          <w:szCs w:val="22"/>
          <w:lang w:val="fr-FR"/>
        </w:rPr>
      </w:pPr>
      <w:r w:rsidRPr="006903E7">
        <w:rPr>
          <w:rFonts w:eastAsiaTheme="minorEastAsia"/>
          <w:szCs w:val="22"/>
          <w:lang w:val="fr-FR"/>
        </w:rPr>
        <w:t>Élargissement de la base des donateurs à partir de sources traditionnelles et non traditionnelles, reflétant les réalités et les capacités économiques mondiales les plus récentes</w:t>
      </w:r>
      <w:r w:rsidR="00D130EF">
        <w:rPr>
          <w:rFonts w:eastAsiaTheme="minorEastAsia"/>
          <w:szCs w:val="22"/>
          <w:lang w:val="fr-FR"/>
        </w:rPr>
        <w:t> ;</w:t>
      </w:r>
    </w:p>
    <w:p w14:paraId="739AA0C3" w14:textId="2C4D19AE" w:rsidR="00D42242" w:rsidRDefault="00B91731" w:rsidP="00AE38E1">
      <w:pPr>
        <w:pStyle w:val="Paragraphedeliste"/>
        <w:numPr>
          <w:ilvl w:val="0"/>
          <w:numId w:val="8"/>
        </w:numPr>
        <w:suppressLineNumbers/>
        <w:tabs>
          <w:tab w:val="left" w:pos="851"/>
        </w:tabs>
        <w:suppressAutoHyphens/>
        <w:spacing w:after="120"/>
        <w:ind w:left="142" w:firstLine="640"/>
        <w:contextualSpacing w:val="0"/>
        <w:rPr>
          <w:szCs w:val="22"/>
          <w:lang w:val="fr-FR"/>
        </w:rPr>
      </w:pPr>
      <w:bookmarkStart w:id="2" w:name="_Hlk72959940"/>
      <w:r w:rsidRPr="006903E7">
        <w:rPr>
          <w:bCs/>
          <w:snapToGrid w:val="0"/>
          <w:szCs w:val="22"/>
          <w:lang w:val="fr-FR"/>
        </w:rPr>
        <w:t>Partage des avantages monétaires et non monétaires, aligné sur les discussions en cours dans le cadre d'autres points de l'ordre du jour et/ou des organes de la CDB (par exemple, un mécanisme multilatéral mondial de partage des avantages), éventuellement avec un élément quantitatif</w:t>
      </w:r>
      <w:bookmarkEnd w:id="2"/>
      <w:r w:rsidR="00D130EF">
        <w:rPr>
          <w:bCs/>
          <w:snapToGrid w:val="0"/>
          <w:szCs w:val="22"/>
          <w:lang w:val="fr-FR"/>
        </w:rPr>
        <w:t> (</w:t>
      </w:r>
      <w:r w:rsidR="00D130EF" w:rsidRPr="00D130EF">
        <w:rPr>
          <w:bCs/>
          <w:snapToGrid w:val="0"/>
          <w:szCs w:val="22"/>
          <w:lang w:val="fr-FR"/>
        </w:rPr>
        <w:t>par exemple, X % des bénéfices sont partagés</w:t>
      </w:r>
      <w:r w:rsidR="00D130EF" w:rsidRPr="006751D8">
        <w:rPr>
          <w:rStyle w:val="Appelnotedebasdep"/>
          <w:bCs/>
          <w:szCs w:val="22"/>
        </w:rPr>
        <w:footnoteReference w:id="3"/>
      </w:r>
      <w:r w:rsidR="00D130EF" w:rsidRPr="00D130EF">
        <w:rPr>
          <w:bCs/>
          <w:snapToGrid w:val="0"/>
          <w:szCs w:val="22"/>
          <w:lang w:val="fr-FR"/>
        </w:rPr>
        <w:t>)</w:t>
      </w:r>
      <w:r w:rsidR="00D130EF">
        <w:rPr>
          <w:bCs/>
          <w:snapToGrid w:val="0"/>
          <w:szCs w:val="22"/>
          <w:lang w:val="fr-FR"/>
        </w:rPr>
        <w:t xml:space="preserve"> </w:t>
      </w:r>
      <w:r w:rsidR="00D130EF">
        <w:rPr>
          <w:szCs w:val="22"/>
          <w:lang w:val="fr-FR"/>
        </w:rPr>
        <w:t>;</w:t>
      </w:r>
    </w:p>
    <w:p w14:paraId="26E0CCDA" w14:textId="6493D613" w:rsidR="00FD3E5E" w:rsidRPr="006903E7" w:rsidRDefault="006903E7" w:rsidP="00AE38E1">
      <w:pPr>
        <w:pStyle w:val="Paragraphedeliste"/>
        <w:numPr>
          <w:ilvl w:val="0"/>
          <w:numId w:val="8"/>
        </w:numPr>
        <w:suppressLineNumbers/>
        <w:tabs>
          <w:tab w:val="left" w:pos="851"/>
        </w:tabs>
        <w:suppressAutoHyphens/>
        <w:spacing w:after="120"/>
        <w:ind w:left="142" w:firstLine="640"/>
        <w:contextualSpacing w:val="0"/>
        <w:rPr>
          <w:szCs w:val="22"/>
          <w:lang w:val="fr-FR"/>
        </w:rPr>
      </w:pPr>
      <w:r w:rsidRPr="006903E7">
        <w:rPr>
          <w:szCs w:val="22"/>
          <w:lang w:val="fr-FR"/>
        </w:rPr>
        <w:t>Reconnaissance du rôle du Protocole de Nagoya en tant que mécanisme de mobilisation des ressources</w:t>
      </w:r>
      <w:r w:rsidR="00D130EF">
        <w:rPr>
          <w:szCs w:val="22"/>
          <w:lang w:val="fr-FR"/>
        </w:rPr>
        <w:t>.</w:t>
      </w:r>
    </w:p>
    <w:p w14:paraId="0A8F5BCF" w14:textId="6AC49677" w:rsidR="004140A7" w:rsidRPr="003B5AD4" w:rsidRDefault="00B91731" w:rsidP="00AE38E1">
      <w:pPr>
        <w:pStyle w:val="Titre2"/>
        <w:numPr>
          <w:ilvl w:val="0"/>
          <w:numId w:val="5"/>
        </w:numPr>
        <w:rPr>
          <w:lang w:val="fr-FR"/>
        </w:rPr>
      </w:pPr>
      <w:r w:rsidRPr="003B5AD4">
        <w:rPr>
          <w:lang w:val="fr-FR"/>
        </w:rPr>
        <w:t>Améliorer l'efficience, l'efficacité et la transparence de l'utilisation des ressources</w:t>
      </w:r>
    </w:p>
    <w:p w14:paraId="3A851CDC" w14:textId="1B47075B" w:rsidR="00C11444" w:rsidRPr="003B5AD4" w:rsidRDefault="00B91731" w:rsidP="00AE38E1">
      <w:pPr>
        <w:pStyle w:val="Paragraphedeliste"/>
        <w:numPr>
          <w:ilvl w:val="0"/>
          <w:numId w:val="10"/>
        </w:numPr>
        <w:suppressLineNumbers/>
        <w:suppressAutoHyphens/>
        <w:spacing w:after="120"/>
        <w:ind w:left="0" w:firstLine="782"/>
        <w:contextualSpacing w:val="0"/>
        <w:rPr>
          <w:szCs w:val="22"/>
          <w:lang w:val="fr-FR"/>
        </w:rPr>
      </w:pPr>
      <w:r w:rsidRPr="003B5AD4">
        <w:rPr>
          <w:szCs w:val="22"/>
          <w:lang w:val="fr-FR"/>
        </w:rPr>
        <w:t xml:space="preserve">Aligner les flux financiers et optimiser les </w:t>
      </w:r>
      <w:proofErr w:type="spellStart"/>
      <w:r w:rsidRPr="003B5AD4">
        <w:rPr>
          <w:szCs w:val="22"/>
          <w:lang w:val="fr-FR"/>
        </w:rPr>
        <w:t>co</w:t>
      </w:r>
      <w:proofErr w:type="spellEnd"/>
      <w:r w:rsidRPr="003B5AD4">
        <w:rPr>
          <w:szCs w:val="22"/>
          <w:lang w:val="fr-FR"/>
        </w:rPr>
        <w:t xml:space="preserve">-bénéfices, en particulier avec le financement de l'action climatique, le relèvement post-COVID et la réduction de la pauvreté </w:t>
      </w:r>
      <w:r w:rsidR="00E560BB" w:rsidRPr="003B5AD4">
        <w:rPr>
          <w:szCs w:val="22"/>
          <w:lang w:val="fr-FR"/>
        </w:rPr>
        <w:t>;</w:t>
      </w:r>
    </w:p>
    <w:p w14:paraId="1740FBCA" w14:textId="36FD3C38" w:rsidR="004140A7" w:rsidRPr="003B5AD4" w:rsidRDefault="00B91731" w:rsidP="00AE38E1">
      <w:pPr>
        <w:pStyle w:val="Paragraphedeliste"/>
        <w:numPr>
          <w:ilvl w:val="0"/>
          <w:numId w:val="10"/>
        </w:numPr>
        <w:suppressLineNumbers/>
        <w:suppressAutoHyphens/>
        <w:spacing w:after="120"/>
        <w:ind w:left="0" w:firstLine="782"/>
        <w:contextualSpacing w:val="0"/>
        <w:rPr>
          <w:szCs w:val="22"/>
          <w:lang w:val="fr-FR"/>
        </w:rPr>
      </w:pPr>
      <w:r w:rsidRPr="003B5AD4">
        <w:rPr>
          <w:szCs w:val="22"/>
          <w:lang w:val="fr-FR"/>
        </w:rPr>
        <w:t xml:space="preserve">Prise en compte de la mobilisation des ressources dans la planification, les stratégies et les plans d'action nationaux dans l'ensemble des administrations, dans tous les secteurs, y compris les mesures réglementaires, l'intégration fiscale, budgétaire et financière par les gouvernements (par exemple, les Parties qui ont élaboré des plans nationaux de financement de la biodiversité, nombre de Parties qui ont reçu un soutien pour mettre en œuvre les solutions financières) </w:t>
      </w:r>
      <w:r w:rsidR="00E560BB" w:rsidRPr="003B5AD4">
        <w:rPr>
          <w:szCs w:val="22"/>
          <w:lang w:val="fr-FR"/>
        </w:rPr>
        <w:t>;</w:t>
      </w:r>
    </w:p>
    <w:p w14:paraId="67D10B94" w14:textId="43933E3F" w:rsidR="00D3057B" w:rsidRPr="003B5AD4" w:rsidRDefault="00B91731" w:rsidP="00AE38E1">
      <w:pPr>
        <w:pStyle w:val="Paragraphedeliste"/>
        <w:numPr>
          <w:ilvl w:val="0"/>
          <w:numId w:val="10"/>
        </w:numPr>
        <w:suppressLineNumbers/>
        <w:suppressAutoHyphens/>
        <w:spacing w:after="120"/>
        <w:ind w:left="0" w:firstLine="782"/>
        <w:contextualSpacing w:val="0"/>
        <w:rPr>
          <w:szCs w:val="22"/>
          <w:lang w:val="fr-FR"/>
        </w:rPr>
      </w:pPr>
      <w:r w:rsidRPr="003B5AD4">
        <w:rPr>
          <w:szCs w:val="22"/>
          <w:lang w:val="fr-FR"/>
        </w:rPr>
        <w:t>Activités habilitantes visant à soutenir la mobilisation des ressources, telles que le renforcement/développement des capacités, la coopération technique et scientifique, le transfert de technologie, l'éducation économique (les éléments pourraient inclure le développement des capacités pour le gouvernement à tous les niveaux, les entreprises, le secteur financier, l'application de la méthodologie PNUD/BIOFIN, etc.)</w:t>
      </w:r>
      <w:r w:rsidR="00D55F0A" w:rsidRPr="003B5AD4">
        <w:rPr>
          <w:szCs w:val="22"/>
          <w:lang w:val="fr-FR"/>
        </w:rPr>
        <w:t xml:space="preserve"> </w:t>
      </w:r>
      <w:r w:rsidR="00E560BB" w:rsidRPr="003B5AD4">
        <w:rPr>
          <w:szCs w:val="22"/>
          <w:lang w:val="fr-FR"/>
        </w:rPr>
        <w:t>;</w:t>
      </w:r>
    </w:p>
    <w:p w14:paraId="26B46E7C" w14:textId="19D970EC" w:rsidR="00C05D50" w:rsidRPr="003B5AD4" w:rsidRDefault="00B91731" w:rsidP="00AE38E1">
      <w:pPr>
        <w:pStyle w:val="Paragraphedeliste"/>
        <w:numPr>
          <w:ilvl w:val="0"/>
          <w:numId w:val="10"/>
        </w:numPr>
        <w:suppressLineNumbers/>
        <w:suppressAutoHyphens/>
        <w:spacing w:after="120"/>
        <w:ind w:left="0" w:firstLine="782"/>
        <w:contextualSpacing w:val="0"/>
        <w:rPr>
          <w:rFonts w:eastAsia="Arial"/>
          <w:szCs w:val="22"/>
          <w:lang w:val="fr-FR"/>
        </w:rPr>
      </w:pPr>
      <w:r w:rsidRPr="003B5AD4">
        <w:rPr>
          <w:szCs w:val="22"/>
          <w:lang w:val="fr-FR"/>
        </w:rPr>
        <w:lastRenderedPageBreak/>
        <w:t xml:space="preserve">Inclure la biodiversité dans la prise de décision et les investissements commerciaux et financiers, par exemple en développant des cadres, des méthodologies et des paramètres normalisés, des outils et des conseils, ou des exigences de divulgation obligatoires et comparables au niveau international concernant les risques et dépendances liés à la nature, comme dans le cadre de l'Équipe spéciale sur la communication d'informations liées à la nature </w:t>
      </w:r>
      <w:r w:rsidR="00E560BB" w:rsidRPr="003B5AD4">
        <w:rPr>
          <w:szCs w:val="22"/>
          <w:lang w:val="fr-FR"/>
        </w:rPr>
        <w:t>;</w:t>
      </w:r>
    </w:p>
    <w:p w14:paraId="04E4442A" w14:textId="7C90EDAB" w:rsidR="002C48A2" w:rsidRPr="00D130EF" w:rsidRDefault="00D55F0A" w:rsidP="00AE38E1">
      <w:pPr>
        <w:pStyle w:val="Paragraphedeliste"/>
        <w:numPr>
          <w:ilvl w:val="0"/>
          <w:numId w:val="10"/>
        </w:numPr>
        <w:suppressLineNumbers/>
        <w:suppressAutoHyphens/>
        <w:spacing w:after="120"/>
        <w:ind w:left="0" w:firstLine="782"/>
        <w:contextualSpacing w:val="0"/>
        <w:rPr>
          <w:rFonts w:eastAsia="Arial"/>
          <w:szCs w:val="22"/>
          <w:lang w:val="fr-FR"/>
        </w:rPr>
      </w:pPr>
      <w:r w:rsidRPr="003B5AD4">
        <w:rPr>
          <w:szCs w:val="22"/>
          <w:lang w:val="fr-FR"/>
        </w:rPr>
        <w:t xml:space="preserve">Renforcer l'efficacité de l'aide, notamment en se concentrant sur son appropriation par le bénéficiaire et sur ses résultats </w:t>
      </w:r>
      <w:r w:rsidR="009042C9" w:rsidRPr="003B5AD4">
        <w:rPr>
          <w:szCs w:val="22"/>
          <w:lang w:val="fr-FR"/>
        </w:rPr>
        <w:t>;</w:t>
      </w:r>
    </w:p>
    <w:p w14:paraId="5EFAC1B7" w14:textId="27C5A691" w:rsidR="00D130EF" w:rsidRDefault="00D130EF" w:rsidP="00AE38E1">
      <w:pPr>
        <w:pStyle w:val="Paragraphedeliste"/>
        <w:numPr>
          <w:ilvl w:val="0"/>
          <w:numId w:val="10"/>
        </w:numPr>
        <w:suppressLineNumbers/>
        <w:suppressAutoHyphens/>
        <w:spacing w:after="120"/>
        <w:ind w:left="0" w:firstLine="782"/>
        <w:contextualSpacing w:val="0"/>
        <w:rPr>
          <w:rFonts w:eastAsia="Arial"/>
          <w:szCs w:val="22"/>
          <w:lang w:val="fr-FR"/>
        </w:rPr>
      </w:pPr>
      <w:r w:rsidRPr="00D130EF">
        <w:rPr>
          <w:rFonts w:eastAsia="Arial"/>
          <w:szCs w:val="22"/>
          <w:lang w:val="fr-FR"/>
        </w:rPr>
        <w:t>Promouvoir l'utilisation des ressources d'une manière ouverte, compétitive et basée sur des projets, afin de soutenir les activités sur le terrain visant à préserver la diversité biologique et l'utilisation durable de ses composantes, par exemple dans le cadre des priorités de dépenses identifiées par la plate-forme intergouvernementale scientifique et politique sur la biodiversité et les services écosystémiques au moyen d'évaluations scientifiques</w:t>
      </w:r>
      <w:r>
        <w:rPr>
          <w:rFonts w:eastAsia="Arial"/>
          <w:szCs w:val="22"/>
          <w:lang w:val="fr-FR"/>
        </w:rPr>
        <w:t> ;</w:t>
      </w:r>
    </w:p>
    <w:p w14:paraId="24A68FE8" w14:textId="716B67EA" w:rsidR="00D130EF" w:rsidRPr="003B5AD4" w:rsidRDefault="00D130EF" w:rsidP="00AE38E1">
      <w:pPr>
        <w:pStyle w:val="Paragraphedeliste"/>
        <w:numPr>
          <w:ilvl w:val="0"/>
          <w:numId w:val="10"/>
        </w:numPr>
        <w:suppressLineNumbers/>
        <w:suppressAutoHyphens/>
        <w:spacing w:after="120"/>
        <w:ind w:left="0" w:firstLine="782"/>
        <w:contextualSpacing w:val="0"/>
        <w:rPr>
          <w:rFonts w:eastAsia="Arial"/>
          <w:szCs w:val="22"/>
          <w:lang w:val="fr-FR"/>
        </w:rPr>
      </w:pPr>
      <w:r w:rsidRPr="00D130EF">
        <w:rPr>
          <w:rFonts w:eastAsia="Arial"/>
          <w:szCs w:val="22"/>
          <w:lang w:val="fr-FR"/>
        </w:rPr>
        <w:t>Étudier la possibilité de mettre au point une méthode uniforme de mesure des engagements des Parties concernant l'augmentation des flux financiers, afin de comparer les montants figurant dans les rapports financiers (marqueurs de Rio ou autres)</w:t>
      </w:r>
      <w:r>
        <w:rPr>
          <w:rFonts w:eastAsia="Arial"/>
          <w:szCs w:val="22"/>
          <w:lang w:val="fr-FR"/>
        </w:rPr>
        <w:t> ;</w:t>
      </w:r>
    </w:p>
    <w:p w14:paraId="3626F639" w14:textId="407E80DB" w:rsidR="00FD788D" w:rsidRPr="003B5AD4" w:rsidRDefault="00D130EF" w:rsidP="00AE38E1">
      <w:pPr>
        <w:pStyle w:val="Paragraphedeliste"/>
        <w:numPr>
          <w:ilvl w:val="0"/>
          <w:numId w:val="10"/>
        </w:numPr>
        <w:suppressLineNumbers/>
        <w:suppressAutoHyphens/>
        <w:spacing w:after="120"/>
        <w:ind w:left="0" w:firstLine="782"/>
        <w:contextualSpacing w:val="0"/>
        <w:rPr>
          <w:rFonts w:eastAsia="Arial"/>
          <w:szCs w:val="22"/>
          <w:lang w:val="fr-FR"/>
        </w:rPr>
      </w:pPr>
      <w:r w:rsidRPr="00D130EF">
        <w:rPr>
          <w:szCs w:val="22"/>
          <w:lang w:val="fr-FR"/>
        </w:rPr>
        <w:t>Promouvoir le rôle des banques multilatérales de développement afin de soutenir une utilisation efficace, effective et transparente des ressources dans tous les processus</w:t>
      </w:r>
      <w:r w:rsidR="00D55F0A" w:rsidRPr="003B5AD4">
        <w:rPr>
          <w:szCs w:val="22"/>
          <w:lang w:val="fr-FR"/>
        </w:rPr>
        <w:t xml:space="preserve"> </w:t>
      </w:r>
      <w:r w:rsidR="00F62712" w:rsidRPr="003B5AD4">
        <w:rPr>
          <w:szCs w:val="22"/>
          <w:lang w:val="fr-FR"/>
        </w:rPr>
        <w:t>;</w:t>
      </w:r>
    </w:p>
    <w:p w14:paraId="36B3DEF0" w14:textId="4728A412" w:rsidR="002678D3" w:rsidRPr="003B5AD4" w:rsidRDefault="00D55F0A" w:rsidP="00AE38E1">
      <w:pPr>
        <w:pStyle w:val="Paragraphedeliste"/>
        <w:numPr>
          <w:ilvl w:val="0"/>
          <w:numId w:val="10"/>
        </w:numPr>
        <w:suppressLineNumbers/>
        <w:suppressAutoHyphens/>
        <w:spacing w:after="120"/>
        <w:ind w:left="0" w:firstLine="782"/>
        <w:contextualSpacing w:val="0"/>
        <w:rPr>
          <w:szCs w:val="22"/>
          <w:lang w:val="fr-FR"/>
        </w:rPr>
      </w:pPr>
      <w:r w:rsidRPr="003B5AD4">
        <w:rPr>
          <w:szCs w:val="22"/>
          <w:lang w:val="fr-FR"/>
        </w:rPr>
        <w:t>Orientation thématique claire des ressources pour la conservation de la biodiversité, la sécurité biologique, l'</w:t>
      </w:r>
      <w:r w:rsidR="00694043">
        <w:rPr>
          <w:szCs w:val="22"/>
          <w:lang w:val="fr-FR"/>
        </w:rPr>
        <w:t>accès et le partage des avantages</w:t>
      </w:r>
      <w:r w:rsidRPr="003B5AD4">
        <w:rPr>
          <w:szCs w:val="22"/>
          <w:lang w:val="fr-FR"/>
        </w:rPr>
        <w:t xml:space="preserve"> et le maintien d'écosystèmes équilibrés entre les espèces </w:t>
      </w:r>
      <w:r w:rsidR="00F62712" w:rsidRPr="003B5AD4">
        <w:rPr>
          <w:szCs w:val="22"/>
          <w:lang w:val="fr-FR"/>
        </w:rPr>
        <w:t>;</w:t>
      </w:r>
    </w:p>
    <w:p w14:paraId="1D22702A" w14:textId="79F56471" w:rsidR="00D82F67" w:rsidRPr="003B5AD4" w:rsidRDefault="00D55F0A" w:rsidP="00AE38E1">
      <w:pPr>
        <w:pStyle w:val="Paragraphedeliste"/>
        <w:numPr>
          <w:ilvl w:val="0"/>
          <w:numId w:val="10"/>
        </w:numPr>
        <w:suppressLineNumbers/>
        <w:suppressAutoHyphens/>
        <w:spacing w:after="120"/>
        <w:ind w:left="0" w:firstLine="782"/>
        <w:contextualSpacing w:val="0"/>
        <w:rPr>
          <w:rFonts w:eastAsia="Arial"/>
          <w:szCs w:val="22"/>
          <w:lang w:val="fr-FR"/>
        </w:rPr>
      </w:pPr>
      <w:r w:rsidRPr="003B5AD4">
        <w:rPr>
          <w:szCs w:val="22"/>
          <w:lang w:val="fr-FR"/>
        </w:rPr>
        <w:t>Donner la priorité à la fourniture de ressources aux régions dont les besoins sont les plus notables, et en tenant compte des directives les plus récentes de la BIRD/CAD, en prenant dûment en considération les changements positifs dans l'amélioration des revenus dans certaines parties du monde</w:t>
      </w:r>
      <w:r w:rsidR="007B0FF3" w:rsidRPr="003B5AD4">
        <w:rPr>
          <w:rFonts w:eastAsiaTheme="minorEastAsia"/>
          <w:szCs w:val="22"/>
          <w:lang w:val="fr-FR"/>
        </w:rPr>
        <w:t>.</w:t>
      </w:r>
    </w:p>
    <w:p w14:paraId="55F48A02" w14:textId="4F079780" w:rsidR="009B30ED" w:rsidRPr="003B5AD4" w:rsidRDefault="009B30ED" w:rsidP="00450368">
      <w:pPr>
        <w:pStyle w:val="Titre1"/>
        <w:ind w:left="1134" w:hanging="567"/>
        <w:jc w:val="left"/>
        <w:rPr>
          <w:rFonts w:eastAsia="Arial"/>
          <w:lang w:val="fr-FR"/>
        </w:rPr>
      </w:pPr>
      <w:r w:rsidRPr="003B5AD4">
        <w:rPr>
          <w:rFonts w:eastAsia="Arial"/>
          <w:lang w:val="fr-FR"/>
        </w:rPr>
        <w:t>IV.</w:t>
      </w:r>
      <w:r w:rsidR="0022104F" w:rsidRPr="003B5AD4">
        <w:rPr>
          <w:rFonts w:eastAsia="Arial"/>
          <w:lang w:val="fr-FR"/>
        </w:rPr>
        <w:tab/>
      </w:r>
      <w:r w:rsidR="00D55F0A" w:rsidRPr="003B5AD4">
        <w:rPr>
          <w:rFonts w:eastAsia="Arial"/>
          <w:lang w:val="fr-FR"/>
        </w:rPr>
        <w:t>NSTRUMENTS DE LA CONVENTION SUR LA DIVERSITÉ BIOLOGIQUE LIÉS À LA MOBILISATION DES RESSOURCES</w:t>
      </w:r>
    </w:p>
    <w:p w14:paraId="358208ED" w14:textId="4DE94DE5" w:rsidR="006B7304" w:rsidRPr="003B5AD4" w:rsidRDefault="00187EE0" w:rsidP="006B7304">
      <w:pPr>
        <w:suppressLineNumbers/>
        <w:suppressAutoHyphens/>
        <w:spacing w:before="120" w:after="120"/>
        <w:rPr>
          <w:rFonts w:eastAsia="Arial"/>
          <w:szCs w:val="22"/>
          <w:lang w:val="fr-FR"/>
        </w:rPr>
      </w:pPr>
      <w:r w:rsidRPr="003B5AD4">
        <w:rPr>
          <w:rFonts w:eastAsia="Arial"/>
          <w:szCs w:val="22"/>
          <w:lang w:val="fr-FR"/>
        </w:rPr>
        <w:t>12.</w:t>
      </w:r>
      <w:r w:rsidRPr="003B5AD4">
        <w:rPr>
          <w:rFonts w:eastAsia="Arial"/>
          <w:szCs w:val="22"/>
          <w:lang w:val="fr-FR"/>
        </w:rPr>
        <w:tab/>
      </w:r>
      <w:r w:rsidR="00D55F0A" w:rsidRPr="003B5AD4">
        <w:rPr>
          <w:rFonts w:eastAsia="Arial"/>
          <w:szCs w:val="22"/>
          <w:lang w:val="fr-FR"/>
        </w:rPr>
        <w:t xml:space="preserve">Les éléments mentionnés au paragraphe 11 ci-dessus contribueront à mobiliser des ressources de toutes les sources, tant au niveau international que national. Cependant, beaucoup ont également souligné la relation directe entre les aspects de mobilisation des ressources et plusieurs questions transversales actuellement discutées en préparation du Cadre mondial de la biodiversité pour l'après-2020 et de la quinzième réunion de la Conférence des Parties. Cette section porte donc sur les instruments et/ou moyens de mise en œuvre qui ont été mentionnés par les délégués comme étant des mécanismes ou instruments clés pour renforcer l'efficacité et l'efficience de la mobilisation des ressources nationales. Il pourrait s'agir des éléments suivants </w:t>
      </w:r>
      <w:r w:rsidR="00450368" w:rsidRPr="003B5AD4">
        <w:rPr>
          <w:rFonts w:eastAsia="Arial"/>
          <w:szCs w:val="22"/>
          <w:lang w:val="fr-FR"/>
        </w:rPr>
        <w:t>:</w:t>
      </w:r>
    </w:p>
    <w:p w14:paraId="34074A6F" w14:textId="3771FA04" w:rsidR="001B6C4D" w:rsidRPr="003B5AD4" w:rsidRDefault="00D55F0A" w:rsidP="00AE38E1">
      <w:pPr>
        <w:pStyle w:val="Paragraphedeliste"/>
        <w:numPr>
          <w:ilvl w:val="0"/>
          <w:numId w:val="11"/>
        </w:numPr>
        <w:suppressLineNumbers/>
        <w:suppressAutoHyphens/>
        <w:spacing w:after="120"/>
        <w:ind w:left="0" w:firstLine="720"/>
        <w:contextualSpacing w:val="0"/>
        <w:rPr>
          <w:szCs w:val="22"/>
          <w:lang w:val="fr-FR"/>
        </w:rPr>
      </w:pPr>
      <w:r w:rsidRPr="003B5AD4">
        <w:rPr>
          <w:rFonts w:eastAsia="Arial"/>
          <w:i/>
          <w:szCs w:val="22"/>
          <w:lang w:val="fr-FR"/>
        </w:rPr>
        <w:t xml:space="preserve">Planification et rapports nationaux </w:t>
      </w:r>
      <w:r w:rsidRPr="008D4A0E">
        <w:rPr>
          <w:rFonts w:eastAsia="Arial"/>
          <w:iCs/>
          <w:szCs w:val="22"/>
          <w:lang w:val="fr-FR"/>
        </w:rPr>
        <w:t>:</w:t>
      </w:r>
      <w:r w:rsidRPr="003B5AD4">
        <w:rPr>
          <w:rFonts w:eastAsia="Arial"/>
          <w:i/>
          <w:szCs w:val="22"/>
          <w:lang w:val="fr-FR"/>
        </w:rPr>
        <w:t xml:space="preserve"> </w:t>
      </w:r>
      <w:r w:rsidRPr="003B5AD4">
        <w:rPr>
          <w:rFonts w:eastAsia="Arial"/>
          <w:iCs/>
          <w:szCs w:val="22"/>
          <w:lang w:val="fr-FR"/>
        </w:rPr>
        <w:t>Stratégies et plans d'action nationaux en matière de biodiversité, y compris les objectifs et cibles nationaux, ou autres instruments de planification nationaux</w:t>
      </w:r>
      <w:r w:rsidRPr="003B5AD4">
        <w:rPr>
          <w:rFonts w:eastAsia="Arial"/>
          <w:i/>
          <w:szCs w:val="22"/>
          <w:lang w:val="fr-FR"/>
        </w:rPr>
        <w:t xml:space="preserve"> </w:t>
      </w:r>
      <w:r w:rsidR="009A61DD" w:rsidRPr="003B5AD4">
        <w:rPr>
          <w:rFonts w:eastAsia="Arial"/>
          <w:szCs w:val="22"/>
          <w:lang w:val="fr-FR"/>
        </w:rPr>
        <w:t>;</w:t>
      </w:r>
    </w:p>
    <w:p w14:paraId="250C95E1" w14:textId="02EB666F" w:rsidR="001B6C4D" w:rsidRPr="003B5AD4" w:rsidRDefault="00D55F0A" w:rsidP="00AE38E1">
      <w:pPr>
        <w:pStyle w:val="Paragraphedeliste"/>
        <w:numPr>
          <w:ilvl w:val="0"/>
          <w:numId w:val="11"/>
        </w:numPr>
        <w:suppressLineNumbers/>
        <w:suppressAutoHyphens/>
        <w:spacing w:after="120"/>
        <w:ind w:left="0" w:firstLine="720"/>
        <w:contextualSpacing w:val="0"/>
        <w:rPr>
          <w:szCs w:val="22"/>
          <w:lang w:val="fr-FR"/>
        </w:rPr>
      </w:pPr>
      <w:r w:rsidRPr="003B5AD4">
        <w:rPr>
          <w:i/>
          <w:szCs w:val="22"/>
          <w:lang w:val="fr-FR"/>
        </w:rPr>
        <w:t xml:space="preserve">Plans nationaux de financement de la biodiversité </w:t>
      </w:r>
      <w:r w:rsidRPr="003B5AD4">
        <w:rPr>
          <w:iCs/>
          <w:szCs w:val="22"/>
          <w:lang w:val="fr-FR"/>
        </w:rPr>
        <w:t>en tant que mécanisme d'identification et de soutien de la mobilisation des ressources internationales et nationales, y compris les solutions de financement possibles qui abordent les trois voies ci-dessus à l'appui des SPANB (par exemple, les évaluations et les réformes fiscales, les transferts fiscaux écologiques (TFE) et l'utilisation d'instruments économiques, tels que le principe du pollueur-payeur, les taxes environnementales et le paiement des services écosystémiques</w:t>
      </w:r>
      <w:r w:rsidRPr="003B5AD4">
        <w:rPr>
          <w:i/>
          <w:szCs w:val="22"/>
          <w:lang w:val="fr-FR"/>
        </w:rPr>
        <w:t xml:space="preserve"> </w:t>
      </w:r>
      <w:r w:rsidR="00B5489E" w:rsidRPr="003B5AD4">
        <w:rPr>
          <w:szCs w:val="22"/>
          <w:lang w:val="fr-FR"/>
        </w:rPr>
        <w:t>;</w:t>
      </w:r>
    </w:p>
    <w:p w14:paraId="1D10FF3D" w14:textId="0EC1B41F" w:rsidR="00694C2B" w:rsidRPr="003B5AD4" w:rsidRDefault="00D55F0A" w:rsidP="00AE38E1">
      <w:pPr>
        <w:pStyle w:val="Paragraphedeliste"/>
        <w:numPr>
          <w:ilvl w:val="0"/>
          <w:numId w:val="11"/>
        </w:numPr>
        <w:suppressLineNumbers/>
        <w:suppressAutoHyphens/>
        <w:spacing w:after="120"/>
        <w:ind w:left="0" w:firstLine="720"/>
        <w:contextualSpacing w:val="0"/>
        <w:rPr>
          <w:rFonts w:eastAsia="Arial"/>
          <w:szCs w:val="22"/>
          <w:lang w:val="fr-FR"/>
        </w:rPr>
      </w:pPr>
      <w:r w:rsidRPr="003B5AD4">
        <w:rPr>
          <w:i/>
          <w:snapToGrid w:val="0"/>
          <w:kern w:val="22"/>
          <w:szCs w:val="22"/>
          <w:lang w:val="fr-FR"/>
        </w:rPr>
        <w:t xml:space="preserve">Coopération technique et scientifique, transfert de technologie, gestion des connaissances et communication </w:t>
      </w:r>
      <w:r w:rsidRPr="008D4A0E">
        <w:rPr>
          <w:iCs/>
          <w:snapToGrid w:val="0"/>
          <w:kern w:val="22"/>
          <w:szCs w:val="22"/>
          <w:lang w:val="fr-FR"/>
        </w:rPr>
        <w:t xml:space="preserve">: </w:t>
      </w:r>
      <w:r w:rsidRPr="003B5AD4">
        <w:rPr>
          <w:iCs/>
          <w:snapToGrid w:val="0"/>
          <w:kern w:val="22"/>
          <w:szCs w:val="22"/>
          <w:lang w:val="fr-FR"/>
        </w:rPr>
        <w:t>Cadre stratégique pour le renforcement des capacités (CBD, NP, CP), plan d'action pour le renforcement des capacités, cadre stratégique à long terme pour le renforcement des capacités</w:t>
      </w:r>
      <w:r w:rsidRPr="003B5AD4">
        <w:rPr>
          <w:i/>
          <w:snapToGrid w:val="0"/>
          <w:kern w:val="22"/>
          <w:szCs w:val="22"/>
          <w:lang w:val="fr-FR"/>
        </w:rPr>
        <w:t xml:space="preserve"> </w:t>
      </w:r>
      <w:r w:rsidR="00BE7933" w:rsidRPr="003B5AD4">
        <w:rPr>
          <w:snapToGrid w:val="0"/>
          <w:kern w:val="22"/>
          <w:szCs w:val="22"/>
          <w:lang w:val="fr-FR"/>
        </w:rPr>
        <w:t>;</w:t>
      </w:r>
    </w:p>
    <w:p w14:paraId="54FDEB1F" w14:textId="2A5FD908" w:rsidR="00694C2B" w:rsidRPr="003B5AD4" w:rsidRDefault="00411BFA" w:rsidP="00AE38E1">
      <w:pPr>
        <w:pStyle w:val="Paragraphedeliste"/>
        <w:numPr>
          <w:ilvl w:val="0"/>
          <w:numId w:val="11"/>
        </w:numPr>
        <w:suppressLineNumbers/>
        <w:suppressAutoHyphens/>
        <w:spacing w:after="120"/>
        <w:ind w:left="0" w:firstLine="720"/>
        <w:contextualSpacing w:val="0"/>
        <w:rPr>
          <w:rFonts w:eastAsia="Arial"/>
          <w:szCs w:val="22"/>
          <w:lang w:val="fr-FR"/>
        </w:rPr>
      </w:pPr>
      <w:r w:rsidRPr="003B5AD4">
        <w:rPr>
          <w:rFonts w:eastAsia="Arial"/>
          <w:i/>
          <w:szCs w:val="22"/>
          <w:lang w:val="fr-FR"/>
        </w:rPr>
        <w:t xml:space="preserve">L'approche à long terme de l'intégration </w:t>
      </w:r>
      <w:r w:rsidRPr="003B5AD4">
        <w:rPr>
          <w:rFonts w:eastAsia="Arial"/>
          <w:iCs/>
          <w:szCs w:val="22"/>
          <w:lang w:val="fr-FR"/>
        </w:rPr>
        <w:t>pourrait fournir une structure pour aider les Parties à rendre opérationnelle cette question complexe de l'intégration de la biodiversité dans toute la société à l'appui des trois voies indiquées ci-dessus</w:t>
      </w:r>
      <w:r w:rsidRPr="003B5AD4">
        <w:rPr>
          <w:rFonts w:eastAsia="Arial"/>
          <w:i/>
          <w:szCs w:val="22"/>
          <w:lang w:val="fr-FR"/>
        </w:rPr>
        <w:t xml:space="preserve"> </w:t>
      </w:r>
      <w:r w:rsidR="00810383" w:rsidRPr="003B5AD4">
        <w:rPr>
          <w:rFonts w:eastAsia="Arial"/>
          <w:szCs w:val="22"/>
          <w:lang w:val="fr-FR"/>
        </w:rPr>
        <w:t>;</w:t>
      </w:r>
    </w:p>
    <w:p w14:paraId="0D5F952F" w14:textId="5FC43554" w:rsidR="006B6475" w:rsidRPr="003B5AD4" w:rsidRDefault="00411BFA" w:rsidP="00AE38E1">
      <w:pPr>
        <w:pStyle w:val="Paragraphedeliste"/>
        <w:numPr>
          <w:ilvl w:val="0"/>
          <w:numId w:val="11"/>
        </w:numPr>
        <w:suppressLineNumbers/>
        <w:suppressAutoHyphens/>
        <w:spacing w:after="120"/>
        <w:ind w:left="0" w:firstLine="720"/>
        <w:rPr>
          <w:rFonts w:eastAsia="Arial"/>
          <w:szCs w:val="22"/>
          <w:lang w:val="fr-FR"/>
        </w:rPr>
      </w:pPr>
      <w:r w:rsidRPr="003B5AD4">
        <w:rPr>
          <w:rFonts w:eastAsia="Arial"/>
          <w:i/>
          <w:szCs w:val="22"/>
          <w:lang w:val="fr-FR"/>
        </w:rPr>
        <w:lastRenderedPageBreak/>
        <w:t xml:space="preserve">Le Fonds pour l'environnement mondial, </w:t>
      </w:r>
      <w:r w:rsidRPr="003B5AD4">
        <w:rPr>
          <w:rFonts w:eastAsia="Arial"/>
          <w:iCs/>
          <w:szCs w:val="22"/>
          <w:lang w:val="fr-FR"/>
        </w:rPr>
        <w:t>en tant que mécanisme financier actuel de la Convention, en soutenant les changements structurels et institutionnels appropriés</w:t>
      </w:r>
      <w:r w:rsidR="007C1745" w:rsidRPr="003B5AD4">
        <w:rPr>
          <w:rFonts w:eastAsia="Arial"/>
          <w:szCs w:val="22"/>
          <w:lang w:val="fr-FR"/>
        </w:rPr>
        <w:t>.</w:t>
      </w:r>
    </w:p>
    <w:p w14:paraId="41A29D06" w14:textId="5C9CD208" w:rsidR="00DF21CF" w:rsidRPr="003B5AD4" w:rsidRDefault="008C31D7" w:rsidP="003A5DF0">
      <w:pPr>
        <w:suppressLineNumbers/>
        <w:suppressAutoHyphens/>
        <w:spacing w:before="120" w:after="120"/>
        <w:rPr>
          <w:szCs w:val="22"/>
          <w:lang w:val="fr-FR"/>
        </w:rPr>
      </w:pPr>
      <w:r w:rsidRPr="003B5AD4">
        <w:rPr>
          <w:rFonts w:eastAsia="Arial"/>
          <w:szCs w:val="22"/>
          <w:lang w:val="fr-FR"/>
        </w:rPr>
        <w:t>1</w:t>
      </w:r>
      <w:r w:rsidR="006B6475" w:rsidRPr="003B5AD4">
        <w:rPr>
          <w:rFonts w:eastAsia="Arial"/>
          <w:szCs w:val="22"/>
          <w:lang w:val="fr-FR"/>
        </w:rPr>
        <w:t>3</w:t>
      </w:r>
      <w:r w:rsidRPr="003B5AD4">
        <w:rPr>
          <w:rFonts w:eastAsia="Arial"/>
          <w:szCs w:val="22"/>
          <w:lang w:val="fr-FR"/>
        </w:rPr>
        <w:t>.</w:t>
      </w:r>
      <w:r w:rsidRPr="003B5AD4">
        <w:rPr>
          <w:rFonts w:eastAsia="Arial"/>
          <w:szCs w:val="22"/>
          <w:lang w:val="fr-FR"/>
        </w:rPr>
        <w:tab/>
      </w:r>
      <w:r w:rsidR="00411BFA" w:rsidRPr="003B5AD4">
        <w:rPr>
          <w:rFonts w:eastAsia="Arial"/>
          <w:szCs w:val="22"/>
          <w:lang w:val="fr-FR"/>
        </w:rPr>
        <w:t>Enfin, la figure ci-dessous est fournie à titre purement illustratif pour visualiser la complexité des éléments liés à la mobilisation des ressources ainsi que pour souligner leur interaction. La priorité et la pertinence de chacun d'entre eux varieront en fonction des priorités nationales, mais, afin de réaliser de réels progrès pour combler le déficit de financement mondial, des efforts seront nécessaires pour aborder les trois voies de manière cohérente. Cela nécessitera également des efforts conjoints, des partenariats et une collaboration avec un large éventail d'acteurs publics et privés, notamment les gouvernements, les organisations internationales (par exemple, le PNUD/BIOFIN), les entreprises et les institutions financières, les peuples autochtones et les communautés locales, les parties prenantes et la société civile</w:t>
      </w:r>
      <w:r w:rsidR="006B6475" w:rsidRPr="003B5AD4">
        <w:rPr>
          <w:szCs w:val="22"/>
          <w:lang w:val="fr-FR"/>
        </w:rPr>
        <w:t>.</w:t>
      </w:r>
      <w:r w:rsidR="0030663C">
        <w:rPr>
          <w:szCs w:val="22"/>
          <w:lang w:val="fr-FR"/>
        </w:rPr>
        <w:t xml:space="preserve"> </w:t>
      </w:r>
    </w:p>
    <w:p w14:paraId="29435626" w14:textId="19D7078E" w:rsidR="00712DB6" w:rsidRPr="003B5AD4" w:rsidRDefault="00085AA9" w:rsidP="00EE51AC">
      <w:pPr>
        <w:suppressLineNumbers/>
        <w:suppressAutoHyphens/>
        <w:spacing w:before="120" w:after="120"/>
        <w:rPr>
          <w:szCs w:val="22"/>
          <w:lang w:val="fr-FR"/>
        </w:rPr>
      </w:pPr>
      <w:r w:rsidRPr="003B5AD4">
        <w:rPr>
          <w:szCs w:val="22"/>
          <w:lang w:val="fr-FR"/>
        </w:rPr>
        <w:t xml:space="preserve"> </w:t>
      </w:r>
      <w:r w:rsidR="00D51E94" w:rsidRPr="003B5AD4">
        <w:rPr>
          <w:noProof/>
          <w:szCs w:val="22"/>
          <w:lang w:val="fr-FR"/>
        </w:rPr>
        <w:drawing>
          <wp:inline distT="0" distB="0" distL="0" distR="0" wp14:anchorId="12F4E9B0" wp14:editId="36FB01E1">
            <wp:extent cx="6413988" cy="408761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5952" cy="4101612"/>
                    </a:xfrm>
                    <a:prstGeom prst="rect">
                      <a:avLst/>
                    </a:prstGeom>
                  </pic:spPr>
                </pic:pic>
              </a:graphicData>
            </a:graphic>
          </wp:inline>
        </w:drawing>
      </w:r>
    </w:p>
    <w:p w14:paraId="7528EFE8" w14:textId="026D4B60" w:rsidR="0009645A" w:rsidRPr="003B5AD4" w:rsidRDefault="0038260E" w:rsidP="008B7BCE">
      <w:pPr>
        <w:suppressLineNumbers/>
        <w:suppressAutoHyphens/>
        <w:spacing w:before="120" w:after="120"/>
        <w:jc w:val="center"/>
        <w:rPr>
          <w:color w:val="000000" w:themeColor="text1"/>
          <w:szCs w:val="22"/>
          <w:lang w:val="fr-FR"/>
        </w:rPr>
      </w:pPr>
      <w:r w:rsidRPr="003B5AD4">
        <w:rPr>
          <w:szCs w:val="22"/>
          <w:lang w:val="fr-FR"/>
        </w:rPr>
        <w:t>__________</w:t>
      </w:r>
    </w:p>
    <w:sectPr w:rsidR="0009645A" w:rsidRPr="003B5AD4" w:rsidSect="00D244A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276" w:right="1183" w:bottom="1276" w:left="1134"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CFB04" w14:textId="77777777" w:rsidR="00AE38E1" w:rsidRDefault="00AE38E1" w:rsidP="00CF1848">
      <w:r>
        <w:separator/>
      </w:r>
    </w:p>
  </w:endnote>
  <w:endnote w:type="continuationSeparator" w:id="0">
    <w:p w14:paraId="32A67D0A" w14:textId="77777777" w:rsidR="00AE38E1" w:rsidRDefault="00AE38E1" w:rsidP="00CF1848">
      <w:r>
        <w:continuationSeparator/>
      </w:r>
    </w:p>
  </w:endnote>
  <w:endnote w:type="continuationNotice" w:id="1">
    <w:p w14:paraId="7E6A9D38" w14:textId="77777777" w:rsidR="00AE38E1" w:rsidRDefault="00AE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BB2D" w14:textId="77777777" w:rsidR="00D715E6" w:rsidRDefault="00D715E6" w:rsidP="001C6487">
    <w:pPr>
      <w:pStyle w:val="Pieddepage"/>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1EAB" w14:textId="77777777" w:rsidR="00D715E6" w:rsidRDefault="00D715E6" w:rsidP="001C6487">
    <w:pPr>
      <w:pStyle w:val="Pieddepage"/>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4595" w14:textId="77777777" w:rsidR="00D715E6" w:rsidRDefault="00D715E6" w:rsidP="001C6487">
    <w:pPr>
      <w:pStyle w:val="Pieddepage"/>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46AAA" w14:textId="77777777" w:rsidR="00AE38E1" w:rsidRDefault="00AE38E1" w:rsidP="00CF1848">
      <w:r>
        <w:separator/>
      </w:r>
    </w:p>
  </w:footnote>
  <w:footnote w:type="continuationSeparator" w:id="0">
    <w:p w14:paraId="4F0332EF" w14:textId="77777777" w:rsidR="00AE38E1" w:rsidRDefault="00AE38E1" w:rsidP="00CF1848">
      <w:r>
        <w:continuationSeparator/>
      </w:r>
    </w:p>
  </w:footnote>
  <w:footnote w:type="continuationNotice" w:id="1">
    <w:p w14:paraId="680C3479" w14:textId="77777777" w:rsidR="00AE38E1" w:rsidRDefault="00AE38E1"/>
  </w:footnote>
  <w:footnote w:id="2">
    <w:p w14:paraId="134EC74C" w14:textId="424AB997" w:rsidR="00C6748C" w:rsidRPr="000659F6" w:rsidRDefault="00C6748C" w:rsidP="00C6748C">
      <w:pPr>
        <w:pStyle w:val="Notedebasdepage"/>
        <w:ind w:firstLine="0"/>
      </w:pPr>
      <w:r>
        <w:rPr>
          <w:rStyle w:val="Appelnotedebasdep"/>
        </w:rPr>
        <w:footnoteRef/>
      </w:r>
      <w:r>
        <w:t xml:space="preserve"> </w:t>
      </w:r>
      <w:hyperlink r:id="rId1" w:history="1">
        <w:proofErr w:type="spellStart"/>
        <w:r>
          <w:rPr>
            <w:rStyle w:val="Lienhypertexte"/>
          </w:rPr>
          <w:t>D</w:t>
        </w:r>
        <w:r>
          <w:rPr>
            <w:rStyle w:val="Lienhypertexte"/>
          </w:rPr>
          <w:t>éc</w:t>
        </w:r>
        <w:r>
          <w:rPr>
            <w:rStyle w:val="Lienhypertexte"/>
          </w:rPr>
          <w:t>isions</w:t>
        </w:r>
        <w:proofErr w:type="spellEnd"/>
        <w:r>
          <w:rPr>
            <w:rStyle w:val="Lienhypertexte"/>
          </w:rPr>
          <w:t xml:space="preserve"> </w:t>
        </w:r>
        <w:r w:rsidRPr="000659F6">
          <w:rPr>
            <w:rStyle w:val="Lienhypertexte"/>
          </w:rPr>
          <w:t>V/6</w:t>
        </w:r>
      </w:hyperlink>
      <w:r>
        <w:t xml:space="preserve"> et </w:t>
      </w:r>
      <w:hyperlink r:id="rId2" w:history="1">
        <w:r w:rsidRPr="000659F6">
          <w:rPr>
            <w:rStyle w:val="Lienhypertexte"/>
          </w:rPr>
          <w:t>VII</w:t>
        </w:r>
        <w:r w:rsidRPr="000659F6">
          <w:rPr>
            <w:rStyle w:val="Lienhypertexte"/>
          </w:rPr>
          <w:t>/</w:t>
        </w:r>
        <w:r w:rsidRPr="000659F6">
          <w:rPr>
            <w:rStyle w:val="Lienhypertexte"/>
          </w:rPr>
          <w:t>11</w:t>
        </w:r>
      </w:hyperlink>
      <w:r>
        <w:rPr>
          <w:rStyle w:val="Lienhypertexte"/>
        </w:rPr>
        <w:t>.</w:t>
      </w:r>
    </w:p>
  </w:footnote>
  <w:footnote w:id="3">
    <w:p w14:paraId="24DEE967" w14:textId="15838EF5" w:rsidR="00D130EF" w:rsidRPr="00694043" w:rsidRDefault="00D130EF" w:rsidP="00D130EF">
      <w:pPr>
        <w:pStyle w:val="Notedebasdepage"/>
        <w:ind w:firstLine="0"/>
        <w:rPr>
          <w:szCs w:val="18"/>
          <w:lang w:val="fr-FR"/>
        </w:rPr>
      </w:pPr>
      <w:r w:rsidRPr="00694043">
        <w:rPr>
          <w:rStyle w:val="Appelnotedebasdep"/>
          <w:sz w:val="18"/>
          <w:szCs w:val="18"/>
          <w:lang w:val="fr-FR"/>
        </w:rPr>
        <w:footnoteRef/>
      </w:r>
      <w:r w:rsidRPr="00694043">
        <w:rPr>
          <w:szCs w:val="18"/>
          <w:lang w:val="fr-FR"/>
        </w:rPr>
        <w:t xml:space="preserve"> Par exemple, 1 % du prix de détail de tous les revenus commerciaux résultant de l'utilisation des ressources génétiques, des connaissances traditionnelles associées aux ressources génétiques ou des informations sur les séquences numériques des ressources génétiques.</w:t>
      </w:r>
      <w:r w:rsidRPr="00694043">
        <w:rPr>
          <w:rFonts w:cstheme="minorHAnsi"/>
          <w:spacing w:val="-3"/>
          <w:szCs w:val="18"/>
          <w:lang w:val="fr-FR" w:eastAsia="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82870839"/>
      <w:docPartObj>
        <w:docPartGallery w:val="Page Numbers (Top of Page)"/>
        <w:docPartUnique/>
      </w:docPartObj>
    </w:sdtPr>
    <w:sdtEndPr>
      <w:rPr>
        <w:rStyle w:val="Numrodepage"/>
      </w:rPr>
    </w:sdtEndPr>
    <w:sdtContent>
      <w:p w14:paraId="5B296EF8" w14:textId="1193697A" w:rsidR="002D0311" w:rsidRDefault="002D0311" w:rsidP="00550DF5">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67B7134" w14:textId="77777777" w:rsidR="004E7BB3" w:rsidRDefault="004E7B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27273583"/>
      <w:docPartObj>
        <w:docPartGallery w:val="Page Numbers (Top of Page)"/>
        <w:docPartUnique/>
      </w:docPartObj>
    </w:sdtPr>
    <w:sdtEndPr>
      <w:rPr>
        <w:rStyle w:val="Numrodepage"/>
      </w:rPr>
    </w:sdtEndPr>
    <w:sdtContent>
      <w:p w14:paraId="5F423AF2" w14:textId="1933F213" w:rsidR="002D0311" w:rsidRDefault="002D0311" w:rsidP="00550DF5">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5E8394A0" w14:textId="77777777" w:rsidR="004E7BB3" w:rsidRDefault="004E7B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2C04F9" w:rsidRPr="00AB3A92" w14:paraId="4050A8C0" w14:textId="77777777" w:rsidTr="00165BF6">
      <w:tc>
        <w:tcPr>
          <w:tcW w:w="1561" w:type="dxa"/>
          <w:shd w:val="clear" w:color="auto" w:fill="auto"/>
        </w:tcPr>
        <w:p w14:paraId="5037E1C7" w14:textId="2A6FA725" w:rsidR="002C04F9" w:rsidRPr="00AB3A92" w:rsidRDefault="002C04F9" w:rsidP="002C04F9">
          <w:pPr>
            <w:pStyle w:val="Cornernotation"/>
            <w:ind w:left="0" w:right="4" w:firstLine="0"/>
            <w:rPr>
              <w:szCs w:val="22"/>
            </w:rPr>
          </w:pPr>
          <w:r>
            <w:rPr>
              <w:szCs w:val="22"/>
            </w:rPr>
            <w:t>SB</w:t>
          </w:r>
          <w:r w:rsidR="00026DEA">
            <w:rPr>
              <w:szCs w:val="22"/>
            </w:rPr>
            <w:t>I-03</w:t>
          </w:r>
        </w:p>
      </w:tc>
      <w:tc>
        <w:tcPr>
          <w:tcW w:w="3260" w:type="dxa"/>
          <w:shd w:val="clear" w:color="auto" w:fill="auto"/>
        </w:tcPr>
        <w:p w14:paraId="0ADD6ED5" w14:textId="5378D791" w:rsidR="002C04F9" w:rsidRPr="00AB3A92" w:rsidRDefault="00591382" w:rsidP="002C04F9">
          <w:pPr>
            <w:pStyle w:val="Cornernotation"/>
            <w:ind w:left="0" w:right="4" w:firstLine="0"/>
            <w:rPr>
              <w:szCs w:val="22"/>
            </w:rPr>
          </w:pPr>
          <w:r>
            <w:rPr>
              <w:szCs w:val="22"/>
            </w:rPr>
            <w:t>Point</w:t>
          </w:r>
          <w:r w:rsidR="002C04F9">
            <w:rPr>
              <w:szCs w:val="22"/>
            </w:rPr>
            <w:t xml:space="preserve"> </w:t>
          </w:r>
          <w:r w:rsidR="00026DEA">
            <w:rPr>
              <w:szCs w:val="22"/>
            </w:rPr>
            <w:t>6</w:t>
          </w:r>
        </w:p>
      </w:tc>
      <w:tc>
        <w:tcPr>
          <w:tcW w:w="3969" w:type="dxa"/>
          <w:shd w:val="clear" w:color="auto" w:fill="auto"/>
        </w:tcPr>
        <w:p w14:paraId="6BF18531" w14:textId="04B89062" w:rsidR="002C04F9" w:rsidRPr="00AB3A92" w:rsidRDefault="002C04F9" w:rsidP="002C04F9">
          <w:pPr>
            <w:pStyle w:val="Cornernotation"/>
            <w:ind w:left="0" w:right="4" w:firstLine="0"/>
            <w:rPr>
              <w:szCs w:val="22"/>
            </w:rPr>
          </w:pPr>
          <w:r w:rsidRPr="00AB3A92">
            <w:rPr>
              <w:szCs w:val="22"/>
            </w:rPr>
            <w:t>Date</w:t>
          </w:r>
          <w:r>
            <w:rPr>
              <w:szCs w:val="22"/>
            </w:rPr>
            <w:t xml:space="preserve">: </w:t>
          </w:r>
          <w:r w:rsidR="00671914">
            <w:rPr>
              <w:szCs w:val="22"/>
            </w:rPr>
            <w:t>12</w:t>
          </w:r>
          <w:r w:rsidR="00026DEA">
            <w:rPr>
              <w:szCs w:val="22"/>
            </w:rPr>
            <w:t>-06</w:t>
          </w:r>
          <w:r>
            <w:rPr>
              <w:szCs w:val="22"/>
            </w:rPr>
            <w:t xml:space="preserve">-2021 – </w:t>
          </w:r>
          <w:r w:rsidR="00671914">
            <w:rPr>
              <w:szCs w:val="22"/>
            </w:rPr>
            <w:t>11</w:t>
          </w:r>
          <w:r w:rsidR="00395F96">
            <w:rPr>
              <w:szCs w:val="22"/>
            </w:rPr>
            <w:t xml:space="preserve"> h 00</w:t>
          </w:r>
        </w:p>
      </w:tc>
      <w:tc>
        <w:tcPr>
          <w:tcW w:w="1700" w:type="dxa"/>
        </w:tcPr>
        <w:p w14:paraId="2B8FA243" w14:textId="69CE9061" w:rsidR="002C04F9" w:rsidRPr="00AB3A92" w:rsidRDefault="002C04F9" w:rsidP="002C04F9">
          <w:pPr>
            <w:pStyle w:val="Cornernotation"/>
            <w:ind w:left="0" w:right="4" w:firstLine="0"/>
            <w:rPr>
              <w:szCs w:val="22"/>
            </w:rPr>
          </w:pPr>
          <w:r>
            <w:rPr>
              <w:szCs w:val="22"/>
            </w:rPr>
            <w:t xml:space="preserve">Version </w:t>
          </w:r>
          <w:r w:rsidR="00671914">
            <w:rPr>
              <w:szCs w:val="22"/>
            </w:rPr>
            <w:t>2</w:t>
          </w:r>
        </w:p>
      </w:tc>
    </w:tr>
  </w:tbl>
  <w:p w14:paraId="3B47E563" w14:textId="063E9EC5" w:rsidR="002C04F9" w:rsidRPr="002C04F9" w:rsidRDefault="002C04F9" w:rsidP="002C04F9">
    <w:pPr>
      <w:pStyle w:val="En-tte"/>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862"/>
    <w:multiLevelType w:val="hybridMultilevel"/>
    <w:tmpl w:val="7E4CBF46"/>
    <w:lvl w:ilvl="0" w:tplc="040C0017">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294"/>
    <w:multiLevelType w:val="hybridMultilevel"/>
    <w:tmpl w:val="EBC217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35E11"/>
    <w:multiLevelType w:val="hybridMultilevel"/>
    <w:tmpl w:val="090C8142"/>
    <w:lvl w:ilvl="0" w:tplc="040C0017">
      <w:start w:val="1"/>
      <w:numFmt w:val="lowerLetter"/>
      <w:lvlText w:val="%1)"/>
      <w:lvlJc w:val="left"/>
      <w:pPr>
        <w:ind w:left="720" w:hanging="360"/>
      </w:pPr>
      <w:rPr>
        <w:rFonts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17914F23"/>
    <w:multiLevelType w:val="hybridMultilevel"/>
    <w:tmpl w:val="D31ED5FE"/>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6735CF1"/>
    <w:multiLevelType w:val="hybridMultilevel"/>
    <w:tmpl w:val="C43A77F0"/>
    <w:lvl w:ilvl="0" w:tplc="FFE23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C05065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9800BB"/>
    <w:multiLevelType w:val="hybridMultilevel"/>
    <w:tmpl w:val="D2EA1B88"/>
    <w:lvl w:ilvl="0" w:tplc="FFE236C4">
      <w:start w:val="1"/>
      <w:numFmt w:val="lowerLetter"/>
      <w:lvlText w:val="%1)"/>
      <w:lvlJc w:val="left"/>
      <w:pPr>
        <w:ind w:left="720" w:hanging="360"/>
      </w:pPr>
      <w:rPr>
        <w:rFonts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5EED7223"/>
    <w:multiLevelType w:val="hybridMultilevel"/>
    <w:tmpl w:val="CB46D52C"/>
    <w:lvl w:ilvl="0" w:tplc="0409000B">
      <w:start w:val="1"/>
      <w:numFmt w:val="bullet"/>
      <w:lvlText w:val=""/>
      <w:lvlJc w:val="left"/>
      <w:pPr>
        <w:ind w:left="720" w:hanging="360"/>
      </w:pPr>
      <w:rPr>
        <w:rFonts w:ascii="Wingdings" w:hAnsi="Wingdings" w:hint="default"/>
      </w:rPr>
    </w:lvl>
    <w:lvl w:ilvl="1" w:tplc="2BA8417A">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1"/>
  </w:num>
  <w:num w:numId="6">
    <w:abstractNumId w:val="0"/>
  </w:num>
  <w:num w:numId="7">
    <w:abstractNumId w:val="3"/>
  </w:num>
  <w:num w:numId="8">
    <w:abstractNumId w:val="8"/>
  </w:num>
  <w:num w:numId="9">
    <w:abstractNumId w:val="9"/>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6C3"/>
    <w:rsid w:val="00002514"/>
    <w:rsid w:val="00002F60"/>
    <w:rsid w:val="000031A0"/>
    <w:rsid w:val="00003204"/>
    <w:rsid w:val="000032D7"/>
    <w:rsid w:val="000039E8"/>
    <w:rsid w:val="00003B30"/>
    <w:rsid w:val="00004C1F"/>
    <w:rsid w:val="000059E3"/>
    <w:rsid w:val="00005B03"/>
    <w:rsid w:val="0000635A"/>
    <w:rsid w:val="00006997"/>
    <w:rsid w:val="00006A2A"/>
    <w:rsid w:val="00007D74"/>
    <w:rsid w:val="00010EEA"/>
    <w:rsid w:val="00011255"/>
    <w:rsid w:val="00012174"/>
    <w:rsid w:val="00012607"/>
    <w:rsid w:val="0001303E"/>
    <w:rsid w:val="00013971"/>
    <w:rsid w:val="00013E58"/>
    <w:rsid w:val="000141A4"/>
    <w:rsid w:val="000146D6"/>
    <w:rsid w:val="0001527D"/>
    <w:rsid w:val="00015715"/>
    <w:rsid w:val="000159FA"/>
    <w:rsid w:val="00015B73"/>
    <w:rsid w:val="000175E8"/>
    <w:rsid w:val="000206D6"/>
    <w:rsid w:val="00020EAD"/>
    <w:rsid w:val="00021DFF"/>
    <w:rsid w:val="000220DF"/>
    <w:rsid w:val="00022379"/>
    <w:rsid w:val="00022652"/>
    <w:rsid w:val="000226F3"/>
    <w:rsid w:val="0002323C"/>
    <w:rsid w:val="0002363B"/>
    <w:rsid w:val="000237F8"/>
    <w:rsid w:val="000239CD"/>
    <w:rsid w:val="00023C1D"/>
    <w:rsid w:val="000240FD"/>
    <w:rsid w:val="00024328"/>
    <w:rsid w:val="0002528F"/>
    <w:rsid w:val="00025906"/>
    <w:rsid w:val="000261F8"/>
    <w:rsid w:val="00026BB9"/>
    <w:rsid w:val="00026DEA"/>
    <w:rsid w:val="00027301"/>
    <w:rsid w:val="000301A0"/>
    <w:rsid w:val="00030985"/>
    <w:rsid w:val="00030CEE"/>
    <w:rsid w:val="000325AF"/>
    <w:rsid w:val="00032955"/>
    <w:rsid w:val="00032F47"/>
    <w:rsid w:val="00033308"/>
    <w:rsid w:val="000333AD"/>
    <w:rsid w:val="00033D18"/>
    <w:rsid w:val="00034004"/>
    <w:rsid w:val="00034974"/>
    <w:rsid w:val="0003497B"/>
    <w:rsid w:val="00034998"/>
    <w:rsid w:val="00034AD2"/>
    <w:rsid w:val="00034B9A"/>
    <w:rsid w:val="00035451"/>
    <w:rsid w:val="0003588B"/>
    <w:rsid w:val="00036097"/>
    <w:rsid w:val="00036BD2"/>
    <w:rsid w:val="0003720C"/>
    <w:rsid w:val="000372C4"/>
    <w:rsid w:val="000374B2"/>
    <w:rsid w:val="00040383"/>
    <w:rsid w:val="000409AB"/>
    <w:rsid w:val="0004150F"/>
    <w:rsid w:val="00042AB0"/>
    <w:rsid w:val="00043120"/>
    <w:rsid w:val="000431CB"/>
    <w:rsid w:val="00043671"/>
    <w:rsid w:val="00044B41"/>
    <w:rsid w:val="00044ED8"/>
    <w:rsid w:val="0004576E"/>
    <w:rsid w:val="00050844"/>
    <w:rsid w:val="00050FE2"/>
    <w:rsid w:val="000521C4"/>
    <w:rsid w:val="00053690"/>
    <w:rsid w:val="00053C7B"/>
    <w:rsid w:val="000543B0"/>
    <w:rsid w:val="000569BF"/>
    <w:rsid w:val="00056E42"/>
    <w:rsid w:val="000574E4"/>
    <w:rsid w:val="00062245"/>
    <w:rsid w:val="000633CF"/>
    <w:rsid w:val="00063D99"/>
    <w:rsid w:val="00064EA2"/>
    <w:rsid w:val="00067291"/>
    <w:rsid w:val="000676EB"/>
    <w:rsid w:val="000706AB"/>
    <w:rsid w:val="00070F6B"/>
    <w:rsid w:val="0007179C"/>
    <w:rsid w:val="00071C92"/>
    <w:rsid w:val="00071FBF"/>
    <w:rsid w:val="0007296F"/>
    <w:rsid w:val="0007354D"/>
    <w:rsid w:val="000741C5"/>
    <w:rsid w:val="000742D9"/>
    <w:rsid w:val="00074608"/>
    <w:rsid w:val="0007460E"/>
    <w:rsid w:val="000779DE"/>
    <w:rsid w:val="00077BC0"/>
    <w:rsid w:val="00080537"/>
    <w:rsid w:val="00081344"/>
    <w:rsid w:val="00081CEB"/>
    <w:rsid w:val="000833FA"/>
    <w:rsid w:val="00084539"/>
    <w:rsid w:val="00084813"/>
    <w:rsid w:val="00084BD6"/>
    <w:rsid w:val="0008566E"/>
    <w:rsid w:val="0008578A"/>
    <w:rsid w:val="00085AA9"/>
    <w:rsid w:val="00086D51"/>
    <w:rsid w:val="000873F5"/>
    <w:rsid w:val="00090F26"/>
    <w:rsid w:val="00091606"/>
    <w:rsid w:val="000917E0"/>
    <w:rsid w:val="00092695"/>
    <w:rsid w:val="00092EAC"/>
    <w:rsid w:val="000935A4"/>
    <w:rsid w:val="0009394B"/>
    <w:rsid w:val="00093E20"/>
    <w:rsid w:val="0009580E"/>
    <w:rsid w:val="000958B1"/>
    <w:rsid w:val="0009645A"/>
    <w:rsid w:val="000964EC"/>
    <w:rsid w:val="00096F21"/>
    <w:rsid w:val="00096F69"/>
    <w:rsid w:val="000974AC"/>
    <w:rsid w:val="00097C33"/>
    <w:rsid w:val="000A0513"/>
    <w:rsid w:val="000A1885"/>
    <w:rsid w:val="000A19E3"/>
    <w:rsid w:val="000A224A"/>
    <w:rsid w:val="000A2D2A"/>
    <w:rsid w:val="000A32C5"/>
    <w:rsid w:val="000A4484"/>
    <w:rsid w:val="000A46E4"/>
    <w:rsid w:val="000A4EEC"/>
    <w:rsid w:val="000A4F7D"/>
    <w:rsid w:val="000A65F6"/>
    <w:rsid w:val="000A69AB"/>
    <w:rsid w:val="000A70A0"/>
    <w:rsid w:val="000A7168"/>
    <w:rsid w:val="000A7398"/>
    <w:rsid w:val="000B0FDD"/>
    <w:rsid w:val="000B1D7B"/>
    <w:rsid w:val="000B33D2"/>
    <w:rsid w:val="000B45D7"/>
    <w:rsid w:val="000B4901"/>
    <w:rsid w:val="000B4C42"/>
    <w:rsid w:val="000B5A61"/>
    <w:rsid w:val="000B620B"/>
    <w:rsid w:val="000B622E"/>
    <w:rsid w:val="000B6501"/>
    <w:rsid w:val="000B660F"/>
    <w:rsid w:val="000B7281"/>
    <w:rsid w:val="000B7D97"/>
    <w:rsid w:val="000C1426"/>
    <w:rsid w:val="000C17FE"/>
    <w:rsid w:val="000C2B3E"/>
    <w:rsid w:val="000C30CA"/>
    <w:rsid w:val="000C40CB"/>
    <w:rsid w:val="000C4162"/>
    <w:rsid w:val="000C426B"/>
    <w:rsid w:val="000C49E0"/>
    <w:rsid w:val="000C505A"/>
    <w:rsid w:val="000C5292"/>
    <w:rsid w:val="000C5964"/>
    <w:rsid w:val="000C5DB9"/>
    <w:rsid w:val="000C600F"/>
    <w:rsid w:val="000C6353"/>
    <w:rsid w:val="000C726B"/>
    <w:rsid w:val="000D0A27"/>
    <w:rsid w:val="000D1F55"/>
    <w:rsid w:val="000D25D6"/>
    <w:rsid w:val="000D2966"/>
    <w:rsid w:val="000D315E"/>
    <w:rsid w:val="000D3506"/>
    <w:rsid w:val="000D3AC5"/>
    <w:rsid w:val="000D4006"/>
    <w:rsid w:val="000D40D5"/>
    <w:rsid w:val="000D424F"/>
    <w:rsid w:val="000D551A"/>
    <w:rsid w:val="000D5742"/>
    <w:rsid w:val="000D5B67"/>
    <w:rsid w:val="000D5EEB"/>
    <w:rsid w:val="000D633D"/>
    <w:rsid w:val="000E3597"/>
    <w:rsid w:val="000E40DA"/>
    <w:rsid w:val="000E44B0"/>
    <w:rsid w:val="000E4512"/>
    <w:rsid w:val="000E54F8"/>
    <w:rsid w:val="000E5967"/>
    <w:rsid w:val="000E5D25"/>
    <w:rsid w:val="000E673A"/>
    <w:rsid w:val="000E75F6"/>
    <w:rsid w:val="000E78FB"/>
    <w:rsid w:val="000F0871"/>
    <w:rsid w:val="000F0B30"/>
    <w:rsid w:val="000F19A3"/>
    <w:rsid w:val="000F1A61"/>
    <w:rsid w:val="000F1E8D"/>
    <w:rsid w:val="000F3986"/>
    <w:rsid w:val="000F448C"/>
    <w:rsid w:val="000F5CB5"/>
    <w:rsid w:val="000F6363"/>
    <w:rsid w:val="000F65BD"/>
    <w:rsid w:val="000F6A18"/>
    <w:rsid w:val="000F6B1C"/>
    <w:rsid w:val="000F6FE2"/>
    <w:rsid w:val="000F7251"/>
    <w:rsid w:val="000F74F5"/>
    <w:rsid w:val="000F7947"/>
    <w:rsid w:val="001006AA"/>
    <w:rsid w:val="00100848"/>
    <w:rsid w:val="001009EE"/>
    <w:rsid w:val="00101262"/>
    <w:rsid w:val="0010196E"/>
    <w:rsid w:val="00101A2C"/>
    <w:rsid w:val="00101DAC"/>
    <w:rsid w:val="001021EA"/>
    <w:rsid w:val="00103109"/>
    <w:rsid w:val="00103CB5"/>
    <w:rsid w:val="00103EEC"/>
    <w:rsid w:val="001049D5"/>
    <w:rsid w:val="00104B58"/>
    <w:rsid w:val="00105372"/>
    <w:rsid w:val="001055CA"/>
    <w:rsid w:val="00105895"/>
    <w:rsid w:val="00106317"/>
    <w:rsid w:val="00106D2D"/>
    <w:rsid w:val="0010718E"/>
    <w:rsid w:val="00107415"/>
    <w:rsid w:val="0010783B"/>
    <w:rsid w:val="00110970"/>
    <w:rsid w:val="00110A19"/>
    <w:rsid w:val="00110A72"/>
    <w:rsid w:val="00111018"/>
    <w:rsid w:val="001115FA"/>
    <w:rsid w:val="001117F4"/>
    <w:rsid w:val="00111F6C"/>
    <w:rsid w:val="00113141"/>
    <w:rsid w:val="001140EA"/>
    <w:rsid w:val="001146D0"/>
    <w:rsid w:val="00114C0D"/>
    <w:rsid w:val="00114E0B"/>
    <w:rsid w:val="0011637E"/>
    <w:rsid w:val="0011691C"/>
    <w:rsid w:val="00116F29"/>
    <w:rsid w:val="00117090"/>
    <w:rsid w:val="00117A69"/>
    <w:rsid w:val="00120D8A"/>
    <w:rsid w:val="00121224"/>
    <w:rsid w:val="001216D6"/>
    <w:rsid w:val="001226BC"/>
    <w:rsid w:val="0012355B"/>
    <w:rsid w:val="00124367"/>
    <w:rsid w:val="00124768"/>
    <w:rsid w:val="00124EC2"/>
    <w:rsid w:val="00124EF9"/>
    <w:rsid w:val="00125093"/>
    <w:rsid w:val="001259BB"/>
    <w:rsid w:val="0012655A"/>
    <w:rsid w:val="0012663F"/>
    <w:rsid w:val="00126CEF"/>
    <w:rsid w:val="001277E3"/>
    <w:rsid w:val="00127E47"/>
    <w:rsid w:val="00127E89"/>
    <w:rsid w:val="00130239"/>
    <w:rsid w:val="0013083E"/>
    <w:rsid w:val="00131DF3"/>
    <w:rsid w:val="00131E7A"/>
    <w:rsid w:val="001323A7"/>
    <w:rsid w:val="001325FF"/>
    <w:rsid w:val="001346D9"/>
    <w:rsid w:val="00134A9E"/>
    <w:rsid w:val="00136234"/>
    <w:rsid w:val="00136632"/>
    <w:rsid w:val="0013667F"/>
    <w:rsid w:val="00136EF9"/>
    <w:rsid w:val="00140A7F"/>
    <w:rsid w:val="00140AA3"/>
    <w:rsid w:val="00141856"/>
    <w:rsid w:val="00141982"/>
    <w:rsid w:val="00141E80"/>
    <w:rsid w:val="001429BF"/>
    <w:rsid w:val="00143787"/>
    <w:rsid w:val="00143E56"/>
    <w:rsid w:val="0014442A"/>
    <w:rsid w:val="00144A05"/>
    <w:rsid w:val="00144DB6"/>
    <w:rsid w:val="0014567B"/>
    <w:rsid w:val="00146C06"/>
    <w:rsid w:val="00146FDB"/>
    <w:rsid w:val="00147018"/>
    <w:rsid w:val="00147579"/>
    <w:rsid w:val="00150506"/>
    <w:rsid w:val="001505AB"/>
    <w:rsid w:val="001519F6"/>
    <w:rsid w:val="0015305B"/>
    <w:rsid w:val="0015363F"/>
    <w:rsid w:val="001544DF"/>
    <w:rsid w:val="001545C0"/>
    <w:rsid w:val="00154829"/>
    <w:rsid w:val="0015565D"/>
    <w:rsid w:val="0015693B"/>
    <w:rsid w:val="00157670"/>
    <w:rsid w:val="00160855"/>
    <w:rsid w:val="00160BD5"/>
    <w:rsid w:val="00161D2C"/>
    <w:rsid w:val="00162EBA"/>
    <w:rsid w:val="00163094"/>
    <w:rsid w:val="00163E8F"/>
    <w:rsid w:val="0016415F"/>
    <w:rsid w:val="0016488B"/>
    <w:rsid w:val="00164E02"/>
    <w:rsid w:val="00165BF6"/>
    <w:rsid w:val="00165FC9"/>
    <w:rsid w:val="001661F8"/>
    <w:rsid w:val="00166EC3"/>
    <w:rsid w:val="00166F5F"/>
    <w:rsid w:val="00167234"/>
    <w:rsid w:val="00167536"/>
    <w:rsid w:val="00170626"/>
    <w:rsid w:val="00170FB2"/>
    <w:rsid w:val="00171315"/>
    <w:rsid w:val="00171AE4"/>
    <w:rsid w:val="00171F01"/>
    <w:rsid w:val="00172333"/>
    <w:rsid w:val="00172728"/>
    <w:rsid w:val="00172AF6"/>
    <w:rsid w:val="001734FB"/>
    <w:rsid w:val="00174912"/>
    <w:rsid w:val="00174ECB"/>
    <w:rsid w:val="00175A99"/>
    <w:rsid w:val="00176247"/>
    <w:rsid w:val="00176357"/>
    <w:rsid w:val="00176C86"/>
    <w:rsid w:val="00176CEE"/>
    <w:rsid w:val="001771B8"/>
    <w:rsid w:val="00177672"/>
    <w:rsid w:val="00177859"/>
    <w:rsid w:val="00177BE5"/>
    <w:rsid w:val="00180488"/>
    <w:rsid w:val="00181614"/>
    <w:rsid w:val="00181BEC"/>
    <w:rsid w:val="0018211D"/>
    <w:rsid w:val="00182D03"/>
    <w:rsid w:val="00182DE7"/>
    <w:rsid w:val="001833AA"/>
    <w:rsid w:val="00183780"/>
    <w:rsid w:val="0018421D"/>
    <w:rsid w:val="00184683"/>
    <w:rsid w:val="001847EA"/>
    <w:rsid w:val="00184C54"/>
    <w:rsid w:val="00184F11"/>
    <w:rsid w:val="00185499"/>
    <w:rsid w:val="00185E90"/>
    <w:rsid w:val="0018681F"/>
    <w:rsid w:val="00186BB6"/>
    <w:rsid w:val="00186DD8"/>
    <w:rsid w:val="00187C96"/>
    <w:rsid w:val="00187EE0"/>
    <w:rsid w:val="001904E9"/>
    <w:rsid w:val="00190571"/>
    <w:rsid w:val="0019078B"/>
    <w:rsid w:val="00190CE1"/>
    <w:rsid w:val="00191F0F"/>
    <w:rsid w:val="00193515"/>
    <w:rsid w:val="001938C0"/>
    <w:rsid w:val="00193BF2"/>
    <w:rsid w:val="00193CC9"/>
    <w:rsid w:val="00194127"/>
    <w:rsid w:val="00197136"/>
    <w:rsid w:val="001971FB"/>
    <w:rsid w:val="001A009E"/>
    <w:rsid w:val="001A031A"/>
    <w:rsid w:val="001A1535"/>
    <w:rsid w:val="001A1D93"/>
    <w:rsid w:val="001A1E12"/>
    <w:rsid w:val="001A24B9"/>
    <w:rsid w:val="001A3814"/>
    <w:rsid w:val="001A44F3"/>
    <w:rsid w:val="001A45C2"/>
    <w:rsid w:val="001A53D7"/>
    <w:rsid w:val="001A5703"/>
    <w:rsid w:val="001A5FB6"/>
    <w:rsid w:val="001A604B"/>
    <w:rsid w:val="001A61AC"/>
    <w:rsid w:val="001A6232"/>
    <w:rsid w:val="001A6904"/>
    <w:rsid w:val="001B1D6B"/>
    <w:rsid w:val="001B1F74"/>
    <w:rsid w:val="001B2A53"/>
    <w:rsid w:val="001B30BE"/>
    <w:rsid w:val="001B38D1"/>
    <w:rsid w:val="001B3D7F"/>
    <w:rsid w:val="001B48E7"/>
    <w:rsid w:val="001B5D47"/>
    <w:rsid w:val="001B6638"/>
    <w:rsid w:val="001B6C4D"/>
    <w:rsid w:val="001B7CE3"/>
    <w:rsid w:val="001C2106"/>
    <w:rsid w:val="001C2636"/>
    <w:rsid w:val="001C2918"/>
    <w:rsid w:val="001C299B"/>
    <w:rsid w:val="001C2B71"/>
    <w:rsid w:val="001C31AB"/>
    <w:rsid w:val="001C3355"/>
    <w:rsid w:val="001C3CC1"/>
    <w:rsid w:val="001C409D"/>
    <w:rsid w:val="001C434D"/>
    <w:rsid w:val="001C5000"/>
    <w:rsid w:val="001C6000"/>
    <w:rsid w:val="001C6204"/>
    <w:rsid w:val="001C6487"/>
    <w:rsid w:val="001C6FFD"/>
    <w:rsid w:val="001C7C36"/>
    <w:rsid w:val="001C7F28"/>
    <w:rsid w:val="001D0342"/>
    <w:rsid w:val="001D0E6D"/>
    <w:rsid w:val="001D12BE"/>
    <w:rsid w:val="001D3562"/>
    <w:rsid w:val="001D3DF8"/>
    <w:rsid w:val="001D3FD9"/>
    <w:rsid w:val="001D5E3D"/>
    <w:rsid w:val="001D6171"/>
    <w:rsid w:val="001D6408"/>
    <w:rsid w:val="001D68B1"/>
    <w:rsid w:val="001D6A24"/>
    <w:rsid w:val="001D6B97"/>
    <w:rsid w:val="001D70B2"/>
    <w:rsid w:val="001D7109"/>
    <w:rsid w:val="001E0760"/>
    <w:rsid w:val="001E08E5"/>
    <w:rsid w:val="001E0FD2"/>
    <w:rsid w:val="001E1637"/>
    <w:rsid w:val="001E1D8E"/>
    <w:rsid w:val="001E278C"/>
    <w:rsid w:val="001E2DD7"/>
    <w:rsid w:val="001E3BF6"/>
    <w:rsid w:val="001E400A"/>
    <w:rsid w:val="001E41B6"/>
    <w:rsid w:val="001E4C8F"/>
    <w:rsid w:val="001E4E30"/>
    <w:rsid w:val="001E5734"/>
    <w:rsid w:val="001E57AA"/>
    <w:rsid w:val="001E6625"/>
    <w:rsid w:val="001E6C70"/>
    <w:rsid w:val="001E7490"/>
    <w:rsid w:val="001E75E7"/>
    <w:rsid w:val="001E789D"/>
    <w:rsid w:val="001F01D2"/>
    <w:rsid w:val="001F0A6D"/>
    <w:rsid w:val="001F1566"/>
    <w:rsid w:val="001F18A6"/>
    <w:rsid w:val="001F2D16"/>
    <w:rsid w:val="001F31CC"/>
    <w:rsid w:val="001F3BCD"/>
    <w:rsid w:val="001F3E16"/>
    <w:rsid w:val="001F423F"/>
    <w:rsid w:val="001F45BF"/>
    <w:rsid w:val="001F4F46"/>
    <w:rsid w:val="001F6963"/>
    <w:rsid w:val="001F747C"/>
    <w:rsid w:val="00200885"/>
    <w:rsid w:val="00202E6C"/>
    <w:rsid w:val="00203483"/>
    <w:rsid w:val="002044B0"/>
    <w:rsid w:val="002051DB"/>
    <w:rsid w:val="002058A7"/>
    <w:rsid w:val="002101A3"/>
    <w:rsid w:val="0021076C"/>
    <w:rsid w:val="00211060"/>
    <w:rsid w:val="00211FCA"/>
    <w:rsid w:val="002120AE"/>
    <w:rsid w:val="002127F0"/>
    <w:rsid w:val="00212FF6"/>
    <w:rsid w:val="00213112"/>
    <w:rsid w:val="0021332B"/>
    <w:rsid w:val="0021437B"/>
    <w:rsid w:val="0021476A"/>
    <w:rsid w:val="002149BD"/>
    <w:rsid w:val="002154C7"/>
    <w:rsid w:val="00215F18"/>
    <w:rsid w:val="0021615D"/>
    <w:rsid w:val="00216410"/>
    <w:rsid w:val="00216581"/>
    <w:rsid w:val="00217E46"/>
    <w:rsid w:val="00220068"/>
    <w:rsid w:val="0022014B"/>
    <w:rsid w:val="00220554"/>
    <w:rsid w:val="002205EE"/>
    <w:rsid w:val="0022066E"/>
    <w:rsid w:val="00220AA5"/>
    <w:rsid w:val="0022104F"/>
    <w:rsid w:val="002210FE"/>
    <w:rsid w:val="00222005"/>
    <w:rsid w:val="002229EE"/>
    <w:rsid w:val="00223409"/>
    <w:rsid w:val="00224431"/>
    <w:rsid w:val="00224AAB"/>
    <w:rsid w:val="00225875"/>
    <w:rsid w:val="00227706"/>
    <w:rsid w:val="00227A50"/>
    <w:rsid w:val="00227B77"/>
    <w:rsid w:val="0023027F"/>
    <w:rsid w:val="00231486"/>
    <w:rsid w:val="002323EB"/>
    <w:rsid w:val="00232E98"/>
    <w:rsid w:val="0023428D"/>
    <w:rsid w:val="0023441A"/>
    <w:rsid w:val="00235149"/>
    <w:rsid w:val="0023536D"/>
    <w:rsid w:val="00235E34"/>
    <w:rsid w:val="00236952"/>
    <w:rsid w:val="00236975"/>
    <w:rsid w:val="00236982"/>
    <w:rsid w:val="002370B9"/>
    <w:rsid w:val="00241DD2"/>
    <w:rsid w:val="00242C77"/>
    <w:rsid w:val="00243B2D"/>
    <w:rsid w:val="002442CD"/>
    <w:rsid w:val="0024552A"/>
    <w:rsid w:val="00245559"/>
    <w:rsid w:val="00245D3F"/>
    <w:rsid w:val="00246D89"/>
    <w:rsid w:val="00246DC0"/>
    <w:rsid w:val="00246F02"/>
    <w:rsid w:val="0024774E"/>
    <w:rsid w:val="00247825"/>
    <w:rsid w:val="002500A8"/>
    <w:rsid w:val="00251DF9"/>
    <w:rsid w:val="00252C21"/>
    <w:rsid w:val="002538BF"/>
    <w:rsid w:val="00253DB4"/>
    <w:rsid w:val="00254238"/>
    <w:rsid w:val="002545EF"/>
    <w:rsid w:val="00255798"/>
    <w:rsid w:val="0025583B"/>
    <w:rsid w:val="002560ED"/>
    <w:rsid w:val="002562CD"/>
    <w:rsid w:val="00256684"/>
    <w:rsid w:val="00256936"/>
    <w:rsid w:val="00256F42"/>
    <w:rsid w:val="0025725F"/>
    <w:rsid w:val="00257AA7"/>
    <w:rsid w:val="00260285"/>
    <w:rsid w:val="00260965"/>
    <w:rsid w:val="00261223"/>
    <w:rsid w:val="002614D7"/>
    <w:rsid w:val="0026226A"/>
    <w:rsid w:val="00262D88"/>
    <w:rsid w:val="00265BC2"/>
    <w:rsid w:val="002678D3"/>
    <w:rsid w:val="00267D41"/>
    <w:rsid w:val="0027116E"/>
    <w:rsid w:val="00271509"/>
    <w:rsid w:val="00271E6F"/>
    <w:rsid w:val="00271FE7"/>
    <w:rsid w:val="002726D6"/>
    <w:rsid w:val="00272E7D"/>
    <w:rsid w:val="002730F5"/>
    <w:rsid w:val="00274535"/>
    <w:rsid w:val="00275AE1"/>
    <w:rsid w:val="00276A4F"/>
    <w:rsid w:val="00276A99"/>
    <w:rsid w:val="0028051F"/>
    <w:rsid w:val="002818E2"/>
    <w:rsid w:val="00281974"/>
    <w:rsid w:val="00281A53"/>
    <w:rsid w:val="002828FF"/>
    <w:rsid w:val="00282DEF"/>
    <w:rsid w:val="0028376D"/>
    <w:rsid w:val="002841B6"/>
    <w:rsid w:val="0028455B"/>
    <w:rsid w:val="00284CA9"/>
    <w:rsid w:val="00284DB5"/>
    <w:rsid w:val="00285531"/>
    <w:rsid w:val="00285875"/>
    <w:rsid w:val="00285D5D"/>
    <w:rsid w:val="0028648E"/>
    <w:rsid w:val="00287C5C"/>
    <w:rsid w:val="00287F27"/>
    <w:rsid w:val="00290975"/>
    <w:rsid w:val="00291325"/>
    <w:rsid w:val="00291933"/>
    <w:rsid w:val="0029238C"/>
    <w:rsid w:val="0029278B"/>
    <w:rsid w:val="00292A05"/>
    <w:rsid w:val="0029397B"/>
    <w:rsid w:val="00293A88"/>
    <w:rsid w:val="00294983"/>
    <w:rsid w:val="00294DDC"/>
    <w:rsid w:val="00296A23"/>
    <w:rsid w:val="00297160"/>
    <w:rsid w:val="00297A52"/>
    <w:rsid w:val="002A177C"/>
    <w:rsid w:val="002A1FFF"/>
    <w:rsid w:val="002A22AA"/>
    <w:rsid w:val="002A2960"/>
    <w:rsid w:val="002A2C57"/>
    <w:rsid w:val="002A2FC8"/>
    <w:rsid w:val="002A3F4F"/>
    <w:rsid w:val="002A413F"/>
    <w:rsid w:val="002A427C"/>
    <w:rsid w:val="002A43A3"/>
    <w:rsid w:val="002A4F26"/>
    <w:rsid w:val="002A520B"/>
    <w:rsid w:val="002A5C35"/>
    <w:rsid w:val="002A6292"/>
    <w:rsid w:val="002A6AE7"/>
    <w:rsid w:val="002A6F04"/>
    <w:rsid w:val="002A78C8"/>
    <w:rsid w:val="002A7BDC"/>
    <w:rsid w:val="002A7E1D"/>
    <w:rsid w:val="002B0028"/>
    <w:rsid w:val="002B009B"/>
    <w:rsid w:val="002B020F"/>
    <w:rsid w:val="002B0FF8"/>
    <w:rsid w:val="002B138F"/>
    <w:rsid w:val="002B1964"/>
    <w:rsid w:val="002B20BE"/>
    <w:rsid w:val="002B232F"/>
    <w:rsid w:val="002B23D0"/>
    <w:rsid w:val="002B3587"/>
    <w:rsid w:val="002B4388"/>
    <w:rsid w:val="002B4427"/>
    <w:rsid w:val="002B6E73"/>
    <w:rsid w:val="002B7174"/>
    <w:rsid w:val="002B74C6"/>
    <w:rsid w:val="002B75FB"/>
    <w:rsid w:val="002B78A4"/>
    <w:rsid w:val="002C0079"/>
    <w:rsid w:val="002C04F9"/>
    <w:rsid w:val="002C1EE7"/>
    <w:rsid w:val="002C266B"/>
    <w:rsid w:val="002C28E5"/>
    <w:rsid w:val="002C3567"/>
    <w:rsid w:val="002C48A2"/>
    <w:rsid w:val="002C4C48"/>
    <w:rsid w:val="002C5422"/>
    <w:rsid w:val="002C5ED0"/>
    <w:rsid w:val="002C5FD5"/>
    <w:rsid w:val="002C6E58"/>
    <w:rsid w:val="002C737C"/>
    <w:rsid w:val="002C788C"/>
    <w:rsid w:val="002C7DAB"/>
    <w:rsid w:val="002C7E7F"/>
    <w:rsid w:val="002D01C6"/>
    <w:rsid w:val="002D0311"/>
    <w:rsid w:val="002D0B6E"/>
    <w:rsid w:val="002D1377"/>
    <w:rsid w:val="002D1BF4"/>
    <w:rsid w:val="002D2352"/>
    <w:rsid w:val="002D23A9"/>
    <w:rsid w:val="002D473D"/>
    <w:rsid w:val="002D4773"/>
    <w:rsid w:val="002D5127"/>
    <w:rsid w:val="002D607C"/>
    <w:rsid w:val="002D637C"/>
    <w:rsid w:val="002D77F2"/>
    <w:rsid w:val="002D794A"/>
    <w:rsid w:val="002D7B9C"/>
    <w:rsid w:val="002E038A"/>
    <w:rsid w:val="002E04AB"/>
    <w:rsid w:val="002E14EF"/>
    <w:rsid w:val="002E23B6"/>
    <w:rsid w:val="002E2C2D"/>
    <w:rsid w:val="002E332A"/>
    <w:rsid w:val="002E3A65"/>
    <w:rsid w:val="002E43E4"/>
    <w:rsid w:val="002E509F"/>
    <w:rsid w:val="002E5E8E"/>
    <w:rsid w:val="002E68E2"/>
    <w:rsid w:val="002E68F0"/>
    <w:rsid w:val="002E6B07"/>
    <w:rsid w:val="002E733C"/>
    <w:rsid w:val="002E7E89"/>
    <w:rsid w:val="002E7F62"/>
    <w:rsid w:val="002F0716"/>
    <w:rsid w:val="002F1E9A"/>
    <w:rsid w:val="002F5B68"/>
    <w:rsid w:val="002F60AF"/>
    <w:rsid w:val="003001B8"/>
    <w:rsid w:val="00301FA8"/>
    <w:rsid w:val="003024FB"/>
    <w:rsid w:val="003036C4"/>
    <w:rsid w:val="00303A38"/>
    <w:rsid w:val="00304215"/>
    <w:rsid w:val="003046CB"/>
    <w:rsid w:val="0030536B"/>
    <w:rsid w:val="00305B2A"/>
    <w:rsid w:val="00305BB3"/>
    <w:rsid w:val="0030663C"/>
    <w:rsid w:val="00306E7E"/>
    <w:rsid w:val="00307C7A"/>
    <w:rsid w:val="003108CE"/>
    <w:rsid w:val="00310AB5"/>
    <w:rsid w:val="00310DA8"/>
    <w:rsid w:val="00310F43"/>
    <w:rsid w:val="00312898"/>
    <w:rsid w:val="00312B0C"/>
    <w:rsid w:val="003130C8"/>
    <w:rsid w:val="00313B81"/>
    <w:rsid w:val="00313F6B"/>
    <w:rsid w:val="00314551"/>
    <w:rsid w:val="00314AF7"/>
    <w:rsid w:val="00314DD9"/>
    <w:rsid w:val="003151B8"/>
    <w:rsid w:val="00315215"/>
    <w:rsid w:val="00315241"/>
    <w:rsid w:val="003153E1"/>
    <w:rsid w:val="00315A85"/>
    <w:rsid w:val="00317851"/>
    <w:rsid w:val="0032081D"/>
    <w:rsid w:val="00320D21"/>
    <w:rsid w:val="00320D89"/>
    <w:rsid w:val="003219D0"/>
    <w:rsid w:val="00321C03"/>
    <w:rsid w:val="00321FB8"/>
    <w:rsid w:val="00322057"/>
    <w:rsid w:val="003220D4"/>
    <w:rsid w:val="00322118"/>
    <w:rsid w:val="00322132"/>
    <w:rsid w:val="00323613"/>
    <w:rsid w:val="00323976"/>
    <w:rsid w:val="00323F28"/>
    <w:rsid w:val="00325473"/>
    <w:rsid w:val="0032568A"/>
    <w:rsid w:val="00325DEC"/>
    <w:rsid w:val="003262A3"/>
    <w:rsid w:val="00327270"/>
    <w:rsid w:val="00327465"/>
    <w:rsid w:val="003278AB"/>
    <w:rsid w:val="00327FCA"/>
    <w:rsid w:val="00330D75"/>
    <w:rsid w:val="0033303B"/>
    <w:rsid w:val="00333FBE"/>
    <w:rsid w:val="0033443E"/>
    <w:rsid w:val="00334531"/>
    <w:rsid w:val="003346B2"/>
    <w:rsid w:val="00335F3C"/>
    <w:rsid w:val="003363DF"/>
    <w:rsid w:val="00336E8A"/>
    <w:rsid w:val="0033797B"/>
    <w:rsid w:val="003379FE"/>
    <w:rsid w:val="00337AF3"/>
    <w:rsid w:val="00340875"/>
    <w:rsid w:val="0034091E"/>
    <w:rsid w:val="00340B52"/>
    <w:rsid w:val="00340B82"/>
    <w:rsid w:val="00341619"/>
    <w:rsid w:val="00341A8A"/>
    <w:rsid w:val="0034449C"/>
    <w:rsid w:val="00344DEF"/>
    <w:rsid w:val="003458B5"/>
    <w:rsid w:val="003459B9"/>
    <w:rsid w:val="0034603D"/>
    <w:rsid w:val="003464A5"/>
    <w:rsid w:val="003464E2"/>
    <w:rsid w:val="00346E2D"/>
    <w:rsid w:val="00350DFB"/>
    <w:rsid w:val="00350E6E"/>
    <w:rsid w:val="00350F49"/>
    <w:rsid w:val="003517B9"/>
    <w:rsid w:val="00352149"/>
    <w:rsid w:val="003531EC"/>
    <w:rsid w:val="00353946"/>
    <w:rsid w:val="003550F6"/>
    <w:rsid w:val="003560AD"/>
    <w:rsid w:val="00356582"/>
    <w:rsid w:val="00356CE4"/>
    <w:rsid w:val="003571E8"/>
    <w:rsid w:val="0036087D"/>
    <w:rsid w:val="00362ACA"/>
    <w:rsid w:val="00362FDF"/>
    <w:rsid w:val="00364E04"/>
    <w:rsid w:val="0036575F"/>
    <w:rsid w:val="003667BC"/>
    <w:rsid w:val="00366951"/>
    <w:rsid w:val="00366CE6"/>
    <w:rsid w:val="003675DE"/>
    <w:rsid w:val="00367992"/>
    <w:rsid w:val="00370326"/>
    <w:rsid w:val="003706EC"/>
    <w:rsid w:val="0037095B"/>
    <w:rsid w:val="00370E83"/>
    <w:rsid w:val="00370F5F"/>
    <w:rsid w:val="00371031"/>
    <w:rsid w:val="00371532"/>
    <w:rsid w:val="00372AC6"/>
    <w:rsid w:val="00372F74"/>
    <w:rsid w:val="00373C8A"/>
    <w:rsid w:val="00373EA6"/>
    <w:rsid w:val="0037410A"/>
    <w:rsid w:val="003741C2"/>
    <w:rsid w:val="0037442C"/>
    <w:rsid w:val="00374515"/>
    <w:rsid w:val="00374D60"/>
    <w:rsid w:val="00375F0C"/>
    <w:rsid w:val="00376E79"/>
    <w:rsid w:val="00377127"/>
    <w:rsid w:val="00377737"/>
    <w:rsid w:val="0037782B"/>
    <w:rsid w:val="00377CE4"/>
    <w:rsid w:val="00381CD6"/>
    <w:rsid w:val="003821DD"/>
    <w:rsid w:val="0038260E"/>
    <w:rsid w:val="003830D1"/>
    <w:rsid w:val="00385CB9"/>
    <w:rsid w:val="00385D77"/>
    <w:rsid w:val="003860C2"/>
    <w:rsid w:val="00387290"/>
    <w:rsid w:val="00390543"/>
    <w:rsid w:val="003907F8"/>
    <w:rsid w:val="00391D24"/>
    <w:rsid w:val="00391F6E"/>
    <w:rsid w:val="0039219C"/>
    <w:rsid w:val="003927A4"/>
    <w:rsid w:val="00392943"/>
    <w:rsid w:val="00392E8F"/>
    <w:rsid w:val="003933BF"/>
    <w:rsid w:val="0039355D"/>
    <w:rsid w:val="0039378A"/>
    <w:rsid w:val="003939A9"/>
    <w:rsid w:val="00394D07"/>
    <w:rsid w:val="00395200"/>
    <w:rsid w:val="00395265"/>
    <w:rsid w:val="0039583B"/>
    <w:rsid w:val="00395F96"/>
    <w:rsid w:val="0039669E"/>
    <w:rsid w:val="003967CE"/>
    <w:rsid w:val="0039691C"/>
    <w:rsid w:val="00396EB4"/>
    <w:rsid w:val="0039734C"/>
    <w:rsid w:val="003A0002"/>
    <w:rsid w:val="003A0F78"/>
    <w:rsid w:val="003A14A1"/>
    <w:rsid w:val="003A18A8"/>
    <w:rsid w:val="003A1D2E"/>
    <w:rsid w:val="003A1EB6"/>
    <w:rsid w:val="003A2CB0"/>
    <w:rsid w:val="003A3A9C"/>
    <w:rsid w:val="003A4060"/>
    <w:rsid w:val="003A43AE"/>
    <w:rsid w:val="003A4849"/>
    <w:rsid w:val="003A4AD1"/>
    <w:rsid w:val="003A4E32"/>
    <w:rsid w:val="003A5DF0"/>
    <w:rsid w:val="003A67FD"/>
    <w:rsid w:val="003A6940"/>
    <w:rsid w:val="003A6F98"/>
    <w:rsid w:val="003B04B3"/>
    <w:rsid w:val="003B12C0"/>
    <w:rsid w:val="003B21FE"/>
    <w:rsid w:val="003B339F"/>
    <w:rsid w:val="003B357A"/>
    <w:rsid w:val="003B4554"/>
    <w:rsid w:val="003B4CCD"/>
    <w:rsid w:val="003B51E1"/>
    <w:rsid w:val="003B5AD4"/>
    <w:rsid w:val="003B5EB9"/>
    <w:rsid w:val="003B71BF"/>
    <w:rsid w:val="003B7B1B"/>
    <w:rsid w:val="003C0537"/>
    <w:rsid w:val="003C08C5"/>
    <w:rsid w:val="003C0A89"/>
    <w:rsid w:val="003C0FC5"/>
    <w:rsid w:val="003C1653"/>
    <w:rsid w:val="003C2700"/>
    <w:rsid w:val="003C2E9A"/>
    <w:rsid w:val="003C2FD6"/>
    <w:rsid w:val="003C321B"/>
    <w:rsid w:val="003C3421"/>
    <w:rsid w:val="003C51FA"/>
    <w:rsid w:val="003C5DE7"/>
    <w:rsid w:val="003C697C"/>
    <w:rsid w:val="003C6EBF"/>
    <w:rsid w:val="003D0621"/>
    <w:rsid w:val="003D1694"/>
    <w:rsid w:val="003D1A78"/>
    <w:rsid w:val="003D2308"/>
    <w:rsid w:val="003D25CB"/>
    <w:rsid w:val="003D279F"/>
    <w:rsid w:val="003D2956"/>
    <w:rsid w:val="003D2D7D"/>
    <w:rsid w:val="003D2D9E"/>
    <w:rsid w:val="003D2E18"/>
    <w:rsid w:val="003D34A3"/>
    <w:rsid w:val="003D46BF"/>
    <w:rsid w:val="003D49EA"/>
    <w:rsid w:val="003D5213"/>
    <w:rsid w:val="003D5A2C"/>
    <w:rsid w:val="003D65AB"/>
    <w:rsid w:val="003D77DB"/>
    <w:rsid w:val="003D7C00"/>
    <w:rsid w:val="003D7D44"/>
    <w:rsid w:val="003E015A"/>
    <w:rsid w:val="003E12DF"/>
    <w:rsid w:val="003E16BD"/>
    <w:rsid w:val="003E274A"/>
    <w:rsid w:val="003E293C"/>
    <w:rsid w:val="003E3180"/>
    <w:rsid w:val="003E3207"/>
    <w:rsid w:val="003E38D5"/>
    <w:rsid w:val="003E3E80"/>
    <w:rsid w:val="003E42B0"/>
    <w:rsid w:val="003E4360"/>
    <w:rsid w:val="003E4A1F"/>
    <w:rsid w:val="003E4C09"/>
    <w:rsid w:val="003E5308"/>
    <w:rsid w:val="003E5B9D"/>
    <w:rsid w:val="003E610E"/>
    <w:rsid w:val="003E63B5"/>
    <w:rsid w:val="003E6416"/>
    <w:rsid w:val="003E67EE"/>
    <w:rsid w:val="003E6C44"/>
    <w:rsid w:val="003E7230"/>
    <w:rsid w:val="003E798D"/>
    <w:rsid w:val="003F2743"/>
    <w:rsid w:val="003F3476"/>
    <w:rsid w:val="003F3DDB"/>
    <w:rsid w:val="003F4613"/>
    <w:rsid w:val="003F4831"/>
    <w:rsid w:val="003F56AE"/>
    <w:rsid w:val="003F5F1E"/>
    <w:rsid w:val="003F6789"/>
    <w:rsid w:val="003F6AA7"/>
    <w:rsid w:val="003F7224"/>
    <w:rsid w:val="003F79F7"/>
    <w:rsid w:val="00400EEE"/>
    <w:rsid w:val="004022A5"/>
    <w:rsid w:val="00404519"/>
    <w:rsid w:val="00404A78"/>
    <w:rsid w:val="004059C1"/>
    <w:rsid w:val="00406D0C"/>
    <w:rsid w:val="00407CF9"/>
    <w:rsid w:val="00407DC6"/>
    <w:rsid w:val="004100F1"/>
    <w:rsid w:val="0041011E"/>
    <w:rsid w:val="00410EA4"/>
    <w:rsid w:val="00411BFA"/>
    <w:rsid w:val="00411C83"/>
    <w:rsid w:val="00411D09"/>
    <w:rsid w:val="00412697"/>
    <w:rsid w:val="004140A7"/>
    <w:rsid w:val="00414A79"/>
    <w:rsid w:val="004156C9"/>
    <w:rsid w:val="004157EC"/>
    <w:rsid w:val="00415913"/>
    <w:rsid w:val="00416380"/>
    <w:rsid w:val="00417509"/>
    <w:rsid w:val="00417EE9"/>
    <w:rsid w:val="00417FCB"/>
    <w:rsid w:val="00420574"/>
    <w:rsid w:val="00420688"/>
    <w:rsid w:val="00420FB7"/>
    <w:rsid w:val="0042190C"/>
    <w:rsid w:val="00421C63"/>
    <w:rsid w:val="00421D00"/>
    <w:rsid w:val="00422200"/>
    <w:rsid w:val="00422577"/>
    <w:rsid w:val="004226BA"/>
    <w:rsid w:val="00422E17"/>
    <w:rsid w:val="004231A8"/>
    <w:rsid w:val="00423531"/>
    <w:rsid w:val="004242A6"/>
    <w:rsid w:val="00424710"/>
    <w:rsid w:val="0042569A"/>
    <w:rsid w:val="00425870"/>
    <w:rsid w:val="004258C7"/>
    <w:rsid w:val="00425FAA"/>
    <w:rsid w:val="004276AC"/>
    <w:rsid w:val="004278B6"/>
    <w:rsid w:val="00427D21"/>
    <w:rsid w:val="00430897"/>
    <w:rsid w:val="00432509"/>
    <w:rsid w:val="004330D2"/>
    <w:rsid w:val="0043396C"/>
    <w:rsid w:val="004343F3"/>
    <w:rsid w:val="00434546"/>
    <w:rsid w:val="00434BD7"/>
    <w:rsid w:val="00436DC4"/>
    <w:rsid w:val="004377B8"/>
    <w:rsid w:val="00437ACC"/>
    <w:rsid w:val="004410FA"/>
    <w:rsid w:val="0044138C"/>
    <w:rsid w:val="004416C8"/>
    <w:rsid w:val="00441B64"/>
    <w:rsid w:val="004425E0"/>
    <w:rsid w:val="00442DEA"/>
    <w:rsid w:val="00443797"/>
    <w:rsid w:val="00443978"/>
    <w:rsid w:val="00443FA3"/>
    <w:rsid w:val="00444A76"/>
    <w:rsid w:val="00444E63"/>
    <w:rsid w:val="0044526C"/>
    <w:rsid w:val="00445636"/>
    <w:rsid w:val="0044566C"/>
    <w:rsid w:val="00445EF2"/>
    <w:rsid w:val="00446163"/>
    <w:rsid w:val="0044624A"/>
    <w:rsid w:val="00446295"/>
    <w:rsid w:val="00446352"/>
    <w:rsid w:val="004463F1"/>
    <w:rsid w:val="00446761"/>
    <w:rsid w:val="0044680D"/>
    <w:rsid w:val="004468A3"/>
    <w:rsid w:val="00446DE2"/>
    <w:rsid w:val="00447583"/>
    <w:rsid w:val="00450368"/>
    <w:rsid w:val="0045077B"/>
    <w:rsid w:val="00450D33"/>
    <w:rsid w:val="00451FD3"/>
    <w:rsid w:val="00452197"/>
    <w:rsid w:val="004524C8"/>
    <w:rsid w:val="004533E8"/>
    <w:rsid w:val="00453AB5"/>
    <w:rsid w:val="00456A74"/>
    <w:rsid w:val="00456F75"/>
    <w:rsid w:val="00460487"/>
    <w:rsid w:val="004608EB"/>
    <w:rsid w:val="00460EF9"/>
    <w:rsid w:val="00460F75"/>
    <w:rsid w:val="00461A03"/>
    <w:rsid w:val="00462400"/>
    <w:rsid w:val="004633BF"/>
    <w:rsid w:val="004639E0"/>
    <w:rsid w:val="00463B07"/>
    <w:rsid w:val="00463D20"/>
    <w:rsid w:val="004644C2"/>
    <w:rsid w:val="00465063"/>
    <w:rsid w:val="004660B7"/>
    <w:rsid w:val="00466A8F"/>
    <w:rsid w:val="00467F9C"/>
    <w:rsid w:val="00470901"/>
    <w:rsid w:val="00470DD6"/>
    <w:rsid w:val="004718B9"/>
    <w:rsid w:val="004722B8"/>
    <w:rsid w:val="00473122"/>
    <w:rsid w:val="00473195"/>
    <w:rsid w:val="00473444"/>
    <w:rsid w:val="0047517C"/>
    <w:rsid w:val="004754F2"/>
    <w:rsid w:val="004756C6"/>
    <w:rsid w:val="00475A0F"/>
    <w:rsid w:val="00475C08"/>
    <w:rsid w:val="004761B8"/>
    <w:rsid w:val="00476EC5"/>
    <w:rsid w:val="0047769F"/>
    <w:rsid w:val="00477BB9"/>
    <w:rsid w:val="0048037E"/>
    <w:rsid w:val="00482C8A"/>
    <w:rsid w:val="004830BB"/>
    <w:rsid w:val="00483821"/>
    <w:rsid w:val="004838E1"/>
    <w:rsid w:val="00483A7B"/>
    <w:rsid w:val="00483AA7"/>
    <w:rsid w:val="00483FC4"/>
    <w:rsid w:val="004841BF"/>
    <w:rsid w:val="00485686"/>
    <w:rsid w:val="0048625E"/>
    <w:rsid w:val="00486A82"/>
    <w:rsid w:val="00487B72"/>
    <w:rsid w:val="004919F1"/>
    <w:rsid w:val="00491CB6"/>
    <w:rsid w:val="0049227C"/>
    <w:rsid w:val="004922C9"/>
    <w:rsid w:val="004925D3"/>
    <w:rsid w:val="0049324B"/>
    <w:rsid w:val="004934C5"/>
    <w:rsid w:val="004936F0"/>
    <w:rsid w:val="00493D4F"/>
    <w:rsid w:val="00494BEF"/>
    <w:rsid w:val="004952C1"/>
    <w:rsid w:val="00496254"/>
    <w:rsid w:val="004A0A5D"/>
    <w:rsid w:val="004A19A1"/>
    <w:rsid w:val="004A1E0A"/>
    <w:rsid w:val="004A2F4F"/>
    <w:rsid w:val="004A3769"/>
    <w:rsid w:val="004A3A7F"/>
    <w:rsid w:val="004A3B86"/>
    <w:rsid w:val="004A4926"/>
    <w:rsid w:val="004A5B47"/>
    <w:rsid w:val="004A5C94"/>
    <w:rsid w:val="004A600D"/>
    <w:rsid w:val="004B04A4"/>
    <w:rsid w:val="004B0A00"/>
    <w:rsid w:val="004B1376"/>
    <w:rsid w:val="004B1504"/>
    <w:rsid w:val="004B1757"/>
    <w:rsid w:val="004B1A70"/>
    <w:rsid w:val="004B2F99"/>
    <w:rsid w:val="004B438E"/>
    <w:rsid w:val="004B497B"/>
    <w:rsid w:val="004B4BAC"/>
    <w:rsid w:val="004B4E9C"/>
    <w:rsid w:val="004B504F"/>
    <w:rsid w:val="004B6ED4"/>
    <w:rsid w:val="004B6F20"/>
    <w:rsid w:val="004B72DF"/>
    <w:rsid w:val="004B7B3C"/>
    <w:rsid w:val="004B7F53"/>
    <w:rsid w:val="004C0D01"/>
    <w:rsid w:val="004C0FC3"/>
    <w:rsid w:val="004C13A6"/>
    <w:rsid w:val="004C1783"/>
    <w:rsid w:val="004C1859"/>
    <w:rsid w:val="004C190D"/>
    <w:rsid w:val="004C19DE"/>
    <w:rsid w:val="004C1AFD"/>
    <w:rsid w:val="004C1B72"/>
    <w:rsid w:val="004C1ECD"/>
    <w:rsid w:val="004C2237"/>
    <w:rsid w:val="004C3643"/>
    <w:rsid w:val="004C3903"/>
    <w:rsid w:val="004C5218"/>
    <w:rsid w:val="004C548B"/>
    <w:rsid w:val="004C5E69"/>
    <w:rsid w:val="004C6855"/>
    <w:rsid w:val="004C6BF8"/>
    <w:rsid w:val="004C70B4"/>
    <w:rsid w:val="004D084D"/>
    <w:rsid w:val="004D1281"/>
    <w:rsid w:val="004D1297"/>
    <w:rsid w:val="004D1435"/>
    <w:rsid w:val="004D1714"/>
    <w:rsid w:val="004D181D"/>
    <w:rsid w:val="004D1C35"/>
    <w:rsid w:val="004D26DD"/>
    <w:rsid w:val="004D2C06"/>
    <w:rsid w:val="004D300D"/>
    <w:rsid w:val="004D3553"/>
    <w:rsid w:val="004D45D2"/>
    <w:rsid w:val="004D5CD3"/>
    <w:rsid w:val="004D61D9"/>
    <w:rsid w:val="004D64EC"/>
    <w:rsid w:val="004D6558"/>
    <w:rsid w:val="004D662A"/>
    <w:rsid w:val="004D7C22"/>
    <w:rsid w:val="004D7DEC"/>
    <w:rsid w:val="004E16DC"/>
    <w:rsid w:val="004E1FA7"/>
    <w:rsid w:val="004E1FD9"/>
    <w:rsid w:val="004E274A"/>
    <w:rsid w:val="004E2A68"/>
    <w:rsid w:val="004E4862"/>
    <w:rsid w:val="004E505B"/>
    <w:rsid w:val="004E69BC"/>
    <w:rsid w:val="004E6F72"/>
    <w:rsid w:val="004E7468"/>
    <w:rsid w:val="004E7BB3"/>
    <w:rsid w:val="004F0B05"/>
    <w:rsid w:val="004F1140"/>
    <w:rsid w:val="004F175E"/>
    <w:rsid w:val="004F36FC"/>
    <w:rsid w:val="004F4756"/>
    <w:rsid w:val="004F496F"/>
    <w:rsid w:val="004F4BC8"/>
    <w:rsid w:val="004F4EA7"/>
    <w:rsid w:val="004F7BEF"/>
    <w:rsid w:val="005006BF"/>
    <w:rsid w:val="00503F85"/>
    <w:rsid w:val="0050431A"/>
    <w:rsid w:val="005047BB"/>
    <w:rsid w:val="005051BB"/>
    <w:rsid w:val="0050579D"/>
    <w:rsid w:val="00506208"/>
    <w:rsid w:val="005063A8"/>
    <w:rsid w:val="0050690D"/>
    <w:rsid w:val="005078E6"/>
    <w:rsid w:val="00507F8D"/>
    <w:rsid w:val="00510DD5"/>
    <w:rsid w:val="00511401"/>
    <w:rsid w:val="0051152B"/>
    <w:rsid w:val="00511E2B"/>
    <w:rsid w:val="00511F8B"/>
    <w:rsid w:val="00512011"/>
    <w:rsid w:val="00512883"/>
    <w:rsid w:val="00512AB1"/>
    <w:rsid w:val="005130C0"/>
    <w:rsid w:val="005135A4"/>
    <w:rsid w:val="005140FC"/>
    <w:rsid w:val="0051497E"/>
    <w:rsid w:val="005149F9"/>
    <w:rsid w:val="0051664E"/>
    <w:rsid w:val="00516720"/>
    <w:rsid w:val="0051789B"/>
    <w:rsid w:val="00517FCD"/>
    <w:rsid w:val="00521222"/>
    <w:rsid w:val="005212D0"/>
    <w:rsid w:val="005215CA"/>
    <w:rsid w:val="00521A54"/>
    <w:rsid w:val="00522339"/>
    <w:rsid w:val="00522866"/>
    <w:rsid w:val="00523492"/>
    <w:rsid w:val="005244A9"/>
    <w:rsid w:val="00524695"/>
    <w:rsid w:val="005246E7"/>
    <w:rsid w:val="0052503E"/>
    <w:rsid w:val="005260D1"/>
    <w:rsid w:val="00526D07"/>
    <w:rsid w:val="00526E58"/>
    <w:rsid w:val="005271FD"/>
    <w:rsid w:val="00527BF3"/>
    <w:rsid w:val="00527F8A"/>
    <w:rsid w:val="00531705"/>
    <w:rsid w:val="00531735"/>
    <w:rsid w:val="00533178"/>
    <w:rsid w:val="005340FC"/>
    <w:rsid w:val="00534681"/>
    <w:rsid w:val="00534DA7"/>
    <w:rsid w:val="0053561A"/>
    <w:rsid w:val="00535A5B"/>
    <w:rsid w:val="00536708"/>
    <w:rsid w:val="00536AD6"/>
    <w:rsid w:val="00536D19"/>
    <w:rsid w:val="00536E1E"/>
    <w:rsid w:val="00537BDB"/>
    <w:rsid w:val="005411E3"/>
    <w:rsid w:val="005413AB"/>
    <w:rsid w:val="0054172F"/>
    <w:rsid w:val="005420D6"/>
    <w:rsid w:val="00542BE3"/>
    <w:rsid w:val="0054366A"/>
    <w:rsid w:val="00544081"/>
    <w:rsid w:val="00544CA7"/>
    <w:rsid w:val="00545DEE"/>
    <w:rsid w:val="005462CC"/>
    <w:rsid w:val="005468D1"/>
    <w:rsid w:val="00550535"/>
    <w:rsid w:val="00550DF5"/>
    <w:rsid w:val="0055113D"/>
    <w:rsid w:val="00551586"/>
    <w:rsid w:val="00552B4C"/>
    <w:rsid w:val="00553353"/>
    <w:rsid w:val="0055410A"/>
    <w:rsid w:val="00554884"/>
    <w:rsid w:val="0055525B"/>
    <w:rsid w:val="00555F4D"/>
    <w:rsid w:val="0055606E"/>
    <w:rsid w:val="00556779"/>
    <w:rsid w:val="00556D17"/>
    <w:rsid w:val="00560B34"/>
    <w:rsid w:val="00560C0C"/>
    <w:rsid w:val="00560DC0"/>
    <w:rsid w:val="00560ED1"/>
    <w:rsid w:val="00561354"/>
    <w:rsid w:val="0056152D"/>
    <w:rsid w:val="00561702"/>
    <w:rsid w:val="0056175F"/>
    <w:rsid w:val="0056277A"/>
    <w:rsid w:val="0056298D"/>
    <w:rsid w:val="0056341C"/>
    <w:rsid w:val="00564861"/>
    <w:rsid w:val="0056516F"/>
    <w:rsid w:val="00565726"/>
    <w:rsid w:val="00565E37"/>
    <w:rsid w:val="005660A2"/>
    <w:rsid w:val="005668D5"/>
    <w:rsid w:val="00566C62"/>
    <w:rsid w:val="00566F0F"/>
    <w:rsid w:val="00570342"/>
    <w:rsid w:val="00570AC3"/>
    <w:rsid w:val="0057186E"/>
    <w:rsid w:val="00572007"/>
    <w:rsid w:val="00573474"/>
    <w:rsid w:val="0057354C"/>
    <w:rsid w:val="00573811"/>
    <w:rsid w:val="0057384E"/>
    <w:rsid w:val="005745AD"/>
    <w:rsid w:val="005756CF"/>
    <w:rsid w:val="005757B4"/>
    <w:rsid w:val="00575F9C"/>
    <w:rsid w:val="0057695B"/>
    <w:rsid w:val="005769F4"/>
    <w:rsid w:val="0057705D"/>
    <w:rsid w:val="00580076"/>
    <w:rsid w:val="0058430A"/>
    <w:rsid w:val="00586001"/>
    <w:rsid w:val="005862E5"/>
    <w:rsid w:val="00586319"/>
    <w:rsid w:val="005866F6"/>
    <w:rsid w:val="00587AD4"/>
    <w:rsid w:val="00590964"/>
    <w:rsid w:val="00591382"/>
    <w:rsid w:val="00591F8F"/>
    <w:rsid w:val="00593932"/>
    <w:rsid w:val="005943A8"/>
    <w:rsid w:val="0059476E"/>
    <w:rsid w:val="00594D8C"/>
    <w:rsid w:val="00594EDE"/>
    <w:rsid w:val="00594F6B"/>
    <w:rsid w:val="00596D69"/>
    <w:rsid w:val="00597CD3"/>
    <w:rsid w:val="00597E52"/>
    <w:rsid w:val="00597FE4"/>
    <w:rsid w:val="005A0188"/>
    <w:rsid w:val="005A02B4"/>
    <w:rsid w:val="005A097D"/>
    <w:rsid w:val="005A1124"/>
    <w:rsid w:val="005A125B"/>
    <w:rsid w:val="005A14B8"/>
    <w:rsid w:val="005A1505"/>
    <w:rsid w:val="005A18F0"/>
    <w:rsid w:val="005A1C81"/>
    <w:rsid w:val="005A1EB2"/>
    <w:rsid w:val="005A265D"/>
    <w:rsid w:val="005A27C2"/>
    <w:rsid w:val="005A2C5F"/>
    <w:rsid w:val="005A37DD"/>
    <w:rsid w:val="005A5174"/>
    <w:rsid w:val="005A6E5F"/>
    <w:rsid w:val="005A6F4D"/>
    <w:rsid w:val="005A7BF3"/>
    <w:rsid w:val="005B0119"/>
    <w:rsid w:val="005B0FC5"/>
    <w:rsid w:val="005B127B"/>
    <w:rsid w:val="005B1541"/>
    <w:rsid w:val="005B1723"/>
    <w:rsid w:val="005B1BC0"/>
    <w:rsid w:val="005B1CD9"/>
    <w:rsid w:val="005B29F3"/>
    <w:rsid w:val="005B2E15"/>
    <w:rsid w:val="005B3609"/>
    <w:rsid w:val="005B3975"/>
    <w:rsid w:val="005B3B09"/>
    <w:rsid w:val="005B3CBC"/>
    <w:rsid w:val="005B3DEA"/>
    <w:rsid w:val="005B470D"/>
    <w:rsid w:val="005B4A88"/>
    <w:rsid w:val="005B4B10"/>
    <w:rsid w:val="005B5D82"/>
    <w:rsid w:val="005B7798"/>
    <w:rsid w:val="005B7BBC"/>
    <w:rsid w:val="005C0110"/>
    <w:rsid w:val="005C192F"/>
    <w:rsid w:val="005C201D"/>
    <w:rsid w:val="005C24C0"/>
    <w:rsid w:val="005C4612"/>
    <w:rsid w:val="005C4A71"/>
    <w:rsid w:val="005C5894"/>
    <w:rsid w:val="005C6E88"/>
    <w:rsid w:val="005C7576"/>
    <w:rsid w:val="005C76D1"/>
    <w:rsid w:val="005C772A"/>
    <w:rsid w:val="005C7807"/>
    <w:rsid w:val="005C7AC4"/>
    <w:rsid w:val="005C7BAD"/>
    <w:rsid w:val="005D01FC"/>
    <w:rsid w:val="005D0410"/>
    <w:rsid w:val="005D086D"/>
    <w:rsid w:val="005D09B7"/>
    <w:rsid w:val="005D0C03"/>
    <w:rsid w:val="005D0CF1"/>
    <w:rsid w:val="005D13E1"/>
    <w:rsid w:val="005D17AC"/>
    <w:rsid w:val="005D208A"/>
    <w:rsid w:val="005D245E"/>
    <w:rsid w:val="005D25A1"/>
    <w:rsid w:val="005D3470"/>
    <w:rsid w:val="005D34AD"/>
    <w:rsid w:val="005D34AE"/>
    <w:rsid w:val="005D3720"/>
    <w:rsid w:val="005D52D6"/>
    <w:rsid w:val="005D5568"/>
    <w:rsid w:val="005D5A82"/>
    <w:rsid w:val="005D6BAD"/>
    <w:rsid w:val="005D6F55"/>
    <w:rsid w:val="005D7614"/>
    <w:rsid w:val="005D7B1C"/>
    <w:rsid w:val="005E03FC"/>
    <w:rsid w:val="005E046F"/>
    <w:rsid w:val="005E30C5"/>
    <w:rsid w:val="005E368A"/>
    <w:rsid w:val="005E38D3"/>
    <w:rsid w:val="005E3BBE"/>
    <w:rsid w:val="005E5B1A"/>
    <w:rsid w:val="005E5BD9"/>
    <w:rsid w:val="005E5F92"/>
    <w:rsid w:val="005E7C09"/>
    <w:rsid w:val="005E7D5B"/>
    <w:rsid w:val="005F0088"/>
    <w:rsid w:val="005F01D3"/>
    <w:rsid w:val="005F0474"/>
    <w:rsid w:val="005F096D"/>
    <w:rsid w:val="005F0BA4"/>
    <w:rsid w:val="005F2518"/>
    <w:rsid w:val="005F32C9"/>
    <w:rsid w:val="005F4F4C"/>
    <w:rsid w:val="005F645E"/>
    <w:rsid w:val="00602A2E"/>
    <w:rsid w:val="00603331"/>
    <w:rsid w:val="006037DE"/>
    <w:rsid w:val="006038E4"/>
    <w:rsid w:val="0060412E"/>
    <w:rsid w:val="00604174"/>
    <w:rsid w:val="0060437A"/>
    <w:rsid w:val="00606BF1"/>
    <w:rsid w:val="00607154"/>
    <w:rsid w:val="006102E2"/>
    <w:rsid w:val="00611546"/>
    <w:rsid w:val="00611637"/>
    <w:rsid w:val="006122BA"/>
    <w:rsid w:val="00613486"/>
    <w:rsid w:val="00613813"/>
    <w:rsid w:val="006143BA"/>
    <w:rsid w:val="00614A0A"/>
    <w:rsid w:val="00614F2F"/>
    <w:rsid w:val="00616891"/>
    <w:rsid w:val="0061710D"/>
    <w:rsid w:val="0061753B"/>
    <w:rsid w:val="00617587"/>
    <w:rsid w:val="006209D7"/>
    <w:rsid w:val="006217EC"/>
    <w:rsid w:val="006218A9"/>
    <w:rsid w:val="006224A7"/>
    <w:rsid w:val="00623F52"/>
    <w:rsid w:val="00623F9A"/>
    <w:rsid w:val="00624D4C"/>
    <w:rsid w:val="00625920"/>
    <w:rsid w:val="00625F11"/>
    <w:rsid w:val="00625F40"/>
    <w:rsid w:val="006266D4"/>
    <w:rsid w:val="00630BDB"/>
    <w:rsid w:val="00630F77"/>
    <w:rsid w:val="00631F50"/>
    <w:rsid w:val="0063261F"/>
    <w:rsid w:val="00632A4D"/>
    <w:rsid w:val="00632A5A"/>
    <w:rsid w:val="0063311D"/>
    <w:rsid w:val="00633963"/>
    <w:rsid w:val="00634160"/>
    <w:rsid w:val="006346A1"/>
    <w:rsid w:val="006349CC"/>
    <w:rsid w:val="006354FD"/>
    <w:rsid w:val="00635780"/>
    <w:rsid w:val="00635FDA"/>
    <w:rsid w:val="00636F6A"/>
    <w:rsid w:val="00640765"/>
    <w:rsid w:val="00640B83"/>
    <w:rsid w:val="00641ED7"/>
    <w:rsid w:val="00641F85"/>
    <w:rsid w:val="00642842"/>
    <w:rsid w:val="00643AC5"/>
    <w:rsid w:val="00644AB5"/>
    <w:rsid w:val="00644BB1"/>
    <w:rsid w:val="0064508D"/>
    <w:rsid w:val="00645A38"/>
    <w:rsid w:val="00645CD9"/>
    <w:rsid w:val="006467AB"/>
    <w:rsid w:val="0065103B"/>
    <w:rsid w:val="00651290"/>
    <w:rsid w:val="00651CB7"/>
    <w:rsid w:val="006522EF"/>
    <w:rsid w:val="00653DC3"/>
    <w:rsid w:val="006551AB"/>
    <w:rsid w:val="0065522D"/>
    <w:rsid w:val="00655539"/>
    <w:rsid w:val="006560A2"/>
    <w:rsid w:val="006576B9"/>
    <w:rsid w:val="00660182"/>
    <w:rsid w:val="0066089C"/>
    <w:rsid w:val="00662696"/>
    <w:rsid w:val="00663BA7"/>
    <w:rsid w:val="00664C43"/>
    <w:rsid w:val="0066552F"/>
    <w:rsid w:val="00665870"/>
    <w:rsid w:val="00667346"/>
    <w:rsid w:val="00667755"/>
    <w:rsid w:val="00667FDA"/>
    <w:rsid w:val="00670821"/>
    <w:rsid w:val="00670E93"/>
    <w:rsid w:val="0067118B"/>
    <w:rsid w:val="006712BD"/>
    <w:rsid w:val="006714FD"/>
    <w:rsid w:val="006717B1"/>
    <w:rsid w:val="00671914"/>
    <w:rsid w:val="0067203B"/>
    <w:rsid w:val="006736F7"/>
    <w:rsid w:val="00674DCA"/>
    <w:rsid w:val="0067677B"/>
    <w:rsid w:val="00677163"/>
    <w:rsid w:val="00677FA5"/>
    <w:rsid w:val="006803CE"/>
    <w:rsid w:val="0068072F"/>
    <w:rsid w:val="0068096B"/>
    <w:rsid w:val="00680E57"/>
    <w:rsid w:val="00680F87"/>
    <w:rsid w:val="00681581"/>
    <w:rsid w:val="006824AE"/>
    <w:rsid w:val="0068252A"/>
    <w:rsid w:val="0068399F"/>
    <w:rsid w:val="00684916"/>
    <w:rsid w:val="00686850"/>
    <w:rsid w:val="00686E69"/>
    <w:rsid w:val="006903E7"/>
    <w:rsid w:val="00690791"/>
    <w:rsid w:val="00691FFB"/>
    <w:rsid w:val="00692079"/>
    <w:rsid w:val="00692376"/>
    <w:rsid w:val="0069238F"/>
    <w:rsid w:val="00692D5D"/>
    <w:rsid w:val="006931A3"/>
    <w:rsid w:val="006934B0"/>
    <w:rsid w:val="00694043"/>
    <w:rsid w:val="00694132"/>
    <w:rsid w:val="00694257"/>
    <w:rsid w:val="0069443A"/>
    <w:rsid w:val="00694762"/>
    <w:rsid w:val="00694C2B"/>
    <w:rsid w:val="00694C7B"/>
    <w:rsid w:val="00694D63"/>
    <w:rsid w:val="006957BD"/>
    <w:rsid w:val="00695FB9"/>
    <w:rsid w:val="006961F5"/>
    <w:rsid w:val="006965E7"/>
    <w:rsid w:val="00696D5D"/>
    <w:rsid w:val="006A08B9"/>
    <w:rsid w:val="006A0A6F"/>
    <w:rsid w:val="006A1098"/>
    <w:rsid w:val="006A15BE"/>
    <w:rsid w:val="006A3B0E"/>
    <w:rsid w:val="006A4E37"/>
    <w:rsid w:val="006A570F"/>
    <w:rsid w:val="006A5E69"/>
    <w:rsid w:val="006A6766"/>
    <w:rsid w:val="006A6B32"/>
    <w:rsid w:val="006A6DE1"/>
    <w:rsid w:val="006A765F"/>
    <w:rsid w:val="006A7753"/>
    <w:rsid w:val="006A78A3"/>
    <w:rsid w:val="006B0125"/>
    <w:rsid w:val="006B1901"/>
    <w:rsid w:val="006B1912"/>
    <w:rsid w:val="006B2290"/>
    <w:rsid w:val="006B23CA"/>
    <w:rsid w:val="006B3AEB"/>
    <w:rsid w:val="006B3F89"/>
    <w:rsid w:val="006B479C"/>
    <w:rsid w:val="006B5F9D"/>
    <w:rsid w:val="006B6475"/>
    <w:rsid w:val="006B6849"/>
    <w:rsid w:val="006B7263"/>
    <w:rsid w:val="006B7304"/>
    <w:rsid w:val="006B7D0E"/>
    <w:rsid w:val="006C0D4E"/>
    <w:rsid w:val="006C0E15"/>
    <w:rsid w:val="006C1199"/>
    <w:rsid w:val="006C1647"/>
    <w:rsid w:val="006C231C"/>
    <w:rsid w:val="006C2719"/>
    <w:rsid w:val="006C3230"/>
    <w:rsid w:val="006C34B8"/>
    <w:rsid w:val="006C3ACD"/>
    <w:rsid w:val="006C4885"/>
    <w:rsid w:val="006C48CE"/>
    <w:rsid w:val="006C4A27"/>
    <w:rsid w:val="006C5342"/>
    <w:rsid w:val="006C54BB"/>
    <w:rsid w:val="006C56FA"/>
    <w:rsid w:val="006C5FE5"/>
    <w:rsid w:val="006C6BE0"/>
    <w:rsid w:val="006C6E8E"/>
    <w:rsid w:val="006C7318"/>
    <w:rsid w:val="006C732F"/>
    <w:rsid w:val="006D0CB7"/>
    <w:rsid w:val="006D18AE"/>
    <w:rsid w:val="006D1FEF"/>
    <w:rsid w:val="006D2E3C"/>
    <w:rsid w:val="006D36EA"/>
    <w:rsid w:val="006D3C53"/>
    <w:rsid w:val="006D4B10"/>
    <w:rsid w:val="006D5469"/>
    <w:rsid w:val="006D5DCD"/>
    <w:rsid w:val="006D6E37"/>
    <w:rsid w:val="006D75BF"/>
    <w:rsid w:val="006D7EA9"/>
    <w:rsid w:val="006D7FC1"/>
    <w:rsid w:val="006E0379"/>
    <w:rsid w:val="006E0432"/>
    <w:rsid w:val="006E0664"/>
    <w:rsid w:val="006E07A8"/>
    <w:rsid w:val="006E1C3E"/>
    <w:rsid w:val="006E1C58"/>
    <w:rsid w:val="006E2259"/>
    <w:rsid w:val="006E22F6"/>
    <w:rsid w:val="006E29AB"/>
    <w:rsid w:val="006E29C3"/>
    <w:rsid w:val="006E3177"/>
    <w:rsid w:val="006E369D"/>
    <w:rsid w:val="006E3A0A"/>
    <w:rsid w:val="006E5074"/>
    <w:rsid w:val="006E5814"/>
    <w:rsid w:val="006E5EE5"/>
    <w:rsid w:val="006E6709"/>
    <w:rsid w:val="006E6C18"/>
    <w:rsid w:val="006E6D7C"/>
    <w:rsid w:val="006E7625"/>
    <w:rsid w:val="006E7A1A"/>
    <w:rsid w:val="006F04B9"/>
    <w:rsid w:val="006F08C9"/>
    <w:rsid w:val="006F0A34"/>
    <w:rsid w:val="006F1A19"/>
    <w:rsid w:val="006F2004"/>
    <w:rsid w:val="006F218A"/>
    <w:rsid w:val="006F40F5"/>
    <w:rsid w:val="006F4158"/>
    <w:rsid w:val="006F42D9"/>
    <w:rsid w:val="006F4B85"/>
    <w:rsid w:val="006F501A"/>
    <w:rsid w:val="006F537A"/>
    <w:rsid w:val="006F5654"/>
    <w:rsid w:val="006F6257"/>
    <w:rsid w:val="006F65AF"/>
    <w:rsid w:val="006F6EF2"/>
    <w:rsid w:val="006F7627"/>
    <w:rsid w:val="006F7930"/>
    <w:rsid w:val="00700238"/>
    <w:rsid w:val="007006BF"/>
    <w:rsid w:val="007006DB"/>
    <w:rsid w:val="007011DF"/>
    <w:rsid w:val="00701766"/>
    <w:rsid w:val="00701F5F"/>
    <w:rsid w:val="00703278"/>
    <w:rsid w:val="007034A8"/>
    <w:rsid w:val="00704C85"/>
    <w:rsid w:val="00704C8F"/>
    <w:rsid w:val="00704DCD"/>
    <w:rsid w:val="00704FB9"/>
    <w:rsid w:val="00706B2A"/>
    <w:rsid w:val="00706CC2"/>
    <w:rsid w:val="0071014F"/>
    <w:rsid w:val="00710730"/>
    <w:rsid w:val="00710C63"/>
    <w:rsid w:val="00710C82"/>
    <w:rsid w:val="007122FF"/>
    <w:rsid w:val="00712DB6"/>
    <w:rsid w:val="007132B2"/>
    <w:rsid w:val="00713803"/>
    <w:rsid w:val="00713D0A"/>
    <w:rsid w:val="00713F51"/>
    <w:rsid w:val="0071608F"/>
    <w:rsid w:val="0071676D"/>
    <w:rsid w:val="00716C2E"/>
    <w:rsid w:val="00716CCA"/>
    <w:rsid w:val="00717000"/>
    <w:rsid w:val="007173CF"/>
    <w:rsid w:val="007174AD"/>
    <w:rsid w:val="00717D88"/>
    <w:rsid w:val="0072050A"/>
    <w:rsid w:val="0072089B"/>
    <w:rsid w:val="00720F7F"/>
    <w:rsid w:val="00721227"/>
    <w:rsid w:val="0072144E"/>
    <w:rsid w:val="00721557"/>
    <w:rsid w:val="00722B14"/>
    <w:rsid w:val="00723A69"/>
    <w:rsid w:val="007244A0"/>
    <w:rsid w:val="00725ED6"/>
    <w:rsid w:val="00725ED7"/>
    <w:rsid w:val="00726EA8"/>
    <w:rsid w:val="00727840"/>
    <w:rsid w:val="00727A2A"/>
    <w:rsid w:val="00730095"/>
    <w:rsid w:val="007301DD"/>
    <w:rsid w:val="00731ECA"/>
    <w:rsid w:val="00732B42"/>
    <w:rsid w:val="00732BEB"/>
    <w:rsid w:val="00732DB4"/>
    <w:rsid w:val="00732DDE"/>
    <w:rsid w:val="0073392A"/>
    <w:rsid w:val="007342A4"/>
    <w:rsid w:val="0073487C"/>
    <w:rsid w:val="00736916"/>
    <w:rsid w:val="00737AAD"/>
    <w:rsid w:val="007400B6"/>
    <w:rsid w:val="007407B4"/>
    <w:rsid w:val="00740847"/>
    <w:rsid w:val="007409EE"/>
    <w:rsid w:val="007409F3"/>
    <w:rsid w:val="00740AA5"/>
    <w:rsid w:val="00740B1C"/>
    <w:rsid w:val="007416E0"/>
    <w:rsid w:val="0074226A"/>
    <w:rsid w:val="00742E29"/>
    <w:rsid w:val="00743E61"/>
    <w:rsid w:val="00744807"/>
    <w:rsid w:val="007455A7"/>
    <w:rsid w:val="00745A63"/>
    <w:rsid w:val="00746688"/>
    <w:rsid w:val="00746837"/>
    <w:rsid w:val="00747126"/>
    <w:rsid w:val="00747539"/>
    <w:rsid w:val="00747659"/>
    <w:rsid w:val="00747DF5"/>
    <w:rsid w:val="00750713"/>
    <w:rsid w:val="00752094"/>
    <w:rsid w:val="00753B10"/>
    <w:rsid w:val="00753B14"/>
    <w:rsid w:val="00754006"/>
    <w:rsid w:val="007542C1"/>
    <w:rsid w:val="0075592E"/>
    <w:rsid w:val="00757121"/>
    <w:rsid w:val="00757BAA"/>
    <w:rsid w:val="00760000"/>
    <w:rsid w:val="007601AD"/>
    <w:rsid w:val="00761450"/>
    <w:rsid w:val="007622CD"/>
    <w:rsid w:val="00762CB1"/>
    <w:rsid w:val="00762DD4"/>
    <w:rsid w:val="007633C7"/>
    <w:rsid w:val="0076349C"/>
    <w:rsid w:val="00763728"/>
    <w:rsid w:val="00764247"/>
    <w:rsid w:val="00764636"/>
    <w:rsid w:val="0076489A"/>
    <w:rsid w:val="0076526A"/>
    <w:rsid w:val="007653DC"/>
    <w:rsid w:val="007662A4"/>
    <w:rsid w:val="0076711F"/>
    <w:rsid w:val="00767BB7"/>
    <w:rsid w:val="0077091E"/>
    <w:rsid w:val="00770B58"/>
    <w:rsid w:val="0077179E"/>
    <w:rsid w:val="00771957"/>
    <w:rsid w:val="007725C5"/>
    <w:rsid w:val="0077276F"/>
    <w:rsid w:val="00774C47"/>
    <w:rsid w:val="00774FA3"/>
    <w:rsid w:val="007753F6"/>
    <w:rsid w:val="00775C0C"/>
    <w:rsid w:val="00775FF5"/>
    <w:rsid w:val="0077738E"/>
    <w:rsid w:val="007776F1"/>
    <w:rsid w:val="0078080E"/>
    <w:rsid w:val="00780846"/>
    <w:rsid w:val="00781066"/>
    <w:rsid w:val="007829BF"/>
    <w:rsid w:val="00783399"/>
    <w:rsid w:val="00783544"/>
    <w:rsid w:val="00783BAE"/>
    <w:rsid w:val="00783C38"/>
    <w:rsid w:val="00784639"/>
    <w:rsid w:val="007853EF"/>
    <w:rsid w:val="0078731E"/>
    <w:rsid w:val="00787479"/>
    <w:rsid w:val="0078772B"/>
    <w:rsid w:val="0079067D"/>
    <w:rsid w:val="0079095A"/>
    <w:rsid w:val="00791182"/>
    <w:rsid w:val="0079181E"/>
    <w:rsid w:val="00792500"/>
    <w:rsid w:val="00792711"/>
    <w:rsid w:val="00792E23"/>
    <w:rsid w:val="00793321"/>
    <w:rsid w:val="007935F9"/>
    <w:rsid w:val="00793E4C"/>
    <w:rsid w:val="00794092"/>
    <w:rsid w:val="007942D3"/>
    <w:rsid w:val="00794379"/>
    <w:rsid w:val="007948B7"/>
    <w:rsid w:val="00794D6D"/>
    <w:rsid w:val="00794E67"/>
    <w:rsid w:val="00796020"/>
    <w:rsid w:val="00796386"/>
    <w:rsid w:val="007A00A8"/>
    <w:rsid w:val="007A094B"/>
    <w:rsid w:val="007A1581"/>
    <w:rsid w:val="007A192E"/>
    <w:rsid w:val="007A2B7D"/>
    <w:rsid w:val="007A3C89"/>
    <w:rsid w:val="007A54D5"/>
    <w:rsid w:val="007A5C96"/>
    <w:rsid w:val="007A6086"/>
    <w:rsid w:val="007A68B2"/>
    <w:rsid w:val="007A6DAB"/>
    <w:rsid w:val="007B00A2"/>
    <w:rsid w:val="007B074D"/>
    <w:rsid w:val="007B0FF3"/>
    <w:rsid w:val="007B1FAB"/>
    <w:rsid w:val="007B25FC"/>
    <w:rsid w:val="007B2D63"/>
    <w:rsid w:val="007B331D"/>
    <w:rsid w:val="007B4463"/>
    <w:rsid w:val="007B47EC"/>
    <w:rsid w:val="007B4E29"/>
    <w:rsid w:val="007B6307"/>
    <w:rsid w:val="007B6C09"/>
    <w:rsid w:val="007C005F"/>
    <w:rsid w:val="007C097D"/>
    <w:rsid w:val="007C0D24"/>
    <w:rsid w:val="007C1745"/>
    <w:rsid w:val="007C21CC"/>
    <w:rsid w:val="007C4258"/>
    <w:rsid w:val="007C5384"/>
    <w:rsid w:val="007C5F27"/>
    <w:rsid w:val="007C640B"/>
    <w:rsid w:val="007C65B8"/>
    <w:rsid w:val="007C7172"/>
    <w:rsid w:val="007C7802"/>
    <w:rsid w:val="007D0018"/>
    <w:rsid w:val="007D0DD3"/>
    <w:rsid w:val="007D1147"/>
    <w:rsid w:val="007D1A26"/>
    <w:rsid w:val="007D1C8E"/>
    <w:rsid w:val="007D1E00"/>
    <w:rsid w:val="007D24DA"/>
    <w:rsid w:val="007D2644"/>
    <w:rsid w:val="007D2F63"/>
    <w:rsid w:val="007D453C"/>
    <w:rsid w:val="007D48B4"/>
    <w:rsid w:val="007D4C89"/>
    <w:rsid w:val="007D4FFE"/>
    <w:rsid w:val="007D5077"/>
    <w:rsid w:val="007D51CA"/>
    <w:rsid w:val="007D679E"/>
    <w:rsid w:val="007D72E2"/>
    <w:rsid w:val="007D7E88"/>
    <w:rsid w:val="007E00CC"/>
    <w:rsid w:val="007E0747"/>
    <w:rsid w:val="007E09DA"/>
    <w:rsid w:val="007E1182"/>
    <w:rsid w:val="007E2305"/>
    <w:rsid w:val="007E2A51"/>
    <w:rsid w:val="007E2B32"/>
    <w:rsid w:val="007E2C0C"/>
    <w:rsid w:val="007E2D01"/>
    <w:rsid w:val="007E2DCA"/>
    <w:rsid w:val="007E4CAB"/>
    <w:rsid w:val="007E5C0F"/>
    <w:rsid w:val="007E677F"/>
    <w:rsid w:val="007E6D52"/>
    <w:rsid w:val="007E7808"/>
    <w:rsid w:val="007E7F02"/>
    <w:rsid w:val="007F0D32"/>
    <w:rsid w:val="007F0F3F"/>
    <w:rsid w:val="007F17B9"/>
    <w:rsid w:val="007F1891"/>
    <w:rsid w:val="007F1931"/>
    <w:rsid w:val="007F2113"/>
    <w:rsid w:val="007F27C9"/>
    <w:rsid w:val="007F3325"/>
    <w:rsid w:val="007F47F8"/>
    <w:rsid w:val="007F4828"/>
    <w:rsid w:val="007F5A87"/>
    <w:rsid w:val="007F6282"/>
    <w:rsid w:val="007F648A"/>
    <w:rsid w:val="007F6515"/>
    <w:rsid w:val="007F7B89"/>
    <w:rsid w:val="007F7D1C"/>
    <w:rsid w:val="008004F3"/>
    <w:rsid w:val="00800845"/>
    <w:rsid w:val="0080277A"/>
    <w:rsid w:val="0080360A"/>
    <w:rsid w:val="0080475A"/>
    <w:rsid w:val="00804CEF"/>
    <w:rsid w:val="00804D89"/>
    <w:rsid w:val="008062BD"/>
    <w:rsid w:val="00806362"/>
    <w:rsid w:val="00806883"/>
    <w:rsid w:val="00806960"/>
    <w:rsid w:val="0081016E"/>
    <w:rsid w:val="00810383"/>
    <w:rsid w:val="00810A55"/>
    <w:rsid w:val="00812678"/>
    <w:rsid w:val="00812929"/>
    <w:rsid w:val="008141CB"/>
    <w:rsid w:val="00814759"/>
    <w:rsid w:val="008152A4"/>
    <w:rsid w:val="008155CE"/>
    <w:rsid w:val="00815FD3"/>
    <w:rsid w:val="00816110"/>
    <w:rsid w:val="0081678A"/>
    <w:rsid w:val="008178B6"/>
    <w:rsid w:val="00817EA3"/>
    <w:rsid w:val="00820CB3"/>
    <w:rsid w:val="00820E53"/>
    <w:rsid w:val="0082131C"/>
    <w:rsid w:val="00821347"/>
    <w:rsid w:val="008228AA"/>
    <w:rsid w:val="00822F21"/>
    <w:rsid w:val="0082355D"/>
    <w:rsid w:val="0082358D"/>
    <w:rsid w:val="0082396B"/>
    <w:rsid w:val="00824450"/>
    <w:rsid w:val="00824CE3"/>
    <w:rsid w:val="00825306"/>
    <w:rsid w:val="0082613F"/>
    <w:rsid w:val="0082658C"/>
    <w:rsid w:val="008307ED"/>
    <w:rsid w:val="008308A4"/>
    <w:rsid w:val="00831420"/>
    <w:rsid w:val="00833ACF"/>
    <w:rsid w:val="0083608F"/>
    <w:rsid w:val="008362B0"/>
    <w:rsid w:val="00836987"/>
    <w:rsid w:val="00836E40"/>
    <w:rsid w:val="0083721C"/>
    <w:rsid w:val="00837AD2"/>
    <w:rsid w:val="00840379"/>
    <w:rsid w:val="0084057D"/>
    <w:rsid w:val="00841DAB"/>
    <w:rsid w:val="00841DB0"/>
    <w:rsid w:val="00842402"/>
    <w:rsid w:val="008427B4"/>
    <w:rsid w:val="00842998"/>
    <w:rsid w:val="00843FAD"/>
    <w:rsid w:val="008448FE"/>
    <w:rsid w:val="0084617A"/>
    <w:rsid w:val="0084670E"/>
    <w:rsid w:val="00846B29"/>
    <w:rsid w:val="0084795B"/>
    <w:rsid w:val="00850553"/>
    <w:rsid w:val="00850AE4"/>
    <w:rsid w:val="00850BA2"/>
    <w:rsid w:val="00851ABE"/>
    <w:rsid w:val="00851AC9"/>
    <w:rsid w:val="00851D11"/>
    <w:rsid w:val="008523AC"/>
    <w:rsid w:val="00852CA9"/>
    <w:rsid w:val="00853906"/>
    <w:rsid w:val="008550F2"/>
    <w:rsid w:val="008555C9"/>
    <w:rsid w:val="00855E3E"/>
    <w:rsid w:val="00856536"/>
    <w:rsid w:val="00860739"/>
    <w:rsid w:val="00861519"/>
    <w:rsid w:val="0086263B"/>
    <w:rsid w:val="00862D51"/>
    <w:rsid w:val="00863730"/>
    <w:rsid w:val="00863E12"/>
    <w:rsid w:val="0086459C"/>
    <w:rsid w:val="00864D8E"/>
    <w:rsid w:val="00865029"/>
    <w:rsid w:val="00865100"/>
    <w:rsid w:val="008651CB"/>
    <w:rsid w:val="00865B74"/>
    <w:rsid w:val="00865BD9"/>
    <w:rsid w:val="00866A4E"/>
    <w:rsid w:val="00866E10"/>
    <w:rsid w:val="008700E8"/>
    <w:rsid w:val="0087059A"/>
    <w:rsid w:val="00870D38"/>
    <w:rsid w:val="008710CE"/>
    <w:rsid w:val="008712BD"/>
    <w:rsid w:val="0087191F"/>
    <w:rsid w:val="00871F43"/>
    <w:rsid w:val="00872020"/>
    <w:rsid w:val="00872D55"/>
    <w:rsid w:val="00873432"/>
    <w:rsid w:val="0087376A"/>
    <w:rsid w:val="0087387C"/>
    <w:rsid w:val="00874D53"/>
    <w:rsid w:val="008759A4"/>
    <w:rsid w:val="00875C6F"/>
    <w:rsid w:val="00876322"/>
    <w:rsid w:val="008763AE"/>
    <w:rsid w:val="008770D7"/>
    <w:rsid w:val="00877B7D"/>
    <w:rsid w:val="00877FB6"/>
    <w:rsid w:val="008802C6"/>
    <w:rsid w:val="008807D9"/>
    <w:rsid w:val="00881067"/>
    <w:rsid w:val="008811D5"/>
    <w:rsid w:val="008812C2"/>
    <w:rsid w:val="008816BB"/>
    <w:rsid w:val="00882264"/>
    <w:rsid w:val="0088291C"/>
    <w:rsid w:val="00882D72"/>
    <w:rsid w:val="00883A2F"/>
    <w:rsid w:val="00883E56"/>
    <w:rsid w:val="008852C3"/>
    <w:rsid w:val="0088657C"/>
    <w:rsid w:val="00886B42"/>
    <w:rsid w:val="00887D6E"/>
    <w:rsid w:val="00890B5B"/>
    <w:rsid w:val="00890C2C"/>
    <w:rsid w:val="00890C7D"/>
    <w:rsid w:val="008913DE"/>
    <w:rsid w:val="00892207"/>
    <w:rsid w:val="00893EF5"/>
    <w:rsid w:val="008941FA"/>
    <w:rsid w:val="008945A3"/>
    <w:rsid w:val="00894CE3"/>
    <w:rsid w:val="00895243"/>
    <w:rsid w:val="0089618C"/>
    <w:rsid w:val="00896F5F"/>
    <w:rsid w:val="008A0342"/>
    <w:rsid w:val="008A07B9"/>
    <w:rsid w:val="008A097A"/>
    <w:rsid w:val="008A0D67"/>
    <w:rsid w:val="008A1735"/>
    <w:rsid w:val="008A18AF"/>
    <w:rsid w:val="008A1A23"/>
    <w:rsid w:val="008A1B06"/>
    <w:rsid w:val="008A321F"/>
    <w:rsid w:val="008A6263"/>
    <w:rsid w:val="008B00AE"/>
    <w:rsid w:val="008B0403"/>
    <w:rsid w:val="008B0DD7"/>
    <w:rsid w:val="008B12C8"/>
    <w:rsid w:val="008B13EF"/>
    <w:rsid w:val="008B4027"/>
    <w:rsid w:val="008B48DB"/>
    <w:rsid w:val="008B51A2"/>
    <w:rsid w:val="008B54A7"/>
    <w:rsid w:val="008B55FF"/>
    <w:rsid w:val="008B606B"/>
    <w:rsid w:val="008B7BCE"/>
    <w:rsid w:val="008B7C5B"/>
    <w:rsid w:val="008B7D20"/>
    <w:rsid w:val="008C0A53"/>
    <w:rsid w:val="008C2105"/>
    <w:rsid w:val="008C236C"/>
    <w:rsid w:val="008C3195"/>
    <w:rsid w:val="008C319B"/>
    <w:rsid w:val="008C31D7"/>
    <w:rsid w:val="008C35E3"/>
    <w:rsid w:val="008C3836"/>
    <w:rsid w:val="008C3DF9"/>
    <w:rsid w:val="008C4E07"/>
    <w:rsid w:val="008C6360"/>
    <w:rsid w:val="008C6619"/>
    <w:rsid w:val="008C6913"/>
    <w:rsid w:val="008C6F48"/>
    <w:rsid w:val="008D0161"/>
    <w:rsid w:val="008D084B"/>
    <w:rsid w:val="008D13F0"/>
    <w:rsid w:val="008D3427"/>
    <w:rsid w:val="008D3C02"/>
    <w:rsid w:val="008D3D6B"/>
    <w:rsid w:val="008D44C3"/>
    <w:rsid w:val="008D4834"/>
    <w:rsid w:val="008D4A0E"/>
    <w:rsid w:val="008D4E2E"/>
    <w:rsid w:val="008D4E69"/>
    <w:rsid w:val="008D664E"/>
    <w:rsid w:val="008D69B3"/>
    <w:rsid w:val="008D6F40"/>
    <w:rsid w:val="008D7085"/>
    <w:rsid w:val="008D7134"/>
    <w:rsid w:val="008D7A7A"/>
    <w:rsid w:val="008D7F1B"/>
    <w:rsid w:val="008E2337"/>
    <w:rsid w:val="008E2780"/>
    <w:rsid w:val="008E2C21"/>
    <w:rsid w:val="008E35F5"/>
    <w:rsid w:val="008E5758"/>
    <w:rsid w:val="008E589B"/>
    <w:rsid w:val="008E58EE"/>
    <w:rsid w:val="008E600F"/>
    <w:rsid w:val="008E695C"/>
    <w:rsid w:val="008E7859"/>
    <w:rsid w:val="008F0172"/>
    <w:rsid w:val="008F0DD9"/>
    <w:rsid w:val="008F0F8F"/>
    <w:rsid w:val="008F14A4"/>
    <w:rsid w:val="008F225D"/>
    <w:rsid w:val="008F2A33"/>
    <w:rsid w:val="008F2CCD"/>
    <w:rsid w:val="008F3113"/>
    <w:rsid w:val="008F46C5"/>
    <w:rsid w:val="008F4906"/>
    <w:rsid w:val="008F4BFE"/>
    <w:rsid w:val="008F4EE5"/>
    <w:rsid w:val="008F50C8"/>
    <w:rsid w:val="008F54D7"/>
    <w:rsid w:val="008F5BA7"/>
    <w:rsid w:val="008F5EFA"/>
    <w:rsid w:val="008F6AA7"/>
    <w:rsid w:val="008F6C91"/>
    <w:rsid w:val="008F7EA8"/>
    <w:rsid w:val="00901568"/>
    <w:rsid w:val="00901DB1"/>
    <w:rsid w:val="00902053"/>
    <w:rsid w:val="00902DAE"/>
    <w:rsid w:val="0090361A"/>
    <w:rsid w:val="009038F6"/>
    <w:rsid w:val="00904179"/>
    <w:rsid w:val="009042C9"/>
    <w:rsid w:val="009062FF"/>
    <w:rsid w:val="00906B17"/>
    <w:rsid w:val="00907040"/>
    <w:rsid w:val="00907430"/>
    <w:rsid w:val="00907763"/>
    <w:rsid w:val="0090783C"/>
    <w:rsid w:val="00910279"/>
    <w:rsid w:val="00913427"/>
    <w:rsid w:val="009139C0"/>
    <w:rsid w:val="009145B2"/>
    <w:rsid w:val="00914CDD"/>
    <w:rsid w:val="0091505B"/>
    <w:rsid w:val="00915188"/>
    <w:rsid w:val="00915246"/>
    <w:rsid w:val="00916521"/>
    <w:rsid w:val="009165D0"/>
    <w:rsid w:val="009168AB"/>
    <w:rsid w:val="00916C7B"/>
    <w:rsid w:val="009171AD"/>
    <w:rsid w:val="009171CE"/>
    <w:rsid w:val="00917D74"/>
    <w:rsid w:val="00920CC3"/>
    <w:rsid w:val="009212B8"/>
    <w:rsid w:val="009238A4"/>
    <w:rsid w:val="00923EBD"/>
    <w:rsid w:val="009246EA"/>
    <w:rsid w:val="00924759"/>
    <w:rsid w:val="00925B6F"/>
    <w:rsid w:val="00926889"/>
    <w:rsid w:val="00926A41"/>
    <w:rsid w:val="00926B2D"/>
    <w:rsid w:val="0092706F"/>
    <w:rsid w:val="00927CD8"/>
    <w:rsid w:val="009308BB"/>
    <w:rsid w:val="00930BA1"/>
    <w:rsid w:val="009310FC"/>
    <w:rsid w:val="00931253"/>
    <w:rsid w:val="0093169E"/>
    <w:rsid w:val="00932B4B"/>
    <w:rsid w:val="0093365F"/>
    <w:rsid w:val="00933EFE"/>
    <w:rsid w:val="009347B1"/>
    <w:rsid w:val="0093486E"/>
    <w:rsid w:val="009359AE"/>
    <w:rsid w:val="00936034"/>
    <w:rsid w:val="00937EC2"/>
    <w:rsid w:val="009413BD"/>
    <w:rsid w:val="0094259C"/>
    <w:rsid w:val="0094336E"/>
    <w:rsid w:val="00944299"/>
    <w:rsid w:val="00945E9A"/>
    <w:rsid w:val="00946897"/>
    <w:rsid w:val="00946DCA"/>
    <w:rsid w:val="00947592"/>
    <w:rsid w:val="00947E88"/>
    <w:rsid w:val="009502F6"/>
    <w:rsid w:val="009505C9"/>
    <w:rsid w:val="0095092E"/>
    <w:rsid w:val="00951217"/>
    <w:rsid w:val="00951A4B"/>
    <w:rsid w:val="00952092"/>
    <w:rsid w:val="0095497E"/>
    <w:rsid w:val="00954A77"/>
    <w:rsid w:val="0095648F"/>
    <w:rsid w:val="0095697C"/>
    <w:rsid w:val="009601D3"/>
    <w:rsid w:val="00961BB3"/>
    <w:rsid w:val="00962158"/>
    <w:rsid w:val="00963183"/>
    <w:rsid w:val="009632C7"/>
    <w:rsid w:val="0096430E"/>
    <w:rsid w:val="00965AA2"/>
    <w:rsid w:val="00965C70"/>
    <w:rsid w:val="0096681A"/>
    <w:rsid w:val="009668CC"/>
    <w:rsid w:val="00966BA5"/>
    <w:rsid w:val="00966F45"/>
    <w:rsid w:val="009670AF"/>
    <w:rsid w:val="009679B3"/>
    <w:rsid w:val="00967EF6"/>
    <w:rsid w:val="00970D62"/>
    <w:rsid w:val="00971388"/>
    <w:rsid w:val="00971D44"/>
    <w:rsid w:val="0097206B"/>
    <w:rsid w:val="009726B1"/>
    <w:rsid w:val="00972785"/>
    <w:rsid w:val="00972836"/>
    <w:rsid w:val="00973ECA"/>
    <w:rsid w:val="00974571"/>
    <w:rsid w:val="0097476C"/>
    <w:rsid w:val="00975290"/>
    <w:rsid w:val="009757C2"/>
    <w:rsid w:val="00975CB6"/>
    <w:rsid w:val="00977120"/>
    <w:rsid w:val="00977465"/>
    <w:rsid w:val="00977C45"/>
    <w:rsid w:val="00980FAB"/>
    <w:rsid w:val="00981556"/>
    <w:rsid w:val="00981CEB"/>
    <w:rsid w:val="00981D1B"/>
    <w:rsid w:val="00982FA6"/>
    <w:rsid w:val="00983563"/>
    <w:rsid w:val="00983EEB"/>
    <w:rsid w:val="00985647"/>
    <w:rsid w:val="00986181"/>
    <w:rsid w:val="00986BE6"/>
    <w:rsid w:val="00986DBC"/>
    <w:rsid w:val="0099024F"/>
    <w:rsid w:val="009908D2"/>
    <w:rsid w:val="0099159C"/>
    <w:rsid w:val="0099196D"/>
    <w:rsid w:val="00993664"/>
    <w:rsid w:val="009939CB"/>
    <w:rsid w:val="00993ACC"/>
    <w:rsid w:val="00993B4B"/>
    <w:rsid w:val="0099427D"/>
    <w:rsid w:val="00994367"/>
    <w:rsid w:val="00995094"/>
    <w:rsid w:val="00995237"/>
    <w:rsid w:val="009957AD"/>
    <w:rsid w:val="009979BF"/>
    <w:rsid w:val="009A0029"/>
    <w:rsid w:val="009A14C9"/>
    <w:rsid w:val="009A1761"/>
    <w:rsid w:val="009A1D2A"/>
    <w:rsid w:val="009A2AF0"/>
    <w:rsid w:val="009A3783"/>
    <w:rsid w:val="009A4131"/>
    <w:rsid w:val="009A573B"/>
    <w:rsid w:val="009A5970"/>
    <w:rsid w:val="009A5B38"/>
    <w:rsid w:val="009A61DD"/>
    <w:rsid w:val="009A673F"/>
    <w:rsid w:val="009B078F"/>
    <w:rsid w:val="009B166D"/>
    <w:rsid w:val="009B1FE8"/>
    <w:rsid w:val="009B21AE"/>
    <w:rsid w:val="009B21AF"/>
    <w:rsid w:val="009B25F9"/>
    <w:rsid w:val="009B2B65"/>
    <w:rsid w:val="009B2C05"/>
    <w:rsid w:val="009B2D92"/>
    <w:rsid w:val="009B30ED"/>
    <w:rsid w:val="009B40E5"/>
    <w:rsid w:val="009B4DAD"/>
    <w:rsid w:val="009B5025"/>
    <w:rsid w:val="009B51FE"/>
    <w:rsid w:val="009B7060"/>
    <w:rsid w:val="009B76D7"/>
    <w:rsid w:val="009B7E53"/>
    <w:rsid w:val="009C03FF"/>
    <w:rsid w:val="009C18C5"/>
    <w:rsid w:val="009C2DA2"/>
    <w:rsid w:val="009C2DD1"/>
    <w:rsid w:val="009C437E"/>
    <w:rsid w:val="009C442C"/>
    <w:rsid w:val="009C5915"/>
    <w:rsid w:val="009C69D4"/>
    <w:rsid w:val="009C6A75"/>
    <w:rsid w:val="009C6FB2"/>
    <w:rsid w:val="009C7139"/>
    <w:rsid w:val="009C77FD"/>
    <w:rsid w:val="009C79FD"/>
    <w:rsid w:val="009D00D2"/>
    <w:rsid w:val="009D0135"/>
    <w:rsid w:val="009D0633"/>
    <w:rsid w:val="009D0A7F"/>
    <w:rsid w:val="009D0B01"/>
    <w:rsid w:val="009D147B"/>
    <w:rsid w:val="009D40BE"/>
    <w:rsid w:val="009D431B"/>
    <w:rsid w:val="009D5526"/>
    <w:rsid w:val="009D5673"/>
    <w:rsid w:val="009D5C76"/>
    <w:rsid w:val="009D61E6"/>
    <w:rsid w:val="009D664A"/>
    <w:rsid w:val="009D6940"/>
    <w:rsid w:val="009D69B3"/>
    <w:rsid w:val="009D72C4"/>
    <w:rsid w:val="009E135D"/>
    <w:rsid w:val="009E2509"/>
    <w:rsid w:val="009E2924"/>
    <w:rsid w:val="009E41C9"/>
    <w:rsid w:val="009E4AD8"/>
    <w:rsid w:val="009E663E"/>
    <w:rsid w:val="009E7499"/>
    <w:rsid w:val="009F21E4"/>
    <w:rsid w:val="009F228C"/>
    <w:rsid w:val="009F352D"/>
    <w:rsid w:val="009F3A32"/>
    <w:rsid w:val="009F3BDB"/>
    <w:rsid w:val="009F3E45"/>
    <w:rsid w:val="009F3E8A"/>
    <w:rsid w:val="009F4AB5"/>
    <w:rsid w:val="009F4CB1"/>
    <w:rsid w:val="009F5604"/>
    <w:rsid w:val="009F5C19"/>
    <w:rsid w:val="00A00415"/>
    <w:rsid w:val="00A00D50"/>
    <w:rsid w:val="00A01883"/>
    <w:rsid w:val="00A01BA2"/>
    <w:rsid w:val="00A01CB3"/>
    <w:rsid w:val="00A0212B"/>
    <w:rsid w:val="00A03DC7"/>
    <w:rsid w:val="00A04279"/>
    <w:rsid w:val="00A04D89"/>
    <w:rsid w:val="00A06689"/>
    <w:rsid w:val="00A06EB4"/>
    <w:rsid w:val="00A0751A"/>
    <w:rsid w:val="00A07C08"/>
    <w:rsid w:val="00A105D3"/>
    <w:rsid w:val="00A108AE"/>
    <w:rsid w:val="00A1097B"/>
    <w:rsid w:val="00A110D9"/>
    <w:rsid w:val="00A1118E"/>
    <w:rsid w:val="00A13250"/>
    <w:rsid w:val="00A14571"/>
    <w:rsid w:val="00A1501F"/>
    <w:rsid w:val="00A1580F"/>
    <w:rsid w:val="00A15D3B"/>
    <w:rsid w:val="00A168D8"/>
    <w:rsid w:val="00A1747B"/>
    <w:rsid w:val="00A1789A"/>
    <w:rsid w:val="00A202B0"/>
    <w:rsid w:val="00A2046A"/>
    <w:rsid w:val="00A2113C"/>
    <w:rsid w:val="00A2150C"/>
    <w:rsid w:val="00A219FC"/>
    <w:rsid w:val="00A239D9"/>
    <w:rsid w:val="00A24FDF"/>
    <w:rsid w:val="00A26303"/>
    <w:rsid w:val="00A263B3"/>
    <w:rsid w:val="00A26D59"/>
    <w:rsid w:val="00A2799C"/>
    <w:rsid w:val="00A3040D"/>
    <w:rsid w:val="00A305B3"/>
    <w:rsid w:val="00A305DE"/>
    <w:rsid w:val="00A305F7"/>
    <w:rsid w:val="00A308FF"/>
    <w:rsid w:val="00A337CB"/>
    <w:rsid w:val="00A357A3"/>
    <w:rsid w:val="00A35873"/>
    <w:rsid w:val="00A35AF0"/>
    <w:rsid w:val="00A35D0D"/>
    <w:rsid w:val="00A36497"/>
    <w:rsid w:val="00A36D9C"/>
    <w:rsid w:val="00A403FF"/>
    <w:rsid w:val="00A413AB"/>
    <w:rsid w:val="00A42A6B"/>
    <w:rsid w:val="00A42D55"/>
    <w:rsid w:val="00A434F6"/>
    <w:rsid w:val="00A43AC5"/>
    <w:rsid w:val="00A44311"/>
    <w:rsid w:val="00A44521"/>
    <w:rsid w:val="00A45911"/>
    <w:rsid w:val="00A47436"/>
    <w:rsid w:val="00A475AE"/>
    <w:rsid w:val="00A4774F"/>
    <w:rsid w:val="00A47E03"/>
    <w:rsid w:val="00A47E63"/>
    <w:rsid w:val="00A504A7"/>
    <w:rsid w:val="00A51296"/>
    <w:rsid w:val="00A5144B"/>
    <w:rsid w:val="00A51459"/>
    <w:rsid w:val="00A520D6"/>
    <w:rsid w:val="00A52BF4"/>
    <w:rsid w:val="00A52F8C"/>
    <w:rsid w:val="00A53841"/>
    <w:rsid w:val="00A54437"/>
    <w:rsid w:val="00A55561"/>
    <w:rsid w:val="00A5598D"/>
    <w:rsid w:val="00A55ECD"/>
    <w:rsid w:val="00A56B85"/>
    <w:rsid w:val="00A56E63"/>
    <w:rsid w:val="00A6001E"/>
    <w:rsid w:val="00A60769"/>
    <w:rsid w:val="00A612A0"/>
    <w:rsid w:val="00A61AA2"/>
    <w:rsid w:val="00A622C7"/>
    <w:rsid w:val="00A62E10"/>
    <w:rsid w:val="00A63223"/>
    <w:rsid w:val="00A63CD4"/>
    <w:rsid w:val="00A63E64"/>
    <w:rsid w:val="00A64375"/>
    <w:rsid w:val="00A659F0"/>
    <w:rsid w:val="00A67696"/>
    <w:rsid w:val="00A70A97"/>
    <w:rsid w:val="00A70D05"/>
    <w:rsid w:val="00A71ABA"/>
    <w:rsid w:val="00A7237D"/>
    <w:rsid w:val="00A72383"/>
    <w:rsid w:val="00A72528"/>
    <w:rsid w:val="00A72D1E"/>
    <w:rsid w:val="00A747DC"/>
    <w:rsid w:val="00A757BE"/>
    <w:rsid w:val="00A75D39"/>
    <w:rsid w:val="00A7696F"/>
    <w:rsid w:val="00A80E90"/>
    <w:rsid w:val="00A81A4C"/>
    <w:rsid w:val="00A83BB8"/>
    <w:rsid w:val="00A83F89"/>
    <w:rsid w:val="00A84F72"/>
    <w:rsid w:val="00A857B9"/>
    <w:rsid w:val="00A862A5"/>
    <w:rsid w:val="00A875A3"/>
    <w:rsid w:val="00A90D65"/>
    <w:rsid w:val="00A90ED2"/>
    <w:rsid w:val="00A9145E"/>
    <w:rsid w:val="00A914AB"/>
    <w:rsid w:val="00A91ACC"/>
    <w:rsid w:val="00A92C5C"/>
    <w:rsid w:val="00A93AD1"/>
    <w:rsid w:val="00A93CAA"/>
    <w:rsid w:val="00A955E6"/>
    <w:rsid w:val="00A96367"/>
    <w:rsid w:val="00A96E35"/>
    <w:rsid w:val="00A97DED"/>
    <w:rsid w:val="00AA193C"/>
    <w:rsid w:val="00AA1950"/>
    <w:rsid w:val="00AA1A16"/>
    <w:rsid w:val="00AA22AA"/>
    <w:rsid w:val="00AA23D3"/>
    <w:rsid w:val="00AA2F7E"/>
    <w:rsid w:val="00AA30BC"/>
    <w:rsid w:val="00AA30D9"/>
    <w:rsid w:val="00AA3163"/>
    <w:rsid w:val="00AA346A"/>
    <w:rsid w:val="00AA35BB"/>
    <w:rsid w:val="00AA3F92"/>
    <w:rsid w:val="00AA44D2"/>
    <w:rsid w:val="00AA498E"/>
    <w:rsid w:val="00AA4C25"/>
    <w:rsid w:val="00AA4FB0"/>
    <w:rsid w:val="00AA50A2"/>
    <w:rsid w:val="00AA5187"/>
    <w:rsid w:val="00AA612B"/>
    <w:rsid w:val="00AA65C3"/>
    <w:rsid w:val="00AA6630"/>
    <w:rsid w:val="00AA6C33"/>
    <w:rsid w:val="00AB1AB2"/>
    <w:rsid w:val="00AB1DB4"/>
    <w:rsid w:val="00AB24E1"/>
    <w:rsid w:val="00AB27E5"/>
    <w:rsid w:val="00AB2C81"/>
    <w:rsid w:val="00AB2F22"/>
    <w:rsid w:val="00AB33A6"/>
    <w:rsid w:val="00AB3468"/>
    <w:rsid w:val="00AB481A"/>
    <w:rsid w:val="00AB4909"/>
    <w:rsid w:val="00AB49DE"/>
    <w:rsid w:val="00AB53E3"/>
    <w:rsid w:val="00AB567E"/>
    <w:rsid w:val="00AB6C95"/>
    <w:rsid w:val="00AB6EEB"/>
    <w:rsid w:val="00AB7278"/>
    <w:rsid w:val="00AB7C97"/>
    <w:rsid w:val="00AB7E48"/>
    <w:rsid w:val="00AB7FE8"/>
    <w:rsid w:val="00AC05B4"/>
    <w:rsid w:val="00AC0BDC"/>
    <w:rsid w:val="00AC0E2C"/>
    <w:rsid w:val="00AC1576"/>
    <w:rsid w:val="00AC1CEE"/>
    <w:rsid w:val="00AC2091"/>
    <w:rsid w:val="00AC2802"/>
    <w:rsid w:val="00AC287A"/>
    <w:rsid w:val="00AC2936"/>
    <w:rsid w:val="00AC3E87"/>
    <w:rsid w:val="00AC3EBE"/>
    <w:rsid w:val="00AC6364"/>
    <w:rsid w:val="00AC65B7"/>
    <w:rsid w:val="00AC6BB7"/>
    <w:rsid w:val="00AC6E4B"/>
    <w:rsid w:val="00AC7719"/>
    <w:rsid w:val="00AC7C62"/>
    <w:rsid w:val="00AD1009"/>
    <w:rsid w:val="00AD1F59"/>
    <w:rsid w:val="00AD2215"/>
    <w:rsid w:val="00AD2AD5"/>
    <w:rsid w:val="00AD33AE"/>
    <w:rsid w:val="00AD395D"/>
    <w:rsid w:val="00AD3B5E"/>
    <w:rsid w:val="00AD45AF"/>
    <w:rsid w:val="00AD575F"/>
    <w:rsid w:val="00AD5B11"/>
    <w:rsid w:val="00AD5CE7"/>
    <w:rsid w:val="00AD6BEE"/>
    <w:rsid w:val="00AE0E87"/>
    <w:rsid w:val="00AE3036"/>
    <w:rsid w:val="00AE3080"/>
    <w:rsid w:val="00AE36FF"/>
    <w:rsid w:val="00AE38E1"/>
    <w:rsid w:val="00AE4251"/>
    <w:rsid w:val="00AE4DC7"/>
    <w:rsid w:val="00AE5323"/>
    <w:rsid w:val="00AE5523"/>
    <w:rsid w:val="00AE5F5D"/>
    <w:rsid w:val="00AE6257"/>
    <w:rsid w:val="00AE6F37"/>
    <w:rsid w:val="00AE756B"/>
    <w:rsid w:val="00AE7AA3"/>
    <w:rsid w:val="00AF0E90"/>
    <w:rsid w:val="00AF1346"/>
    <w:rsid w:val="00AF14BB"/>
    <w:rsid w:val="00AF14CC"/>
    <w:rsid w:val="00AF1857"/>
    <w:rsid w:val="00AF185D"/>
    <w:rsid w:val="00AF2082"/>
    <w:rsid w:val="00AF29FE"/>
    <w:rsid w:val="00AF33C0"/>
    <w:rsid w:val="00AF375F"/>
    <w:rsid w:val="00AF387C"/>
    <w:rsid w:val="00AF3B14"/>
    <w:rsid w:val="00AF3D6A"/>
    <w:rsid w:val="00AF59E3"/>
    <w:rsid w:val="00AF5B28"/>
    <w:rsid w:val="00AF600A"/>
    <w:rsid w:val="00AF6711"/>
    <w:rsid w:val="00AF7CD7"/>
    <w:rsid w:val="00B0015D"/>
    <w:rsid w:val="00B0017A"/>
    <w:rsid w:val="00B0036B"/>
    <w:rsid w:val="00B0045F"/>
    <w:rsid w:val="00B006E8"/>
    <w:rsid w:val="00B00A6B"/>
    <w:rsid w:val="00B0107A"/>
    <w:rsid w:val="00B01386"/>
    <w:rsid w:val="00B01585"/>
    <w:rsid w:val="00B02022"/>
    <w:rsid w:val="00B02810"/>
    <w:rsid w:val="00B03ABB"/>
    <w:rsid w:val="00B04240"/>
    <w:rsid w:val="00B049F7"/>
    <w:rsid w:val="00B059FA"/>
    <w:rsid w:val="00B05C84"/>
    <w:rsid w:val="00B06FC4"/>
    <w:rsid w:val="00B07DAE"/>
    <w:rsid w:val="00B100C8"/>
    <w:rsid w:val="00B106C1"/>
    <w:rsid w:val="00B10CA2"/>
    <w:rsid w:val="00B10E44"/>
    <w:rsid w:val="00B10F20"/>
    <w:rsid w:val="00B12737"/>
    <w:rsid w:val="00B12CFF"/>
    <w:rsid w:val="00B13A0C"/>
    <w:rsid w:val="00B13B10"/>
    <w:rsid w:val="00B13C49"/>
    <w:rsid w:val="00B13E9D"/>
    <w:rsid w:val="00B14182"/>
    <w:rsid w:val="00B141E4"/>
    <w:rsid w:val="00B14730"/>
    <w:rsid w:val="00B14C53"/>
    <w:rsid w:val="00B15DF1"/>
    <w:rsid w:val="00B167AD"/>
    <w:rsid w:val="00B16EFF"/>
    <w:rsid w:val="00B177C1"/>
    <w:rsid w:val="00B1781C"/>
    <w:rsid w:val="00B17D95"/>
    <w:rsid w:val="00B17FC7"/>
    <w:rsid w:val="00B2012C"/>
    <w:rsid w:val="00B20537"/>
    <w:rsid w:val="00B20DD6"/>
    <w:rsid w:val="00B234D5"/>
    <w:rsid w:val="00B24766"/>
    <w:rsid w:val="00B249B7"/>
    <w:rsid w:val="00B259BE"/>
    <w:rsid w:val="00B25CFE"/>
    <w:rsid w:val="00B3252C"/>
    <w:rsid w:val="00B32A8D"/>
    <w:rsid w:val="00B334DC"/>
    <w:rsid w:val="00B3369F"/>
    <w:rsid w:val="00B337A8"/>
    <w:rsid w:val="00B33B35"/>
    <w:rsid w:val="00B33C43"/>
    <w:rsid w:val="00B341AA"/>
    <w:rsid w:val="00B34988"/>
    <w:rsid w:val="00B355F9"/>
    <w:rsid w:val="00B35BA2"/>
    <w:rsid w:val="00B35D06"/>
    <w:rsid w:val="00B365C6"/>
    <w:rsid w:val="00B403C9"/>
    <w:rsid w:val="00B40468"/>
    <w:rsid w:val="00B41B4F"/>
    <w:rsid w:val="00B423F0"/>
    <w:rsid w:val="00B42445"/>
    <w:rsid w:val="00B4249B"/>
    <w:rsid w:val="00B4411C"/>
    <w:rsid w:val="00B45F3B"/>
    <w:rsid w:val="00B469CC"/>
    <w:rsid w:val="00B47B7F"/>
    <w:rsid w:val="00B500BA"/>
    <w:rsid w:val="00B5030C"/>
    <w:rsid w:val="00B51878"/>
    <w:rsid w:val="00B535E0"/>
    <w:rsid w:val="00B53DDC"/>
    <w:rsid w:val="00B5489E"/>
    <w:rsid w:val="00B54D02"/>
    <w:rsid w:val="00B55104"/>
    <w:rsid w:val="00B5531D"/>
    <w:rsid w:val="00B553F1"/>
    <w:rsid w:val="00B55668"/>
    <w:rsid w:val="00B557F4"/>
    <w:rsid w:val="00B56362"/>
    <w:rsid w:val="00B563F4"/>
    <w:rsid w:val="00B56A59"/>
    <w:rsid w:val="00B56B17"/>
    <w:rsid w:val="00B56E8D"/>
    <w:rsid w:val="00B57D70"/>
    <w:rsid w:val="00B6080F"/>
    <w:rsid w:val="00B60CE0"/>
    <w:rsid w:val="00B61B83"/>
    <w:rsid w:val="00B61F2D"/>
    <w:rsid w:val="00B62FAF"/>
    <w:rsid w:val="00B634EF"/>
    <w:rsid w:val="00B639E6"/>
    <w:rsid w:val="00B63E3B"/>
    <w:rsid w:val="00B65C0A"/>
    <w:rsid w:val="00B6677E"/>
    <w:rsid w:val="00B66AFA"/>
    <w:rsid w:val="00B67203"/>
    <w:rsid w:val="00B703F7"/>
    <w:rsid w:val="00B70CDF"/>
    <w:rsid w:val="00B71CB7"/>
    <w:rsid w:val="00B7281F"/>
    <w:rsid w:val="00B72ABA"/>
    <w:rsid w:val="00B73221"/>
    <w:rsid w:val="00B755C7"/>
    <w:rsid w:val="00B76227"/>
    <w:rsid w:val="00B7629A"/>
    <w:rsid w:val="00B765E7"/>
    <w:rsid w:val="00B778AB"/>
    <w:rsid w:val="00B80591"/>
    <w:rsid w:val="00B80BC9"/>
    <w:rsid w:val="00B8171F"/>
    <w:rsid w:val="00B818A4"/>
    <w:rsid w:val="00B81AC1"/>
    <w:rsid w:val="00B81BD3"/>
    <w:rsid w:val="00B820C8"/>
    <w:rsid w:val="00B82617"/>
    <w:rsid w:val="00B826D6"/>
    <w:rsid w:val="00B8291B"/>
    <w:rsid w:val="00B8315F"/>
    <w:rsid w:val="00B837A0"/>
    <w:rsid w:val="00B83E85"/>
    <w:rsid w:val="00B840DD"/>
    <w:rsid w:val="00B84A80"/>
    <w:rsid w:val="00B84EBD"/>
    <w:rsid w:val="00B85AA8"/>
    <w:rsid w:val="00B85D3C"/>
    <w:rsid w:val="00B86A66"/>
    <w:rsid w:val="00B907BC"/>
    <w:rsid w:val="00B90988"/>
    <w:rsid w:val="00B90F62"/>
    <w:rsid w:val="00B91665"/>
    <w:rsid w:val="00B91731"/>
    <w:rsid w:val="00B91C7F"/>
    <w:rsid w:val="00B91F9F"/>
    <w:rsid w:val="00B92185"/>
    <w:rsid w:val="00B93585"/>
    <w:rsid w:val="00B93E19"/>
    <w:rsid w:val="00B954E9"/>
    <w:rsid w:val="00B956E7"/>
    <w:rsid w:val="00B96434"/>
    <w:rsid w:val="00B96990"/>
    <w:rsid w:val="00B97190"/>
    <w:rsid w:val="00B9770F"/>
    <w:rsid w:val="00BA00AD"/>
    <w:rsid w:val="00BA05C8"/>
    <w:rsid w:val="00BA0D6D"/>
    <w:rsid w:val="00BA0E91"/>
    <w:rsid w:val="00BA1458"/>
    <w:rsid w:val="00BA1791"/>
    <w:rsid w:val="00BA215E"/>
    <w:rsid w:val="00BA3202"/>
    <w:rsid w:val="00BA3C66"/>
    <w:rsid w:val="00BA4565"/>
    <w:rsid w:val="00BA4FF8"/>
    <w:rsid w:val="00BA52B6"/>
    <w:rsid w:val="00BA5415"/>
    <w:rsid w:val="00BA589D"/>
    <w:rsid w:val="00BA6491"/>
    <w:rsid w:val="00BA65F3"/>
    <w:rsid w:val="00BA6752"/>
    <w:rsid w:val="00BA67B8"/>
    <w:rsid w:val="00BA6844"/>
    <w:rsid w:val="00BA6DF4"/>
    <w:rsid w:val="00BA7618"/>
    <w:rsid w:val="00BB08A4"/>
    <w:rsid w:val="00BB1191"/>
    <w:rsid w:val="00BB20AF"/>
    <w:rsid w:val="00BB3036"/>
    <w:rsid w:val="00BB38ED"/>
    <w:rsid w:val="00BB3A31"/>
    <w:rsid w:val="00BB40E2"/>
    <w:rsid w:val="00BB4216"/>
    <w:rsid w:val="00BB54A1"/>
    <w:rsid w:val="00BB5702"/>
    <w:rsid w:val="00BB5AF3"/>
    <w:rsid w:val="00BB5CDC"/>
    <w:rsid w:val="00BB600A"/>
    <w:rsid w:val="00BB6383"/>
    <w:rsid w:val="00BB68E5"/>
    <w:rsid w:val="00BB6D19"/>
    <w:rsid w:val="00BC0765"/>
    <w:rsid w:val="00BC18D0"/>
    <w:rsid w:val="00BC1CA6"/>
    <w:rsid w:val="00BC1CD1"/>
    <w:rsid w:val="00BC1EA5"/>
    <w:rsid w:val="00BC2824"/>
    <w:rsid w:val="00BC2B02"/>
    <w:rsid w:val="00BC2DD6"/>
    <w:rsid w:val="00BC2E27"/>
    <w:rsid w:val="00BC3DAE"/>
    <w:rsid w:val="00BC3E0F"/>
    <w:rsid w:val="00BC4774"/>
    <w:rsid w:val="00BC4C2F"/>
    <w:rsid w:val="00BC4F78"/>
    <w:rsid w:val="00BC5048"/>
    <w:rsid w:val="00BC5C30"/>
    <w:rsid w:val="00BC5CEA"/>
    <w:rsid w:val="00BC5EAC"/>
    <w:rsid w:val="00BC6BBF"/>
    <w:rsid w:val="00BC6EC2"/>
    <w:rsid w:val="00BC701F"/>
    <w:rsid w:val="00BC7513"/>
    <w:rsid w:val="00BD0CE7"/>
    <w:rsid w:val="00BD0EDE"/>
    <w:rsid w:val="00BD10E7"/>
    <w:rsid w:val="00BD1471"/>
    <w:rsid w:val="00BD233E"/>
    <w:rsid w:val="00BD2B83"/>
    <w:rsid w:val="00BD3E78"/>
    <w:rsid w:val="00BD464A"/>
    <w:rsid w:val="00BD5B4B"/>
    <w:rsid w:val="00BD639D"/>
    <w:rsid w:val="00BD6762"/>
    <w:rsid w:val="00BD718F"/>
    <w:rsid w:val="00BD7994"/>
    <w:rsid w:val="00BE174D"/>
    <w:rsid w:val="00BE1CF9"/>
    <w:rsid w:val="00BE3759"/>
    <w:rsid w:val="00BE38DB"/>
    <w:rsid w:val="00BE4B6E"/>
    <w:rsid w:val="00BE5D30"/>
    <w:rsid w:val="00BE6237"/>
    <w:rsid w:val="00BE6E70"/>
    <w:rsid w:val="00BE7933"/>
    <w:rsid w:val="00BE7EEF"/>
    <w:rsid w:val="00BE7F0B"/>
    <w:rsid w:val="00BF0345"/>
    <w:rsid w:val="00BF228A"/>
    <w:rsid w:val="00BF275E"/>
    <w:rsid w:val="00BF4644"/>
    <w:rsid w:val="00BF4B71"/>
    <w:rsid w:val="00BF53FF"/>
    <w:rsid w:val="00BF62E5"/>
    <w:rsid w:val="00BF62F7"/>
    <w:rsid w:val="00BF74A8"/>
    <w:rsid w:val="00C0039C"/>
    <w:rsid w:val="00C01326"/>
    <w:rsid w:val="00C02AF9"/>
    <w:rsid w:val="00C02CE3"/>
    <w:rsid w:val="00C035B8"/>
    <w:rsid w:val="00C03897"/>
    <w:rsid w:val="00C049BB"/>
    <w:rsid w:val="00C05256"/>
    <w:rsid w:val="00C058E9"/>
    <w:rsid w:val="00C05D50"/>
    <w:rsid w:val="00C0647C"/>
    <w:rsid w:val="00C0696B"/>
    <w:rsid w:val="00C07B59"/>
    <w:rsid w:val="00C10134"/>
    <w:rsid w:val="00C103F0"/>
    <w:rsid w:val="00C109CF"/>
    <w:rsid w:val="00C10D37"/>
    <w:rsid w:val="00C110C5"/>
    <w:rsid w:val="00C112BC"/>
    <w:rsid w:val="00C11444"/>
    <w:rsid w:val="00C12709"/>
    <w:rsid w:val="00C12A15"/>
    <w:rsid w:val="00C1309A"/>
    <w:rsid w:val="00C140D8"/>
    <w:rsid w:val="00C15037"/>
    <w:rsid w:val="00C15AB6"/>
    <w:rsid w:val="00C200D3"/>
    <w:rsid w:val="00C206EB"/>
    <w:rsid w:val="00C21F57"/>
    <w:rsid w:val="00C22496"/>
    <w:rsid w:val="00C24C7F"/>
    <w:rsid w:val="00C259FB"/>
    <w:rsid w:val="00C25A43"/>
    <w:rsid w:val="00C26030"/>
    <w:rsid w:val="00C26184"/>
    <w:rsid w:val="00C27419"/>
    <w:rsid w:val="00C27570"/>
    <w:rsid w:val="00C27864"/>
    <w:rsid w:val="00C27947"/>
    <w:rsid w:val="00C34517"/>
    <w:rsid w:val="00C359A2"/>
    <w:rsid w:val="00C35AA1"/>
    <w:rsid w:val="00C35ACB"/>
    <w:rsid w:val="00C37198"/>
    <w:rsid w:val="00C374CF"/>
    <w:rsid w:val="00C37B96"/>
    <w:rsid w:val="00C40100"/>
    <w:rsid w:val="00C426C9"/>
    <w:rsid w:val="00C432DD"/>
    <w:rsid w:val="00C4392A"/>
    <w:rsid w:val="00C43FBD"/>
    <w:rsid w:val="00C443BD"/>
    <w:rsid w:val="00C447DC"/>
    <w:rsid w:val="00C4482B"/>
    <w:rsid w:val="00C44B54"/>
    <w:rsid w:val="00C44C59"/>
    <w:rsid w:val="00C44D95"/>
    <w:rsid w:val="00C45423"/>
    <w:rsid w:val="00C45CA4"/>
    <w:rsid w:val="00C4668E"/>
    <w:rsid w:val="00C46CA3"/>
    <w:rsid w:val="00C46FA8"/>
    <w:rsid w:val="00C47F33"/>
    <w:rsid w:val="00C50FC4"/>
    <w:rsid w:val="00C52AAD"/>
    <w:rsid w:val="00C52CCE"/>
    <w:rsid w:val="00C52FAA"/>
    <w:rsid w:val="00C54D16"/>
    <w:rsid w:val="00C55B22"/>
    <w:rsid w:val="00C55EF4"/>
    <w:rsid w:val="00C5616C"/>
    <w:rsid w:val="00C56838"/>
    <w:rsid w:val="00C56BBA"/>
    <w:rsid w:val="00C56E54"/>
    <w:rsid w:val="00C573DB"/>
    <w:rsid w:val="00C575DD"/>
    <w:rsid w:val="00C576F2"/>
    <w:rsid w:val="00C57C38"/>
    <w:rsid w:val="00C601EB"/>
    <w:rsid w:val="00C608E3"/>
    <w:rsid w:val="00C60B98"/>
    <w:rsid w:val="00C60C08"/>
    <w:rsid w:val="00C60E12"/>
    <w:rsid w:val="00C61D1E"/>
    <w:rsid w:val="00C623AA"/>
    <w:rsid w:val="00C6290E"/>
    <w:rsid w:val="00C630E3"/>
    <w:rsid w:val="00C63EC6"/>
    <w:rsid w:val="00C64009"/>
    <w:rsid w:val="00C6632D"/>
    <w:rsid w:val="00C66681"/>
    <w:rsid w:val="00C66815"/>
    <w:rsid w:val="00C669AC"/>
    <w:rsid w:val="00C6748C"/>
    <w:rsid w:val="00C707BC"/>
    <w:rsid w:val="00C723FD"/>
    <w:rsid w:val="00C725EF"/>
    <w:rsid w:val="00C72D53"/>
    <w:rsid w:val="00C72EEF"/>
    <w:rsid w:val="00C73735"/>
    <w:rsid w:val="00C742E3"/>
    <w:rsid w:val="00C749D9"/>
    <w:rsid w:val="00C750F4"/>
    <w:rsid w:val="00C75514"/>
    <w:rsid w:val="00C758E9"/>
    <w:rsid w:val="00C76B45"/>
    <w:rsid w:val="00C76C7C"/>
    <w:rsid w:val="00C77681"/>
    <w:rsid w:val="00C77AA2"/>
    <w:rsid w:val="00C77B12"/>
    <w:rsid w:val="00C77E93"/>
    <w:rsid w:val="00C77F0E"/>
    <w:rsid w:val="00C801BD"/>
    <w:rsid w:val="00C804AA"/>
    <w:rsid w:val="00C81246"/>
    <w:rsid w:val="00C81E6A"/>
    <w:rsid w:val="00C81F44"/>
    <w:rsid w:val="00C82EC4"/>
    <w:rsid w:val="00C8301C"/>
    <w:rsid w:val="00C832AF"/>
    <w:rsid w:val="00C833F6"/>
    <w:rsid w:val="00C850C5"/>
    <w:rsid w:val="00C86B37"/>
    <w:rsid w:val="00C86FFF"/>
    <w:rsid w:val="00C91408"/>
    <w:rsid w:val="00C9161D"/>
    <w:rsid w:val="00C91852"/>
    <w:rsid w:val="00C921A2"/>
    <w:rsid w:val="00C92481"/>
    <w:rsid w:val="00C925BC"/>
    <w:rsid w:val="00C92615"/>
    <w:rsid w:val="00C93284"/>
    <w:rsid w:val="00C93482"/>
    <w:rsid w:val="00C93BC5"/>
    <w:rsid w:val="00C940C3"/>
    <w:rsid w:val="00C94123"/>
    <w:rsid w:val="00C942C4"/>
    <w:rsid w:val="00C94DEC"/>
    <w:rsid w:val="00C95954"/>
    <w:rsid w:val="00C9626D"/>
    <w:rsid w:val="00C962D4"/>
    <w:rsid w:val="00C96526"/>
    <w:rsid w:val="00C96753"/>
    <w:rsid w:val="00C96E40"/>
    <w:rsid w:val="00CA0468"/>
    <w:rsid w:val="00CA0C09"/>
    <w:rsid w:val="00CA1348"/>
    <w:rsid w:val="00CA1F0C"/>
    <w:rsid w:val="00CA1F4D"/>
    <w:rsid w:val="00CA3404"/>
    <w:rsid w:val="00CA3D7E"/>
    <w:rsid w:val="00CA3EC4"/>
    <w:rsid w:val="00CA4C2C"/>
    <w:rsid w:val="00CA4D0C"/>
    <w:rsid w:val="00CA4F37"/>
    <w:rsid w:val="00CA5C82"/>
    <w:rsid w:val="00CA5DD0"/>
    <w:rsid w:val="00CA6207"/>
    <w:rsid w:val="00CA6354"/>
    <w:rsid w:val="00CA6465"/>
    <w:rsid w:val="00CA7120"/>
    <w:rsid w:val="00CA7130"/>
    <w:rsid w:val="00CA7668"/>
    <w:rsid w:val="00CA7743"/>
    <w:rsid w:val="00CA79B3"/>
    <w:rsid w:val="00CA7C2F"/>
    <w:rsid w:val="00CB0CA7"/>
    <w:rsid w:val="00CB11B0"/>
    <w:rsid w:val="00CB1ABA"/>
    <w:rsid w:val="00CB1D11"/>
    <w:rsid w:val="00CB1EF1"/>
    <w:rsid w:val="00CB308F"/>
    <w:rsid w:val="00CB39DA"/>
    <w:rsid w:val="00CB3CD8"/>
    <w:rsid w:val="00CB3D82"/>
    <w:rsid w:val="00CB4D4B"/>
    <w:rsid w:val="00CB56EE"/>
    <w:rsid w:val="00CB5B7A"/>
    <w:rsid w:val="00CB5CB1"/>
    <w:rsid w:val="00CB68F8"/>
    <w:rsid w:val="00CB6B31"/>
    <w:rsid w:val="00CB72C3"/>
    <w:rsid w:val="00CB734C"/>
    <w:rsid w:val="00CB74D9"/>
    <w:rsid w:val="00CB784D"/>
    <w:rsid w:val="00CB7C28"/>
    <w:rsid w:val="00CB7EA0"/>
    <w:rsid w:val="00CC02D4"/>
    <w:rsid w:val="00CC0671"/>
    <w:rsid w:val="00CC102E"/>
    <w:rsid w:val="00CC1052"/>
    <w:rsid w:val="00CC1DEC"/>
    <w:rsid w:val="00CC39EC"/>
    <w:rsid w:val="00CC3B89"/>
    <w:rsid w:val="00CC3F15"/>
    <w:rsid w:val="00CC4A57"/>
    <w:rsid w:val="00CC5469"/>
    <w:rsid w:val="00CC59CC"/>
    <w:rsid w:val="00CC6389"/>
    <w:rsid w:val="00CC6D8C"/>
    <w:rsid w:val="00CC74AA"/>
    <w:rsid w:val="00CD067A"/>
    <w:rsid w:val="00CD143D"/>
    <w:rsid w:val="00CD1702"/>
    <w:rsid w:val="00CD2426"/>
    <w:rsid w:val="00CD312B"/>
    <w:rsid w:val="00CD37E1"/>
    <w:rsid w:val="00CD392B"/>
    <w:rsid w:val="00CD414E"/>
    <w:rsid w:val="00CD44A2"/>
    <w:rsid w:val="00CD51D3"/>
    <w:rsid w:val="00CD56E5"/>
    <w:rsid w:val="00CD579F"/>
    <w:rsid w:val="00CD5A11"/>
    <w:rsid w:val="00CD5C8F"/>
    <w:rsid w:val="00CD5E03"/>
    <w:rsid w:val="00CD6167"/>
    <w:rsid w:val="00CD676A"/>
    <w:rsid w:val="00CD6E23"/>
    <w:rsid w:val="00CD7034"/>
    <w:rsid w:val="00CE0194"/>
    <w:rsid w:val="00CE0A79"/>
    <w:rsid w:val="00CE11AD"/>
    <w:rsid w:val="00CE1D5B"/>
    <w:rsid w:val="00CE25B6"/>
    <w:rsid w:val="00CE28F3"/>
    <w:rsid w:val="00CE2E98"/>
    <w:rsid w:val="00CE3318"/>
    <w:rsid w:val="00CE335C"/>
    <w:rsid w:val="00CE3587"/>
    <w:rsid w:val="00CE3AFE"/>
    <w:rsid w:val="00CE3CDA"/>
    <w:rsid w:val="00CE417D"/>
    <w:rsid w:val="00CE47A8"/>
    <w:rsid w:val="00CE498F"/>
    <w:rsid w:val="00CE50C9"/>
    <w:rsid w:val="00CE6843"/>
    <w:rsid w:val="00CE7994"/>
    <w:rsid w:val="00CF0636"/>
    <w:rsid w:val="00CF0F4A"/>
    <w:rsid w:val="00CF1120"/>
    <w:rsid w:val="00CF127D"/>
    <w:rsid w:val="00CF1848"/>
    <w:rsid w:val="00CF1DB0"/>
    <w:rsid w:val="00CF1FCD"/>
    <w:rsid w:val="00CF20F0"/>
    <w:rsid w:val="00CF2404"/>
    <w:rsid w:val="00CF262A"/>
    <w:rsid w:val="00CF2C69"/>
    <w:rsid w:val="00CF2CFE"/>
    <w:rsid w:val="00CF2F32"/>
    <w:rsid w:val="00CF2FED"/>
    <w:rsid w:val="00CF3393"/>
    <w:rsid w:val="00CF4175"/>
    <w:rsid w:val="00CF4343"/>
    <w:rsid w:val="00CF4406"/>
    <w:rsid w:val="00CF4D22"/>
    <w:rsid w:val="00CF58F6"/>
    <w:rsid w:val="00CF7692"/>
    <w:rsid w:val="00CF7D9B"/>
    <w:rsid w:val="00D00245"/>
    <w:rsid w:val="00D011F2"/>
    <w:rsid w:val="00D01D7D"/>
    <w:rsid w:val="00D02F55"/>
    <w:rsid w:val="00D032DE"/>
    <w:rsid w:val="00D0483C"/>
    <w:rsid w:val="00D0509B"/>
    <w:rsid w:val="00D106E0"/>
    <w:rsid w:val="00D115A6"/>
    <w:rsid w:val="00D11701"/>
    <w:rsid w:val="00D11C41"/>
    <w:rsid w:val="00D12044"/>
    <w:rsid w:val="00D127C5"/>
    <w:rsid w:val="00D13007"/>
    <w:rsid w:val="00D130EF"/>
    <w:rsid w:val="00D130F0"/>
    <w:rsid w:val="00D13881"/>
    <w:rsid w:val="00D13C81"/>
    <w:rsid w:val="00D149E2"/>
    <w:rsid w:val="00D152D6"/>
    <w:rsid w:val="00D16DC1"/>
    <w:rsid w:val="00D17365"/>
    <w:rsid w:val="00D17E07"/>
    <w:rsid w:val="00D17F87"/>
    <w:rsid w:val="00D209F0"/>
    <w:rsid w:val="00D2151D"/>
    <w:rsid w:val="00D22998"/>
    <w:rsid w:val="00D23697"/>
    <w:rsid w:val="00D244A3"/>
    <w:rsid w:val="00D24AE0"/>
    <w:rsid w:val="00D24B19"/>
    <w:rsid w:val="00D25104"/>
    <w:rsid w:val="00D25A97"/>
    <w:rsid w:val="00D25E13"/>
    <w:rsid w:val="00D26AE1"/>
    <w:rsid w:val="00D26DA4"/>
    <w:rsid w:val="00D26F67"/>
    <w:rsid w:val="00D270B6"/>
    <w:rsid w:val="00D27371"/>
    <w:rsid w:val="00D27EBF"/>
    <w:rsid w:val="00D30332"/>
    <w:rsid w:val="00D30443"/>
    <w:rsid w:val="00D3057B"/>
    <w:rsid w:val="00D308B3"/>
    <w:rsid w:val="00D30CC3"/>
    <w:rsid w:val="00D30F67"/>
    <w:rsid w:val="00D312E6"/>
    <w:rsid w:val="00D31408"/>
    <w:rsid w:val="00D318CD"/>
    <w:rsid w:val="00D32593"/>
    <w:rsid w:val="00D325F1"/>
    <w:rsid w:val="00D3288E"/>
    <w:rsid w:val="00D33488"/>
    <w:rsid w:val="00D33D80"/>
    <w:rsid w:val="00D33F0B"/>
    <w:rsid w:val="00D33FAC"/>
    <w:rsid w:val="00D34AE3"/>
    <w:rsid w:val="00D35492"/>
    <w:rsid w:val="00D35A80"/>
    <w:rsid w:val="00D37C98"/>
    <w:rsid w:val="00D37ED7"/>
    <w:rsid w:val="00D37F7B"/>
    <w:rsid w:val="00D41517"/>
    <w:rsid w:val="00D41BA6"/>
    <w:rsid w:val="00D41E14"/>
    <w:rsid w:val="00D42242"/>
    <w:rsid w:val="00D42BC9"/>
    <w:rsid w:val="00D42D04"/>
    <w:rsid w:val="00D43BC3"/>
    <w:rsid w:val="00D43FF9"/>
    <w:rsid w:val="00D44C03"/>
    <w:rsid w:val="00D45630"/>
    <w:rsid w:val="00D45E15"/>
    <w:rsid w:val="00D46B4B"/>
    <w:rsid w:val="00D46DAE"/>
    <w:rsid w:val="00D47C89"/>
    <w:rsid w:val="00D501C8"/>
    <w:rsid w:val="00D5118E"/>
    <w:rsid w:val="00D51E94"/>
    <w:rsid w:val="00D5236E"/>
    <w:rsid w:val="00D527FB"/>
    <w:rsid w:val="00D52B5B"/>
    <w:rsid w:val="00D53DAF"/>
    <w:rsid w:val="00D54387"/>
    <w:rsid w:val="00D5475D"/>
    <w:rsid w:val="00D55A06"/>
    <w:rsid w:val="00D55ABF"/>
    <w:rsid w:val="00D55F0A"/>
    <w:rsid w:val="00D6062C"/>
    <w:rsid w:val="00D60C44"/>
    <w:rsid w:val="00D611B7"/>
    <w:rsid w:val="00D62487"/>
    <w:rsid w:val="00D62BC0"/>
    <w:rsid w:val="00D633DF"/>
    <w:rsid w:val="00D633FC"/>
    <w:rsid w:val="00D63800"/>
    <w:rsid w:val="00D640C2"/>
    <w:rsid w:val="00D6439F"/>
    <w:rsid w:val="00D645C7"/>
    <w:rsid w:val="00D645ED"/>
    <w:rsid w:val="00D6488C"/>
    <w:rsid w:val="00D64940"/>
    <w:rsid w:val="00D64C1C"/>
    <w:rsid w:val="00D64CD2"/>
    <w:rsid w:val="00D64D2E"/>
    <w:rsid w:val="00D651EB"/>
    <w:rsid w:val="00D65955"/>
    <w:rsid w:val="00D6661C"/>
    <w:rsid w:val="00D671A4"/>
    <w:rsid w:val="00D672AA"/>
    <w:rsid w:val="00D6780D"/>
    <w:rsid w:val="00D70692"/>
    <w:rsid w:val="00D7083A"/>
    <w:rsid w:val="00D70AEF"/>
    <w:rsid w:val="00D71250"/>
    <w:rsid w:val="00D715E6"/>
    <w:rsid w:val="00D71DC3"/>
    <w:rsid w:val="00D72171"/>
    <w:rsid w:val="00D73125"/>
    <w:rsid w:val="00D7336A"/>
    <w:rsid w:val="00D7353D"/>
    <w:rsid w:val="00D7364F"/>
    <w:rsid w:val="00D73D31"/>
    <w:rsid w:val="00D73E4B"/>
    <w:rsid w:val="00D75B60"/>
    <w:rsid w:val="00D76A18"/>
    <w:rsid w:val="00D771E9"/>
    <w:rsid w:val="00D80F53"/>
    <w:rsid w:val="00D8108C"/>
    <w:rsid w:val="00D813A0"/>
    <w:rsid w:val="00D82F67"/>
    <w:rsid w:val="00D83EA2"/>
    <w:rsid w:val="00D83F96"/>
    <w:rsid w:val="00D86A15"/>
    <w:rsid w:val="00D90E0A"/>
    <w:rsid w:val="00D90F96"/>
    <w:rsid w:val="00D91EFE"/>
    <w:rsid w:val="00D91F30"/>
    <w:rsid w:val="00D93658"/>
    <w:rsid w:val="00D94918"/>
    <w:rsid w:val="00D972BC"/>
    <w:rsid w:val="00DA020F"/>
    <w:rsid w:val="00DA1311"/>
    <w:rsid w:val="00DA1982"/>
    <w:rsid w:val="00DA2080"/>
    <w:rsid w:val="00DA281A"/>
    <w:rsid w:val="00DA2C16"/>
    <w:rsid w:val="00DA2CF0"/>
    <w:rsid w:val="00DA3890"/>
    <w:rsid w:val="00DA4D59"/>
    <w:rsid w:val="00DA502A"/>
    <w:rsid w:val="00DA5C3C"/>
    <w:rsid w:val="00DA67FA"/>
    <w:rsid w:val="00DA6D29"/>
    <w:rsid w:val="00DA7C66"/>
    <w:rsid w:val="00DB0814"/>
    <w:rsid w:val="00DB0B8A"/>
    <w:rsid w:val="00DB437D"/>
    <w:rsid w:val="00DB6412"/>
    <w:rsid w:val="00DB6439"/>
    <w:rsid w:val="00DB65B2"/>
    <w:rsid w:val="00DB773B"/>
    <w:rsid w:val="00DB7E18"/>
    <w:rsid w:val="00DC2704"/>
    <w:rsid w:val="00DC2DD8"/>
    <w:rsid w:val="00DC384B"/>
    <w:rsid w:val="00DC527F"/>
    <w:rsid w:val="00DC745A"/>
    <w:rsid w:val="00DD118C"/>
    <w:rsid w:val="00DD1682"/>
    <w:rsid w:val="00DD4674"/>
    <w:rsid w:val="00DD4B67"/>
    <w:rsid w:val="00DD4CC0"/>
    <w:rsid w:val="00DD5C27"/>
    <w:rsid w:val="00DD6807"/>
    <w:rsid w:val="00DD701D"/>
    <w:rsid w:val="00DD77C3"/>
    <w:rsid w:val="00DD7F36"/>
    <w:rsid w:val="00DE0FB5"/>
    <w:rsid w:val="00DE1ADA"/>
    <w:rsid w:val="00DE240A"/>
    <w:rsid w:val="00DE2705"/>
    <w:rsid w:val="00DE3595"/>
    <w:rsid w:val="00DE4083"/>
    <w:rsid w:val="00DE4141"/>
    <w:rsid w:val="00DE5ACB"/>
    <w:rsid w:val="00DE5AF4"/>
    <w:rsid w:val="00DE5D46"/>
    <w:rsid w:val="00DE7942"/>
    <w:rsid w:val="00DE7AFB"/>
    <w:rsid w:val="00DF0004"/>
    <w:rsid w:val="00DF02FE"/>
    <w:rsid w:val="00DF11A4"/>
    <w:rsid w:val="00DF12B6"/>
    <w:rsid w:val="00DF14F7"/>
    <w:rsid w:val="00DF20A3"/>
    <w:rsid w:val="00DF2148"/>
    <w:rsid w:val="00DF21CF"/>
    <w:rsid w:val="00DF2BB6"/>
    <w:rsid w:val="00DF3393"/>
    <w:rsid w:val="00DF3628"/>
    <w:rsid w:val="00DF5CA4"/>
    <w:rsid w:val="00DF74B2"/>
    <w:rsid w:val="00DF7A5B"/>
    <w:rsid w:val="00DF7B99"/>
    <w:rsid w:val="00E0148D"/>
    <w:rsid w:val="00E03D5C"/>
    <w:rsid w:val="00E0525C"/>
    <w:rsid w:val="00E059CE"/>
    <w:rsid w:val="00E06185"/>
    <w:rsid w:val="00E0752B"/>
    <w:rsid w:val="00E1049E"/>
    <w:rsid w:val="00E10D83"/>
    <w:rsid w:val="00E11CAB"/>
    <w:rsid w:val="00E13DBF"/>
    <w:rsid w:val="00E13DFB"/>
    <w:rsid w:val="00E13E25"/>
    <w:rsid w:val="00E14177"/>
    <w:rsid w:val="00E148A7"/>
    <w:rsid w:val="00E14B5E"/>
    <w:rsid w:val="00E14DFC"/>
    <w:rsid w:val="00E1519A"/>
    <w:rsid w:val="00E15BBC"/>
    <w:rsid w:val="00E15E14"/>
    <w:rsid w:val="00E15E85"/>
    <w:rsid w:val="00E1769B"/>
    <w:rsid w:val="00E21BE5"/>
    <w:rsid w:val="00E22111"/>
    <w:rsid w:val="00E23043"/>
    <w:rsid w:val="00E23174"/>
    <w:rsid w:val="00E23544"/>
    <w:rsid w:val="00E236A1"/>
    <w:rsid w:val="00E237E7"/>
    <w:rsid w:val="00E246D8"/>
    <w:rsid w:val="00E25032"/>
    <w:rsid w:val="00E257C1"/>
    <w:rsid w:val="00E2655A"/>
    <w:rsid w:val="00E26BB6"/>
    <w:rsid w:val="00E26F00"/>
    <w:rsid w:val="00E30C2C"/>
    <w:rsid w:val="00E320E6"/>
    <w:rsid w:val="00E33977"/>
    <w:rsid w:val="00E33DB6"/>
    <w:rsid w:val="00E33E48"/>
    <w:rsid w:val="00E345F7"/>
    <w:rsid w:val="00E34C11"/>
    <w:rsid w:val="00E35048"/>
    <w:rsid w:val="00E3682E"/>
    <w:rsid w:val="00E373A3"/>
    <w:rsid w:val="00E37888"/>
    <w:rsid w:val="00E37B9E"/>
    <w:rsid w:val="00E37FF5"/>
    <w:rsid w:val="00E410FB"/>
    <w:rsid w:val="00E415B2"/>
    <w:rsid w:val="00E42C7B"/>
    <w:rsid w:val="00E43910"/>
    <w:rsid w:val="00E440C5"/>
    <w:rsid w:val="00E45F83"/>
    <w:rsid w:val="00E46AEF"/>
    <w:rsid w:val="00E46E72"/>
    <w:rsid w:val="00E50959"/>
    <w:rsid w:val="00E513B3"/>
    <w:rsid w:val="00E516D5"/>
    <w:rsid w:val="00E5326A"/>
    <w:rsid w:val="00E532D2"/>
    <w:rsid w:val="00E535A1"/>
    <w:rsid w:val="00E53CDB"/>
    <w:rsid w:val="00E53DAB"/>
    <w:rsid w:val="00E53F03"/>
    <w:rsid w:val="00E54177"/>
    <w:rsid w:val="00E5429C"/>
    <w:rsid w:val="00E546E2"/>
    <w:rsid w:val="00E54AED"/>
    <w:rsid w:val="00E55688"/>
    <w:rsid w:val="00E55731"/>
    <w:rsid w:val="00E55B01"/>
    <w:rsid w:val="00E55C17"/>
    <w:rsid w:val="00E560BB"/>
    <w:rsid w:val="00E6069E"/>
    <w:rsid w:val="00E60DD4"/>
    <w:rsid w:val="00E616D7"/>
    <w:rsid w:val="00E623EC"/>
    <w:rsid w:val="00E62ED2"/>
    <w:rsid w:val="00E63239"/>
    <w:rsid w:val="00E6354D"/>
    <w:rsid w:val="00E63555"/>
    <w:rsid w:val="00E63CD9"/>
    <w:rsid w:val="00E64839"/>
    <w:rsid w:val="00E64CF3"/>
    <w:rsid w:val="00E654F3"/>
    <w:rsid w:val="00E65DC9"/>
    <w:rsid w:val="00E66042"/>
    <w:rsid w:val="00E66235"/>
    <w:rsid w:val="00E666D9"/>
    <w:rsid w:val="00E7013A"/>
    <w:rsid w:val="00E73059"/>
    <w:rsid w:val="00E731DB"/>
    <w:rsid w:val="00E738DB"/>
    <w:rsid w:val="00E73C09"/>
    <w:rsid w:val="00E73EE7"/>
    <w:rsid w:val="00E7480A"/>
    <w:rsid w:val="00E74FAC"/>
    <w:rsid w:val="00E76B6A"/>
    <w:rsid w:val="00E76EA9"/>
    <w:rsid w:val="00E7708A"/>
    <w:rsid w:val="00E775AD"/>
    <w:rsid w:val="00E77B81"/>
    <w:rsid w:val="00E80A0D"/>
    <w:rsid w:val="00E81EB1"/>
    <w:rsid w:val="00E82C23"/>
    <w:rsid w:val="00E83C24"/>
    <w:rsid w:val="00E854BE"/>
    <w:rsid w:val="00E859AB"/>
    <w:rsid w:val="00E86245"/>
    <w:rsid w:val="00E869B1"/>
    <w:rsid w:val="00E87517"/>
    <w:rsid w:val="00E878CE"/>
    <w:rsid w:val="00E9076C"/>
    <w:rsid w:val="00E92C59"/>
    <w:rsid w:val="00E92CF1"/>
    <w:rsid w:val="00E9318D"/>
    <w:rsid w:val="00E93559"/>
    <w:rsid w:val="00E93A80"/>
    <w:rsid w:val="00E93F81"/>
    <w:rsid w:val="00E93FEF"/>
    <w:rsid w:val="00E94434"/>
    <w:rsid w:val="00E9457C"/>
    <w:rsid w:val="00E94999"/>
    <w:rsid w:val="00E94B17"/>
    <w:rsid w:val="00E94D74"/>
    <w:rsid w:val="00E94F18"/>
    <w:rsid w:val="00E95C96"/>
    <w:rsid w:val="00E95DF2"/>
    <w:rsid w:val="00E970B6"/>
    <w:rsid w:val="00E9742C"/>
    <w:rsid w:val="00E97D44"/>
    <w:rsid w:val="00EA056B"/>
    <w:rsid w:val="00EA1318"/>
    <w:rsid w:val="00EA1B55"/>
    <w:rsid w:val="00EA1F83"/>
    <w:rsid w:val="00EA228C"/>
    <w:rsid w:val="00EA38CB"/>
    <w:rsid w:val="00EA3F1A"/>
    <w:rsid w:val="00EA41AA"/>
    <w:rsid w:val="00EA424D"/>
    <w:rsid w:val="00EA515C"/>
    <w:rsid w:val="00EA51F2"/>
    <w:rsid w:val="00EA5FBE"/>
    <w:rsid w:val="00EA634F"/>
    <w:rsid w:val="00EA663A"/>
    <w:rsid w:val="00EA6668"/>
    <w:rsid w:val="00EA6B04"/>
    <w:rsid w:val="00EA7A82"/>
    <w:rsid w:val="00EB02B8"/>
    <w:rsid w:val="00EB149A"/>
    <w:rsid w:val="00EB3044"/>
    <w:rsid w:val="00EB525F"/>
    <w:rsid w:val="00EB5C84"/>
    <w:rsid w:val="00EB64BC"/>
    <w:rsid w:val="00EB6601"/>
    <w:rsid w:val="00EB691E"/>
    <w:rsid w:val="00EB692A"/>
    <w:rsid w:val="00EB6A7D"/>
    <w:rsid w:val="00EB75DF"/>
    <w:rsid w:val="00EC0229"/>
    <w:rsid w:val="00EC0265"/>
    <w:rsid w:val="00EC08C5"/>
    <w:rsid w:val="00EC1061"/>
    <w:rsid w:val="00EC16EE"/>
    <w:rsid w:val="00EC218F"/>
    <w:rsid w:val="00EC2A35"/>
    <w:rsid w:val="00EC3356"/>
    <w:rsid w:val="00EC4776"/>
    <w:rsid w:val="00EC5CF6"/>
    <w:rsid w:val="00EC6895"/>
    <w:rsid w:val="00EC6CCC"/>
    <w:rsid w:val="00EC70A7"/>
    <w:rsid w:val="00EC7202"/>
    <w:rsid w:val="00EC75AE"/>
    <w:rsid w:val="00EC7C3A"/>
    <w:rsid w:val="00ED0209"/>
    <w:rsid w:val="00ED09A8"/>
    <w:rsid w:val="00ED1A12"/>
    <w:rsid w:val="00ED2B11"/>
    <w:rsid w:val="00ED4294"/>
    <w:rsid w:val="00ED4C80"/>
    <w:rsid w:val="00ED5478"/>
    <w:rsid w:val="00ED55D8"/>
    <w:rsid w:val="00ED646F"/>
    <w:rsid w:val="00ED65EB"/>
    <w:rsid w:val="00ED66AD"/>
    <w:rsid w:val="00ED6808"/>
    <w:rsid w:val="00ED6D2D"/>
    <w:rsid w:val="00EE010B"/>
    <w:rsid w:val="00EE088D"/>
    <w:rsid w:val="00EE0C48"/>
    <w:rsid w:val="00EE1793"/>
    <w:rsid w:val="00EE26FF"/>
    <w:rsid w:val="00EE2F7C"/>
    <w:rsid w:val="00EE41D7"/>
    <w:rsid w:val="00EE51AC"/>
    <w:rsid w:val="00EE5C2D"/>
    <w:rsid w:val="00EE63B5"/>
    <w:rsid w:val="00EE6E79"/>
    <w:rsid w:val="00EE7124"/>
    <w:rsid w:val="00EF0A94"/>
    <w:rsid w:val="00EF1219"/>
    <w:rsid w:val="00EF1DC8"/>
    <w:rsid w:val="00EF1EAC"/>
    <w:rsid w:val="00EF1FA5"/>
    <w:rsid w:val="00EF41CF"/>
    <w:rsid w:val="00EF4297"/>
    <w:rsid w:val="00EF5C30"/>
    <w:rsid w:val="00EF6174"/>
    <w:rsid w:val="00EF6D61"/>
    <w:rsid w:val="00EF74B9"/>
    <w:rsid w:val="00EF7A74"/>
    <w:rsid w:val="00EF7A88"/>
    <w:rsid w:val="00F01619"/>
    <w:rsid w:val="00F01DDE"/>
    <w:rsid w:val="00F02542"/>
    <w:rsid w:val="00F02683"/>
    <w:rsid w:val="00F02FEC"/>
    <w:rsid w:val="00F051E2"/>
    <w:rsid w:val="00F05AB9"/>
    <w:rsid w:val="00F05F4E"/>
    <w:rsid w:val="00F06CA5"/>
    <w:rsid w:val="00F076CC"/>
    <w:rsid w:val="00F07ECF"/>
    <w:rsid w:val="00F1013B"/>
    <w:rsid w:val="00F11EF5"/>
    <w:rsid w:val="00F12F85"/>
    <w:rsid w:val="00F142B1"/>
    <w:rsid w:val="00F148D9"/>
    <w:rsid w:val="00F156A3"/>
    <w:rsid w:val="00F15BC5"/>
    <w:rsid w:val="00F15BF7"/>
    <w:rsid w:val="00F16490"/>
    <w:rsid w:val="00F16933"/>
    <w:rsid w:val="00F16FFF"/>
    <w:rsid w:val="00F170DA"/>
    <w:rsid w:val="00F171B3"/>
    <w:rsid w:val="00F20425"/>
    <w:rsid w:val="00F22069"/>
    <w:rsid w:val="00F2234B"/>
    <w:rsid w:val="00F227D6"/>
    <w:rsid w:val="00F22EA2"/>
    <w:rsid w:val="00F23836"/>
    <w:rsid w:val="00F25539"/>
    <w:rsid w:val="00F259FA"/>
    <w:rsid w:val="00F25CDF"/>
    <w:rsid w:val="00F30612"/>
    <w:rsid w:val="00F30808"/>
    <w:rsid w:val="00F30C5F"/>
    <w:rsid w:val="00F30CCE"/>
    <w:rsid w:val="00F31502"/>
    <w:rsid w:val="00F31CB1"/>
    <w:rsid w:val="00F31ECF"/>
    <w:rsid w:val="00F31F27"/>
    <w:rsid w:val="00F323E4"/>
    <w:rsid w:val="00F32602"/>
    <w:rsid w:val="00F32C36"/>
    <w:rsid w:val="00F34461"/>
    <w:rsid w:val="00F34CA2"/>
    <w:rsid w:val="00F36A90"/>
    <w:rsid w:val="00F36AE3"/>
    <w:rsid w:val="00F37A29"/>
    <w:rsid w:val="00F37FCC"/>
    <w:rsid w:val="00F41DFA"/>
    <w:rsid w:val="00F42EE2"/>
    <w:rsid w:val="00F43094"/>
    <w:rsid w:val="00F4342C"/>
    <w:rsid w:val="00F44520"/>
    <w:rsid w:val="00F44917"/>
    <w:rsid w:val="00F44F6A"/>
    <w:rsid w:val="00F451F0"/>
    <w:rsid w:val="00F45555"/>
    <w:rsid w:val="00F460B6"/>
    <w:rsid w:val="00F466A6"/>
    <w:rsid w:val="00F46F5F"/>
    <w:rsid w:val="00F47C19"/>
    <w:rsid w:val="00F47E33"/>
    <w:rsid w:val="00F511DA"/>
    <w:rsid w:val="00F512D4"/>
    <w:rsid w:val="00F519C1"/>
    <w:rsid w:val="00F51CDC"/>
    <w:rsid w:val="00F53A09"/>
    <w:rsid w:val="00F5463B"/>
    <w:rsid w:val="00F552E3"/>
    <w:rsid w:val="00F55385"/>
    <w:rsid w:val="00F55A03"/>
    <w:rsid w:val="00F55ECA"/>
    <w:rsid w:val="00F56FEA"/>
    <w:rsid w:val="00F571E5"/>
    <w:rsid w:val="00F57887"/>
    <w:rsid w:val="00F60F18"/>
    <w:rsid w:val="00F6106D"/>
    <w:rsid w:val="00F61C61"/>
    <w:rsid w:val="00F61FEE"/>
    <w:rsid w:val="00F620D0"/>
    <w:rsid w:val="00F62712"/>
    <w:rsid w:val="00F62A00"/>
    <w:rsid w:val="00F64272"/>
    <w:rsid w:val="00F65A6F"/>
    <w:rsid w:val="00F66F4E"/>
    <w:rsid w:val="00F67DFB"/>
    <w:rsid w:val="00F716B3"/>
    <w:rsid w:val="00F722F7"/>
    <w:rsid w:val="00F72580"/>
    <w:rsid w:val="00F72A01"/>
    <w:rsid w:val="00F72E85"/>
    <w:rsid w:val="00F74113"/>
    <w:rsid w:val="00F74196"/>
    <w:rsid w:val="00F74C50"/>
    <w:rsid w:val="00F74E8F"/>
    <w:rsid w:val="00F75612"/>
    <w:rsid w:val="00F76467"/>
    <w:rsid w:val="00F76BCA"/>
    <w:rsid w:val="00F774F5"/>
    <w:rsid w:val="00F77A12"/>
    <w:rsid w:val="00F80D1F"/>
    <w:rsid w:val="00F80E68"/>
    <w:rsid w:val="00F813CD"/>
    <w:rsid w:val="00F82427"/>
    <w:rsid w:val="00F82D82"/>
    <w:rsid w:val="00F83929"/>
    <w:rsid w:val="00F84E47"/>
    <w:rsid w:val="00F850E0"/>
    <w:rsid w:val="00F859B3"/>
    <w:rsid w:val="00F86A31"/>
    <w:rsid w:val="00F874BF"/>
    <w:rsid w:val="00F90860"/>
    <w:rsid w:val="00F90EA0"/>
    <w:rsid w:val="00F91842"/>
    <w:rsid w:val="00F9277F"/>
    <w:rsid w:val="00F928C3"/>
    <w:rsid w:val="00F94774"/>
    <w:rsid w:val="00F961D1"/>
    <w:rsid w:val="00F9687E"/>
    <w:rsid w:val="00F97592"/>
    <w:rsid w:val="00FA025D"/>
    <w:rsid w:val="00FA1C1D"/>
    <w:rsid w:val="00FA1EDE"/>
    <w:rsid w:val="00FA24E2"/>
    <w:rsid w:val="00FA25C7"/>
    <w:rsid w:val="00FA26DA"/>
    <w:rsid w:val="00FA288A"/>
    <w:rsid w:val="00FA3205"/>
    <w:rsid w:val="00FA459A"/>
    <w:rsid w:val="00FA4CE3"/>
    <w:rsid w:val="00FA4DE4"/>
    <w:rsid w:val="00FA5AF5"/>
    <w:rsid w:val="00FA61D3"/>
    <w:rsid w:val="00FA636B"/>
    <w:rsid w:val="00FA678F"/>
    <w:rsid w:val="00FA6D27"/>
    <w:rsid w:val="00FA71E3"/>
    <w:rsid w:val="00FA7366"/>
    <w:rsid w:val="00FA74DB"/>
    <w:rsid w:val="00FA7516"/>
    <w:rsid w:val="00FB166C"/>
    <w:rsid w:val="00FB3A9E"/>
    <w:rsid w:val="00FB45BE"/>
    <w:rsid w:val="00FB463D"/>
    <w:rsid w:val="00FB4AFF"/>
    <w:rsid w:val="00FB4B55"/>
    <w:rsid w:val="00FB4C03"/>
    <w:rsid w:val="00FB4C78"/>
    <w:rsid w:val="00FB583D"/>
    <w:rsid w:val="00FB5BCF"/>
    <w:rsid w:val="00FB5D16"/>
    <w:rsid w:val="00FB6D85"/>
    <w:rsid w:val="00FB77A1"/>
    <w:rsid w:val="00FC0144"/>
    <w:rsid w:val="00FC0CFF"/>
    <w:rsid w:val="00FC107B"/>
    <w:rsid w:val="00FC115D"/>
    <w:rsid w:val="00FC1578"/>
    <w:rsid w:val="00FC237E"/>
    <w:rsid w:val="00FC4064"/>
    <w:rsid w:val="00FC42AF"/>
    <w:rsid w:val="00FC44E1"/>
    <w:rsid w:val="00FC4746"/>
    <w:rsid w:val="00FC49E4"/>
    <w:rsid w:val="00FC4F50"/>
    <w:rsid w:val="00FC53DB"/>
    <w:rsid w:val="00FC6D50"/>
    <w:rsid w:val="00FC6DDF"/>
    <w:rsid w:val="00FD1252"/>
    <w:rsid w:val="00FD167F"/>
    <w:rsid w:val="00FD1E07"/>
    <w:rsid w:val="00FD2617"/>
    <w:rsid w:val="00FD28B1"/>
    <w:rsid w:val="00FD2F11"/>
    <w:rsid w:val="00FD2F46"/>
    <w:rsid w:val="00FD3660"/>
    <w:rsid w:val="00FD3E5E"/>
    <w:rsid w:val="00FD4172"/>
    <w:rsid w:val="00FD47EA"/>
    <w:rsid w:val="00FD4B98"/>
    <w:rsid w:val="00FD56AF"/>
    <w:rsid w:val="00FD6277"/>
    <w:rsid w:val="00FD757E"/>
    <w:rsid w:val="00FD788D"/>
    <w:rsid w:val="00FD795D"/>
    <w:rsid w:val="00FE00BC"/>
    <w:rsid w:val="00FE0759"/>
    <w:rsid w:val="00FE0CFA"/>
    <w:rsid w:val="00FE0EE6"/>
    <w:rsid w:val="00FE1102"/>
    <w:rsid w:val="00FE156B"/>
    <w:rsid w:val="00FE1BA3"/>
    <w:rsid w:val="00FE1BEC"/>
    <w:rsid w:val="00FE2EDC"/>
    <w:rsid w:val="00FE3224"/>
    <w:rsid w:val="00FE3585"/>
    <w:rsid w:val="00FE39E7"/>
    <w:rsid w:val="00FE3B9A"/>
    <w:rsid w:val="00FE4CE6"/>
    <w:rsid w:val="00FE57D7"/>
    <w:rsid w:val="00FE5F8A"/>
    <w:rsid w:val="00FE6908"/>
    <w:rsid w:val="00FE6F74"/>
    <w:rsid w:val="00FE7AC2"/>
    <w:rsid w:val="00FF0561"/>
    <w:rsid w:val="00FF1085"/>
    <w:rsid w:val="00FF20E4"/>
    <w:rsid w:val="00FF3313"/>
    <w:rsid w:val="00FF33FF"/>
    <w:rsid w:val="00FF34AF"/>
    <w:rsid w:val="00FF5037"/>
    <w:rsid w:val="00FF5135"/>
    <w:rsid w:val="00FF57EC"/>
    <w:rsid w:val="00FF65BD"/>
    <w:rsid w:val="00FF6C08"/>
    <w:rsid w:val="00FF6FD0"/>
    <w:rsid w:val="00FF7929"/>
    <w:rsid w:val="00FF7DE5"/>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13EEA"/>
  <w15:docId w15:val="{04E21142-9E19-4CA6-8D7F-ADC363E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Policepardfaut"/>
    <w:uiPriority w:val="99"/>
    <w:semiHidden/>
    <w:unhideWhenUsed/>
    <w:rsid w:val="00AA30D9"/>
    <w:rPr>
      <w:color w:val="808080"/>
      <w:shd w:val="clear" w:color="auto" w:fill="E6E6E6"/>
    </w:rPr>
  </w:style>
  <w:style w:type="character" w:styleId="Mentionnonrsolue">
    <w:name w:val="Unresolved Mention"/>
    <w:basedOn w:val="Policepardfau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basedOn w:val="Policepardfaut"/>
    <w:link w:val="Paragraphedeliste"/>
    <w:uiPriority w:val="34"/>
    <w:qFormat/>
    <w:locked/>
    <w:rsid w:val="000D4006"/>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981CE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81CEB"/>
    <w:rPr>
      <w:rFonts w:ascii="Times New Roman" w:eastAsia="Times New Roman" w:hAnsi="Times New Roman" w:cs="Times New Roman"/>
      <w:b/>
      <w:bCs/>
      <w:sz w:val="20"/>
      <w:szCs w:val="20"/>
      <w:lang w:val="en-GB"/>
    </w:rPr>
  </w:style>
  <w:style w:type="paragraph" w:styleId="R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Policepardfaut"/>
    <w:rsid w:val="000261F8"/>
  </w:style>
  <w:style w:type="character" w:customStyle="1" w:styleId="normaltextrun">
    <w:name w:val="normaltextrun"/>
    <w:basedOn w:val="Policepardfaut"/>
    <w:rsid w:val="0037782B"/>
  </w:style>
  <w:style w:type="character" w:customStyle="1" w:styleId="eop">
    <w:name w:val="eop"/>
    <w:basedOn w:val="Policepardfaut"/>
    <w:rsid w:val="0037782B"/>
  </w:style>
  <w:style w:type="paragraph" w:customStyle="1" w:styleId="paragraph">
    <w:name w:val="paragraph"/>
    <w:basedOn w:val="Normal"/>
    <w:rsid w:val="0037782B"/>
    <w:pPr>
      <w:spacing w:before="100" w:beforeAutospacing="1" w:after="100" w:afterAutospacing="1"/>
      <w:jc w:val="left"/>
    </w:pPr>
    <w:rPr>
      <w:sz w:val="24"/>
      <w:lang w:eastAsia="en-GB"/>
    </w:rPr>
  </w:style>
  <w:style w:type="character" w:customStyle="1" w:styleId="Ninguno">
    <w:name w:val="Ninguno"/>
    <w:rsid w:val="007E2305"/>
    <w:rPr>
      <w:lang w:val="en-US"/>
    </w:rPr>
  </w:style>
  <w:style w:type="paragraph" w:customStyle="1" w:styleId="Cuerpo">
    <w:name w:val="Cuerpo"/>
    <w:rsid w:val="0037442C"/>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934630118">
      <w:bodyDiv w:val="1"/>
      <w:marLeft w:val="0"/>
      <w:marRight w:val="0"/>
      <w:marTop w:val="0"/>
      <w:marBottom w:val="0"/>
      <w:divBdr>
        <w:top w:val="none" w:sz="0" w:space="0" w:color="auto"/>
        <w:left w:val="none" w:sz="0" w:space="0" w:color="auto"/>
        <w:bottom w:val="none" w:sz="0" w:space="0" w:color="auto"/>
        <w:right w:val="none" w:sz="0" w:space="0" w:color="auto"/>
      </w:divBdr>
    </w:div>
    <w:div w:id="1322391291">
      <w:bodyDiv w:val="1"/>
      <w:marLeft w:val="0"/>
      <w:marRight w:val="0"/>
      <w:marTop w:val="0"/>
      <w:marBottom w:val="0"/>
      <w:divBdr>
        <w:top w:val="none" w:sz="0" w:space="0" w:color="auto"/>
        <w:left w:val="none" w:sz="0" w:space="0" w:color="auto"/>
        <w:bottom w:val="none" w:sz="0" w:space="0" w:color="auto"/>
        <w:right w:val="none" w:sz="0" w:space="0" w:color="auto"/>
      </w:divBdr>
    </w:div>
    <w:div w:id="1330910089">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345065">
      <w:bodyDiv w:val="1"/>
      <w:marLeft w:val="0"/>
      <w:marRight w:val="0"/>
      <w:marTop w:val="0"/>
      <w:marBottom w:val="0"/>
      <w:divBdr>
        <w:top w:val="none" w:sz="0" w:space="0" w:color="auto"/>
        <w:left w:val="none" w:sz="0" w:space="0" w:color="auto"/>
        <w:bottom w:val="none" w:sz="0" w:space="0" w:color="auto"/>
        <w:right w:val="none" w:sz="0" w:space="0" w:color="auto"/>
      </w:divBdr>
      <w:divsChild>
        <w:div w:id="1448506652">
          <w:marLeft w:val="0"/>
          <w:marRight w:val="0"/>
          <w:marTop w:val="0"/>
          <w:marBottom w:val="0"/>
          <w:divBdr>
            <w:top w:val="none" w:sz="0" w:space="0" w:color="auto"/>
            <w:left w:val="none" w:sz="0" w:space="0" w:color="auto"/>
            <w:bottom w:val="none" w:sz="0" w:space="0" w:color="auto"/>
            <w:right w:val="none" w:sz="0" w:space="0" w:color="auto"/>
          </w:divBdr>
          <w:divsChild>
            <w:div w:id="17748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 w:id="2081827686">
      <w:bodyDiv w:val="1"/>
      <w:marLeft w:val="0"/>
      <w:marRight w:val="0"/>
      <w:marTop w:val="0"/>
      <w:marBottom w:val="0"/>
      <w:divBdr>
        <w:top w:val="none" w:sz="0" w:space="0" w:color="auto"/>
        <w:left w:val="none" w:sz="0" w:space="0" w:color="auto"/>
        <w:bottom w:val="none" w:sz="0" w:space="0" w:color="auto"/>
        <w:right w:val="none" w:sz="0" w:space="0" w:color="auto"/>
      </w:divBdr>
      <w:divsChild>
        <w:div w:id="163668769">
          <w:marLeft w:val="0"/>
          <w:marRight w:val="0"/>
          <w:marTop w:val="0"/>
          <w:marBottom w:val="0"/>
          <w:divBdr>
            <w:top w:val="none" w:sz="0" w:space="0" w:color="auto"/>
            <w:left w:val="none" w:sz="0" w:space="0" w:color="auto"/>
            <w:bottom w:val="none" w:sz="0" w:space="0" w:color="auto"/>
            <w:right w:val="none" w:sz="0" w:space="0" w:color="auto"/>
          </w:divBdr>
          <w:divsChild>
            <w:div w:id="229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iodiversitya-z.org/content/ecosystem-approa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cop/?id=7748" TargetMode="External"/><Relationship Id="rId1" Type="http://schemas.openxmlformats.org/officeDocument/2006/relationships/hyperlink" Target="https://www.cbd.int/decision/cop/?id=7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3B2787-E968-8742-9B78-0A969EB9D707}">
  <ds:schemaRefs>
    <ds:schemaRef ds:uri="http://schemas.openxmlformats.org/officeDocument/2006/bibliography"/>
  </ds:schemaRefs>
</ds:datastoreItem>
</file>

<file path=customXml/itemProps3.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5.xml><?xml version="1.0" encoding="utf-8"?>
<ds:datastoreItem xmlns:ds="http://schemas.openxmlformats.org/officeDocument/2006/customXml" ds:itemID="{69C4DD2D-E6C1-43FE-BF5B-D6B2C337E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3229</Words>
  <Characters>17765</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Resource mobilization – Annex 1</vt:lpstr>
      <vt:lpstr>Resource mobilization – Annex 1</vt:lpstr>
    </vt:vector>
  </TitlesOfParts>
  <Company>SCBD</Company>
  <LinksUpToDate>false</LinksUpToDate>
  <CharactersWithSpaces>20953</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 Annex 1</dc:title>
  <dc:subject>CBD/SBI/3/5</dc:subject>
  <dc:creator>SCBD</dc:creator>
  <cp:keywords>Subsidiary Body on Implementation, third meeting, Quebec City, Canada, 9-14 November 2020, Convention on Biological Diversity</cp:keywords>
  <cp:lastModifiedBy>matthias massoulier</cp:lastModifiedBy>
  <cp:revision>12</cp:revision>
  <cp:lastPrinted>2020-07-09T14:31:00Z</cp:lastPrinted>
  <dcterms:created xsi:type="dcterms:W3CDTF">2021-06-09T08:29:00Z</dcterms:created>
  <dcterms:modified xsi:type="dcterms:W3CDTF">2021-06-12T17:55:00Z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