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D0CE4" w14:paraId="599D1A7B" w14:textId="77777777" w:rsidTr="008A1499">
        <w:trPr>
          <w:trHeight w:val="850"/>
        </w:trPr>
        <w:tc>
          <w:tcPr>
            <w:tcW w:w="975" w:type="dxa"/>
            <w:vAlign w:val="bottom"/>
          </w:tcPr>
          <w:p w14:paraId="3F915920" w14:textId="77777777" w:rsidR="008A1499" w:rsidRPr="00DD0CE4" w:rsidRDefault="008A1499" w:rsidP="008A1499">
            <w:pPr>
              <w:pStyle w:val="AASmallLogo"/>
            </w:pPr>
            <w:r>
              <w:rPr>
                <w:noProof/>
              </w:rPr>
              <w:drawing>
                <wp:inline distT="0" distB="0" distL="0" distR="0" wp14:anchorId="78B485ED" wp14:editId="4082C80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46150003" w14:textId="77777777" w:rsidR="008A1499" w:rsidRPr="00DD0CE4" w:rsidRDefault="008A1499" w:rsidP="008A1499">
            <w:pPr>
              <w:pStyle w:val="AASmallLogo"/>
            </w:pPr>
          </w:p>
        </w:tc>
        <w:tc>
          <w:tcPr>
            <w:tcW w:w="1434" w:type="dxa"/>
            <w:noWrap/>
            <w:vAlign w:val="bottom"/>
          </w:tcPr>
          <w:p w14:paraId="2EAE4656" w14:textId="5CF3AC38" w:rsidR="008A1499" w:rsidRPr="00DD0CE4" w:rsidRDefault="00DE4834" w:rsidP="008A1499">
            <w:pPr>
              <w:pStyle w:val="AASmallLogo"/>
            </w:pPr>
            <w:r w:rsidRPr="00360A23">
              <w:rPr>
                <w:noProof/>
                <w:lang w:eastAsia="ru-RU"/>
              </w:rPr>
              <w:drawing>
                <wp:inline distT="0" distB="0" distL="0" distR="0" wp14:anchorId="0B22C8A6" wp14:editId="507835C9">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8A1499">
              <w:t xml:space="preserve"> </w:t>
            </w:r>
          </w:p>
          <w:p w14:paraId="6ECD2383" w14:textId="77777777" w:rsidR="008A1499" w:rsidRPr="00DD0CE4" w:rsidRDefault="008A1499" w:rsidP="008A1499">
            <w:pPr>
              <w:pStyle w:val="AASmallLogo"/>
            </w:pPr>
          </w:p>
        </w:tc>
        <w:tc>
          <w:tcPr>
            <w:tcW w:w="8073" w:type="dxa"/>
            <w:vAlign w:val="bottom"/>
          </w:tcPr>
          <w:p w14:paraId="4ED8435D" w14:textId="54BDC09E" w:rsidR="008A1499" w:rsidRPr="00DD0CE4" w:rsidRDefault="008A1499" w:rsidP="00DA0C94">
            <w:pPr>
              <w:pStyle w:val="ABSymbol"/>
            </w:pPr>
            <w:r>
              <w:rPr>
                <w:sz w:val="40"/>
              </w:rPr>
              <w:t>CBD</w:t>
            </w:r>
            <w:r>
              <w:t>/SBI/6/10</w:t>
            </w:r>
          </w:p>
        </w:tc>
      </w:tr>
    </w:tbl>
    <w:p w14:paraId="7B0DB666" w14:textId="77777777" w:rsidR="008A1499" w:rsidRPr="00DD0CE4"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E4834" w14:paraId="0FA7F089" w14:textId="77777777" w:rsidTr="008A1499">
        <w:trPr>
          <w:trHeight w:val="1814"/>
        </w:trPr>
        <w:tc>
          <w:tcPr>
            <w:tcW w:w="7370" w:type="dxa"/>
          </w:tcPr>
          <w:p w14:paraId="581B5F77" w14:textId="7A273D2D" w:rsidR="008A1499" w:rsidRPr="00DD0CE4" w:rsidRDefault="00DE4834" w:rsidP="008A1499">
            <w:pPr>
              <w:pStyle w:val="ACLargeLogo"/>
            </w:pPr>
            <w:r w:rsidRPr="001E2C8A">
              <w:rPr>
                <w:noProof/>
                <w:snapToGrid w:val="0"/>
                <w:kern w:val="22"/>
                <w:lang w:eastAsia="ru-RU"/>
              </w:rPr>
              <w:drawing>
                <wp:inline distT="0" distB="0" distL="0" distR="0" wp14:anchorId="4E62EE38" wp14:editId="4459C976">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8A1499">
              <w:t xml:space="preserve"> </w:t>
            </w:r>
          </w:p>
          <w:p w14:paraId="2D2A2E2D" w14:textId="77777777" w:rsidR="008A1499" w:rsidRPr="00DD0CE4" w:rsidRDefault="008A1499" w:rsidP="008A1499">
            <w:pPr>
              <w:pStyle w:val="ACLargeLogo"/>
            </w:pPr>
          </w:p>
        </w:tc>
        <w:tc>
          <w:tcPr>
            <w:tcW w:w="3112" w:type="dxa"/>
          </w:tcPr>
          <w:p w14:paraId="463A34F0" w14:textId="77777777" w:rsidR="008A1499" w:rsidRPr="00DE4834" w:rsidRDefault="008A1499" w:rsidP="008A1499">
            <w:pPr>
              <w:pStyle w:val="AEDistrNormal"/>
              <w:rPr>
                <w:lang w:val="en-CA"/>
              </w:rPr>
            </w:pPr>
            <w:r w:rsidRPr="00DE4834">
              <w:rPr>
                <w:lang w:val="en-CA"/>
              </w:rPr>
              <w:t xml:space="preserve">Distr.: General </w:t>
            </w:r>
          </w:p>
          <w:p w14:paraId="420DA4B1" w14:textId="1B20A1A0" w:rsidR="008A1499" w:rsidRPr="00DE4834" w:rsidRDefault="00EB6A0B" w:rsidP="008A1499">
            <w:pPr>
              <w:pStyle w:val="AEDistrNormal"/>
              <w:rPr>
                <w:lang w:val="en-CA"/>
              </w:rPr>
            </w:pPr>
            <w:r w:rsidRPr="00DE4834">
              <w:rPr>
                <w:lang w:val="en-CA"/>
              </w:rPr>
              <w:t>19 December 2025</w:t>
            </w:r>
          </w:p>
          <w:p w14:paraId="26434A4B" w14:textId="77777777" w:rsidR="00DE4834" w:rsidRDefault="00DE4834" w:rsidP="00DE4834">
            <w:pPr>
              <w:tabs>
                <w:tab w:val="clear" w:pos="567"/>
              </w:tabs>
            </w:pPr>
            <w:r w:rsidRPr="00DE4834">
              <w:rPr>
                <w:lang w:val="en-CA"/>
              </w:rPr>
              <w:t>Russian</w:t>
            </w:r>
          </w:p>
          <w:p w14:paraId="1C80AE35" w14:textId="2514B3D2" w:rsidR="008A1499" w:rsidRPr="00DE4834" w:rsidRDefault="00DE4834" w:rsidP="00DE4834">
            <w:pPr>
              <w:tabs>
                <w:tab w:val="clear" w:pos="567"/>
              </w:tabs>
              <w:rPr>
                <w:lang w:val="en-CA"/>
              </w:rPr>
            </w:pPr>
            <w:r w:rsidRPr="00DE4834">
              <w:rPr>
                <w:lang w:val="en-CA"/>
              </w:rPr>
              <w:t>Original: English</w:t>
            </w:r>
            <w:r w:rsidRPr="00DE4834">
              <w:rPr>
                <w:lang w:val="en-CA"/>
              </w:rPr>
              <w:t xml:space="preserve"> </w:t>
            </w:r>
          </w:p>
        </w:tc>
      </w:tr>
    </w:tbl>
    <w:p w14:paraId="38C383F9" w14:textId="77777777" w:rsidR="008A1499" w:rsidRPr="00DE4834" w:rsidRDefault="008A1499" w:rsidP="008A1499">
      <w:pPr>
        <w:pStyle w:val="AISpacer"/>
        <w:rPr>
          <w:lang w:val="en-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D0CE4" w14:paraId="48C55333" w14:textId="77777777" w:rsidTr="00735933">
        <w:trPr>
          <w:trHeight w:val="1321"/>
        </w:trPr>
        <w:tc>
          <w:tcPr>
            <w:tcW w:w="6094" w:type="dxa"/>
          </w:tcPr>
          <w:p w14:paraId="3FAAB6E2" w14:textId="77777777" w:rsidR="008A1499" w:rsidRPr="00DD0CE4" w:rsidRDefault="00C4348A" w:rsidP="008A1499">
            <w:pPr>
              <w:pStyle w:val="AFCorN12Bold"/>
            </w:pPr>
            <w:r>
              <w:t xml:space="preserve">Вспомогательный орган по осуществлению </w:t>
            </w:r>
          </w:p>
          <w:p w14:paraId="1336C443" w14:textId="77777777" w:rsidR="008A1499" w:rsidRPr="00DD0CE4" w:rsidRDefault="00C4348A" w:rsidP="008A1499">
            <w:pPr>
              <w:pStyle w:val="AFCorNBold"/>
            </w:pPr>
            <w:r>
              <w:t xml:space="preserve">Шестое совещание </w:t>
            </w:r>
          </w:p>
          <w:p w14:paraId="3713EEBF" w14:textId="77777777" w:rsidR="008A1499" w:rsidRPr="00DD0CE4" w:rsidRDefault="00163EA8" w:rsidP="008A1499">
            <w:pPr>
              <w:pStyle w:val="AFCorNNormal"/>
            </w:pPr>
            <w:r>
              <w:t xml:space="preserve">Рим, </w:t>
            </w:r>
            <w:r>
              <w:rPr>
                <w:snapToGrid w:val="0"/>
              </w:rPr>
              <w:t>16-19 февраля 2026 года</w:t>
            </w:r>
          </w:p>
          <w:p w14:paraId="12BAD5E7" w14:textId="4EBCF6DA" w:rsidR="008A1499" w:rsidRPr="00DD0CE4" w:rsidRDefault="008A1499" w:rsidP="008A1499">
            <w:pPr>
              <w:pStyle w:val="AFCorNNormal"/>
            </w:pPr>
            <w:r>
              <w:t>Пункт 10 предварительной повестки дня</w:t>
            </w:r>
            <w:r>
              <w:rPr>
                <w:rStyle w:val="FootnoteReference"/>
              </w:rPr>
              <w:footnoteReference w:customMarkFollows="1" w:id="1"/>
              <w:t>*</w:t>
            </w:r>
            <w:r>
              <w:t xml:space="preserve"> </w:t>
            </w:r>
          </w:p>
          <w:p w14:paraId="24ACC175" w14:textId="68D3F21A" w:rsidR="008A1499" w:rsidRPr="00DD0CE4" w:rsidRDefault="00C84EB7" w:rsidP="00DA0C94">
            <w:pPr>
              <w:pStyle w:val="AFCorNBold"/>
              <w:spacing w:after="120"/>
            </w:pPr>
            <w:r>
              <w:t xml:space="preserve">Административные и бюджетные вопросы: </w:t>
            </w:r>
            <w:r>
              <w:br/>
              <w:t>функциональный обзор секретариата</w:t>
            </w:r>
          </w:p>
        </w:tc>
        <w:tc>
          <w:tcPr>
            <w:tcW w:w="4388" w:type="dxa"/>
          </w:tcPr>
          <w:p w14:paraId="1286645F" w14:textId="77777777" w:rsidR="008A1499" w:rsidRPr="00DD0CE4" w:rsidRDefault="008A1499" w:rsidP="008A1499">
            <w:pPr>
              <w:pStyle w:val="CBDNormal"/>
              <w:jc w:val="left"/>
            </w:pPr>
          </w:p>
        </w:tc>
      </w:tr>
    </w:tbl>
    <w:p w14:paraId="55159854" w14:textId="4B2385B4" w:rsidR="00C9161D" w:rsidRPr="00DE4834" w:rsidRDefault="00DE4834" w:rsidP="00A111D1">
      <w:pPr>
        <w:pStyle w:val="CBDTitle"/>
        <w:rPr>
          <w:caps/>
        </w:rPr>
      </w:pPr>
      <w:sdt>
        <w:sdtPr>
          <w:alias w:val="Название"/>
          <w:tag w:val=""/>
          <w:id w:val="772832786"/>
          <w:placeholder>
            <w:docPart w:val="5FC37A50F15045748448187A6124A286"/>
          </w:placeholder>
          <w:dataBinding w:prefixMappings="xmlns:ns0='http://purl.org/dc/elements/1.1/' xmlns:ns1='http://schemas.openxmlformats.org/package/2006/metadata/core-properties' " w:xpath="/ns1:coreProperties[1]/ns0:title[1]" w:storeItemID="{6C3C8BC8-F283-45AE-878A-BAB7291924A1}"/>
          <w:text/>
        </w:sdtPr>
        <w:sdtContent>
          <w:r w:rsidRPr="00DE4834">
            <w:t>Ф</w:t>
          </w:r>
          <w:r w:rsidRPr="00DE4834">
            <w:t>ункциональный обзор секретариата</w:t>
          </w:r>
        </w:sdtContent>
      </w:sdt>
      <w:r w:rsidR="00000000" w:rsidRPr="00DE4834">
        <w:rPr>
          <w:caps/>
        </w:rPr>
        <w:t xml:space="preserve"> </w:t>
      </w:r>
    </w:p>
    <w:p w14:paraId="5AFE7023" w14:textId="185241F0" w:rsidR="00766DF9" w:rsidRPr="00DD0CE4" w:rsidRDefault="0030169D" w:rsidP="00766DF9">
      <w:pPr>
        <w:pStyle w:val="CBDSubTitle"/>
      </w:pPr>
      <w:r>
        <w:t>Записка секретариата</w:t>
      </w:r>
    </w:p>
    <w:p w14:paraId="1AA39DCE" w14:textId="00BE746B" w:rsidR="00766DF9" w:rsidRPr="00DD0CE4" w:rsidRDefault="00307D3F" w:rsidP="00DA0C94">
      <w:pPr>
        <w:pStyle w:val="CBDH1"/>
      </w:pPr>
      <w:r>
        <w:t>I.</w:t>
      </w:r>
      <w:r>
        <w:tab/>
        <w:t>Общая информация</w:t>
      </w:r>
    </w:p>
    <w:p w14:paraId="1854E399" w14:textId="6CB4BF88" w:rsidR="00C111E5" w:rsidRPr="00A64D03" w:rsidRDefault="00620BD0" w:rsidP="00DA0C94">
      <w:pPr>
        <w:pStyle w:val="CBDNormalNumber"/>
      </w:pPr>
      <w:r>
        <w:t xml:space="preserve">В соответствии с поручениями Конференции Сторон, изложенными в пункте 35 решения </w:t>
      </w:r>
      <w:hyperlink r:id="rId15" w:history="1">
        <w:r>
          <w:rPr>
            <w:rStyle w:val="Hyperlink"/>
          </w:rPr>
          <w:t>15</w:t>
        </w:r>
        <w:r>
          <w:rPr>
            <w:rStyle w:val="Hyperlink"/>
          </w:rPr>
          <w:t>/</w:t>
        </w:r>
        <w:r>
          <w:rPr>
            <w:rStyle w:val="Hyperlink"/>
          </w:rPr>
          <w:t>34</w:t>
        </w:r>
      </w:hyperlink>
      <w:r>
        <w:t xml:space="preserve"> и пункте 11 решения </w:t>
      </w:r>
      <w:hyperlink r:id="rId16" w:history="1">
        <w:r>
          <w:rPr>
            <w:rStyle w:val="Hyperlink"/>
          </w:rPr>
          <w:t>16/</w:t>
        </w:r>
        <w:r>
          <w:rPr>
            <w:rStyle w:val="Hyperlink"/>
          </w:rPr>
          <w:t>2</w:t>
        </w:r>
        <w:r>
          <w:rPr>
            <w:rStyle w:val="Hyperlink"/>
          </w:rPr>
          <w:t>8</w:t>
        </w:r>
      </w:hyperlink>
      <w:r>
        <w:t xml:space="preserve">, секретариат организовал проведение внешнего углубленного функционального обзора своей структуры в консультации с Директором-исполнителем Программы Организации Объединенных Наций по окружающей среде, принимая во внимание аналитический доклад, содержащийся в документе </w:t>
      </w:r>
      <w:hyperlink r:id="rId17" w:history="1">
        <w:r>
          <w:rPr>
            <w:rStyle w:val="Hyperlink"/>
          </w:rPr>
          <w:t>CBD/COP</w:t>
        </w:r>
        <w:r>
          <w:rPr>
            <w:rStyle w:val="Hyperlink"/>
          </w:rPr>
          <w:t>/</w:t>
        </w:r>
        <w:r>
          <w:rPr>
            <w:rStyle w:val="Hyperlink"/>
          </w:rPr>
          <w:t>16/4/Add.2</w:t>
        </w:r>
      </w:hyperlink>
      <w:r>
        <w:t>-</w:t>
      </w:r>
      <w:hyperlink r:id="rId18" w:history="1">
        <w:r>
          <w:rPr>
            <w:rStyle w:val="Hyperlink"/>
          </w:rPr>
          <w:t>CBD/CP/M</w:t>
        </w:r>
        <w:r>
          <w:rPr>
            <w:rStyle w:val="Hyperlink"/>
          </w:rPr>
          <w:t>O</w:t>
        </w:r>
        <w:r>
          <w:rPr>
            <w:rStyle w:val="Hyperlink"/>
          </w:rPr>
          <w:t>P/11/5/Add.2</w:t>
        </w:r>
      </w:hyperlink>
      <w:r>
        <w:t>-</w:t>
      </w:r>
      <w:hyperlink r:id="rId19" w:history="1">
        <w:r>
          <w:rPr>
            <w:rStyle w:val="Hyperlink"/>
          </w:rPr>
          <w:t>CBD/NP/MOP</w:t>
        </w:r>
        <w:r>
          <w:rPr>
            <w:rStyle w:val="Hyperlink"/>
          </w:rPr>
          <w:t>/</w:t>
        </w:r>
        <w:r>
          <w:rPr>
            <w:rStyle w:val="Hyperlink"/>
          </w:rPr>
          <w:t>5</w:t>
        </w:r>
        <w:r>
          <w:rPr>
            <w:rStyle w:val="Hyperlink"/>
          </w:rPr>
          <w:t>/5/Add.2</w:t>
        </w:r>
      </w:hyperlink>
      <w:r>
        <w:t>.</w:t>
      </w:r>
    </w:p>
    <w:p w14:paraId="1E449661" w14:textId="2276749E" w:rsidR="00503D21" w:rsidRPr="00DD0CE4" w:rsidRDefault="006D01AB" w:rsidP="006331B8">
      <w:pPr>
        <w:pStyle w:val="CBDNormalNumber"/>
      </w:pPr>
      <w:r>
        <w:t>Функциональный обзор был проведен Группой консультантов по вопросам управления Программы развития Организации Объединенных Наций (ПРООН)</w:t>
      </w:r>
      <w:r w:rsidR="00DA3BBE" w:rsidRPr="00A64D03">
        <w:rPr>
          <w:rStyle w:val="FootnoteReference"/>
        </w:rPr>
        <w:footnoteReference w:id="2"/>
      </w:r>
      <w:r>
        <w:t xml:space="preserve"> с целью оценки того, имеет ли секретариат надлежащую структуру и обеспечен ли он достаточными ресурсами для эффективного выполнения своих функций</w:t>
      </w:r>
      <w:r w:rsidR="00503D21" w:rsidRPr="00A64D03">
        <w:rPr>
          <w:rStyle w:val="FootnoteReference"/>
          <w:rFonts w:asciiTheme="majorBidi" w:hAnsiTheme="majorBidi"/>
        </w:rPr>
        <w:footnoteReference w:id="3"/>
      </w:r>
      <w:r w:rsidR="006331B8">
        <w:t>,</w:t>
      </w:r>
      <w:r>
        <w:t xml:space="preserve"> </w:t>
      </w:r>
      <w:bookmarkStart w:id="0" w:name="_Hlk216712272"/>
      <w:r>
        <w:t>в частности для обслуживания совещаний, проводящихся в рамках Конвенции и протоколов к ней, и поддержки осуществления Куньминско-Монреальской глобальной рамочной программы в области биоразнообразия</w:t>
      </w:r>
      <w:bookmarkEnd w:id="0"/>
      <w:r>
        <w:t>, и в противном случае какие изменения должны быть сделаны для исправления ситуации. Бюро Конференции Сторон получало информацию о ходе обзора, в том числе благодаря предоставлению обновленной информации и онлайн-опросу членов бюро, проведенному Группой консультантов по вопросам управления ПРООН.</w:t>
      </w:r>
    </w:p>
    <w:p w14:paraId="5C81BB84" w14:textId="2E7DD53B" w:rsidR="007A3B5B" w:rsidRPr="00462887" w:rsidRDefault="007A3B5B" w:rsidP="00DA0C94">
      <w:pPr>
        <w:pStyle w:val="CBDNormalNumber"/>
      </w:pPr>
      <w:r>
        <w:t xml:space="preserve">Общее резюме доклада о функциональном обзоре, подготовленного Группой консультантов по вопросам управления ПРООН, приводится в приложении I к настоящей записке в том виде, в котором оно было получено секретариатом, для рассмотрения </w:t>
      </w:r>
      <w:r>
        <w:lastRenderedPageBreak/>
        <w:t xml:space="preserve">Вспомогательным органом по осуществлению, а полный доклад будет представлен в качестве документа </w:t>
      </w:r>
      <w:r>
        <w:rPr>
          <w:rStyle w:val="Hyperlink"/>
        </w:rPr>
        <w:t>CBD/SBI/6/INF/12</w:t>
      </w:r>
      <w:r w:rsidR="002A66FA" w:rsidRPr="00DA0C94">
        <w:rPr>
          <w:rStyle w:val="FootnoteReference"/>
        </w:rPr>
        <w:footnoteReference w:id="4"/>
      </w:r>
      <w:r w:rsidR="00DE4834">
        <w:rPr>
          <w:rStyle w:val="Hyperlink"/>
          <w:u w:val="none"/>
        </w:rPr>
        <w:t>.</w:t>
      </w:r>
    </w:p>
    <w:p w14:paraId="705393B5" w14:textId="27BB40C7" w:rsidR="0075344A" w:rsidRPr="00DD0CE4" w:rsidRDefault="00307D3F" w:rsidP="00DA0C94">
      <w:pPr>
        <w:pStyle w:val="CBDH1"/>
      </w:pPr>
      <w:r>
        <w:t>II.</w:t>
      </w:r>
      <w:r>
        <w:tab/>
        <w:t>Дальнейшие действия</w:t>
      </w:r>
    </w:p>
    <w:p w14:paraId="7E8C97B4" w14:textId="73BDA86A" w:rsidR="00295494" w:rsidRPr="00A64D03" w:rsidRDefault="00D30761" w:rsidP="00DA0C94">
      <w:pPr>
        <w:pStyle w:val="CBDNormalNumber"/>
      </w:pPr>
      <w:r>
        <w:t>Исполнительный секретарь приветствует анализ, представленный Группой консультантов по вопросам управления ПРООН, и выражает признательность Сторонам за то, что они создали условия для проведения функционального обзора, который обеспечивает важную основу для повышения эффективности и результативности работы секретариата как органа, отвечающего конкретным потребностям, в соответствии со статьей 24 Конвенции, статьей 31 Картахенского протокола по биобезопасности и статьей 28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в частности для обслуживания совещаний, проводящихся в рамках Конвенции и протоколов к ней, и поддержки осуществления Рамочной программы.</w:t>
      </w:r>
    </w:p>
    <w:p w14:paraId="0BAF92C1" w14:textId="3B093378" w:rsidR="00D010F7" w:rsidRPr="005A4BFA" w:rsidRDefault="003D19B1" w:rsidP="00DA0C94">
      <w:pPr>
        <w:pStyle w:val="CBDNormalNumber"/>
      </w:pPr>
      <w:r>
        <w:t>Секретариат приступит к осуществлению краткосрочных и среднесрочных мер, которые являются осуществимыми и необходимыми для улучшения обслуживания совещаний, проводящихся в рамках Конвенции и протоколов к ней, и поддержки осуществления Рамочной программы. В качестве первого шага Исполнительный секретарь проведет консультации со всеми сотрудниками по поводу предлагаемых обновлений организационной структуры секретариата в соответствии с рекомендациями функционального обзора.</w:t>
      </w:r>
    </w:p>
    <w:p w14:paraId="4B7E7C97" w14:textId="585B28C5" w:rsidR="00BB7348" w:rsidRPr="00DA0C94" w:rsidRDefault="005A4BFA" w:rsidP="00DA0C94">
      <w:pPr>
        <w:pStyle w:val="CBDNormalNumber"/>
      </w:pPr>
      <w:r>
        <w:t xml:space="preserve">На основе обновленной организационной структуры и в соответствии с пунктом 35 решения </w:t>
      </w:r>
      <w:hyperlink r:id="rId20" w:history="1">
        <w:r>
          <w:rPr>
            <w:rStyle w:val="Hyperlink"/>
          </w:rPr>
          <w:t>15/34</w:t>
        </w:r>
      </w:hyperlink>
      <w:r>
        <w:t xml:space="preserve"> и пунктом 11 решения </w:t>
      </w:r>
      <w:hyperlink r:id="rId21" w:history="1">
        <w:r>
          <w:rPr>
            <w:rStyle w:val="Hyperlink"/>
          </w:rPr>
          <w:t>16/28</w:t>
        </w:r>
      </w:hyperlink>
      <w:r w:rsidR="00DE4834">
        <w:t xml:space="preserve"> </w:t>
      </w:r>
      <w:r>
        <w:t>Исполнительный секретарь обновит или разработает, в зависимости от обстоятельств, должностные инструкции, включая классификацию, существующих и дополнительных должностей, соответственно, для осуществления структурного и стратегического согласования с основными функциями и стратегическими приоритетами секретариата, предложенными в рекомендациях функционального обзора.</w:t>
      </w:r>
    </w:p>
    <w:p w14:paraId="030A5F57" w14:textId="505EF336" w:rsidR="004C21E8" w:rsidRPr="00DA0C94" w:rsidRDefault="006A0F96" w:rsidP="00DA0C94">
      <w:pPr>
        <w:pStyle w:val="CBDNormalNumber"/>
      </w:pPr>
      <w:r>
        <w:t>В соответствующих случаях и на основе обновленных функций и должностных инструкций будет проведен анализ связанных с этим кадровых и финансовых последствий долгосрочного структурного и стратегического согласования, предложенного в рекомендациях функционального обзора, в полном соответствии с применимыми положениями и правилами о персонале Организации Объединенных Наций, для рассмотрения Конференцией Сторон на ее 17-м совещании.</w:t>
      </w:r>
    </w:p>
    <w:p w14:paraId="0681BCC1" w14:textId="3DED5B50" w:rsidR="0075344A" w:rsidRPr="00DD0CE4" w:rsidRDefault="001C4E94" w:rsidP="00DA0C94">
      <w:pPr>
        <w:pStyle w:val="CBDNormalNumber"/>
      </w:pPr>
      <w:r>
        <w:t>На 17-м совещании Конференции Сторон секретариат представит на рассмотрение доклад о ходе работы по первоначальному осуществлению и соответствующие анализы, как описано в пунктах 6 и 7 выше, вместе с предложением о внесении соответствующих корректировок в описание и классификацию существующих должностей, а также необходимых дополнительных должностей.</w:t>
      </w:r>
    </w:p>
    <w:p w14:paraId="777FD3F9" w14:textId="55D4E5E7" w:rsidR="00004A1C" w:rsidRPr="00DD0CE4" w:rsidRDefault="005B414B" w:rsidP="00DA0C94">
      <w:pPr>
        <w:pStyle w:val="CBDH1"/>
      </w:pPr>
      <w:r>
        <w:lastRenderedPageBreak/>
        <w:t>III.</w:t>
      </w:r>
      <w:r>
        <w:tab/>
        <w:t>Рекомендация</w:t>
      </w:r>
    </w:p>
    <w:p w14:paraId="5B01F11E" w14:textId="0C50792A" w:rsidR="00004A1C" w:rsidRPr="00DD0CE4" w:rsidRDefault="00004A1C" w:rsidP="00631A10">
      <w:pPr>
        <w:pStyle w:val="CBDNormalNumber"/>
      </w:pPr>
      <w:r>
        <w:t>Вспомогательный орган по осуществлению, возможно, пожелает принять рекомендацию</w:t>
      </w:r>
      <w:r w:rsidR="005D6D15">
        <w:rPr>
          <w:rStyle w:val="FootnoteReference"/>
        </w:rPr>
        <w:footnoteReference w:id="5"/>
      </w:r>
      <w:r>
        <w:t xml:space="preserve"> следующего содержания:</w:t>
      </w:r>
    </w:p>
    <w:p w14:paraId="5255EC5A" w14:textId="6384A097" w:rsidR="00004A1C" w:rsidRPr="00AB6C48" w:rsidRDefault="00004A1C" w:rsidP="00631A10">
      <w:pPr>
        <w:pStyle w:val="CBDNormalNoNumber"/>
        <w:ind w:firstLine="567"/>
        <w:rPr>
          <w:i/>
          <w:iCs/>
        </w:rPr>
      </w:pPr>
      <w:r>
        <w:rPr>
          <w:i/>
          <w:iCs/>
        </w:rPr>
        <w:t>Вспомогательный орган по осуществлению</w:t>
      </w:r>
    </w:p>
    <w:p w14:paraId="3036043F" w14:textId="43B8F8EB" w:rsidR="008D5B01" w:rsidRDefault="00DC56EF">
      <w:pPr>
        <w:pStyle w:val="CBDDesicionText"/>
        <w:tabs>
          <w:tab w:val="clear" w:pos="1134"/>
        </w:tabs>
        <w:ind w:left="567"/>
        <w:rPr>
          <w:snapToGrid w:val="0"/>
        </w:rPr>
      </w:pPr>
      <w:r>
        <w:rPr>
          <w:snapToGrid w:val="0"/>
        </w:rPr>
        <w:t>1.</w:t>
      </w:r>
      <w:r>
        <w:rPr>
          <w:snapToGrid w:val="0"/>
        </w:rPr>
        <w:tab/>
      </w:r>
      <w:r>
        <w:rPr>
          <w:i/>
          <w:snapToGrid w:val="0"/>
        </w:rPr>
        <w:t xml:space="preserve">принимает к сведению </w:t>
      </w:r>
      <w:r>
        <w:rPr>
          <w:snapToGrid w:val="0"/>
        </w:rPr>
        <w:t xml:space="preserve">общее резюме доклада о функциональном обзоре секретариата, подготовленного внешней группой консультантов, которое содержится в приложении I к документу </w:t>
      </w:r>
      <w:hyperlink r:id="rId22" w:history="1">
        <w:r>
          <w:rPr>
            <w:rStyle w:val="Hyperlink"/>
          </w:rPr>
          <w:t>CBD</w:t>
        </w:r>
        <w:r>
          <w:rPr>
            <w:rStyle w:val="Hyperlink"/>
          </w:rPr>
          <w:t>/</w:t>
        </w:r>
        <w:r>
          <w:rPr>
            <w:rStyle w:val="Hyperlink"/>
          </w:rPr>
          <w:t>SBI/6/10</w:t>
        </w:r>
      </w:hyperlink>
      <w:r>
        <w:rPr>
          <w:snapToGrid w:val="0"/>
        </w:rPr>
        <w:t xml:space="preserve">, включая рекомендации по краткосрочным, среднесрочным и долгосрочным мерам секретариата; </w:t>
      </w:r>
    </w:p>
    <w:p w14:paraId="7B15F174" w14:textId="023B7ACD" w:rsidR="008D5B01" w:rsidRDefault="008D5B01">
      <w:pPr>
        <w:pStyle w:val="CBDDesicionText"/>
        <w:tabs>
          <w:tab w:val="clear" w:pos="1134"/>
        </w:tabs>
        <w:ind w:left="567"/>
        <w:rPr>
          <w:snapToGrid w:val="0"/>
        </w:rPr>
      </w:pPr>
      <w:r>
        <w:rPr>
          <w:iCs/>
          <w:snapToGrid w:val="0"/>
        </w:rPr>
        <w:t>2.</w:t>
      </w:r>
      <w:r>
        <w:rPr>
          <w:iCs/>
          <w:snapToGrid w:val="0"/>
        </w:rPr>
        <w:tab/>
      </w:r>
      <w:r>
        <w:rPr>
          <w:i/>
          <w:iCs/>
          <w:snapToGrid w:val="0"/>
        </w:rPr>
        <w:t>отмечает</w:t>
      </w:r>
      <w:r>
        <w:rPr>
          <w:snapToGrid w:val="0"/>
        </w:rPr>
        <w:t xml:space="preserve"> текущие консультации по этим рекомендациям в секретариате; </w:t>
      </w:r>
    </w:p>
    <w:p w14:paraId="58E19658" w14:textId="1F315F45" w:rsidR="003A2D12" w:rsidRDefault="005368D3">
      <w:pPr>
        <w:pStyle w:val="CBDDesicionText"/>
        <w:tabs>
          <w:tab w:val="clear" w:pos="1134"/>
        </w:tabs>
        <w:ind w:left="567"/>
        <w:rPr>
          <w:snapToGrid w:val="0"/>
        </w:rPr>
      </w:pPr>
      <w:bookmarkStart w:id="1" w:name="_Hlk216714546"/>
      <w:r>
        <w:rPr>
          <w:snapToGrid w:val="0"/>
        </w:rPr>
        <w:t>3.</w:t>
      </w:r>
      <w:r>
        <w:rPr>
          <w:snapToGrid w:val="0"/>
        </w:rPr>
        <w:tab/>
        <w:t>с удовлетворением</w:t>
      </w:r>
      <w:r>
        <w:rPr>
          <w:i/>
          <w:iCs/>
          <w:snapToGrid w:val="0"/>
        </w:rPr>
        <w:t xml:space="preserve"> отмечает</w:t>
      </w:r>
      <w:r>
        <w:rPr>
          <w:snapToGrid w:val="0"/>
        </w:rPr>
        <w:t xml:space="preserve"> последующие мероприятия, которые проводит или намерен провести Исполнительный секретарь в соответствии с рекомендациями, содержащимися </w:t>
      </w:r>
      <w:r w:rsidR="006C724F">
        <w:rPr>
          <w:snapToGrid w:val="0"/>
        </w:rPr>
        <w:t>в функциональном</w:t>
      </w:r>
      <w:r>
        <w:rPr>
          <w:snapToGrid w:val="0"/>
        </w:rPr>
        <w:t xml:space="preserve"> обзоре, а именно: </w:t>
      </w:r>
    </w:p>
    <w:p w14:paraId="429AEB68" w14:textId="37137D5D" w:rsidR="003A2D12" w:rsidRDefault="00527576">
      <w:pPr>
        <w:pStyle w:val="CBDDesicionText"/>
        <w:tabs>
          <w:tab w:val="clear" w:pos="1134"/>
        </w:tabs>
        <w:ind w:left="567"/>
        <w:rPr>
          <w:snapToGrid w:val="0"/>
        </w:rPr>
      </w:pPr>
      <w:r>
        <w:rPr>
          <w:snapToGrid w:val="0"/>
        </w:rPr>
        <w:t>(a)</w:t>
      </w:r>
      <w:r>
        <w:rPr>
          <w:snapToGrid w:val="0"/>
        </w:rPr>
        <w:tab/>
        <w:t>начало осуществления краткосрочных и среднесрочных мер, включая обновл</w:t>
      </w:r>
      <w:r w:rsidR="00CA0BC6">
        <w:rPr>
          <w:snapToGrid w:val="0"/>
        </w:rPr>
        <w:t>енную</w:t>
      </w:r>
      <w:r>
        <w:rPr>
          <w:snapToGrid w:val="0"/>
        </w:rPr>
        <w:t xml:space="preserve"> организационн</w:t>
      </w:r>
      <w:r w:rsidR="00CA0BC6">
        <w:rPr>
          <w:snapToGrid w:val="0"/>
        </w:rPr>
        <w:t>ую</w:t>
      </w:r>
      <w:r>
        <w:rPr>
          <w:snapToGrid w:val="0"/>
        </w:rPr>
        <w:t xml:space="preserve"> структур</w:t>
      </w:r>
      <w:r w:rsidR="00CA0BC6">
        <w:rPr>
          <w:snapToGrid w:val="0"/>
        </w:rPr>
        <w:t>у</w:t>
      </w:r>
      <w:r>
        <w:rPr>
          <w:snapToGrid w:val="0"/>
        </w:rPr>
        <w:t xml:space="preserve">; </w:t>
      </w:r>
    </w:p>
    <w:p w14:paraId="519122EA" w14:textId="57FB1EF3" w:rsidR="00FC7E77" w:rsidRDefault="007954E8">
      <w:pPr>
        <w:pStyle w:val="CBDDesicionText"/>
        <w:tabs>
          <w:tab w:val="clear" w:pos="1134"/>
        </w:tabs>
        <w:ind w:left="567"/>
      </w:pPr>
      <w:r>
        <w:rPr>
          <w:snapToGrid w:val="0"/>
        </w:rPr>
        <w:t>(b)</w:t>
      </w:r>
      <w:r>
        <w:rPr>
          <w:snapToGrid w:val="0"/>
        </w:rPr>
        <w:tab/>
        <w:t>обновление или разработка должностных инструкций, включая классификацию, существующих и дополнительных должностей, соответственно, необходимых для осуществления структурного и стратегического согласования с основными функциями и стратегическими приоритетами секретариата</w:t>
      </w:r>
      <w:r>
        <w:t xml:space="preserve">; </w:t>
      </w:r>
    </w:p>
    <w:p w14:paraId="7407D4CD" w14:textId="68E5B82E" w:rsidR="00AF22FE" w:rsidRDefault="00A42AE8">
      <w:pPr>
        <w:pStyle w:val="CBDDesicionText"/>
        <w:tabs>
          <w:tab w:val="clear" w:pos="1134"/>
        </w:tabs>
        <w:ind w:left="567"/>
      </w:pPr>
      <w:r>
        <w:t>(c)</w:t>
      </w:r>
      <w:r>
        <w:tab/>
        <w:t xml:space="preserve">проведение на основе обновленных функций и должностных инструкций анализа связанных с этим кадровых и финансовых последствий долгосрочного структурного и стратегического согласования; </w:t>
      </w:r>
    </w:p>
    <w:p w14:paraId="46487156" w14:textId="67EBAAEB" w:rsidR="006E671B" w:rsidRPr="00DD0CE4" w:rsidRDefault="005368D3" w:rsidP="00DA0C94">
      <w:pPr>
        <w:pStyle w:val="CBDDesicionText"/>
        <w:tabs>
          <w:tab w:val="clear" w:pos="1134"/>
        </w:tabs>
        <w:ind w:left="567"/>
        <w:rPr>
          <w:snapToGrid w:val="0"/>
        </w:rPr>
      </w:pPr>
      <w:r>
        <w:t>4.</w:t>
      </w:r>
      <w:r>
        <w:tab/>
      </w:r>
      <w:r>
        <w:rPr>
          <w:i/>
          <w:iCs/>
        </w:rPr>
        <w:t>поручает</w:t>
      </w:r>
      <w:r>
        <w:t xml:space="preserve"> Исполнительному секретарю передать общее резюме доклада о внешнем углубленном функциональном обзоре секретариата Конференции Сторон на ее 17-м совещании и представить Конференции Сторон для рассмотрения на ее 17-м совещании доклад о ходе осуществления вышеперечисленных мероприятий вместе с предложениями о внесении корректировок в классификацию должностей, а также о создании дополнительных должностей, если это необходимо.</w:t>
      </w:r>
    </w:p>
    <w:bookmarkEnd w:id="1"/>
    <w:p w14:paraId="4D668084" w14:textId="3119E65D" w:rsidR="00F24EBD" w:rsidRPr="00DD0CE4" w:rsidRDefault="005368D3" w:rsidP="00C954B3">
      <w:pPr>
        <w:pStyle w:val="CBDDesicionText"/>
        <w:tabs>
          <w:tab w:val="clear" w:pos="1134"/>
        </w:tabs>
        <w:ind w:left="567"/>
      </w:pPr>
      <w:r>
        <w:t>5.</w:t>
      </w:r>
      <w:r>
        <w:rPr>
          <w:i/>
          <w:iCs/>
        </w:rPr>
        <w:tab/>
        <w:t xml:space="preserve">рекомендует </w:t>
      </w:r>
      <w:r>
        <w:t>Конференции Сторон на ее 17-м совещании принять решение следующего содержания:</w:t>
      </w:r>
    </w:p>
    <w:p w14:paraId="7376A1CE" w14:textId="49A7551D" w:rsidR="00033FB5" w:rsidRPr="00DD0CE4" w:rsidRDefault="00004A1C" w:rsidP="000E686F">
      <w:pPr>
        <w:pStyle w:val="CBDDesicionText"/>
        <w:rPr>
          <w:snapToGrid w:val="0"/>
        </w:rPr>
      </w:pPr>
      <w:r>
        <w:rPr>
          <w:i/>
          <w:iCs/>
        </w:rPr>
        <w:t>Конференция Сторон</w:t>
      </w:r>
    </w:p>
    <w:p w14:paraId="66F63944" w14:textId="5314340C" w:rsidR="00E8441C" w:rsidRPr="00DA0C94" w:rsidRDefault="00DC56EF" w:rsidP="006331B8">
      <w:pPr>
        <w:pStyle w:val="CBDDesicionText"/>
        <w:rPr>
          <w:rFonts w:eastAsia="Malgun Gothic"/>
          <w:iCs/>
          <w:color w:val="000000"/>
          <w:kern w:val="18"/>
        </w:rPr>
      </w:pPr>
      <w:r>
        <w:t>1.</w:t>
      </w:r>
      <w:r>
        <w:tab/>
      </w:r>
      <w:r>
        <w:rPr>
          <w:i/>
          <w:snapToGrid w:val="0"/>
        </w:rPr>
        <w:t>принимает к сведению</w:t>
      </w:r>
      <w:r>
        <w:rPr>
          <w:i/>
          <w:iCs/>
          <w:snapToGrid w:val="0"/>
        </w:rPr>
        <w:t xml:space="preserve"> </w:t>
      </w:r>
      <w:r>
        <w:rPr>
          <w:snapToGrid w:val="0"/>
        </w:rPr>
        <w:t>общее резюме доклада о внешнем углубленном функциональном обзоре секретариата Конвенции о биологическом разнообразии</w:t>
      </w:r>
      <w:r w:rsidR="00812C00">
        <w:rPr>
          <w:rStyle w:val="FootnoteReference"/>
          <w:snapToGrid w:val="0"/>
        </w:rPr>
        <w:footnoteReference w:id="6"/>
      </w:r>
      <w:r w:rsidR="006331B8">
        <w:rPr>
          <w:snapToGrid w:val="0"/>
        </w:rPr>
        <w:t>,</w:t>
      </w:r>
      <w:r>
        <w:rPr>
          <w:snapToGrid w:val="0"/>
        </w:rPr>
        <w:t xml:space="preserve"> содержащееся в приложении I к документу CBD/SBI/6/10;</w:t>
      </w:r>
    </w:p>
    <w:p w14:paraId="7BF627A7" w14:textId="4B2C94AA" w:rsidR="003C0D85" w:rsidRPr="00DA0C94" w:rsidRDefault="005706E0" w:rsidP="00DA0C94">
      <w:pPr>
        <w:pStyle w:val="CBDDesicionText"/>
        <w:rPr>
          <w:snapToGrid w:val="0"/>
          <w:kern w:val="22"/>
        </w:rPr>
      </w:pPr>
      <w:r>
        <w:t>2.</w:t>
      </w:r>
      <w:r>
        <w:tab/>
      </w:r>
      <w:r>
        <w:rPr>
          <w:i/>
        </w:rPr>
        <w:t>отмечает</w:t>
      </w:r>
      <w:r>
        <w:t xml:space="preserve"> итоги функционального обзора и приветствует обновленную структуру секретариата, которая должна привести к усилению синергии и повышению эффективности в секретариате;</w:t>
      </w:r>
    </w:p>
    <w:p w14:paraId="4688DA65" w14:textId="34553557" w:rsidR="009210D8" w:rsidRDefault="00DC56EF">
      <w:pPr>
        <w:pStyle w:val="CBDDesicionText"/>
      </w:pPr>
      <w:r>
        <w:rPr>
          <w:snapToGrid w:val="0"/>
        </w:rPr>
        <w:t>3.</w:t>
      </w:r>
      <w:r>
        <w:rPr>
          <w:snapToGrid w:val="0"/>
        </w:rPr>
        <w:tab/>
      </w:r>
      <w:r>
        <w:rPr>
          <w:i/>
          <w:iCs/>
          <w:snapToGrid w:val="0"/>
        </w:rPr>
        <w:t>с удовлетворением отмечает</w:t>
      </w:r>
      <w:r>
        <w:rPr>
          <w:snapToGrid w:val="0"/>
        </w:rPr>
        <w:t xml:space="preserve"> последующие меры, принятые Исполнительным секретарем</w:t>
      </w:r>
      <w:r w:rsidR="000405C5">
        <w:rPr>
          <w:rStyle w:val="FootnoteReference"/>
        </w:rPr>
        <w:footnoteReference w:id="7"/>
      </w:r>
      <w:r w:rsidR="006331B8">
        <w:rPr>
          <w:snapToGrid w:val="0"/>
        </w:rPr>
        <w:t>,</w:t>
      </w:r>
      <w:r>
        <w:t xml:space="preserve"> а именно:</w:t>
      </w:r>
    </w:p>
    <w:p w14:paraId="6033811E" w14:textId="3AF40EDA" w:rsidR="009210D8" w:rsidRDefault="00823919">
      <w:pPr>
        <w:pStyle w:val="CBDDesicionText"/>
      </w:pPr>
      <w:r>
        <w:rPr>
          <w:snapToGrid w:val="0"/>
        </w:rPr>
        <w:t>(a)</w:t>
      </w:r>
      <w:r>
        <w:rPr>
          <w:snapToGrid w:val="0"/>
        </w:rPr>
        <w:tab/>
        <w:t xml:space="preserve">начало осуществления краткосрочных и среднесрочных мер, предложенных в рекомендациях функционального обзора, включая </w:t>
      </w:r>
      <w:r w:rsidR="00D539E6">
        <w:rPr>
          <w:snapToGrid w:val="0"/>
        </w:rPr>
        <w:t>обновленную</w:t>
      </w:r>
      <w:r>
        <w:rPr>
          <w:snapToGrid w:val="0"/>
        </w:rPr>
        <w:t xml:space="preserve"> организационн</w:t>
      </w:r>
      <w:r w:rsidR="00D539E6">
        <w:rPr>
          <w:snapToGrid w:val="0"/>
        </w:rPr>
        <w:t>ую</w:t>
      </w:r>
      <w:r>
        <w:rPr>
          <w:snapToGrid w:val="0"/>
        </w:rPr>
        <w:t xml:space="preserve"> структур</w:t>
      </w:r>
      <w:r w:rsidR="00D539E6">
        <w:rPr>
          <w:snapToGrid w:val="0"/>
        </w:rPr>
        <w:t>у</w:t>
      </w:r>
      <w:r>
        <w:t>;</w:t>
      </w:r>
    </w:p>
    <w:p w14:paraId="2356EDAE" w14:textId="4B59019F" w:rsidR="009210D8" w:rsidRDefault="00823919">
      <w:pPr>
        <w:pStyle w:val="CBDDesicionText"/>
        <w:rPr>
          <w:snapToGrid w:val="0"/>
        </w:rPr>
      </w:pPr>
      <w:r>
        <w:lastRenderedPageBreak/>
        <w:t>(b)</w:t>
      </w:r>
      <w:r>
        <w:rPr>
          <w:snapToGrid w:val="0"/>
        </w:rPr>
        <w:tab/>
        <w:t xml:space="preserve">обновление или разработка должностных инструкций, включая классификацию, существующих и дополнительных должностей, соответственно, необходимых для осуществления структурного и стратегического согласования с основными функциями и стратегическими приоритетами секретариата; </w:t>
      </w:r>
    </w:p>
    <w:p w14:paraId="624F4991" w14:textId="40E0150E" w:rsidR="00E42E94" w:rsidRPr="00DD0CE4" w:rsidRDefault="00C63428" w:rsidP="00DA0C94">
      <w:pPr>
        <w:pStyle w:val="CBDDesicionText"/>
      </w:pPr>
      <w:r>
        <w:rPr>
          <w:snapToGrid w:val="0"/>
        </w:rPr>
        <w:t>(c)</w:t>
      </w:r>
      <w:r>
        <w:rPr>
          <w:snapToGrid w:val="0"/>
        </w:rPr>
        <w:tab/>
        <w:t>анализ связанных с этим кадровых и финансовых последствий долгосрочного структурного и стратегического согласования</w:t>
      </w:r>
      <w:r>
        <w:t>;</w:t>
      </w:r>
    </w:p>
    <w:p w14:paraId="076958EB" w14:textId="6F949AAA" w:rsidR="009D1B8D" w:rsidRPr="00DD0CE4" w:rsidRDefault="00DC56EF" w:rsidP="00531E5C">
      <w:pPr>
        <w:pStyle w:val="CBDDesicionText"/>
      </w:pPr>
      <w:r>
        <w:t>4.</w:t>
      </w:r>
      <w:r>
        <w:tab/>
      </w:r>
      <w:r>
        <w:rPr>
          <w:i/>
          <w:iCs/>
        </w:rPr>
        <w:t xml:space="preserve">поручает </w:t>
      </w:r>
      <w:r>
        <w:t>Исполнительному секретарю при условии наличия ресурсов:</w:t>
      </w:r>
    </w:p>
    <w:p w14:paraId="1AAF1508" w14:textId="44F2984B" w:rsidR="00E95425" w:rsidRPr="00DD0CE4" w:rsidRDefault="002F744E" w:rsidP="00531E5C">
      <w:pPr>
        <w:pStyle w:val="CBDDesicionText"/>
        <w:tabs>
          <w:tab w:val="clear" w:pos="1134"/>
        </w:tabs>
      </w:pPr>
      <w:r>
        <w:t>(a)</w:t>
      </w:r>
      <w:r>
        <w:tab/>
        <w:t>продолжать осуществление оставшихся краткосрочных и среднесрочных мер, а также долгосрочных мер, рекомендованных в функциональном обзоре, в соответствии с утвержденными кадровыми потребностями секретариата из основных бюджетов Конвенции и протоколов к ней на период 2027–2028 годов;</w:t>
      </w:r>
    </w:p>
    <w:p w14:paraId="09C398F2" w14:textId="0BB08AB2" w:rsidR="00B77FA9" w:rsidRPr="00DD0CE4" w:rsidRDefault="002F744E" w:rsidP="00531E5C">
      <w:pPr>
        <w:pStyle w:val="CBDDesicionText"/>
        <w:tabs>
          <w:tab w:val="clear" w:pos="1134"/>
        </w:tabs>
      </w:pPr>
      <w:r>
        <w:t>(b)</w:t>
      </w:r>
      <w:r>
        <w:tab/>
        <w:t>обеспечить, чтобы основные функции секретариата, установленные в статье 24 Конвенции, статье 31 Картахенского протокола по биобезопасности</w:t>
      </w:r>
      <w:r w:rsidR="00A5770F">
        <w:rPr>
          <w:rStyle w:val="FootnoteReference"/>
        </w:rPr>
        <w:footnoteReference w:id="8"/>
      </w:r>
      <w:r>
        <w:t xml:space="preserve"> и статье 28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000960AA">
        <w:rPr>
          <w:rStyle w:val="FootnoteReference"/>
        </w:rPr>
        <w:footnoteReference w:id="9"/>
      </w:r>
      <w:r w:rsidR="006331B8">
        <w:t>,</w:t>
      </w:r>
      <w:r>
        <w:t xml:space="preserve"> оставались в центре деятельности секретариата при осуществлении рекомендаций функционального обзора;</w:t>
      </w:r>
    </w:p>
    <w:p w14:paraId="7B6DA9E7" w14:textId="455377E7" w:rsidR="00273EBF" w:rsidRPr="00092323" w:rsidRDefault="002F744E" w:rsidP="00531E5C">
      <w:pPr>
        <w:pStyle w:val="CBDDesicionText"/>
        <w:tabs>
          <w:tab w:val="clear" w:pos="1134"/>
        </w:tabs>
        <w:rPr>
          <w:snapToGrid w:val="0"/>
        </w:rPr>
      </w:pPr>
      <w:r>
        <w:t>(c)</w:t>
      </w:r>
      <w:r>
        <w:tab/>
      </w:r>
      <w:r>
        <w:rPr>
          <w:snapToGrid w:val="0"/>
        </w:rPr>
        <w:t>предоставлять бюро Конференции Сторон информацию о ходе осуществления остальных мер, рекомендованных в функциональном обзоре.</w:t>
      </w:r>
    </w:p>
    <w:p w14:paraId="537BBA68" w14:textId="3852D186" w:rsidR="00F24EBD" w:rsidRPr="00253CBE" w:rsidRDefault="002C5578" w:rsidP="00531E5C">
      <w:pPr>
        <w:pStyle w:val="CBDNormalNumber"/>
        <w:rPr>
          <w:snapToGrid w:val="0"/>
        </w:rPr>
      </w:pPr>
      <w:r>
        <w:rPr>
          <w:snapToGrid w:val="0"/>
        </w:rPr>
        <w:t>Вспомогательный орган по осуществлению, возможно, также пожелает рекомендовать Конференции Сторон, выступающей в качестве совещания Сторон Картахенского протокола, на ее 12-м совещании, и Конференции Сторон, выступающей в качестве совещания Сторон Нагойского протокола, на ее 6-м совещании принять к сведению решение по данному вопросу, принятое Конференцией Сторон Конвенции.</w:t>
      </w:r>
    </w:p>
    <w:p w14:paraId="044F29B1" w14:textId="77777777" w:rsidR="003D15AA" w:rsidRPr="00DA0C94" w:rsidRDefault="003D15AA">
      <w:pPr>
        <w:tabs>
          <w:tab w:val="clear" w:pos="567"/>
          <w:tab w:val="clear" w:pos="1134"/>
          <w:tab w:val="clear" w:pos="1701"/>
          <w:tab w:val="clear" w:pos="2268"/>
        </w:tabs>
        <w:jc w:val="left"/>
      </w:pPr>
      <w:r>
        <w:br w:type="page"/>
      </w:r>
    </w:p>
    <w:p w14:paraId="0407DB94" w14:textId="5C3CDD64" w:rsidR="003410F9" w:rsidRPr="00DD0CE4" w:rsidRDefault="003410F9" w:rsidP="00DA0C94">
      <w:pPr>
        <w:pStyle w:val="CBDAnnex"/>
      </w:pPr>
      <w:r>
        <w:lastRenderedPageBreak/>
        <w:t>Приложение I</w:t>
      </w:r>
    </w:p>
    <w:p w14:paraId="28015C14" w14:textId="7E4B63CB" w:rsidR="001C6D3B" w:rsidRPr="00C725CE" w:rsidRDefault="00077FD3" w:rsidP="00DA0C94">
      <w:pPr>
        <w:pStyle w:val="CBDTitle"/>
      </w:pPr>
      <w:r>
        <w:t>Общее резюме доклада о внешнем углубленном функциональном обзоре секретариата Конвенции о биологическом разнообразии</w:t>
      </w:r>
    </w:p>
    <w:p w14:paraId="5681DFF0"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color w:val="000000" w:themeColor="text1"/>
        </w:rPr>
      </w:pPr>
      <w:r>
        <w:rPr>
          <w:color w:val="000000" w:themeColor="text1"/>
        </w:rPr>
        <w:t>В настоящем докладе представлен внешний функциональный обзор секретариата Конвенции о биологическом разнообразии (СКБР), проведенный Группой консультантов по вопросам управления ПРООН во исполнение решений 15/34 и 16/28 КС. В ходе обзора была проведена оценка того, насколько структура, функции и ресурсы секретариата соответствуют требованиям для содействия осуществлению Куньминско-Монреальской глобальной рамочной программы в области биоразнообразия (КМГРПБ) и эффективного обслуживания Конвенции и протоколов к ней.</w:t>
      </w:r>
    </w:p>
    <w:p w14:paraId="6C3C61C0"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color w:val="000000" w:themeColor="text1"/>
        </w:rPr>
      </w:pPr>
      <w:r>
        <w:rPr>
          <w:color w:val="000000" w:themeColor="text1"/>
        </w:rPr>
        <w:t>Обзор, проводившийся в течение шести месяцев, включал количественный и качественный анализ структуры, кадрового состава, бюджета и рабочих процессов, сравнительный анализ с секретариатами аналогичных МПС, а также широкое участие в опросах, фокус-группах, семинарах и консультациях с высшим руководством и бюро КС. Процесс проходил по двум направлениям: стратегическое направление (уточнение мандата и приоритетов) и разработка операционной модели (оценка структуры и эффективности).</w:t>
      </w:r>
    </w:p>
    <w:p w14:paraId="1AC67AA2" w14:textId="77777777" w:rsidR="001C6D3B" w:rsidRPr="0007470F" w:rsidRDefault="001C6D3B" w:rsidP="00DA0C94">
      <w:pPr>
        <w:pStyle w:val="ListParagraph"/>
        <w:numPr>
          <w:ilvl w:val="0"/>
          <w:numId w:val="60"/>
        </w:numPr>
        <w:tabs>
          <w:tab w:val="clear" w:pos="567"/>
          <w:tab w:val="clear" w:pos="1134"/>
          <w:tab w:val="clear" w:pos="1701"/>
          <w:tab w:val="clear" w:pos="2268"/>
        </w:tabs>
        <w:spacing w:before="120" w:after="120"/>
        <w:contextualSpacing w:val="0"/>
        <w:rPr>
          <w:color w:val="000000" w:themeColor="text1"/>
        </w:rPr>
      </w:pPr>
      <w:r>
        <w:rPr>
          <w:color w:val="000000" w:themeColor="text1"/>
        </w:rPr>
        <w:t>Обзор подтвердил высокую эффективность работы, глубокую техническую компетентность и высокий уровень приверженности персонала. Он также выявил ряд возможностей для укрепления способности секретариата оказывать поддержку КМГРПБ и эффективно обслуживать Конвенцию и протоколы к ней. Укрепление связи между планированием и ресурсами, полное внедрение и введение в действие системы бюджетирования, ориентированной на результат, а также улучшение координации между подразделениями будут способствовать более согласованной и эффективной деятельности. Оптимизация распределения рабочей нагрузки и усиление делегирования полномочий будут способствовать своевременному принятию решений и снижению нагрузки на подразделения. Поскольку численность персонала остается неизменной, несмотря на расширение мандата, для снижения операционной нагрузки и обеспечения устойчивой работы важно будет удовлетворить потребности в кадровых ресурсах.</w:t>
      </w:r>
    </w:p>
    <w:p w14:paraId="0BF2FD01" w14:textId="77777777" w:rsidR="001C6D3B" w:rsidRPr="0007470F" w:rsidRDefault="001C6D3B" w:rsidP="00DA0C94">
      <w:pPr>
        <w:pStyle w:val="ListParagraph"/>
        <w:numPr>
          <w:ilvl w:val="0"/>
          <w:numId w:val="60"/>
        </w:numPr>
        <w:tabs>
          <w:tab w:val="clear" w:pos="567"/>
          <w:tab w:val="clear" w:pos="1134"/>
          <w:tab w:val="clear" w:pos="1701"/>
          <w:tab w:val="clear" w:pos="2268"/>
        </w:tabs>
        <w:spacing w:before="120" w:after="120"/>
        <w:contextualSpacing w:val="0"/>
        <w:rPr>
          <w:color w:val="000000" w:themeColor="text1"/>
        </w:rPr>
      </w:pPr>
      <w:r>
        <w:rPr>
          <w:color w:val="000000" w:themeColor="text1"/>
        </w:rPr>
        <w:t>Для решения этих задач и проблем в обзоре предлагается операционная модель, в которой функции объединены в три отдела, подчиняющиеся Канцелярии Исполнительного секретаря, а именно: Отдел политики, потенциала и мониторинга, Отдел стратегических партнерских отношений, финансирования и экономики и Отдел протоколов. В обзоре также предлагается создать три подразделения, а именно: Группу поддержки межправительственных совещаний, Секцию административной и оперативной поддержки и Группу по информационным технологиям и цифровой трансформации. Кроме того, в состав Канцелярии Исполнительного секретаря войдут следующие подразделения: Группа по вспомогательному обслуживанию секретариата, Группа документации и языковой поддержки, Группа по правовым и межправительственным вопросам и Группа по управлению программами.</w:t>
      </w:r>
    </w:p>
    <w:p w14:paraId="632646AD" w14:textId="77777777" w:rsidR="001C6D3B" w:rsidRPr="0007470F" w:rsidRDefault="001C6D3B" w:rsidP="00DA0C94">
      <w:pPr>
        <w:pStyle w:val="ListParagraph"/>
        <w:numPr>
          <w:ilvl w:val="0"/>
          <w:numId w:val="60"/>
        </w:numPr>
        <w:tabs>
          <w:tab w:val="clear" w:pos="567"/>
          <w:tab w:val="clear" w:pos="1134"/>
          <w:tab w:val="clear" w:pos="1701"/>
          <w:tab w:val="clear" w:pos="2268"/>
        </w:tabs>
        <w:spacing w:before="120" w:after="120"/>
        <w:contextualSpacing w:val="0"/>
        <w:rPr>
          <w:color w:val="000000" w:themeColor="text1"/>
        </w:rPr>
      </w:pPr>
      <w:r>
        <w:rPr>
          <w:color w:val="000000" w:themeColor="text1"/>
        </w:rPr>
        <w:t>Рекомендации представлены в семи областях: (1) структурная и стратегическая согласованность, (2) сквозная согласованность, (3) расширение возможностей и подотчетность, (4) кадровый потенциал и ресурсы, (5) трансформация методов работы, (6) управление эффективностью и данными, (7) цифровая трансформация.</w:t>
      </w:r>
    </w:p>
    <w:p w14:paraId="13107F6D" w14:textId="77777777" w:rsidR="001C6D3B" w:rsidRPr="0007470F" w:rsidRDefault="001C6D3B" w:rsidP="00DA0C94">
      <w:pPr>
        <w:pStyle w:val="ListParagraph"/>
        <w:numPr>
          <w:ilvl w:val="0"/>
          <w:numId w:val="60"/>
        </w:numPr>
        <w:tabs>
          <w:tab w:val="clear" w:pos="567"/>
          <w:tab w:val="clear" w:pos="1134"/>
          <w:tab w:val="clear" w:pos="1701"/>
          <w:tab w:val="clear" w:pos="2268"/>
        </w:tabs>
        <w:spacing w:before="120" w:after="120"/>
        <w:contextualSpacing w:val="0"/>
        <w:rPr>
          <w:color w:val="000000" w:themeColor="text1"/>
        </w:rPr>
      </w:pPr>
      <w:r>
        <w:rPr>
          <w:color w:val="000000" w:themeColor="text1"/>
        </w:rPr>
        <w:t xml:space="preserve">Рекомендуется осуществлять реализацию поэтапно. Краткосрочные меры (0–3 месяца) должны быть сосредоточены на подготовительных шагах для осуществления структурных изменений, установлении системы управления, определении и обеспечении ресурсов и потенциала, необходимых для выполнения рекомендаций, введении ответственности за рабочие процессы и внедрении бюджетирования, ориентированного на результат. Среднесрочные меры (3–6 месяцев) включают начало структурной согласованности, но также сосредоточены на укреплении координации, интеграции управления, ориентированного на результат, и повышении квалификации </w:t>
      </w:r>
      <w:r>
        <w:rPr>
          <w:color w:val="000000" w:themeColor="text1"/>
        </w:rPr>
        <w:lastRenderedPageBreak/>
        <w:t>персонала. Долгосрочные меры (6+ месяцев) завершат структурную реорганизацию, институционализируют подотчетность, модернизируют процессы и системы.</w:t>
      </w:r>
    </w:p>
    <w:p w14:paraId="2A890800" w14:textId="77777777" w:rsidR="001C6D3B" w:rsidRPr="0007470F" w:rsidRDefault="001C6D3B" w:rsidP="00DA0C94">
      <w:pPr>
        <w:pStyle w:val="ListParagraph"/>
        <w:numPr>
          <w:ilvl w:val="0"/>
          <w:numId w:val="60"/>
        </w:numPr>
        <w:tabs>
          <w:tab w:val="clear" w:pos="567"/>
          <w:tab w:val="clear" w:pos="1134"/>
          <w:tab w:val="clear" w:pos="1701"/>
          <w:tab w:val="clear" w:pos="2268"/>
        </w:tabs>
        <w:spacing w:before="120" w:after="120"/>
        <w:contextualSpacing w:val="0"/>
        <w:rPr>
          <w:color w:val="000000" w:themeColor="text1"/>
        </w:rPr>
      </w:pPr>
      <w:r>
        <w:rPr>
          <w:color w:val="000000" w:themeColor="text1"/>
        </w:rPr>
        <w:t>Рекомендуется, чтобы специальный механизм управления изменениями под руководством Исполнительного секретаря контролировал осуществление, отслеживал прогресс и обеспечивал прозрачность. В совокупности эти реформы проложат четкий путь к созданию целевого, гибкого и ориентированного на результаты секретариата, который будет лучше подготовлен для выполнения мандатов КС и оказания поддержки Сторонам в достижении целей и выполнении задач КМГРПБ.</w:t>
      </w:r>
    </w:p>
    <w:p w14:paraId="5ACA5D9C" w14:textId="77777777" w:rsidR="001C6D3B" w:rsidRPr="0007470F" w:rsidRDefault="001C6D3B" w:rsidP="007D16FA">
      <w:pPr>
        <w:pStyle w:val="Heading2"/>
        <w:numPr>
          <w:ilvl w:val="0"/>
          <w:numId w:val="0"/>
        </w:numPr>
        <w:spacing w:after="240"/>
        <w:ind w:left="567" w:hanging="567"/>
        <w:rPr>
          <w:rFonts w:ascii="Times New Roman" w:hAnsi="Times New Roman" w:cs="Times New Roman"/>
          <w:b w:val="0"/>
          <w:bCs/>
          <w:szCs w:val="24"/>
        </w:rPr>
      </w:pPr>
      <w:r>
        <w:rPr>
          <w:rFonts w:ascii="Times New Roman" w:hAnsi="Times New Roman"/>
          <w:bCs/>
          <w:szCs w:val="24"/>
        </w:rPr>
        <w:t>A. Цель и сфера охвата обзора</w:t>
      </w:r>
    </w:p>
    <w:p w14:paraId="2076180B" w14:textId="77777777" w:rsidR="001C6D3B" w:rsidRPr="0007470F" w:rsidRDefault="001C6D3B" w:rsidP="00DA0C94">
      <w:pPr>
        <w:pStyle w:val="ListParagraph"/>
        <w:numPr>
          <w:ilvl w:val="0"/>
          <w:numId w:val="60"/>
        </w:numPr>
        <w:tabs>
          <w:tab w:val="clear" w:pos="567"/>
          <w:tab w:val="clear" w:pos="1134"/>
          <w:tab w:val="clear" w:pos="1701"/>
          <w:tab w:val="clear" w:pos="2268"/>
        </w:tabs>
        <w:spacing w:before="120" w:after="120"/>
        <w:contextualSpacing w:val="0"/>
      </w:pPr>
      <w:r>
        <w:t>В своем решении 15/34 (пункт 35) Конференция Сторон (КС) Конвенции о биологическом разнообразии (КБР) поручила Исполнительному секретарю в консультации с Директором-исполнителем Программы Организации Объединенных Наций по окружающей среде (ЮНЕП) провести внешний углубленный функциональный обзор структуры секретариата и выполнения его программы работы. Цель обзора заключалась в обновлении организационной структуры секретариата и классификации должностей для обеспечения осуществления Куньминско-Монреальской глобальной рамочной программы в области биоразнообразия (КМГРПБ) и в укреплении его потенциала для оказания поддержки Сторонам в осуществлении программы.</w:t>
      </w:r>
    </w:p>
    <w:p w14:paraId="282F5BC6" w14:textId="77777777" w:rsidR="001C6D3B" w:rsidRPr="00617309" w:rsidRDefault="001C6D3B" w:rsidP="00DA0C94">
      <w:pPr>
        <w:pStyle w:val="ListParagraph"/>
        <w:numPr>
          <w:ilvl w:val="0"/>
          <w:numId w:val="60"/>
        </w:numPr>
        <w:tabs>
          <w:tab w:val="clear" w:pos="567"/>
          <w:tab w:val="clear" w:pos="1134"/>
          <w:tab w:val="clear" w:pos="1701"/>
          <w:tab w:val="clear" w:pos="2268"/>
        </w:tabs>
        <w:spacing w:before="120" w:after="120"/>
        <w:contextualSpacing w:val="0"/>
      </w:pPr>
      <w:r>
        <w:t>В своем последующем решении 16/28 (пункт 11) КС настоятельно призвала Исполнительного секретаря завершить функциональный обзор, принимая во внимание аналитический доклад, упомянутый в решении 16/4. КС подчеркнула, что в рамках обзора следует определить, имеет ли секретариат надлежащую структуру и обеспечен ли он достаточными ресурсами для эффективного выполнения своих функций, в частности для обслуживания совещаний в рамках Конвенции и протоколов к ней, и поддержки осуществления КМГРПБ, и, в случае наличия пробелов, определить необходимые корректировки для их устранения.</w:t>
      </w:r>
    </w:p>
    <w:p w14:paraId="2E2044A0"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pPr>
      <w:r>
        <w:t>В ответ на эти поручения секретариат Конвенции о биологическом разнообразии (СКБР) привлек Группу консультантов по вопросам управления (ГКУ) Программы развития Организации Объединенных Наций (ПРООН) для содействия проведению внешнего функционального обзора. В соглашении, оформленном в виде письма о взаимопонимании, подписанного в апреле 2025 года, были определены цели, сфера охвата, методология и результаты обзора. Функциональный обзор был разработан для оценки структуры секретариата, рабочих процессов и распределения ресурсов с целью обеспечения соответствия его основным функциям и стратегическим приоритетам, установленным КС. Сфера охвата сосредоточена на анализе и рекомендациях, связанных со структурой секретариата и функциями групп. Это не включало обзор отдельных должностей или классификацию/разрядку должностей, поскольку это предлагается провести в рамках этапа реализации после принятия решений об общем направлении изменений.</w:t>
      </w:r>
    </w:p>
    <w:p w14:paraId="30C4CA90" w14:textId="77777777" w:rsidR="001C6D3B" w:rsidRPr="00C725CE" w:rsidRDefault="001C6D3B" w:rsidP="009E3FBE">
      <w:pPr>
        <w:pStyle w:val="Heading2"/>
        <w:numPr>
          <w:ilvl w:val="0"/>
          <w:numId w:val="0"/>
        </w:numPr>
        <w:spacing w:after="240"/>
        <w:ind w:left="567" w:hanging="567"/>
        <w:rPr>
          <w:rFonts w:ascii="Times New Roman" w:hAnsi="Times New Roman" w:cs="Times New Roman"/>
          <w:b w:val="0"/>
          <w:bCs/>
          <w:szCs w:val="24"/>
        </w:rPr>
      </w:pPr>
      <w:r>
        <w:rPr>
          <w:rFonts w:ascii="Times New Roman" w:hAnsi="Times New Roman"/>
          <w:bCs/>
          <w:szCs w:val="24"/>
        </w:rPr>
        <w:t>B. Методология и подход</w:t>
      </w:r>
    </w:p>
    <w:p w14:paraId="089BD074"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pPr>
      <w:r>
        <w:t>Функциональный обзор проводился в течение шести месяцев в соответствии со структурированным и основанным на широком участии процессом, направленным на получение основанных на фактах выводов и совместно разработанных рекомендаций. Процесс был разделен на два основных этапа, а именно анализ и разработка, которые осуществлялись в рамках двух параллельных направлений работы по стратегическому направлению и разработке операционной модели. На протяжении всего процесса группа учитывала ограниченность данных, в том числе пробелы в имеющихся показателях.</w:t>
      </w:r>
    </w:p>
    <w:p w14:paraId="6A0A6E0E"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pPr>
      <w:r>
        <w:t>Этап анализа был сосредоточен на формировании всестороннего понимания текущей структуры, функций и распределения ресурсов секретариата (состояние «как есть»). Это включало обзор мандатов, организационных схем, состава персонала, источников финансирования и ключевых межправительственных рабочих процессов, таких как пробелы в данных или проблемы с качеством в руководящих и вспомогательных органах. Обзор опирался на всю доступную информацию, учитывая при этом эти ограничения.</w:t>
      </w:r>
    </w:p>
    <w:p w14:paraId="332C4D04"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pPr>
      <w:r>
        <w:lastRenderedPageBreak/>
        <w:t xml:space="preserve">Этап разработки основывался на результатах анализа с целью разработки ориентированных на будущее рекомендаций по созданию структуры и операционной модели, соответствующих поставленным задачам (состояние «как должно быть»). На этом этапе особое внимание уделялось функциональной согласованности, четкости ролей, интеграции между подразделениями и согласованности со стратегическим видением секретариата и решениями КС. </w:t>
      </w:r>
    </w:p>
    <w:p w14:paraId="40C00CAC"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pPr>
      <w:r>
        <w:t>Два направления работы были реализованы следующим образом: (a) стратегическое направление: изучение мандата, приоритетов и позиционирования секретариата для обеспечения согласованности с Куньминско-Монреальской глобальной рамочной программой в области биоразнообразия и прогрессирующими ожиданиями Сторон. Это направление включало внутренние консультации, семинары и сессии по разработке концепции для формулирования желаемого будущего состояния секретариата; и (b) разработка операционной модели: оценка ключевых рабочих процессов, функций и распределения ресурсов для выявления областей, требующих улучшения. Группа проанализировала рабочие процессы, порядок подотчетности, взаимозависимость между подразделениями и провела семинары для сотрудников с целью выявления препятствий и предложения решений для повышения согласованности и эффективности.</w:t>
      </w:r>
    </w:p>
    <w:p w14:paraId="47AC2C25"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pPr>
      <w:r>
        <w:t xml:space="preserve">В ходе обзора были использованы смешанные аналитические методы, сочетающие количественный анализ данных (показатели эффективности, штатные расписания, бюджеты, рабочие планы, распределение ресурсов) с качественными оценками (интервью с персоналом, фокус-группы и анализ документов). Был проведен сравнительный анализ с секретариатами отдельных многосторонних природоохранных соглашений (МПС) с целью выявления практик в области структуры, управления и управления ресурсами в аналогичных организациях. </w:t>
      </w:r>
    </w:p>
    <w:p w14:paraId="601613DB"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pPr>
      <w:r>
        <w:t>Участие персонала было центральным элементом обзора. В ходе этого процесса Группа консультантов по вопросам управления ПРООН провела консультации с высшим руководством, фокус-группы на уровне подразделений со всеми сотрудниками, организовала семинары для всего секретариата и провела опрос всех сотрудников с целью сбора мнений о структуре, функциях и методах работы. Эти мероприятия обеспечили отражение в обзоре мнений сотрудников и способствовали их вовлечению в процесс.</w:t>
      </w:r>
    </w:p>
    <w:p w14:paraId="2EF7E7A1"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pPr>
      <w:r>
        <w:t>Непрерывные консультации и проверка были обеспечены благодаря Внутренней целевой группе по функциональному обзору и Группе по взаимодействию, которые на протяжении всего процесса оказывали техническую и тематическую поддержку, способствуя принятию обоснованных решений. Полученные результаты были рассмотрены с Группой старших руководителей СКБР и представлены бюро КС на ключевых этапах для получения обратной связи и стратегического руководства. Эта итеративная проверка помогла смягчить влияние ограниченности данных, основав результаты на коллективных выводах и экспертных оценках.</w:t>
      </w:r>
    </w:p>
    <w:p w14:paraId="32C84537"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pPr>
      <w:r>
        <w:t>Ключевые результаты процесса включают: (a) диагностический анализ структуры, функций и ресурсов секретариата, (b) результаты опроса персонала и обобщение мнений фокус-групп, (c) схему рабочих процессов по управлению конференциями, проект стандартной операционной процедуры и рекомендации по улучшению, (d) доклады о работе семинаров по стратегической согласованности, видению и разработке операционной модели, (e) анализ показателей эффективности, (f) анализ работы, проделанной подразделениями по задачам КМГРПБ и (g) проект предложения по созданию структуры и операционной модели, соответствующих поставленным задачам, с сопутствующими соображениями по внедрению и управлению изменениями.</w:t>
      </w:r>
    </w:p>
    <w:p w14:paraId="48521341" w14:textId="77777777" w:rsidR="001C6D3B" w:rsidRPr="00C725CE" w:rsidRDefault="001C6D3B" w:rsidP="00DA0C94">
      <w:pPr>
        <w:pStyle w:val="ListParagraph"/>
        <w:numPr>
          <w:ilvl w:val="0"/>
          <w:numId w:val="60"/>
        </w:numPr>
        <w:tabs>
          <w:tab w:val="clear" w:pos="567"/>
          <w:tab w:val="clear" w:pos="1134"/>
          <w:tab w:val="clear" w:pos="1701"/>
          <w:tab w:val="clear" w:pos="2268"/>
        </w:tabs>
        <w:spacing w:after="160" w:line="278" w:lineRule="auto"/>
      </w:pPr>
      <w:r>
        <w:t xml:space="preserve">В совокупности эти результаты составляют аналитическую основу для рекомендаций функционального обзора, направленных на укрепление способности секретариата эффективно обслуживать руководящие органы, выполнять свои мандаты и оказывать поддержку Сторонам в осуществлении КМГРПБ. </w:t>
      </w:r>
    </w:p>
    <w:p w14:paraId="5A90F5AC" w14:textId="77777777" w:rsidR="001C6D3B" w:rsidRPr="00C725CE" w:rsidRDefault="001C6D3B" w:rsidP="00A04963">
      <w:pPr>
        <w:pStyle w:val="Heading2"/>
        <w:numPr>
          <w:ilvl w:val="0"/>
          <w:numId w:val="0"/>
        </w:numPr>
        <w:spacing w:after="240"/>
        <w:ind w:left="567" w:hanging="567"/>
        <w:rPr>
          <w:rFonts w:ascii="Times New Roman" w:hAnsi="Times New Roman" w:cs="Times New Roman"/>
          <w:b w:val="0"/>
          <w:bCs/>
          <w:szCs w:val="24"/>
        </w:rPr>
      </w:pPr>
      <w:r>
        <w:rPr>
          <w:rFonts w:ascii="Times New Roman" w:hAnsi="Times New Roman"/>
          <w:bCs/>
          <w:szCs w:val="24"/>
        </w:rPr>
        <w:lastRenderedPageBreak/>
        <w:t>C. Обзор основных выводов</w:t>
      </w:r>
    </w:p>
    <w:p w14:paraId="062DB675"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pPr>
      <w:r>
        <w:t>В ходе функционального обзора был выявлен ряд институциональных преимуществ и проблем в структуре секретариата, его ресурсном обеспечении, рабочих процессах и механизмах координации. Функциональный обзор подтвердил, что секретариат сохраняет высокие показатели эффективности своей работы, несмотря на значительную операционную и ресурсную нагрузку. Его преимуществами являются преданный своему делу и технически квалифицированный персонал, культура сотрудничества и устойчивая способность оправдывать ожидания Сторон в сложных условиях. В то же время анализ выявил несколько институциональных областей, в которых большая согласованность, ясность и интеграция еще больше укрепили бы эффективность и устойчивость секретариата.</w:t>
      </w:r>
    </w:p>
    <w:p w14:paraId="55402335"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pPr>
      <w:r>
        <w:t>Основные выводы функционального обзора следующие:</w:t>
      </w:r>
    </w:p>
    <w:p w14:paraId="708AA684" w14:textId="77777777" w:rsidR="001C6D3B" w:rsidRPr="00617309" w:rsidRDefault="001C6D3B" w:rsidP="002D33BE">
      <w:pPr>
        <w:pStyle w:val="Heading3"/>
        <w:numPr>
          <w:ilvl w:val="0"/>
          <w:numId w:val="0"/>
        </w:numPr>
        <w:ind w:left="567" w:hanging="567"/>
        <w:rPr>
          <w:b w:val="0"/>
          <w:bCs w:val="0"/>
        </w:rPr>
      </w:pPr>
      <w:r>
        <w:t>Структурная и стратегическая согласованность</w:t>
      </w:r>
    </w:p>
    <w:p w14:paraId="1222F677" w14:textId="4C0240EC"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pPr>
      <w:r>
        <w:t xml:space="preserve">Секретариат добился значительного прогресса в деле поддержки достижения целей и выполнения задач КМГРПБ, в частности, благодаря активному вкладу в осуществление, актуализацию проблематики и создание потенциала. Анализ рабочих процессов секретариата показывает четкое соответствие приоритетам КМГРПБ. </w:t>
      </w:r>
      <w:r w:rsidR="00DE4834">
        <w:t>В то же время</w:t>
      </w:r>
      <w:r>
        <w:t xml:space="preserve"> нынешняя структура предоставляет возможности для укрепления согласованности и обеспечения более сбалансированного распределения функций по всем задачам КМГРПБ. Улучшение координации, уточнение институциональной ответственности и укрепление стратегического планирования помогут обеспечить более тесную увязку решений, бюджетирования и мобилизации ресурсов со стратегическими приоритетами.</w:t>
      </w:r>
    </w:p>
    <w:p w14:paraId="143B8288"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В частности, в результате обзора были сделаны следующие замечания:</w:t>
      </w:r>
    </w:p>
    <w:p w14:paraId="4A0B649C" w14:textId="77777777" w:rsidR="001C6D3B" w:rsidRPr="00C725CE" w:rsidRDefault="001C6D3B" w:rsidP="008619CF">
      <w:pPr>
        <w:pStyle w:val="ListParagraph"/>
        <w:numPr>
          <w:ilvl w:val="1"/>
          <w:numId w:val="58"/>
        </w:numPr>
        <w:tabs>
          <w:tab w:val="clear" w:pos="567"/>
          <w:tab w:val="clear" w:pos="1134"/>
          <w:tab w:val="clear" w:pos="1701"/>
          <w:tab w:val="clear" w:pos="2268"/>
        </w:tabs>
        <w:spacing w:line="276" w:lineRule="auto"/>
        <w:rPr>
          <w:rFonts w:eastAsia="Times New Roman"/>
        </w:rPr>
      </w:pPr>
      <w:r>
        <w:t>Существует большой потенциал для дальнейшей интеграции тематических направлений работы в рамках укрепления потенциала, управления знаниями, а также мониторинга, отчетности и обзора.</w:t>
      </w:r>
    </w:p>
    <w:p w14:paraId="321FA045" w14:textId="77777777" w:rsidR="001C6D3B" w:rsidRPr="00C725CE" w:rsidRDefault="001C6D3B" w:rsidP="008619CF">
      <w:pPr>
        <w:pStyle w:val="ListParagraph"/>
        <w:numPr>
          <w:ilvl w:val="1"/>
          <w:numId w:val="58"/>
        </w:numPr>
        <w:tabs>
          <w:tab w:val="clear" w:pos="567"/>
          <w:tab w:val="clear" w:pos="1134"/>
          <w:tab w:val="clear" w:pos="1701"/>
          <w:tab w:val="clear" w:pos="2268"/>
        </w:tabs>
        <w:spacing w:line="276" w:lineRule="auto"/>
        <w:rPr>
          <w:rFonts w:eastAsia="Times New Roman"/>
        </w:rPr>
      </w:pPr>
      <w:r>
        <w:t xml:space="preserve">Функции мобилизации ресурсов и вовлечения субъектов деятельности выиграют от более единого и стратегического подхода. </w:t>
      </w:r>
    </w:p>
    <w:p w14:paraId="02544A9E" w14:textId="77777777" w:rsidR="001C6D3B" w:rsidRPr="00C725CE" w:rsidRDefault="001C6D3B" w:rsidP="008619CF">
      <w:pPr>
        <w:pStyle w:val="ListParagraph"/>
        <w:numPr>
          <w:ilvl w:val="1"/>
          <w:numId w:val="58"/>
        </w:numPr>
        <w:tabs>
          <w:tab w:val="clear" w:pos="567"/>
          <w:tab w:val="clear" w:pos="1134"/>
          <w:tab w:val="clear" w:pos="1701"/>
          <w:tab w:val="clear" w:pos="2268"/>
        </w:tabs>
        <w:spacing w:line="276" w:lineRule="auto"/>
        <w:rPr>
          <w:rFonts w:eastAsia="Times New Roman"/>
        </w:rPr>
      </w:pPr>
      <w:r>
        <w:t>Целесообразно укрепить конференционное обслуживание для обеспечения устойчивой и эффективной поддержки с учетом ограниченности ресурсов и роста потребностей в обслуживании в последние годы.</w:t>
      </w:r>
    </w:p>
    <w:p w14:paraId="76BF30D0" w14:textId="77777777" w:rsidR="001C6D3B" w:rsidRPr="00C725CE" w:rsidRDefault="001C6D3B" w:rsidP="008619CF">
      <w:pPr>
        <w:pStyle w:val="ListParagraph"/>
        <w:numPr>
          <w:ilvl w:val="1"/>
          <w:numId w:val="58"/>
        </w:numPr>
        <w:tabs>
          <w:tab w:val="clear" w:pos="567"/>
          <w:tab w:val="clear" w:pos="1134"/>
          <w:tab w:val="clear" w:pos="1701"/>
          <w:tab w:val="clear" w:pos="2268"/>
        </w:tabs>
        <w:spacing w:line="276" w:lineRule="auto"/>
        <w:rPr>
          <w:rFonts w:eastAsia="Times New Roman"/>
        </w:rPr>
      </w:pPr>
      <w:r>
        <w:t>Услуги в области информационных технологий, в настоящее время распределенные между несколькими подразделениями, открывают возможности для более интегрированной цифровой поддержки.</w:t>
      </w:r>
    </w:p>
    <w:p w14:paraId="1FC09C38" w14:textId="66A74848" w:rsidR="001C6D3B" w:rsidRPr="00C725CE" w:rsidRDefault="001C6D3B" w:rsidP="008619CF">
      <w:pPr>
        <w:pStyle w:val="ListParagraph"/>
        <w:numPr>
          <w:ilvl w:val="1"/>
          <w:numId w:val="58"/>
        </w:numPr>
        <w:tabs>
          <w:tab w:val="clear" w:pos="567"/>
          <w:tab w:val="clear" w:pos="1134"/>
          <w:tab w:val="clear" w:pos="1701"/>
          <w:tab w:val="clear" w:pos="2268"/>
        </w:tabs>
        <w:spacing w:line="276" w:lineRule="auto"/>
        <w:rPr>
          <w:rFonts w:eastAsia="Times New Roman"/>
        </w:rPr>
      </w:pPr>
      <w:r>
        <w:t>Существующую систему бюджетирования, ориентированную на результат, можно в более полной мере задействовать для поддержки интегрированного планирования, бюджетирования, определения приоритетов и отчетности.</w:t>
      </w:r>
    </w:p>
    <w:p w14:paraId="1B638168" w14:textId="77777777" w:rsidR="001C6D3B" w:rsidRPr="00617309" w:rsidRDefault="001C6D3B" w:rsidP="002D33BE">
      <w:pPr>
        <w:pStyle w:val="Heading3"/>
        <w:numPr>
          <w:ilvl w:val="0"/>
          <w:numId w:val="0"/>
        </w:numPr>
        <w:ind w:left="567" w:hanging="567"/>
        <w:rPr>
          <w:b w:val="0"/>
          <w:bCs w:val="0"/>
        </w:rPr>
      </w:pPr>
      <w:r>
        <w:t>Сквозная согласованность</w:t>
      </w:r>
    </w:p>
    <w:p w14:paraId="53684414"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Несмотря на тесное сотрудничество внутри групп, координацию между подразделениями и отделами еще можно усовершенствовать. Существующие механизмы планирования и обмена информацией на уровне секретариата могут быть усовершенствованы в целях улучшения координации и сотрудничества, поддержки более интегрированной работы в различных функциональных областях и обеспечения более эффективного использования ресурсов. Кроме того, улучшение внутренней коммуникации и внедрение последовательных методов управления изменениями помогут укрепить коллективную ответственность и институциональную согласованность.</w:t>
      </w:r>
    </w:p>
    <w:p w14:paraId="6208902D" w14:textId="77777777" w:rsidR="001C6D3B" w:rsidRPr="00617309" w:rsidRDefault="001C6D3B" w:rsidP="002D33BE">
      <w:pPr>
        <w:pStyle w:val="Heading3"/>
        <w:numPr>
          <w:ilvl w:val="0"/>
          <w:numId w:val="0"/>
        </w:numPr>
        <w:ind w:left="567" w:hanging="567"/>
        <w:rPr>
          <w:b w:val="0"/>
          <w:bCs w:val="0"/>
        </w:rPr>
      </w:pPr>
      <w:r>
        <w:lastRenderedPageBreak/>
        <w:t>Расширение возможностей и подотчетность</w:t>
      </w:r>
    </w:p>
    <w:p w14:paraId="7D8FF12D"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На руководящем уровне делегированные полномочия по закупкам ограничены и не поспевают за ростом цен за последнее десятилетие, что ограничивает руководство и приводит к обременительным административным процедурам. В общем, степень зависимости от Программы Организации Объединенных Наций по окружающей среде (ЮНЕП) и Отделения Организации Объединенных Наций в Найроби (ЮНОН) в отношении административных и оперативных функций может удлинить сроки обработки и снизить гибкость и оперативность секретариата в отношении административных операций.</w:t>
      </w:r>
    </w:p>
    <w:p w14:paraId="16243B98" w14:textId="77777777" w:rsidR="001C6D3B" w:rsidRPr="00617309" w:rsidRDefault="001C6D3B" w:rsidP="002D33BE">
      <w:pPr>
        <w:pStyle w:val="Heading3"/>
        <w:numPr>
          <w:ilvl w:val="0"/>
          <w:numId w:val="0"/>
        </w:numPr>
        <w:ind w:left="567" w:hanging="567"/>
        <w:rPr>
          <w:b w:val="0"/>
          <w:bCs w:val="0"/>
        </w:rPr>
      </w:pPr>
      <w:r>
        <w:t>Кадровый потенциал и ресурсы</w:t>
      </w:r>
    </w:p>
    <w:p w14:paraId="070EED98" w14:textId="77777777" w:rsidR="001C6D3B" w:rsidRPr="00A26343"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Как отмечалось выше, за последнее десятилетие численность персонала секретариата оставалась неизменной, в то время как объем и масштабы работы значительно расширились. Эта ситуация привела к принятию специальных мер, в рамках которых сотрудники берут на себя дополнительные обязанности, привлекаются краткосрочные подрядчики для восполнения нехватки кадров, а в некоторых областях, особенно в пиковые периоды, наблюдается перегрузка работой. Нехватка кадровых ресурсов отчасти усугубляется задержками в наборе персонала. Обеспечение надлежащего кадрового состава и кадрового потенциала необходимо для улучшения процесса набора и адаптации персонала, что способствует более устойчивому распределению рабочей нагрузки и позволяет секретариату выполнять предусмотренные мандатом функции, обеспечивая при этом благополучие персонала.</w:t>
      </w:r>
    </w:p>
    <w:p w14:paraId="62BD9C9C" w14:textId="77777777" w:rsidR="001C6D3B" w:rsidRPr="00617309" w:rsidRDefault="001C6D3B" w:rsidP="00507DC7">
      <w:pPr>
        <w:pStyle w:val="Heading3"/>
        <w:numPr>
          <w:ilvl w:val="0"/>
          <w:numId w:val="0"/>
        </w:numPr>
        <w:ind w:left="567" w:hanging="567"/>
        <w:rPr>
          <w:b w:val="0"/>
          <w:bCs w:val="0"/>
        </w:rPr>
      </w:pPr>
      <w:r>
        <w:t>Показатели эффективности</w:t>
      </w:r>
    </w:p>
    <w:p w14:paraId="1F2DF5F3" w14:textId="77777777" w:rsidR="001C6D3B" w:rsidRPr="00A26343"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 xml:space="preserve">Хотя секретариат создал комплексные механизмы планирования и отчетности для межправительственных процессов, связанных с КС и ее вспомогательными органами, внутренний мониторинг эффективности в секретариате можно было бы усилить. Отсутствие общесекретариатской системы оценки эффективности, показателей эффективности и качественных данных оказалось проблемой для функционального обзора, а также создает постоянные проблемы для СКБР, а именно в области стратегического планирования, определения приоритетов, подотчетности и, что важно, в предоставлении доказательств в поддержку бюджетных запросов, корректировок штатного расписания и усовершенствований процессов. </w:t>
      </w:r>
      <w:bookmarkStart w:id="2" w:name="_Hlk217052903"/>
      <w:r>
        <w:t>В то же время несколько подразделений, таких как Редакционная и языковая группа, Группа разработки и эксплуатации, Кадровый отдел, Группа по информационным технологиям, Группа по закупкам и поездкам разработали показатели эффективности на уровне групп, которые обеспечивают прочную основу и полезную отправную точку для создания более согласованной системы оценки эффективности в масштабах всего секретариата</w:t>
      </w:r>
      <w:bookmarkEnd w:id="2"/>
      <w:r>
        <w:t xml:space="preserve">. </w:t>
      </w:r>
    </w:p>
    <w:p w14:paraId="4141269F" w14:textId="77777777" w:rsidR="001C6D3B" w:rsidRPr="00617309" w:rsidRDefault="001C6D3B" w:rsidP="00507DC7">
      <w:pPr>
        <w:pStyle w:val="Heading3"/>
        <w:numPr>
          <w:ilvl w:val="0"/>
          <w:numId w:val="0"/>
        </w:numPr>
        <w:ind w:left="567" w:hanging="567"/>
        <w:rPr>
          <w:b w:val="0"/>
          <w:bCs w:val="0"/>
        </w:rPr>
      </w:pPr>
      <w:r>
        <w:t>Методы работы</w:t>
      </w:r>
    </w:p>
    <w:p w14:paraId="7B737634"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 xml:space="preserve">КС определяет основной бюджет на двухлетний цикл, и многие мероприятия зависят от добровольных взносов, что создает неопределенность и проблемы при планировании и выполнении работы. В настоящее время секретариат не имеет комплексного подхода к стратегическому планированию, который эффективно объединял бы долгосрочные бюджетные соображения с программными приоритетами. Эта несогласованность препятствует приведению работы на уровне отделов и подразделений в соответствие с общими целями и приоритетами секретариата. </w:t>
      </w:r>
    </w:p>
    <w:p w14:paraId="3BD982D0" w14:textId="77777777" w:rsidR="001C6D3B" w:rsidRPr="00C725CE" w:rsidRDefault="001C6D3B" w:rsidP="00507DC7">
      <w:pPr>
        <w:pStyle w:val="Heading2"/>
        <w:numPr>
          <w:ilvl w:val="0"/>
          <w:numId w:val="0"/>
        </w:numPr>
        <w:ind w:left="567" w:hanging="567"/>
        <w:rPr>
          <w:rFonts w:ascii="Times New Roman" w:hAnsi="Times New Roman" w:cs="Times New Roman"/>
          <w:b w:val="0"/>
          <w:szCs w:val="24"/>
        </w:rPr>
      </w:pPr>
      <w:r>
        <w:rPr>
          <w:rFonts w:ascii="Times New Roman" w:hAnsi="Times New Roman"/>
          <w:bCs/>
          <w:szCs w:val="24"/>
        </w:rPr>
        <w:t>D. Основные рекомендации и предлагаемая функциональная модель</w:t>
      </w:r>
    </w:p>
    <w:p w14:paraId="227C26C1"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В результате функционального обзора было сформулировано несколько рекомендаций, сгруппированных по семи взаимосвязанным областям возможностей. В совокупности эти рекомендации направлены на укрепление структуры, систем и методов работы секретариата в целях повышения согласованности, подотчетности и соответствия КМГРПБ.</w:t>
      </w:r>
    </w:p>
    <w:p w14:paraId="3C8C49B8" w14:textId="77777777" w:rsidR="001C6D3B" w:rsidRPr="00C725CE" w:rsidRDefault="001C6D3B" w:rsidP="00507DC7">
      <w:pPr>
        <w:pStyle w:val="Heading3"/>
        <w:numPr>
          <w:ilvl w:val="0"/>
          <w:numId w:val="0"/>
        </w:numPr>
        <w:spacing w:beforeLines="100" w:before="240" w:after="0"/>
        <w:ind w:left="567" w:hanging="567"/>
        <w:rPr>
          <w:rFonts w:eastAsia="Times New Roman"/>
          <w:b w:val="0"/>
        </w:rPr>
      </w:pPr>
      <w:r>
        <w:lastRenderedPageBreak/>
        <w:t>a. Структурная и стратегическая согласованность</w:t>
      </w:r>
    </w:p>
    <w:p w14:paraId="08F1BA64" w14:textId="77777777" w:rsidR="001C6D3B" w:rsidRPr="00A26343"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 xml:space="preserve">В обзоре рекомендуется пересмотреть функции и структуры секретариата, чтобы лучше отразить четыре цели и 23 задачи КМГРПБ и обеспечить большую согласованность в обслуживании Конвенции и протоколов к ней. Это включает в себя уточнение связей между программными и сквозными функциями и обеспечение того, чтобы соответствующие мероприятия организовывались в соответствии с последовательным порядком подотчетности. Укрепление функциональной согласованности улучшит координацию, прояснит ответственность и позволит секретариату оказывать более согласованную поддержку Сторонам в рамках КМГРПБ. Конкретные структурные изменения, лежащие в основе этих рекомендаций, включая реорганизацию и перераспределение подразделений, изложены в </w:t>
      </w:r>
      <w:r>
        <w:rPr>
          <w:rStyle w:val="Strong"/>
        </w:rPr>
        <w:t>приложении.</w:t>
      </w:r>
    </w:p>
    <w:p w14:paraId="5456B63A"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 xml:space="preserve">В частности, рекомендуется провести структурные изменения, руководствуясь следующими шестью функциональными группами в дополнение к общим функциям исполнительного руководства и поддержки исполнительного руководства: </w:t>
      </w:r>
    </w:p>
    <w:p w14:paraId="1D99C1F0" w14:textId="3A8CE4F2" w:rsidR="001C6D3B" w:rsidRPr="00C725CE" w:rsidRDefault="001C6D3B" w:rsidP="008619CF">
      <w:pPr>
        <w:pStyle w:val="ListParagraph"/>
        <w:numPr>
          <w:ilvl w:val="1"/>
          <w:numId w:val="59"/>
        </w:numPr>
        <w:tabs>
          <w:tab w:val="clear" w:pos="567"/>
          <w:tab w:val="clear" w:pos="1134"/>
          <w:tab w:val="clear" w:pos="1701"/>
          <w:tab w:val="clear" w:pos="2268"/>
        </w:tabs>
        <w:spacing w:line="276" w:lineRule="auto"/>
        <w:rPr>
          <w:rFonts w:eastAsia="Times New Roman"/>
        </w:rPr>
      </w:pPr>
      <w:r>
        <w:t>Меры политики, потенциал и мониторинг — интегрированный отдел, занимающийся достижением целей и задач КМГРПБ, включая тематическую поддержку, в том числе всю работу, связанную с программной, научной, технической и политической поддержкой, а также работу, связанную с укреплением потенциала, национальными стратегиями и планами действий по сохранению биоразнообразия (НСПДСБ), научно-техническим сотрудничеством (НТС) и информационно-координационными механизмами (ИКМ), а также мониторингом, обзором и отчетностью</w:t>
      </w:r>
    </w:p>
    <w:p w14:paraId="2EB1D91F" w14:textId="77777777" w:rsidR="001C6D3B" w:rsidRPr="00C725CE" w:rsidRDefault="001C6D3B" w:rsidP="008619CF">
      <w:pPr>
        <w:pStyle w:val="ListParagraph"/>
        <w:numPr>
          <w:ilvl w:val="1"/>
          <w:numId w:val="59"/>
        </w:numPr>
        <w:tabs>
          <w:tab w:val="clear" w:pos="567"/>
          <w:tab w:val="clear" w:pos="1134"/>
          <w:tab w:val="clear" w:pos="1701"/>
          <w:tab w:val="clear" w:pos="2268"/>
        </w:tabs>
        <w:spacing w:line="276" w:lineRule="auto"/>
        <w:rPr>
          <w:rFonts w:eastAsia="Times New Roman"/>
          <w:color w:val="000000" w:themeColor="text1"/>
        </w:rPr>
      </w:pPr>
      <w:r>
        <w:t>Стратегические партнерства, финансирование и экономика — интегрированный отдел, занимающийся работой, связанной с мобилизацией ресурсов и экономической интеграцией целевых задач в области биоразнообразия, взаимодействием с субъектами, не являющимися Сторонами</w:t>
      </w:r>
    </w:p>
    <w:p w14:paraId="77E3584B" w14:textId="77777777" w:rsidR="001C6D3B" w:rsidRPr="00617309" w:rsidRDefault="001C6D3B" w:rsidP="008619CF">
      <w:pPr>
        <w:pStyle w:val="ListParagraph"/>
        <w:numPr>
          <w:ilvl w:val="1"/>
          <w:numId w:val="59"/>
        </w:numPr>
        <w:tabs>
          <w:tab w:val="clear" w:pos="567"/>
          <w:tab w:val="clear" w:pos="1134"/>
          <w:tab w:val="clear" w:pos="1701"/>
          <w:tab w:val="clear" w:pos="2268"/>
        </w:tabs>
        <w:spacing w:line="276" w:lineRule="auto"/>
        <w:rPr>
          <w:rFonts w:eastAsia="Times New Roman"/>
        </w:rPr>
      </w:pPr>
      <w:r>
        <w:t>Протоколы — отдел, занимающийся обслуживанием КС-ССП и комитетов по соблюдению как в области биобезопасности, так и в области ДГРСИВ</w:t>
      </w:r>
    </w:p>
    <w:p w14:paraId="67BF33DF" w14:textId="77777777" w:rsidR="001C6D3B" w:rsidRPr="00617309" w:rsidRDefault="001C6D3B" w:rsidP="008619CF">
      <w:pPr>
        <w:pStyle w:val="ListParagraph"/>
        <w:numPr>
          <w:ilvl w:val="1"/>
          <w:numId w:val="59"/>
        </w:numPr>
        <w:tabs>
          <w:tab w:val="clear" w:pos="567"/>
          <w:tab w:val="clear" w:pos="1134"/>
          <w:tab w:val="clear" w:pos="1701"/>
          <w:tab w:val="clear" w:pos="2268"/>
        </w:tabs>
        <w:spacing w:line="276" w:lineRule="auto"/>
        <w:rPr>
          <w:rFonts w:eastAsia="Times New Roman"/>
        </w:rPr>
      </w:pPr>
      <w:r>
        <w:t>Поддержка межправительственных совещаний — отдел, занимающийся поддержкой официальных и неофициальных совещаний в рамках межправительственного процесса</w:t>
      </w:r>
    </w:p>
    <w:p w14:paraId="2D35F151" w14:textId="77777777" w:rsidR="001C6D3B" w:rsidRPr="00C725CE" w:rsidRDefault="001C6D3B" w:rsidP="008619CF">
      <w:pPr>
        <w:pStyle w:val="ListParagraph"/>
        <w:numPr>
          <w:ilvl w:val="1"/>
          <w:numId w:val="59"/>
        </w:numPr>
        <w:tabs>
          <w:tab w:val="clear" w:pos="567"/>
          <w:tab w:val="clear" w:pos="1134"/>
          <w:tab w:val="clear" w:pos="1701"/>
          <w:tab w:val="clear" w:pos="2268"/>
        </w:tabs>
        <w:spacing w:line="276" w:lineRule="auto"/>
        <w:rPr>
          <w:rFonts w:eastAsia="Times New Roman"/>
        </w:rPr>
      </w:pPr>
      <w:r>
        <w:t xml:space="preserve">Административная и оперативная поддержка, включая всю административную поддержку деятельности секретариата </w:t>
      </w:r>
    </w:p>
    <w:p w14:paraId="09777B35" w14:textId="77777777" w:rsidR="001C6D3B" w:rsidRPr="00C725CE" w:rsidRDefault="001C6D3B" w:rsidP="008619CF">
      <w:pPr>
        <w:pStyle w:val="ListParagraph"/>
        <w:numPr>
          <w:ilvl w:val="1"/>
          <w:numId w:val="59"/>
        </w:numPr>
        <w:tabs>
          <w:tab w:val="clear" w:pos="567"/>
          <w:tab w:val="clear" w:pos="1134"/>
          <w:tab w:val="clear" w:pos="1701"/>
          <w:tab w:val="clear" w:pos="2268"/>
        </w:tabs>
        <w:spacing w:line="276" w:lineRule="auto"/>
        <w:rPr>
          <w:rFonts w:eastAsia="Times New Roman"/>
          <w:color w:val="000000" w:themeColor="text1"/>
        </w:rPr>
      </w:pPr>
      <w:r>
        <w:t>Информационные технологии и цифровая трансформация, включая цифровые решения, управление инфраструктурой ИТ и информационно-техническое обеспечение информационно-координационных механизмов, а также общеорганизационное управление знаниями</w:t>
      </w:r>
    </w:p>
    <w:p w14:paraId="47BE5E5F" w14:textId="77777777" w:rsidR="001C6D3B" w:rsidRPr="00C725CE" w:rsidRDefault="001C6D3B" w:rsidP="008619CF">
      <w:pPr>
        <w:pStyle w:val="ListParagraph"/>
        <w:numPr>
          <w:ilvl w:val="1"/>
          <w:numId w:val="59"/>
        </w:numPr>
        <w:tabs>
          <w:tab w:val="clear" w:pos="567"/>
          <w:tab w:val="clear" w:pos="1134"/>
          <w:tab w:val="clear" w:pos="1701"/>
          <w:tab w:val="clear" w:pos="2268"/>
        </w:tabs>
        <w:spacing w:line="276" w:lineRule="auto"/>
        <w:rPr>
          <w:rFonts w:eastAsia="Times New Roman"/>
          <w:color w:val="000000" w:themeColor="text1"/>
        </w:rPr>
      </w:pPr>
      <w:r>
        <w:t xml:space="preserve">Японский фонд биоразнообразия </w:t>
      </w:r>
    </w:p>
    <w:p w14:paraId="78A9162B"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color w:val="000000" w:themeColor="text1"/>
        </w:rPr>
      </w:pPr>
      <w:r>
        <w:rPr>
          <w:color w:val="000000" w:themeColor="text1"/>
        </w:rPr>
        <w:t>В обзоре рекомендуются следующие конкретные изменения в текущей структуре секретариата:</w:t>
      </w:r>
    </w:p>
    <w:p w14:paraId="50813DB5" w14:textId="77777777" w:rsidR="001C6D3B" w:rsidRPr="00C725CE" w:rsidRDefault="001C6D3B" w:rsidP="00DD157A">
      <w:pPr>
        <w:pStyle w:val="Heading4"/>
        <w:numPr>
          <w:ilvl w:val="0"/>
          <w:numId w:val="0"/>
        </w:numPr>
        <w:ind w:left="567" w:hanging="567"/>
        <w:rPr>
          <w:rFonts w:eastAsia="Times New Roman"/>
          <w:b w:val="0"/>
          <w:bCs w:val="0"/>
          <w:i/>
          <w:iCs/>
          <w:color w:val="000000" w:themeColor="text1"/>
        </w:rPr>
      </w:pPr>
      <w:r>
        <w:rPr>
          <w:color w:val="000000" w:themeColor="text1"/>
        </w:rPr>
        <w:t>Канцелярия Исполнительного секретаря</w:t>
      </w:r>
    </w:p>
    <w:p w14:paraId="0CAD7589"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 xml:space="preserve">Усиление бюджетного планирования и мониторинга путем перевода и укрепления Группы по управлению программами, в настоящее время находящейся в Административном отделе, в Канцелярию Исполнительного секретаря для содействия эффективному использованию системы бюджетирования и планирования, ориентированной на результат, в качестве центрального инструмента стратегического управления секретариата для осуществления КМГРПБ и согласования ресурсов с решениями КС и Протокола. </w:t>
      </w:r>
    </w:p>
    <w:p w14:paraId="36F4C699" w14:textId="77777777" w:rsidR="001C6D3B" w:rsidRPr="00C725CE" w:rsidRDefault="001C6D3B" w:rsidP="00507DC7">
      <w:pPr>
        <w:pStyle w:val="Heading4"/>
        <w:numPr>
          <w:ilvl w:val="0"/>
          <w:numId w:val="0"/>
        </w:numPr>
        <w:ind w:left="567" w:hanging="567"/>
        <w:rPr>
          <w:rFonts w:eastAsia="Times New Roman"/>
          <w:b w:val="0"/>
        </w:rPr>
      </w:pPr>
      <w:bookmarkStart w:id="3" w:name="_Hlk215164287"/>
      <w:r>
        <w:t>Отдел мер политики, потенциала и мониторинга</w:t>
      </w:r>
    </w:p>
    <w:bookmarkEnd w:id="3"/>
    <w:p w14:paraId="5BD8CF5B"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 xml:space="preserve">Уделение большего внимания программной, научной, технической и политической поддержке секретариата в областях, имеющих центральное значение для КМГРПБ, включая работу над </w:t>
      </w:r>
      <w:r>
        <w:lastRenderedPageBreak/>
        <w:t>программами работы, ориентированными на конкретные биомы, снижение угроз для биоразнообразия и содействие устойчивому использованию и традиционным знаниям, путем объединения соответствующих кадровых ресурсов в одном отделе с высококвалифицированными кадрами в нынешней Группе по биоразнообразию, науке, политике и управлению, составляющем основной потенциал.</w:t>
      </w:r>
    </w:p>
    <w:p w14:paraId="022F91A0" w14:textId="77777777" w:rsidR="001C6D3B" w:rsidRPr="00617309"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Более эффективное использование синергии в поддержку ключевых сквозных функций осуществления, таких как создание потенциала, НСПДСБ, НТС и ИКМ, а также мониторинг, обзор и отчетность, путем объединения соответствующих кадровых ресурсов в одном отделе с высококвалифицированными кадрами в нынешних подразделениях по созданию потенциала (CП) и управлению знаниями (УЗ), а также в подразделении по мониторингу, обзору и национальной отчетности (МОНО).</w:t>
      </w:r>
    </w:p>
    <w:p w14:paraId="6E930BB8" w14:textId="77777777" w:rsidR="001C6D3B" w:rsidRPr="00C725CE" w:rsidRDefault="001C6D3B" w:rsidP="00507DC7">
      <w:pPr>
        <w:pStyle w:val="Heading4"/>
        <w:numPr>
          <w:ilvl w:val="0"/>
          <w:numId w:val="0"/>
        </w:numPr>
        <w:ind w:left="567" w:hanging="567"/>
        <w:rPr>
          <w:rFonts w:eastAsia="Times New Roman"/>
          <w:b w:val="0"/>
        </w:rPr>
      </w:pPr>
      <w:r>
        <w:t>Отдел стратегического партнерства, финансирования и экономики</w:t>
      </w:r>
    </w:p>
    <w:p w14:paraId="12817B82"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color w:val="000000" w:themeColor="text1"/>
        </w:rPr>
      </w:pPr>
      <w:r>
        <w:t xml:space="preserve">Усиление стратегической направленности на привлечение широкого круга участников, учет проблематики биоразнообразия во всех секторах экономики и на всех уровнях управления, а также содействие мобилизации ресурсов путем объединения в одном отделе поддержки секретариата в следующих областях: </w:t>
      </w:r>
    </w:p>
    <w:p w14:paraId="0C6BE892" w14:textId="77777777" w:rsidR="001C6D3B" w:rsidRPr="00C725CE" w:rsidRDefault="001C6D3B" w:rsidP="008B3605">
      <w:pPr>
        <w:pStyle w:val="ListParagraph"/>
        <w:numPr>
          <w:ilvl w:val="0"/>
          <w:numId w:val="57"/>
        </w:numPr>
        <w:tabs>
          <w:tab w:val="clear" w:pos="567"/>
          <w:tab w:val="clear" w:pos="1134"/>
          <w:tab w:val="clear" w:pos="1701"/>
          <w:tab w:val="clear" w:pos="2268"/>
        </w:tabs>
        <w:spacing w:line="278" w:lineRule="auto"/>
        <w:rPr>
          <w:rFonts w:eastAsia="Times New Roman"/>
        </w:rPr>
      </w:pPr>
      <w:r>
        <w:t>поддержка участия основных групп и субъектов деятельности,</w:t>
      </w:r>
    </w:p>
    <w:p w14:paraId="22C5E150" w14:textId="77777777" w:rsidR="001C6D3B" w:rsidRPr="00C725CE" w:rsidRDefault="001C6D3B" w:rsidP="008B3605">
      <w:pPr>
        <w:pStyle w:val="ListParagraph"/>
        <w:numPr>
          <w:ilvl w:val="0"/>
          <w:numId w:val="57"/>
        </w:numPr>
        <w:tabs>
          <w:tab w:val="clear" w:pos="567"/>
          <w:tab w:val="clear" w:pos="1134"/>
          <w:tab w:val="clear" w:pos="1701"/>
          <w:tab w:val="clear" w:pos="2268"/>
        </w:tabs>
        <w:spacing w:line="278" w:lineRule="auto"/>
        <w:rPr>
          <w:rFonts w:eastAsia="Times New Roman"/>
        </w:rPr>
      </w:pPr>
      <w:r>
        <w:t>сотрудничество с другими структурами ООН,</w:t>
      </w:r>
    </w:p>
    <w:p w14:paraId="1C617D5A" w14:textId="77777777" w:rsidR="001C6D3B" w:rsidRPr="00C725CE" w:rsidRDefault="001C6D3B" w:rsidP="008B3605">
      <w:pPr>
        <w:pStyle w:val="ListParagraph"/>
        <w:numPr>
          <w:ilvl w:val="0"/>
          <w:numId w:val="57"/>
        </w:numPr>
        <w:tabs>
          <w:tab w:val="clear" w:pos="567"/>
          <w:tab w:val="clear" w:pos="1134"/>
          <w:tab w:val="clear" w:pos="1701"/>
          <w:tab w:val="clear" w:pos="2268"/>
        </w:tabs>
        <w:spacing w:line="278" w:lineRule="auto"/>
        <w:rPr>
          <w:rFonts w:eastAsia="Times New Roman"/>
        </w:rPr>
      </w:pPr>
      <w:r>
        <w:t>поддержка, касающаяся статьи 8 (j),</w:t>
      </w:r>
    </w:p>
    <w:p w14:paraId="63129D84" w14:textId="77777777" w:rsidR="001C6D3B" w:rsidRPr="00C725CE" w:rsidRDefault="001C6D3B" w:rsidP="008B3605">
      <w:pPr>
        <w:pStyle w:val="ListParagraph"/>
        <w:numPr>
          <w:ilvl w:val="0"/>
          <w:numId w:val="57"/>
        </w:numPr>
        <w:tabs>
          <w:tab w:val="clear" w:pos="567"/>
          <w:tab w:val="clear" w:pos="1134"/>
          <w:tab w:val="clear" w:pos="1701"/>
          <w:tab w:val="clear" w:pos="2268"/>
        </w:tabs>
        <w:spacing w:line="278" w:lineRule="auto"/>
        <w:rPr>
          <w:rFonts w:eastAsia="Times New Roman"/>
        </w:rPr>
      </w:pPr>
      <w:r>
        <w:t>содействие мобилизации ресурсов (включая Калийский фонд и финансовый механизм),</w:t>
      </w:r>
    </w:p>
    <w:p w14:paraId="5C31B727" w14:textId="77777777" w:rsidR="001C6D3B" w:rsidRPr="00C725CE" w:rsidRDefault="001C6D3B" w:rsidP="008B3605">
      <w:pPr>
        <w:pStyle w:val="ListParagraph"/>
        <w:numPr>
          <w:ilvl w:val="0"/>
          <w:numId w:val="57"/>
        </w:numPr>
        <w:tabs>
          <w:tab w:val="clear" w:pos="567"/>
          <w:tab w:val="clear" w:pos="1134"/>
          <w:tab w:val="clear" w:pos="1701"/>
          <w:tab w:val="clear" w:pos="2268"/>
        </w:tabs>
        <w:spacing w:line="278" w:lineRule="auto"/>
        <w:rPr>
          <w:rFonts w:eastAsia="Times New Roman"/>
        </w:rPr>
      </w:pPr>
      <w:r>
        <w:t>коммуникация и повышение осведомленности,</w:t>
      </w:r>
    </w:p>
    <w:p w14:paraId="7A4C4A13" w14:textId="77777777" w:rsidR="001C6D3B" w:rsidRPr="00C725CE" w:rsidRDefault="001C6D3B" w:rsidP="008B3605">
      <w:pPr>
        <w:pStyle w:val="ListParagraph"/>
        <w:numPr>
          <w:ilvl w:val="0"/>
          <w:numId w:val="57"/>
        </w:numPr>
        <w:tabs>
          <w:tab w:val="clear" w:pos="567"/>
          <w:tab w:val="clear" w:pos="1134"/>
          <w:tab w:val="clear" w:pos="1701"/>
          <w:tab w:val="clear" w:pos="2268"/>
        </w:tabs>
        <w:spacing w:line="278" w:lineRule="auto"/>
        <w:rPr>
          <w:rFonts w:eastAsia="Times New Roman"/>
        </w:rPr>
      </w:pPr>
      <w:r>
        <w:t>общеорганизационное управление знаниями.</w:t>
      </w:r>
    </w:p>
    <w:p w14:paraId="5A14DB2C"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Для этого потребуется объединить ресурсы, в настоящее время распределенные между различными подразделениями с высококвалифицированными кадрами в Группе по вопросам биоразнообразия, трансформации, экономики и инноваций (БТЭИ), Группе по привлечению к участию субъектов деятельности и сотрудничеству (ПУСДС) и по вопросам людей и биоразнообразия (ЛБ), формируя его основной потенциал в три подразделения в рамках этого отдела.</w:t>
      </w:r>
    </w:p>
    <w:p w14:paraId="58341A48" w14:textId="77777777" w:rsidR="001C6D3B" w:rsidRPr="00C725CE" w:rsidRDefault="001C6D3B" w:rsidP="00FC4EF8">
      <w:pPr>
        <w:spacing w:line="276" w:lineRule="auto"/>
        <w:rPr>
          <w:rFonts w:eastAsia="Times New Roman"/>
          <w:b/>
          <w:bCs/>
          <w:color w:val="000000" w:themeColor="text1"/>
        </w:rPr>
      </w:pPr>
      <w:r>
        <w:rPr>
          <w:b/>
          <w:bCs/>
          <w:color w:val="000000" w:themeColor="text1"/>
        </w:rPr>
        <w:t>Отдел протоколов</w:t>
      </w:r>
    </w:p>
    <w:p w14:paraId="1496D7FB"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color w:val="000000" w:themeColor="text1"/>
        </w:rPr>
      </w:pPr>
      <w:r>
        <w:t>Объединение в одном отделе работы, связанной с доступом и совместным использованием выгод, цифровой информацией о последовательностях (ЦИП) в отношении генетических ресурсов и биобезопасностью. Объединение двух подразделений, занимающихся протоколами, в один отдел укрепит согласованность в осуществлении протоколов, оптимизирует поддержку Сторонам и обеспечит возможность совместного планирования и использования экспертных знаний. Такая интеграция усилит сотрудничество и повысит оперативную эффективность, а также позволит секретариату предоставлять более последовательные, скоординированные и технически надежные услуги в рамках обоих протоколов.</w:t>
      </w:r>
    </w:p>
    <w:p w14:paraId="67E0DCC0" w14:textId="77777777" w:rsidR="001C6D3B" w:rsidRPr="00C725CE" w:rsidRDefault="001C6D3B" w:rsidP="00507DC7">
      <w:pPr>
        <w:pStyle w:val="Heading4"/>
        <w:numPr>
          <w:ilvl w:val="0"/>
          <w:numId w:val="0"/>
        </w:numPr>
        <w:ind w:left="567" w:hanging="567"/>
        <w:rPr>
          <w:rFonts w:eastAsia="Times New Roman"/>
          <w:u w:val="single"/>
        </w:rPr>
      </w:pPr>
      <w:r>
        <w:t xml:space="preserve">Поддержка межправительственных совещаний </w:t>
      </w:r>
    </w:p>
    <w:p w14:paraId="5EC35B48" w14:textId="77777777" w:rsidR="001C6D3B" w:rsidRPr="00617309" w:rsidRDefault="001C6D3B" w:rsidP="00DA0C94">
      <w:pPr>
        <w:pStyle w:val="ListParagraph"/>
        <w:numPr>
          <w:ilvl w:val="0"/>
          <w:numId w:val="60"/>
        </w:numPr>
        <w:tabs>
          <w:tab w:val="clear" w:pos="567"/>
          <w:tab w:val="clear" w:pos="1134"/>
          <w:tab w:val="clear" w:pos="1701"/>
          <w:tab w:val="clear" w:pos="2268"/>
        </w:tabs>
        <w:spacing w:before="120" w:after="120"/>
        <w:contextualSpacing w:val="0"/>
        <w:rPr>
          <w:color w:val="000000" w:themeColor="text1"/>
        </w:rPr>
      </w:pPr>
      <w:r>
        <w:t>Усиление поддержки межправительственных совещаний путем создания самостоятельного подразделения, находящегося в прямом подчинении заместителя Исполнительного секретаря и учреждения должности старшего руководителя, который будет курировать и координировать материально-техническое обеспечение конференций и управление совещаниями, регистрацию участников и их поездки. Благодаря установлению прямой связи с исполнительным руководством и его контролю эти услуги должны быть более тесно интегрированы с функциями, выполняемыми Группой документации и языковой поддержки, которую в настоящее время предлагается включить в функции исполнительного руководства.</w:t>
      </w:r>
    </w:p>
    <w:p w14:paraId="7E7DD06C" w14:textId="77777777" w:rsidR="001C6D3B" w:rsidRPr="00C725CE" w:rsidRDefault="001C6D3B" w:rsidP="00507DC7">
      <w:pPr>
        <w:pStyle w:val="Heading4"/>
        <w:numPr>
          <w:ilvl w:val="0"/>
          <w:numId w:val="0"/>
        </w:numPr>
        <w:ind w:left="567" w:hanging="567"/>
        <w:rPr>
          <w:rFonts w:eastAsia="Times New Roman"/>
          <w:b w:val="0"/>
        </w:rPr>
      </w:pPr>
      <w:r>
        <w:lastRenderedPageBreak/>
        <w:t>Секция административной и оперативной поддержки</w:t>
      </w:r>
    </w:p>
    <w:p w14:paraId="2C2407C8"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Усиление административной опоры секретариата, путем сосредоточения работы отдела на следующих основных услугах:</w:t>
      </w:r>
    </w:p>
    <w:p w14:paraId="7D4B546D" w14:textId="77777777" w:rsidR="001C6D3B" w:rsidRPr="00C725CE" w:rsidRDefault="001C6D3B" w:rsidP="00FC4EF8">
      <w:pPr>
        <w:ind w:left="720" w:firstLine="720"/>
        <w:rPr>
          <w:rFonts w:eastAsia="Times New Roman"/>
        </w:rPr>
      </w:pPr>
      <w:r>
        <w:t>(a) людские ресурсы,</w:t>
      </w:r>
    </w:p>
    <w:p w14:paraId="4DF2D275" w14:textId="77777777" w:rsidR="001C6D3B" w:rsidRPr="00C725CE" w:rsidRDefault="001C6D3B" w:rsidP="00FC4EF8">
      <w:pPr>
        <w:ind w:left="720" w:firstLine="720"/>
        <w:rPr>
          <w:rFonts w:eastAsia="Times New Roman"/>
        </w:rPr>
      </w:pPr>
      <w:r>
        <w:t>(b) финансы и бюджет,</w:t>
      </w:r>
    </w:p>
    <w:p w14:paraId="7780ABE4" w14:textId="77777777" w:rsidR="001C6D3B" w:rsidRPr="00C725CE" w:rsidRDefault="001C6D3B" w:rsidP="00FC4EF8">
      <w:pPr>
        <w:ind w:left="720" w:firstLine="720"/>
        <w:rPr>
          <w:rFonts w:eastAsia="Times New Roman"/>
        </w:rPr>
      </w:pPr>
      <w:r>
        <w:t xml:space="preserve">(c) общее управление (включая эксплуатацию зданий и помещений и закупки). </w:t>
      </w:r>
    </w:p>
    <w:p w14:paraId="611A5A9F" w14:textId="77777777" w:rsidR="001C6D3B" w:rsidRPr="00C725CE" w:rsidRDefault="001C6D3B" w:rsidP="00507DC7">
      <w:pPr>
        <w:pStyle w:val="Heading4"/>
        <w:numPr>
          <w:ilvl w:val="0"/>
          <w:numId w:val="0"/>
        </w:numPr>
        <w:ind w:left="567" w:hanging="567"/>
        <w:rPr>
          <w:rFonts w:eastAsia="Times New Roman"/>
          <w:b w:val="0"/>
        </w:rPr>
      </w:pPr>
      <w:r>
        <w:t>Группа по информационным технологиям и цифровой трансформации</w:t>
      </w:r>
    </w:p>
    <w:p w14:paraId="44F35E54"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 xml:space="preserve">Усиление стратегической направленности при планировании и выполнении услуг в области информационных технологий путем консолидации ресурсов, в настоящее время распределенных между Группой по информационным технологиям Административного отдела и Группой СПУЗ, Подгруппой по информационным технологиям/ разработке и эксплуатации, в рамках единой Группы по информационным технологиям и цифровой трансформации в целях повышения эффективности, координации и поддержки цифровых инноваций. Эта группа будет сосредоточена на трех областях работы: i) предоставление инструментов и решений для использования Сторонами и другими внешними субъектами деятельности (например, информационные продукты, ИКМ, веб-сайт), ii) руководство внутренней цифровой трансформацией для улучшения внутренних процессов и рабочих потоков, координации, управления знаниями, а также управления эффективностью и данными, iii) поддержка администрирования оборудования, инфраструктуры и систем информационных технологий. </w:t>
      </w:r>
    </w:p>
    <w:p w14:paraId="2AA6DBEA" w14:textId="77777777" w:rsidR="001C6D3B" w:rsidRPr="00C725CE" w:rsidRDefault="001C6D3B" w:rsidP="00FC4EF8">
      <w:r>
        <w:rPr>
          <w:b/>
          <w:bCs/>
        </w:rPr>
        <w:t>Японский фонд биоразнообразия</w:t>
      </w:r>
    </w:p>
    <w:p w14:paraId="5E4F6B16"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pPr>
      <w:r>
        <w:t>Фонд действует в соответствии со своим мандатом и продолжает оказывать существенную поддержку секретариату в целенаправленном укреплении потенциала и содействии осуществлению. В обзоре подчеркивается возможность укрепления координации между ЯФБ и более широкими функциями секретариата в области финансового механизма для обеспечения более комплексного и стратегически интегрированного подхода к финансированию. Улучшение координации будет способствовать большей согласованности усилий по мобилизации ресурсов и улучшению соответствия приоритетным потребностям Сторон в области осуществления.</w:t>
      </w:r>
    </w:p>
    <w:p w14:paraId="27CC04FC" w14:textId="77777777" w:rsidR="001C6D3B" w:rsidRPr="00C725CE" w:rsidRDefault="001C6D3B" w:rsidP="00C03FBC">
      <w:pPr>
        <w:pStyle w:val="Heading3"/>
        <w:numPr>
          <w:ilvl w:val="0"/>
          <w:numId w:val="0"/>
        </w:numPr>
        <w:spacing w:before="240"/>
        <w:ind w:left="567" w:hanging="567"/>
      </w:pPr>
      <w:r>
        <w:t>b. Сквозная согласованность</w:t>
      </w:r>
    </w:p>
    <w:p w14:paraId="58E7F0CA"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В обзоре были выделены возможности для укрепления интеграции и координации в рамках процессов и структур, охватывающих весь секретариат. Более согласованные механизмы управления и оптимизированные рабочие процессы повысят эффективность, последовательность и институциональное обучение. В поддержку этого в обзоре рекомендуется назначить ответственных за ключевые сквозные функции. Консультации с подразделениями секретариата показали, что более четкое распределение функциональных обязанностей и определение пунктов ответственности будут способствовать укреплению сотрудничества, сокращению дублирования и обеспечению более последовательной и скоординированной работы всех отделов.</w:t>
      </w:r>
    </w:p>
    <w:p w14:paraId="550D6CE4"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Ответственные за рабочие процессы будут предоставлять технические рекомендации и услуги в своих соответствующих областях компетенции, обеспечивать последовательное применение общесекретариатских стандартов и нести ответственность за интеграцию полученного опыта во внутреннюю политику и процедуры. Такой подход укрепит межфункциональную согласованность, будет способствовать институциональному обучению и поможет внедрить общие стандарты и практики во всем секретариате. На основе обзора и консультаций предлагаются следующие ответственные за рабочие процессы:</w:t>
      </w:r>
    </w:p>
    <w:p w14:paraId="7F175C2A" w14:textId="77777777" w:rsidR="001C6D3B" w:rsidRPr="00C725CE" w:rsidRDefault="001C6D3B" w:rsidP="00484B4C">
      <w:pPr>
        <w:pStyle w:val="ListParagraph"/>
        <w:numPr>
          <w:ilvl w:val="0"/>
          <w:numId w:val="55"/>
        </w:numPr>
        <w:tabs>
          <w:tab w:val="clear" w:pos="567"/>
          <w:tab w:val="clear" w:pos="1134"/>
          <w:tab w:val="clear" w:pos="1701"/>
          <w:tab w:val="clear" w:pos="2268"/>
        </w:tabs>
        <w:spacing w:after="160" w:line="278" w:lineRule="auto"/>
        <w:jc w:val="left"/>
        <w:rPr>
          <w:rFonts w:eastAsia="Times New Roman"/>
        </w:rPr>
      </w:pPr>
      <w:bookmarkStart w:id="4" w:name="_Hlk216959711"/>
      <w:r>
        <w:t xml:space="preserve">Коммуникация: </w:t>
      </w:r>
      <w:bookmarkStart w:id="5" w:name="_Hlk216959816"/>
      <w:r>
        <w:t xml:space="preserve">Группа по коммуникации и повышению осведомленности </w:t>
      </w:r>
      <w:bookmarkEnd w:id="5"/>
    </w:p>
    <w:p w14:paraId="3E37A255" w14:textId="77777777" w:rsidR="001C6D3B" w:rsidRPr="00C725CE" w:rsidRDefault="001C6D3B" w:rsidP="00484B4C">
      <w:pPr>
        <w:pStyle w:val="ListParagraph"/>
        <w:numPr>
          <w:ilvl w:val="0"/>
          <w:numId w:val="55"/>
        </w:numPr>
        <w:tabs>
          <w:tab w:val="clear" w:pos="567"/>
          <w:tab w:val="clear" w:pos="1134"/>
          <w:tab w:val="clear" w:pos="1701"/>
          <w:tab w:val="clear" w:pos="2268"/>
        </w:tabs>
        <w:spacing w:after="160" w:line="278" w:lineRule="auto"/>
        <w:jc w:val="left"/>
        <w:rPr>
          <w:rFonts w:eastAsia="Times New Roman"/>
        </w:rPr>
      </w:pPr>
      <w:r>
        <w:t xml:space="preserve">Мобилизация ресурсов: </w:t>
      </w:r>
      <w:bookmarkStart w:id="6" w:name="_Hlk216959840"/>
      <w:r>
        <w:t>Группа по мобилизации ресурсов и стратегическому финансированию</w:t>
      </w:r>
      <w:bookmarkEnd w:id="6"/>
    </w:p>
    <w:p w14:paraId="775B6015" w14:textId="77777777" w:rsidR="001C6D3B" w:rsidRPr="00C725CE" w:rsidRDefault="001C6D3B" w:rsidP="00484B4C">
      <w:pPr>
        <w:pStyle w:val="ListParagraph"/>
        <w:numPr>
          <w:ilvl w:val="0"/>
          <w:numId w:val="55"/>
        </w:numPr>
        <w:tabs>
          <w:tab w:val="clear" w:pos="567"/>
          <w:tab w:val="clear" w:pos="1134"/>
          <w:tab w:val="clear" w:pos="1701"/>
          <w:tab w:val="clear" w:pos="2268"/>
        </w:tabs>
        <w:spacing w:after="160" w:line="278" w:lineRule="auto"/>
        <w:jc w:val="left"/>
        <w:rPr>
          <w:rFonts w:eastAsia="Times New Roman"/>
        </w:rPr>
      </w:pPr>
      <w:r>
        <w:t xml:space="preserve">Привлечение к участию субъектов деятельности: </w:t>
      </w:r>
      <w:bookmarkStart w:id="7" w:name="_Hlk216959902"/>
      <w:r>
        <w:t>Группа по привлечению к участию субъектов деятельности и сотрудничеству</w:t>
      </w:r>
      <w:bookmarkEnd w:id="7"/>
    </w:p>
    <w:p w14:paraId="0781F13B" w14:textId="77777777" w:rsidR="001C6D3B" w:rsidRPr="00C725CE" w:rsidRDefault="001C6D3B" w:rsidP="00484B4C">
      <w:pPr>
        <w:pStyle w:val="ListParagraph"/>
        <w:numPr>
          <w:ilvl w:val="0"/>
          <w:numId w:val="55"/>
        </w:numPr>
        <w:tabs>
          <w:tab w:val="clear" w:pos="567"/>
          <w:tab w:val="clear" w:pos="1134"/>
          <w:tab w:val="clear" w:pos="1701"/>
          <w:tab w:val="clear" w:pos="2268"/>
        </w:tabs>
        <w:spacing w:after="160" w:line="278" w:lineRule="auto"/>
        <w:jc w:val="left"/>
        <w:rPr>
          <w:rFonts w:eastAsia="Times New Roman"/>
        </w:rPr>
      </w:pPr>
      <w:r>
        <w:lastRenderedPageBreak/>
        <w:t>Создание потенциала: Группа по созданию потенциала, мониторингу и отчетности</w:t>
      </w:r>
    </w:p>
    <w:p w14:paraId="1F10119E" w14:textId="77777777" w:rsidR="001C6D3B" w:rsidRPr="00C725CE" w:rsidRDefault="001C6D3B" w:rsidP="00484B4C">
      <w:pPr>
        <w:pStyle w:val="ListParagraph"/>
        <w:numPr>
          <w:ilvl w:val="0"/>
          <w:numId w:val="55"/>
        </w:numPr>
        <w:tabs>
          <w:tab w:val="clear" w:pos="567"/>
          <w:tab w:val="clear" w:pos="1134"/>
          <w:tab w:val="clear" w:pos="1701"/>
          <w:tab w:val="clear" w:pos="2268"/>
        </w:tabs>
        <w:spacing w:after="160" w:line="278" w:lineRule="auto"/>
        <w:jc w:val="left"/>
        <w:rPr>
          <w:rFonts w:eastAsia="Times New Roman"/>
        </w:rPr>
      </w:pPr>
      <w:r>
        <w:t>Управление знаниями: Группа по созданию потенциала, мониторингу и отчетности</w:t>
      </w:r>
    </w:p>
    <w:p w14:paraId="4680A22E" w14:textId="77777777" w:rsidR="001C6D3B" w:rsidRPr="00C725CE" w:rsidRDefault="001C6D3B" w:rsidP="00484B4C">
      <w:pPr>
        <w:pStyle w:val="ListParagraph"/>
        <w:numPr>
          <w:ilvl w:val="0"/>
          <w:numId w:val="55"/>
        </w:numPr>
        <w:tabs>
          <w:tab w:val="clear" w:pos="567"/>
          <w:tab w:val="clear" w:pos="1134"/>
          <w:tab w:val="clear" w:pos="1701"/>
          <w:tab w:val="clear" w:pos="2268"/>
        </w:tabs>
        <w:spacing w:after="160" w:line="278" w:lineRule="auto"/>
        <w:jc w:val="left"/>
        <w:rPr>
          <w:rFonts w:eastAsia="Times New Roman"/>
        </w:rPr>
      </w:pPr>
      <w:r>
        <w:t>Конференционное управление: Группа конференционного обслуживания</w:t>
      </w:r>
    </w:p>
    <w:bookmarkEnd w:id="4"/>
    <w:p w14:paraId="102C6A1F" w14:textId="26FD8015" w:rsidR="001C6D3B" w:rsidRPr="00C725CE" w:rsidRDefault="001C6D3B" w:rsidP="006979D3">
      <w:pPr>
        <w:pStyle w:val="Heading3"/>
        <w:numPr>
          <w:ilvl w:val="0"/>
          <w:numId w:val="0"/>
        </w:numPr>
        <w:spacing w:before="0" w:after="0"/>
        <w:ind w:left="567" w:hanging="567"/>
        <w:rPr>
          <w:rFonts w:eastAsia="Times New Roman"/>
          <w:b w:val="0"/>
        </w:rPr>
      </w:pPr>
      <w:r>
        <w:t>c.  Расширение возможностей и подотчетность</w:t>
      </w:r>
    </w:p>
    <w:p w14:paraId="12EFE7EE"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Укрепление полномочий и подотчетности в секретариате имеет важное значение для обеспечения своевременного и эффективного принятия решений. В обзоре рекомендуется, по возможности, делегировать полномочия руководителям отделов в таких областях, как управление бюджетом и закупки, в соответствии с правилами и положениями Организации Объединенных Наций. В частности, расширение пределов делегирования полномочий ЮНЕП в отношении закупок невысокой стоимости помогло бы сократить задержки и повысить оперативную эффективность, учитывая, что в течение более 10 лет предел для закупок невысокой стоимости составляет 10 000 долл. США.</w:t>
      </w:r>
    </w:p>
    <w:p w14:paraId="7D10A106"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Более широкое делегирование полномочий должно сопровождаться четкими механизмами подотчетности и мониторинга результативности. Расширение возможностей управленческого персонала повысит ответственность руководства за результаты, будет стимулировать инициативу на среднем уровне управления и будет способствовать повышению гибкости и оперативности секретариата.</w:t>
      </w:r>
    </w:p>
    <w:p w14:paraId="01FE4CFC" w14:textId="77777777" w:rsidR="001C6D3B" w:rsidRPr="00C725CE" w:rsidRDefault="001C6D3B" w:rsidP="006979D3">
      <w:pPr>
        <w:pStyle w:val="Heading3"/>
        <w:numPr>
          <w:ilvl w:val="0"/>
          <w:numId w:val="0"/>
        </w:numPr>
        <w:ind w:left="567" w:hanging="567"/>
        <w:rPr>
          <w:rFonts w:eastAsia="Times New Roman"/>
          <w:b w:val="0"/>
        </w:rPr>
      </w:pPr>
      <w:r>
        <w:t>d. Кадровый потенциал и укомплектование штата</w:t>
      </w:r>
    </w:p>
    <w:p w14:paraId="13DBFEF2"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 xml:space="preserve">В ходе обзора было установлено, что нехватка кадров и высокая и неравномерная рабочая нагрузка ограничивают продуктивность секретариата и ухудшают благосостояние персонала. Кроме того, схемы организационных структур и должностные инструкции устарели. Для решения этих проблем в обзоре рекомендуется укрепить кадровую службу и провести внутренний обзор процессов найма персонала, чтобы обеспечить своевременное заполнение вакансий в координации с ЮНЕП и ЮНОН, а также обновить и опубликовать индивидуальные должностные инструкции и структуры групп, чтобы отразить текущие функции. </w:t>
      </w:r>
    </w:p>
    <w:p w14:paraId="456E26E4"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Дополнительные меры должны включать: установление регулярного процесса пересмотра и обновления должностных инструкций и данных о кадровом обеспечении секретариата, улучшение координации с ЮНЕП и ЮНОН в вопросах найма персонала, а также изучение возможностей повышения административной эффективности за счет экономии за счет масштаба при заключении контрактов и использовании совместных услуг. Улучшение планирования кадровых ресурсов, в том числе более эффективное использование временных кадров, поможет обеспечить секретариат лучше укомплектованными кадрами для удовлетворения оперативных потребностей.</w:t>
      </w:r>
    </w:p>
    <w:p w14:paraId="2476C624"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 xml:space="preserve">Учитывая растущую рабочую нагрузку секретариата и сохраняющиеся пробелы в потенциале, выявленные в нескольких технических и оперативных областях, усиление планирования трудовых ресурсов должно сопровождаться увеличением кадрового потенциала, особенно в подразделениях, сталкивающихся с возросшими требованиями. Более целенаправленное использование временных ресурсов может помочь справиться с краткосрочными нагрузками, но для устойчивого выполнения основных функций потребуется укрепить штат постоянных сотрудников. </w:t>
      </w:r>
    </w:p>
    <w:p w14:paraId="7B9C1CE1" w14:textId="77777777" w:rsidR="001C6D3B" w:rsidRPr="00C725CE" w:rsidRDefault="001C6D3B" w:rsidP="006979D3">
      <w:pPr>
        <w:pStyle w:val="Heading3"/>
        <w:numPr>
          <w:ilvl w:val="0"/>
          <w:numId w:val="0"/>
        </w:numPr>
        <w:ind w:left="567" w:hanging="567"/>
        <w:rPr>
          <w:rFonts w:eastAsia="Times New Roman"/>
          <w:b w:val="0"/>
        </w:rPr>
      </w:pPr>
      <w:r>
        <w:t>e. Трансформация методов работы</w:t>
      </w:r>
    </w:p>
    <w:p w14:paraId="2F0CE0B8"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 xml:space="preserve">В обзоре рекомендуется, чтобы секретариат принял более структурированный, общесекретариатский подход к планированию и координации работы, опираясь на систему бюджетирования, ориентированную на результат, с целью лучшего согласования деятельности с функциональными ролями и стратегическими приоритетами. Усиление планирования работы поможет сократить дублирование усилий, особенно в том, что касается привлечения к участию субъектов деятельности, мобилизации ресурсов и поддержки осуществления, улучшить координацию между подразделениями и способствовать более сбалансированному распределению рабочей нагрузки. Более формализованный внутренний процесс управления изменениями, коммуникации и подотчетности будет способствовать дальнейшему повышению прозрачности и </w:t>
      </w:r>
      <w:r>
        <w:lastRenderedPageBreak/>
        <w:t>вовлеченности персонала. Некоторые из этих улучшений уже были признаны высшим руководством и находятся на ранних стадиях внедрения, создавая основу для более интегрированных и согласованных организационных практик в будущем.</w:t>
      </w:r>
    </w:p>
    <w:p w14:paraId="0B37A8CD"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 xml:space="preserve">Кроме того, в обзоре предлагается усилить функцию мобилизации ресурсов, чтобы обеспечить наличие достаточных ресурсов для поддержки приоритетных мероприятий. Разработка полугодовых планов мобилизации ресурсов после каждой КС для мониторинга осуществления стратегий финансирования и укрепления связи между решениями, распределением ресурсов и их предоставлением. Также будет целесообразным укрепление процессов долгосрочного бюджетного планирования секретариата. Разработка многолетних финансовых прогнозов на основе прежних моделей финансирования и ожидаемых мандатов поможет секретариату добиться большей предсказуемости и согласованности деятельности отделов с общими приоритетами организации. </w:t>
      </w:r>
    </w:p>
    <w:p w14:paraId="2B2C3096" w14:textId="77777777" w:rsidR="001C6D3B" w:rsidRPr="00A26343"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В совокупности эти рекомендации призваны обеспечить более согласованную, скоординированную и перспективную работу секретариата. Эти рекомендации обусловят необходимость укрепления Группы по управлению программами для поддержки этих функций и ее повышения до Канцелярии Исполнительного секретаря. Их реализация позволит секретариату лучше согласовать свою структуру и ресурсы со своими стратегическими целями, повысить эффективность координации и укрепить свой потенциал по оказанию поддержки Сторонам в достижении целей и выполнении задач Куньминско-Монреальской глобальной рамочной программы в области биоразнообразия.</w:t>
      </w:r>
    </w:p>
    <w:p w14:paraId="5950BA24" w14:textId="77777777" w:rsidR="001C6D3B" w:rsidRPr="00A26343" w:rsidRDefault="001C6D3B" w:rsidP="006979D3">
      <w:pPr>
        <w:pStyle w:val="Heading3"/>
        <w:numPr>
          <w:ilvl w:val="0"/>
          <w:numId w:val="0"/>
        </w:numPr>
        <w:ind w:left="567" w:hanging="567"/>
        <w:rPr>
          <w:rFonts w:eastAsia="Times New Roman"/>
          <w:b w:val="0"/>
          <w:bCs w:val="0"/>
        </w:rPr>
      </w:pPr>
      <w:r>
        <w:t>f. Управление функциональной эффективностью секретариата</w:t>
      </w:r>
    </w:p>
    <w:p w14:paraId="0901D425" w14:textId="77777777" w:rsidR="001C6D3B" w:rsidRPr="00A26343"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Для решения проблемы отсутствия комплексных и надежных внутренних показателей эффективности и данных, необходимых для управления функциями секретариата, секретариат должен разработать и применять на уровне всего секретариата набор высокоуровневых показателей эффективности, согласованных с поддержкой выполнения решений КМГРПБ и КС. Эти показатели предназначены для оценки функциональной эффективности команд на уровне всего секретариата, а не индивидуальной эффективности сотрудников. Для разработки и ведения таких данных о результативности потребуются дополнительные возможности и специальные знания в области сбора, анализа и управления данными. После создания данные о результативности могут быть использованы для подготовки централизованной панели показателей результативности, а также для поддержки планирования, составления бюджета, запроса ресурсов и распределения ресурсов. Группа по управлению программами вполне сможет взять на себя ответственность за эту структуру и обеспечить ее постоянную актуальность и применение.</w:t>
      </w:r>
    </w:p>
    <w:p w14:paraId="2634337C" w14:textId="77777777" w:rsidR="001C6D3B" w:rsidRPr="00C725CE" w:rsidRDefault="001C6D3B" w:rsidP="006979D3">
      <w:pPr>
        <w:pStyle w:val="Heading3"/>
        <w:numPr>
          <w:ilvl w:val="0"/>
          <w:numId w:val="0"/>
        </w:numPr>
        <w:ind w:left="567" w:hanging="567"/>
        <w:rPr>
          <w:rFonts w:eastAsia="Times New Roman"/>
          <w:b w:val="0"/>
          <w:bCs w:val="0"/>
        </w:rPr>
      </w:pPr>
      <w:r>
        <w:t>g. Цифровая трансформация</w:t>
      </w:r>
    </w:p>
    <w:p w14:paraId="3BA7DDAF"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Разработка стратегии цифровой трансформации в масштабах всего секретариата, в которой будет сформулировано единое видение цифровых услуг, поддерживающих осуществление КМГРПБ, приоритеты модернизации ключевых процессов и платформ, укрепление управления данными, их качества и аналитики. Эта стратегия будет служить руководством для инициатив в области цифровых технологий/ИИ во всех подразделениях с целью обеспечения более эффективной работы секретариата и улучшения предоставления услуг Сторонам. Для реализации этой рекомендации потребуются дополнительные ресурсы как для разработки, так и для внедрения стратегии.</w:t>
      </w:r>
    </w:p>
    <w:p w14:paraId="6DC2986B" w14:textId="77777777" w:rsidR="001C6D3B" w:rsidRPr="00C725CE" w:rsidRDefault="001C6D3B" w:rsidP="006979D3">
      <w:pPr>
        <w:pStyle w:val="Heading2"/>
        <w:numPr>
          <w:ilvl w:val="0"/>
          <w:numId w:val="0"/>
        </w:numPr>
        <w:spacing w:before="0" w:after="0"/>
        <w:ind w:left="567" w:hanging="567"/>
        <w:rPr>
          <w:rFonts w:ascii="Times New Roman" w:eastAsia="Times New Roman" w:hAnsi="Times New Roman" w:cs="Times New Roman"/>
          <w:b w:val="0"/>
          <w:bCs/>
          <w:szCs w:val="24"/>
        </w:rPr>
      </w:pPr>
      <w:r>
        <w:rPr>
          <w:rFonts w:ascii="Times New Roman" w:hAnsi="Times New Roman"/>
          <w:bCs/>
          <w:szCs w:val="24"/>
        </w:rPr>
        <w:t>E. Следующие шаги и ожидаемые результаты</w:t>
      </w:r>
    </w:p>
    <w:p w14:paraId="0152A5EA" w14:textId="77777777" w:rsidR="001C6D3B" w:rsidRPr="00B236D8"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 xml:space="preserve">Для успешной реализации рекомендаций функционального обзора потребуется поэтапный и хорошо скоординированный подход под руководством Исполнительного секретаря и, в идеале, под управлением назначенного руководителя по реализации. В ближайшей перспективе секретариату необходимо будет создать специальный механизм реализации и управления изменениями, который будет отвечать за претворение рекомендаций в конкретные действия, последовательность реформ и мониторинг прогресса. Для осуществления этих реформ также потребуются дополнительные ресурсы для укомплектования штата и привлечения специалистов, чтобы обеспечить адекватную </w:t>
      </w:r>
      <w:r>
        <w:lastRenderedPageBreak/>
        <w:t>поддержку и устойчивость изменений. Этот механизм обеспечит прозрачность и инклюзивность реформ.</w:t>
      </w:r>
    </w:p>
    <w:p w14:paraId="5AB3C13F" w14:textId="77777777" w:rsidR="001C6D3B" w:rsidRPr="00B236D8" w:rsidRDefault="001C6D3B" w:rsidP="00DA0C94">
      <w:pPr>
        <w:pStyle w:val="ListParagraph"/>
        <w:numPr>
          <w:ilvl w:val="0"/>
          <w:numId w:val="60"/>
        </w:numPr>
        <w:tabs>
          <w:tab w:val="clear" w:pos="567"/>
          <w:tab w:val="clear" w:pos="1134"/>
          <w:tab w:val="clear" w:pos="1701"/>
          <w:tab w:val="clear" w:pos="2268"/>
        </w:tabs>
        <w:rPr>
          <w:rFonts w:eastAsia="Times New Roman"/>
        </w:rPr>
      </w:pPr>
      <w:r>
        <w:t xml:space="preserve">К краткосрочным приоритетам должны относиться: </w:t>
      </w:r>
    </w:p>
    <w:p w14:paraId="2E9D9388" w14:textId="5DBE894C" w:rsidR="001C6D3B" w:rsidRPr="00B236D8" w:rsidRDefault="001C6D3B" w:rsidP="00FC4EF8">
      <w:pPr>
        <w:ind w:firstLine="720"/>
        <w:rPr>
          <w:rFonts w:eastAsia="Times New Roman"/>
        </w:rPr>
      </w:pPr>
      <w:r>
        <w:t xml:space="preserve">(a) завершение работы над предлагаемой оперативной моделью и структурой; </w:t>
      </w:r>
    </w:p>
    <w:p w14:paraId="6E31A311" w14:textId="77777777" w:rsidR="001C6D3B" w:rsidRPr="00B236D8" w:rsidRDefault="001C6D3B" w:rsidP="00FC4EF8">
      <w:pPr>
        <w:ind w:firstLine="720"/>
        <w:rPr>
          <w:rFonts w:eastAsia="Times New Roman"/>
        </w:rPr>
      </w:pPr>
      <w:r>
        <w:t>(b) определение дополнительных должностей и ресурсов для осуществления рекомендаций;</w:t>
      </w:r>
    </w:p>
    <w:p w14:paraId="0149BB24" w14:textId="77777777" w:rsidR="001C6D3B" w:rsidRPr="00B236D8" w:rsidRDefault="001C6D3B" w:rsidP="00FC4EF8">
      <w:pPr>
        <w:ind w:firstLine="720"/>
        <w:rPr>
          <w:color w:val="000000" w:themeColor="text1"/>
        </w:rPr>
      </w:pPr>
      <w:r>
        <w:t>(c) подробный план корректировки должностей и уровней в соответствии с утвержденной структурой;</w:t>
      </w:r>
    </w:p>
    <w:p w14:paraId="049D0037" w14:textId="77777777" w:rsidR="001C6D3B" w:rsidRPr="00617309" w:rsidRDefault="001C6D3B" w:rsidP="00FC4EF8">
      <w:pPr>
        <w:ind w:firstLine="720"/>
        <w:rPr>
          <w:rFonts w:eastAsia="Times New Roman"/>
        </w:rPr>
      </w:pPr>
      <w:r>
        <w:rPr>
          <w:color w:val="000000" w:themeColor="text1"/>
        </w:rPr>
        <w:t>(d) разработка обновленных или новых должностных инструкций;</w:t>
      </w:r>
    </w:p>
    <w:p w14:paraId="161DF0F0" w14:textId="77777777" w:rsidR="001C6D3B" w:rsidRPr="00C725CE" w:rsidRDefault="001C6D3B" w:rsidP="00FC4EF8">
      <w:pPr>
        <w:ind w:firstLine="720"/>
        <w:rPr>
          <w:rFonts w:eastAsia="Times New Roman"/>
        </w:rPr>
      </w:pPr>
      <w:r>
        <w:t xml:space="preserve">(e) начало общесекретариатской коммуникации по процессу реформы; </w:t>
      </w:r>
    </w:p>
    <w:p w14:paraId="15B0D395" w14:textId="77777777" w:rsidR="001C6D3B" w:rsidRPr="00C725CE" w:rsidRDefault="001C6D3B" w:rsidP="00FC4EF8">
      <w:pPr>
        <w:ind w:firstLine="720"/>
        <w:rPr>
          <w:rFonts w:eastAsia="Times New Roman"/>
        </w:rPr>
      </w:pPr>
      <w:r>
        <w:t xml:space="preserve">(f) назначение ответственных за рабочие процессы; и </w:t>
      </w:r>
    </w:p>
    <w:p w14:paraId="3BB1ABAA" w14:textId="77777777" w:rsidR="001C6D3B" w:rsidRPr="00C725CE" w:rsidRDefault="001C6D3B" w:rsidP="00FC4EF8">
      <w:pPr>
        <w:ind w:firstLine="720"/>
        <w:rPr>
          <w:rFonts w:eastAsia="Times New Roman"/>
        </w:rPr>
      </w:pPr>
      <w:r>
        <w:t xml:space="preserve">(g) интеграция бюджетирования, ориентированного на результат, в качестве стандартной практики управления. </w:t>
      </w:r>
    </w:p>
    <w:p w14:paraId="2A136F0F"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Среднесрочные действия должны быть направлены на:</w:t>
      </w:r>
    </w:p>
    <w:p w14:paraId="46985762" w14:textId="77777777" w:rsidR="001C6D3B" w:rsidRPr="00C725CE" w:rsidRDefault="001C6D3B" w:rsidP="00FC4EF8">
      <w:pPr>
        <w:ind w:firstLine="720"/>
        <w:rPr>
          <w:rFonts w:eastAsia="Times New Roman"/>
        </w:rPr>
      </w:pPr>
      <w:r>
        <w:t>(a) начало процесса структурного согласования в соответствии с политикой и процедурами СКБР и ЮНЕП;</w:t>
      </w:r>
    </w:p>
    <w:p w14:paraId="5D5D28A3" w14:textId="77777777" w:rsidR="001C6D3B" w:rsidRPr="00C725CE" w:rsidRDefault="001C6D3B" w:rsidP="00FC4EF8">
      <w:pPr>
        <w:ind w:firstLine="720"/>
        <w:rPr>
          <w:rFonts w:eastAsia="Times New Roman"/>
        </w:rPr>
      </w:pPr>
      <w:r>
        <w:t xml:space="preserve">(b) укрепление координации и согласованности между новыми функциональными кластерами; </w:t>
      </w:r>
    </w:p>
    <w:p w14:paraId="59ECCD7B" w14:textId="77777777" w:rsidR="001C6D3B" w:rsidRPr="00C725CE" w:rsidRDefault="001C6D3B" w:rsidP="00FC4EF8">
      <w:pPr>
        <w:ind w:firstLine="720"/>
        <w:rPr>
          <w:rFonts w:eastAsia="Times New Roman"/>
        </w:rPr>
      </w:pPr>
      <w:r>
        <w:t xml:space="preserve">(c) внедрение механизмов подотчетности; </w:t>
      </w:r>
    </w:p>
    <w:p w14:paraId="6C93C079" w14:textId="77777777" w:rsidR="001C6D3B" w:rsidRPr="00C725CE" w:rsidRDefault="001C6D3B" w:rsidP="00FC4EF8">
      <w:pPr>
        <w:ind w:firstLine="720"/>
        <w:rPr>
          <w:rFonts w:eastAsia="Times New Roman"/>
        </w:rPr>
      </w:pPr>
      <w:r>
        <w:t xml:space="preserve">(d) укрепление потенциала персонала посредством целевых инициатив в области развития; </w:t>
      </w:r>
    </w:p>
    <w:p w14:paraId="7B4BC529" w14:textId="77777777" w:rsidR="001C6D3B" w:rsidRPr="00C725CE" w:rsidRDefault="001C6D3B" w:rsidP="00FC4EF8">
      <w:pPr>
        <w:ind w:firstLine="720"/>
        <w:rPr>
          <w:rFonts w:eastAsia="Times New Roman"/>
        </w:rPr>
      </w:pPr>
      <w:r>
        <w:t>(e) разработка и внедрение системы управления эффективностью и данными;</w:t>
      </w:r>
    </w:p>
    <w:p w14:paraId="24D7A29E" w14:textId="77777777" w:rsidR="001C6D3B" w:rsidRPr="00C725CE" w:rsidRDefault="001C6D3B" w:rsidP="00FC4EF8">
      <w:pPr>
        <w:ind w:firstLine="720"/>
        <w:rPr>
          <w:rFonts w:eastAsia="Times New Roman"/>
        </w:rPr>
      </w:pPr>
      <w:r>
        <w:t>(f) разработка стратегии цифровой трансформации.</w:t>
      </w:r>
    </w:p>
    <w:p w14:paraId="7F865073"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Кроме того, приоритетным направлением должно стать внедрение интегрированных систем планирования, бюджетирования и мониторинга в целях улучшения процесса принятия решений, повышения прозрачности и согласованности между стратегическими приоритетами и распределением ресурсов.</w:t>
      </w:r>
    </w:p>
    <w:p w14:paraId="6C074768"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В долгосрочной перспективе секретариату необходимо будет институционализировать новую операционную модель, обеспечив полное согласование организационных структур, процессов и систем. Для укрепления процесса этих реформ будут иметь решающее значение постоянное участие руководства, проактивная коммуникация и постоянные консультации с персоналом и руководящими органами.</w:t>
      </w:r>
    </w:p>
    <w:p w14:paraId="5C199DC6" w14:textId="1CDD4E00"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t>Также признается, что любые бюджетные последствия, возникающие в результате осуществления функционального обзора, включая те, которые связаны с дополнительным кадровым потенциалом и финансированием мероприятий, потребуют одобрения Сторонами. Поэтому секретариату необходимо будет обеспечить, чтобы все предлагаемые корректировки, имеющие финансовые последствия, были прозрачно рассчитаны, обоснованы и представлены на рассмотрение в рамках соответствующих межправительственных процессов.</w:t>
      </w:r>
    </w:p>
    <w:p w14:paraId="036C3BBF" w14:textId="37FCB969" w:rsidR="001C6D3B" w:rsidRPr="00DA0C94"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heme="majorEastAsia"/>
          <w:b/>
          <w:bCs/>
          <w:sz w:val="28"/>
          <w:szCs w:val="28"/>
        </w:rPr>
      </w:pPr>
      <w:r>
        <w:t xml:space="preserve">Ожидаемые результаты этого процесса включают более согласованный и стратегически ориентированный секретариат с четкой подотчетностью, оптимизированным использованием ресурсов и расширенными возможностями для выполнения мандатов КС. Реструктурированная организация будет иметь больше возможностей для оказания поддержки Сторонам в достижении целей и выполнении задач КМГРПБ за счет улучшения координации, укрепления партнерских отношений и более эффективного обслуживания межправительственных процессов, включая руководящие и вспомогательные органы. </w:t>
      </w:r>
      <w:r w:rsidR="00CA0BC6">
        <w:t>В итоге</w:t>
      </w:r>
      <w:r>
        <w:t xml:space="preserve"> осуществление рекомендаций обзора позволит секретариату функционировать как более гибкая, ориентированная на результаты и готовая к будущему организация, способная эффективно реагировать на меняющуюся глобальную повестку дня в области биоразнообразия.</w:t>
      </w:r>
    </w:p>
    <w:p w14:paraId="6D020E9F" w14:textId="77777777" w:rsidR="00244EFC" w:rsidRDefault="00244EFC" w:rsidP="00A111D1">
      <w:pPr>
        <w:pStyle w:val="Para1"/>
        <w:numPr>
          <w:ilvl w:val="0"/>
          <w:numId w:val="0"/>
        </w:numPr>
        <w:ind w:left="567"/>
        <w:jc w:val="center"/>
      </w:pPr>
    </w:p>
    <w:p w14:paraId="65976694" w14:textId="77777777" w:rsidR="00244EFC" w:rsidRDefault="00244EFC" w:rsidP="00A111D1">
      <w:pPr>
        <w:pStyle w:val="Para1"/>
        <w:numPr>
          <w:ilvl w:val="0"/>
          <w:numId w:val="0"/>
        </w:numPr>
        <w:ind w:left="567"/>
        <w:jc w:val="center"/>
        <w:sectPr w:rsidR="00244EFC" w:rsidSect="00E57322">
          <w:headerReference w:type="even" r:id="rId23"/>
          <w:headerReference w:type="default" r:id="rId24"/>
          <w:footerReference w:type="even" r:id="rId25"/>
          <w:footerReference w:type="default" r:id="rId26"/>
          <w:pgSz w:w="12240" w:h="15840"/>
          <w:pgMar w:top="1134" w:right="1440" w:bottom="1134" w:left="1440" w:header="709" w:footer="709" w:gutter="0"/>
          <w:cols w:space="708"/>
          <w:titlePg/>
          <w:docGrid w:linePitch="360"/>
        </w:sectPr>
      </w:pPr>
    </w:p>
    <w:p w14:paraId="6858385A" w14:textId="526ACD24" w:rsidR="00244EFC" w:rsidRDefault="00244EFC" w:rsidP="00244EFC">
      <w:pPr>
        <w:pStyle w:val="CBDAnnex"/>
      </w:pPr>
      <w:r>
        <w:lastRenderedPageBreak/>
        <w:t>Приложение II</w:t>
      </w:r>
    </w:p>
    <w:p w14:paraId="1B76CE4E" w14:textId="77777777" w:rsidR="00244EFC" w:rsidRDefault="00244EFC" w:rsidP="00244EFC">
      <w:pPr>
        <w:pStyle w:val="CBDTitle"/>
      </w:pPr>
      <w:r>
        <w:t>Сметные потребности во внебюджетных ресурсах</w:t>
      </w:r>
    </w:p>
    <w:p w14:paraId="37D5589C" w14:textId="77777777" w:rsidR="00244EFC" w:rsidRDefault="00244EFC" w:rsidP="00244EFC">
      <w:pPr>
        <w:pStyle w:val="CBDNormalNoNumber"/>
      </w:pPr>
      <w:r>
        <w:t>Нижеприведенная таблица подготовлена для представления сметных потребностей во внебюджетных ресурсах для осуществления мероприятий, порученных секретариату в соответствии с проектом рекомендации, и предназначена для содействия его рассмотрению.</w:t>
      </w:r>
      <w:bookmarkStart w:id="8" w:name="_Hlk216086750"/>
      <w:r>
        <w:t xml:space="preserve"> Настоящее приложение не является частью проекта рекомендации, представленного на рассмотрение Вспомогательного органа. </w:t>
      </w:r>
    </w:p>
    <w:bookmarkEnd w:id="8"/>
    <w:p w14:paraId="5DD0B8B8" w14:textId="77777777" w:rsidR="00D0239C" w:rsidRDefault="00D0239C" w:rsidP="00DA0C94">
      <w:pPr>
        <w:pStyle w:val="CBDTableTitle"/>
      </w:pPr>
      <w:r>
        <w:t>Потребности во внебюджетных ресурсах</w:t>
      </w:r>
    </w:p>
    <w:p w14:paraId="2B4B5192" w14:textId="77777777" w:rsidR="00D0239C" w:rsidRPr="00370945" w:rsidRDefault="00D0239C" w:rsidP="00D0239C">
      <w:pPr>
        <w:spacing w:before="120" w:after="120"/>
        <w:rPr>
          <w:iCs/>
        </w:rPr>
      </w:pPr>
      <w:r>
        <w:rPr>
          <w:iCs/>
          <w:sz w:val="18"/>
          <w:szCs w:val="18"/>
        </w:rPr>
        <w:t>(в долл. США)</w:t>
      </w:r>
    </w:p>
    <w:tbl>
      <w:tblPr>
        <w:tblW w:w="9410" w:type="dxa"/>
        <w:tblLayout w:type="fixed"/>
        <w:tblCellMar>
          <w:left w:w="0" w:type="dxa"/>
          <w:right w:w="0" w:type="dxa"/>
        </w:tblCellMar>
        <w:tblLook w:val="04A0" w:firstRow="1" w:lastRow="0" w:firstColumn="1" w:lastColumn="0" w:noHBand="0" w:noVBand="1"/>
      </w:tblPr>
      <w:tblGrid>
        <w:gridCol w:w="426"/>
        <w:gridCol w:w="2725"/>
        <w:gridCol w:w="1261"/>
        <w:gridCol w:w="1259"/>
        <w:gridCol w:w="1080"/>
        <w:gridCol w:w="994"/>
        <w:gridCol w:w="805"/>
        <w:gridCol w:w="860"/>
      </w:tblGrid>
      <w:tr w:rsidR="00CA0BC6" w:rsidRPr="00A810C3" w14:paraId="765F91C9" w14:textId="77777777" w:rsidTr="00CA0BC6">
        <w:trPr>
          <w:trHeight w:val="290"/>
        </w:trPr>
        <w:tc>
          <w:tcPr>
            <w:tcW w:w="226" w:type="pct"/>
            <w:tcBorders>
              <w:top w:val="single" w:sz="4" w:space="0" w:color="auto"/>
              <w:bottom w:val="single" w:sz="8" w:space="0" w:color="auto"/>
            </w:tcBorders>
            <w:vAlign w:val="bottom"/>
          </w:tcPr>
          <w:p w14:paraId="03852902" w14:textId="77777777" w:rsidR="00D0239C" w:rsidRDefault="00D0239C" w:rsidP="00DA0C94">
            <w:pPr>
              <w:jc w:val="center"/>
              <w:rPr>
                <w:sz w:val="20"/>
                <w:szCs w:val="20"/>
              </w:rPr>
            </w:pPr>
            <w:r>
              <w:rPr>
                <w:i/>
                <w:iCs/>
                <w:sz w:val="20"/>
                <w:szCs w:val="20"/>
              </w:rPr>
              <w:t>ПП</w:t>
            </w:r>
          </w:p>
        </w:tc>
        <w:tc>
          <w:tcPr>
            <w:tcW w:w="1448" w:type="pct"/>
            <w:tcBorders>
              <w:top w:val="single" w:sz="4" w:space="0" w:color="auto"/>
              <w:bottom w:val="single" w:sz="8" w:space="0" w:color="auto"/>
            </w:tcBorders>
            <w:noWrap/>
            <w:tcMar>
              <w:top w:w="0" w:type="dxa"/>
              <w:left w:w="108" w:type="dxa"/>
              <w:bottom w:w="0" w:type="dxa"/>
              <w:right w:w="108" w:type="dxa"/>
            </w:tcMar>
            <w:vAlign w:val="bottom"/>
          </w:tcPr>
          <w:p w14:paraId="2682D279" w14:textId="77777777" w:rsidR="00D0239C" w:rsidRDefault="00D0239C" w:rsidP="00DA0C94">
            <w:pPr>
              <w:jc w:val="left"/>
              <w:rPr>
                <w:sz w:val="20"/>
                <w:szCs w:val="20"/>
              </w:rPr>
            </w:pPr>
            <w:r>
              <w:rPr>
                <w:i/>
                <w:iCs/>
                <w:sz w:val="20"/>
                <w:szCs w:val="20"/>
              </w:rPr>
              <w:t>Мероприятие</w:t>
            </w:r>
          </w:p>
        </w:tc>
        <w:tc>
          <w:tcPr>
            <w:tcW w:w="670" w:type="pct"/>
            <w:tcBorders>
              <w:top w:val="single" w:sz="4" w:space="0" w:color="auto"/>
              <w:bottom w:val="single" w:sz="8" w:space="0" w:color="auto"/>
            </w:tcBorders>
            <w:noWrap/>
            <w:tcMar>
              <w:top w:w="0" w:type="dxa"/>
              <w:left w:w="108" w:type="dxa"/>
              <w:bottom w:w="0" w:type="dxa"/>
              <w:right w:w="108" w:type="dxa"/>
            </w:tcMar>
            <w:vAlign w:val="bottom"/>
          </w:tcPr>
          <w:p w14:paraId="03D12DE6" w14:textId="4AA6AE0F" w:rsidR="00D0239C" w:rsidRPr="00793F17" w:rsidRDefault="00D0239C" w:rsidP="00DA0C94">
            <w:pPr>
              <w:jc w:val="center"/>
              <w:rPr>
                <w:sz w:val="20"/>
                <w:szCs w:val="20"/>
              </w:rPr>
            </w:pPr>
            <w:r>
              <w:rPr>
                <w:i/>
                <w:iCs/>
                <w:sz w:val="20"/>
                <w:szCs w:val="20"/>
              </w:rPr>
              <w:t>Расходы на проведение совещаний</w:t>
            </w:r>
          </w:p>
        </w:tc>
        <w:tc>
          <w:tcPr>
            <w:tcW w:w="669" w:type="pct"/>
            <w:tcBorders>
              <w:top w:val="single" w:sz="4" w:space="0" w:color="auto"/>
              <w:bottom w:val="single" w:sz="8" w:space="0" w:color="auto"/>
            </w:tcBorders>
            <w:noWrap/>
            <w:tcMar>
              <w:top w:w="0" w:type="dxa"/>
              <w:left w:w="108" w:type="dxa"/>
              <w:bottom w:w="0" w:type="dxa"/>
              <w:right w:w="108" w:type="dxa"/>
            </w:tcMar>
            <w:vAlign w:val="bottom"/>
          </w:tcPr>
          <w:p w14:paraId="0ADA7E0A" w14:textId="77777777" w:rsidR="00D0239C" w:rsidRPr="00793F17" w:rsidRDefault="00D0239C" w:rsidP="00DA0C94">
            <w:pPr>
              <w:jc w:val="center"/>
              <w:rPr>
                <w:sz w:val="20"/>
                <w:szCs w:val="20"/>
              </w:rPr>
            </w:pPr>
            <w:r>
              <w:rPr>
                <w:i/>
                <w:iCs/>
                <w:sz w:val="20"/>
                <w:szCs w:val="20"/>
              </w:rPr>
              <w:t>Служебные командировки</w:t>
            </w:r>
          </w:p>
        </w:tc>
        <w:tc>
          <w:tcPr>
            <w:tcW w:w="574" w:type="pct"/>
            <w:tcBorders>
              <w:top w:val="single" w:sz="4" w:space="0" w:color="auto"/>
              <w:bottom w:val="single" w:sz="8" w:space="0" w:color="auto"/>
            </w:tcBorders>
            <w:noWrap/>
            <w:tcMar>
              <w:top w:w="0" w:type="dxa"/>
              <w:left w:w="108" w:type="dxa"/>
              <w:bottom w:w="0" w:type="dxa"/>
              <w:right w:w="108" w:type="dxa"/>
            </w:tcMar>
            <w:vAlign w:val="bottom"/>
          </w:tcPr>
          <w:p w14:paraId="7B2202EC" w14:textId="5BE5DD21" w:rsidR="00D0239C" w:rsidRPr="00793F17" w:rsidRDefault="00D0239C" w:rsidP="00DA0C94">
            <w:pPr>
              <w:jc w:val="center"/>
              <w:rPr>
                <w:sz w:val="20"/>
                <w:szCs w:val="20"/>
              </w:rPr>
            </w:pPr>
            <w:r>
              <w:rPr>
                <w:i/>
                <w:iCs/>
                <w:sz w:val="20"/>
                <w:szCs w:val="20"/>
              </w:rPr>
              <w:t>Расходы на персонал</w:t>
            </w:r>
            <w:r>
              <w:rPr>
                <w:i/>
                <w:iCs/>
                <w:sz w:val="20"/>
                <w:szCs w:val="20"/>
                <w:vertAlign w:val="superscript"/>
              </w:rPr>
              <w:t>a</w:t>
            </w:r>
          </w:p>
        </w:tc>
        <w:tc>
          <w:tcPr>
            <w:tcW w:w="528" w:type="pct"/>
            <w:tcBorders>
              <w:top w:val="single" w:sz="4" w:space="0" w:color="auto"/>
              <w:bottom w:val="single" w:sz="8" w:space="0" w:color="auto"/>
            </w:tcBorders>
            <w:noWrap/>
            <w:tcMar>
              <w:top w:w="0" w:type="dxa"/>
              <w:left w:w="108" w:type="dxa"/>
              <w:bottom w:w="0" w:type="dxa"/>
              <w:right w:w="108" w:type="dxa"/>
            </w:tcMar>
            <w:vAlign w:val="bottom"/>
          </w:tcPr>
          <w:p w14:paraId="62D707E6" w14:textId="77777777" w:rsidR="00D0239C" w:rsidRPr="00793F17" w:rsidRDefault="00D0239C" w:rsidP="00DA0C94">
            <w:pPr>
              <w:jc w:val="center"/>
              <w:rPr>
                <w:sz w:val="20"/>
                <w:szCs w:val="20"/>
              </w:rPr>
            </w:pPr>
            <w:r>
              <w:rPr>
                <w:i/>
                <w:iCs/>
                <w:sz w:val="20"/>
                <w:szCs w:val="20"/>
              </w:rPr>
              <w:t>Промежуточный итог</w:t>
            </w:r>
          </w:p>
        </w:tc>
        <w:tc>
          <w:tcPr>
            <w:tcW w:w="428" w:type="pct"/>
            <w:tcBorders>
              <w:top w:val="single" w:sz="4" w:space="0" w:color="auto"/>
              <w:bottom w:val="single" w:sz="8" w:space="0" w:color="auto"/>
            </w:tcBorders>
            <w:noWrap/>
            <w:tcMar>
              <w:top w:w="0" w:type="dxa"/>
              <w:left w:w="108" w:type="dxa"/>
              <w:bottom w:w="0" w:type="dxa"/>
              <w:right w:w="108" w:type="dxa"/>
            </w:tcMar>
            <w:vAlign w:val="bottom"/>
          </w:tcPr>
          <w:p w14:paraId="6E56FF9C" w14:textId="05D34254" w:rsidR="00D0239C" w:rsidRPr="00793F17" w:rsidRDefault="00D0239C" w:rsidP="00DA0C94">
            <w:pPr>
              <w:jc w:val="center"/>
              <w:rPr>
                <w:sz w:val="20"/>
                <w:szCs w:val="20"/>
              </w:rPr>
            </w:pPr>
            <w:r>
              <w:rPr>
                <w:i/>
                <w:iCs/>
                <w:sz w:val="20"/>
                <w:szCs w:val="20"/>
              </w:rPr>
              <w:t>РПП</w:t>
            </w:r>
            <w:r>
              <w:rPr>
                <w:i/>
                <w:iCs/>
                <w:sz w:val="20"/>
                <w:szCs w:val="20"/>
              </w:rPr>
              <w:cr/>
            </w:r>
            <w:r>
              <w:rPr>
                <w:i/>
                <w:iCs/>
                <w:sz w:val="20"/>
                <w:szCs w:val="20"/>
              </w:rPr>
              <w:br/>
              <w:t>(13%)</w:t>
            </w:r>
          </w:p>
        </w:tc>
        <w:tc>
          <w:tcPr>
            <w:tcW w:w="457" w:type="pct"/>
            <w:tcBorders>
              <w:top w:val="single" w:sz="4" w:space="0" w:color="auto"/>
              <w:bottom w:val="single" w:sz="8" w:space="0" w:color="auto"/>
            </w:tcBorders>
            <w:noWrap/>
            <w:tcMar>
              <w:top w:w="0" w:type="dxa"/>
              <w:left w:w="108" w:type="dxa"/>
              <w:bottom w:w="0" w:type="dxa"/>
              <w:right w:w="108" w:type="dxa"/>
            </w:tcMar>
            <w:vAlign w:val="bottom"/>
          </w:tcPr>
          <w:p w14:paraId="1A98E395" w14:textId="77777777" w:rsidR="00D0239C" w:rsidRPr="00FF2841" w:rsidRDefault="00D0239C" w:rsidP="006A0A90">
            <w:pPr>
              <w:jc w:val="right"/>
              <w:rPr>
                <w:i/>
                <w:iCs/>
                <w:sz w:val="20"/>
                <w:szCs w:val="20"/>
              </w:rPr>
            </w:pPr>
            <w:r>
              <w:rPr>
                <w:i/>
                <w:iCs/>
                <w:sz w:val="20"/>
                <w:szCs w:val="20"/>
              </w:rPr>
              <w:t>Итого</w:t>
            </w:r>
          </w:p>
        </w:tc>
      </w:tr>
      <w:tr w:rsidR="00CA0BC6" w:rsidRPr="00A810C3" w14:paraId="07C001EA" w14:textId="77777777" w:rsidTr="00CA0BC6">
        <w:trPr>
          <w:trHeight w:val="290"/>
        </w:trPr>
        <w:tc>
          <w:tcPr>
            <w:tcW w:w="226" w:type="pct"/>
            <w:tcBorders>
              <w:top w:val="single" w:sz="8" w:space="0" w:color="auto"/>
            </w:tcBorders>
          </w:tcPr>
          <w:p w14:paraId="4B68B0DF" w14:textId="708E65DA" w:rsidR="00D0239C" w:rsidRPr="007D1FEC" w:rsidRDefault="00D0239C" w:rsidP="00DA0C94">
            <w:pPr>
              <w:jc w:val="right"/>
              <w:rPr>
                <w:sz w:val="20"/>
                <w:szCs w:val="20"/>
              </w:rPr>
            </w:pPr>
            <w:r>
              <w:rPr>
                <w:sz w:val="20"/>
                <w:szCs w:val="20"/>
              </w:rPr>
              <w:t>4 (a)</w:t>
            </w:r>
          </w:p>
        </w:tc>
        <w:tc>
          <w:tcPr>
            <w:tcW w:w="1448" w:type="pct"/>
            <w:tcBorders>
              <w:top w:val="single" w:sz="8" w:space="0" w:color="auto"/>
            </w:tcBorders>
            <w:noWrap/>
            <w:tcMar>
              <w:top w:w="0" w:type="dxa"/>
              <w:left w:w="108" w:type="dxa"/>
              <w:bottom w:w="0" w:type="dxa"/>
              <w:right w:w="108" w:type="dxa"/>
            </w:tcMar>
            <w:vAlign w:val="center"/>
            <w:hideMark/>
          </w:tcPr>
          <w:p w14:paraId="0A5647BC" w14:textId="7D1635D7" w:rsidR="00D0239C" w:rsidRPr="004425A5" w:rsidRDefault="00D0239C" w:rsidP="00890663">
            <w:pPr>
              <w:jc w:val="left"/>
              <w:rPr>
                <w:iCs/>
                <w:sz w:val="20"/>
                <w:szCs w:val="20"/>
                <w:highlight w:val="yellow"/>
              </w:rPr>
            </w:pPr>
            <w:r>
              <w:rPr>
                <w:iCs/>
                <w:snapToGrid w:val="0"/>
                <w:sz w:val="20"/>
                <w:szCs w:val="20"/>
              </w:rPr>
              <w:t>Содействие реализации некоторых рекомендаций, содержащихся в функциональном обзоре и касающихся совершенствования рабочих процессов, в случае отсутствия штатных должностей</w:t>
            </w:r>
          </w:p>
        </w:tc>
        <w:tc>
          <w:tcPr>
            <w:tcW w:w="670" w:type="pct"/>
            <w:tcBorders>
              <w:top w:val="single" w:sz="8" w:space="0" w:color="auto"/>
            </w:tcBorders>
            <w:noWrap/>
            <w:tcMar>
              <w:top w:w="0" w:type="dxa"/>
              <w:left w:w="108" w:type="dxa"/>
              <w:bottom w:w="0" w:type="dxa"/>
              <w:right w:w="108" w:type="dxa"/>
            </w:tcMar>
            <w:vAlign w:val="bottom"/>
            <w:hideMark/>
          </w:tcPr>
          <w:p w14:paraId="2B0AC047" w14:textId="581C62AE" w:rsidR="00D0239C" w:rsidRPr="00793F17" w:rsidRDefault="006A0A90" w:rsidP="006A0A90">
            <w:pPr>
              <w:jc w:val="right"/>
              <w:rPr>
                <w:sz w:val="20"/>
                <w:szCs w:val="20"/>
              </w:rPr>
            </w:pPr>
            <w:r>
              <w:rPr>
                <w:sz w:val="20"/>
                <w:szCs w:val="20"/>
              </w:rPr>
              <w:t>–</w:t>
            </w:r>
          </w:p>
        </w:tc>
        <w:tc>
          <w:tcPr>
            <w:tcW w:w="669" w:type="pct"/>
            <w:tcBorders>
              <w:top w:val="single" w:sz="8" w:space="0" w:color="auto"/>
            </w:tcBorders>
            <w:noWrap/>
            <w:tcMar>
              <w:top w:w="0" w:type="dxa"/>
              <w:left w:w="108" w:type="dxa"/>
              <w:bottom w:w="0" w:type="dxa"/>
              <w:right w:w="108" w:type="dxa"/>
            </w:tcMar>
            <w:vAlign w:val="bottom"/>
            <w:hideMark/>
          </w:tcPr>
          <w:p w14:paraId="567F3A7C" w14:textId="54028480" w:rsidR="00D0239C" w:rsidRPr="00793F17" w:rsidRDefault="006A0A90" w:rsidP="006A0A90">
            <w:pPr>
              <w:jc w:val="right"/>
              <w:rPr>
                <w:sz w:val="20"/>
                <w:szCs w:val="20"/>
              </w:rPr>
            </w:pPr>
            <w:r>
              <w:rPr>
                <w:sz w:val="20"/>
                <w:szCs w:val="20"/>
              </w:rPr>
              <w:t>–</w:t>
            </w:r>
          </w:p>
        </w:tc>
        <w:tc>
          <w:tcPr>
            <w:tcW w:w="574" w:type="pct"/>
            <w:tcBorders>
              <w:top w:val="single" w:sz="8" w:space="0" w:color="auto"/>
            </w:tcBorders>
            <w:noWrap/>
            <w:tcMar>
              <w:top w:w="0" w:type="dxa"/>
              <w:left w:w="108" w:type="dxa"/>
              <w:bottom w:w="0" w:type="dxa"/>
              <w:right w:w="108" w:type="dxa"/>
            </w:tcMar>
            <w:vAlign w:val="bottom"/>
            <w:hideMark/>
          </w:tcPr>
          <w:p w14:paraId="69F386F4" w14:textId="76EC3141" w:rsidR="00D0239C" w:rsidRPr="00793F17" w:rsidRDefault="00D0239C" w:rsidP="006A0A90">
            <w:pPr>
              <w:jc w:val="right"/>
              <w:rPr>
                <w:sz w:val="20"/>
                <w:szCs w:val="20"/>
              </w:rPr>
            </w:pPr>
            <w:r>
              <w:rPr>
                <w:sz w:val="20"/>
                <w:szCs w:val="20"/>
              </w:rPr>
              <w:t>288 000</w:t>
            </w:r>
          </w:p>
        </w:tc>
        <w:tc>
          <w:tcPr>
            <w:tcW w:w="528" w:type="pct"/>
            <w:tcBorders>
              <w:top w:val="single" w:sz="8" w:space="0" w:color="auto"/>
            </w:tcBorders>
            <w:noWrap/>
            <w:tcMar>
              <w:top w:w="0" w:type="dxa"/>
              <w:left w:w="108" w:type="dxa"/>
              <w:bottom w:w="0" w:type="dxa"/>
              <w:right w:w="108" w:type="dxa"/>
            </w:tcMar>
            <w:vAlign w:val="bottom"/>
            <w:hideMark/>
          </w:tcPr>
          <w:p w14:paraId="3E8D2BA9" w14:textId="0A9DE25E" w:rsidR="00D0239C" w:rsidRPr="00793F17" w:rsidRDefault="00D0239C" w:rsidP="006A0A90">
            <w:pPr>
              <w:jc w:val="right"/>
              <w:rPr>
                <w:sz w:val="20"/>
                <w:szCs w:val="20"/>
              </w:rPr>
            </w:pPr>
            <w:r>
              <w:rPr>
                <w:sz w:val="20"/>
                <w:szCs w:val="20"/>
              </w:rPr>
              <w:t>288 000</w:t>
            </w:r>
          </w:p>
        </w:tc>
        <w:tc>
          <w:tcPr>
            <w:tcW w:w="428" w:type="pct"/>
            <w:tcBorders>
              <w:top w:val="single" w:sz="8" w:space="0" w:color="auto"/>
            </w:tcBorders>
            <w:noWrap/>
            <w:tcMar>
              <w:top w:w="0" w:type="dxa"/>
              <w:left w:w="108" w:type="dxa"/>
              <w:bottom w:w="0" w:type="dxa"/>
              <w:right w:w="108" w:type="dxa"/>
            </w:tcMar>
            <w:vAlign w:val="bottom"/>
            <w:hideMark/>
          </w:tcPr>
          <w:p w14:paraId="48D0D73F" w14:textId="0812610E" w:rsidR="00D0239C" w:rsidRPr="00793F17" w:rsidRDefault="00D0239C" w:rsidP="006A0A90">
            <w:pPr>
              <w:jc w:val="right"/>
              <w:rPr>
                <w:sz w:val="20"/>
                <w:szCs w:val="20"/>
              </w:rPr>
            </w:pPr>
            <w:r>
              <w:rPr>
                <w:sz w:val="20"/>
                <w:szCs w:val="20"/>
              </w:rPr>
              <w:t>37 440</w:t>
            </w:r>
          </w:p>
        </w:tc>
        <w:tc>
          <w:tcPr>
            <w:tcW w:w="457" w:type="pct"/>
            <w:tcBorders>
              <w:top w:val="single" w:sz="8" w:space="0" w:color="auto"/>
            </w:tcBorders>
            <w:noWrap/>
            <w:tcMar>
              <w:top w:w="0" w:type="dxa"/>
              <w:left w:w="108" w:type="dxa"/>
              <w:bottom w:w="0" w:type="dxa"/>
              <w:right w:w="108" w:type="dxa"/>
            </w:tcMar>
            <w:vAlign w:val="bottom"/>
            <w:hideMark/>
          </w:tcPr>
          <w:p w14:paraId="0EDE7876" w14:textId="38A181AD" w:rsidR="00D0239C" w:rsidRPr="001F3ED5" w:rsidRDefault="00D0239C" w:rsidP="006A0A90">
            <w:pPr>
              <w:jc w:val="right"/>
              <w:rPr>
                <w:sz w:val="20"/>
                <w:szCs w:val="20"/>
              </w:rPr>
            </w:pPr>
            <w:r>
              <w:rPr>
                <w:sz w:val="20"/>
                <w:szCs w:val="20"/>
              </w:rPr>
              <w:t>325 440</w:t>
            </w:r>
          </w:p>
        </w:tc>
      </w:tr>
      <w:tr w:rsidR="00CA0BC6" w:rsidRPr="00A810C3" w14:paraId="2B28FDF9" w14:textId="77777777" w:rsidTr="00CA0BC6">
        <w:trPr>
          <w:trHeight w:val="290"/>
        </w:trPr>
        <w:tc>
          <w:tcPr>
            <w:tcW w:w="226" w:type="pct"/>
            <w:tcBorders>
              <w:bottom w:val="single" w:sz="4" w:space="0" w:color="auto"/>
            </w:tcBorders>
          </w:tcPr>
          <w:p w14:paraId="6C162694" w14:textId="2898D87D" w:rsidR="00D0239C" w:rsidRPr="007D1FEC" w:rsidRDefault="00D0239C" w:rsidP="00DA0C94">
            <w:pPr>
              <w:jc w:val="right"/>
              <w:rPr>
                <w:sz w:val="20"/>
                <w:szCs w:val="20"/>
              </w:rPr>
            </w:pPr>
            <w:r>
              <w:rPr>
                <w:sz w:val="20"/>
                <w:szCs w:val="20"/>
              </w:rPr>
              <w:t>4 (a)</w:t>
            </w:r>
          </w:p>
        </w:tc>
        <w:tc>
          <w:tcPr>
            <w:tcW w:w="1448" w:type="pct"/>
            <w:tcBorders>
              <w:bottom w:val="single" w:sz="4" w:space="0" w:color="auto"/>
            </w:tcBorders>
            <w:noWrap/>
            <w:tcMar>
              <w:top w:w="0" w:type="dxa"/>
              <w:left w:w="108" w:type="dxa"/>
              <w:bottom w:w="0" w:type="dxa"/>
              <w:right w:w="108" w:type="dxa"/>
            </w:tcMar>
            <w:vAlign w:val="bottom"/>
          </w:tcPr>
          <w:p w14:paraId="28D2DAED" w14:textId="6F506008" w:rsidR="00D0239C" w:rsidRPr="007D1FEC" w:rsidRDefault="00D0239C" w:rsidP="001E1F08">
            <w:pPr>
              <w:jc w:val="left"/>
              <w:rPr>
                <w:sz w:val="20"/>
                <w:szCs w:val="20"/>
                <w:highlight w:val="yellow"/>
              </w:rPr>
            </w:pPr>
            <w:r>
              <w:rPr>
                <w:sz w:val="20"/>
                <w:szCs w:val="20"/>
              </w:rPr>
              <w:t>Разработка информационно-технических решений для реализации рекомендаций, содержащихся в функциональном обзоре и касающихся совершенствования рабочих процессов</w:t>
            </w:r>
          </w:p>
        </w:tc>
        <w:tc>
          <w:tcPr>
            <w:tcW w:w="670" w:type="pct"/>
            <w:tcBorders>
              <w:bottom w:val="single" w:sz="4" w:space="0" w:color="auto"/>
            </w:tcBorders>
            <w:noWrap/>
            <w:tcMar>
              <w:top w:w="0" w:type="dxa"/>
              <w:left w:w="108" w:type="dxa"/>
              <w:bottom w:w="0" w:type="dxa"/>
              <w:right w:w="108" w:type="dxa"/>
            </w:tcMar>
            <w:vAlign w:val="bottom"/>
          </w:tcPr>
          <w:p w14:paraId="3C2583F3" w14:textId="798110A2" w:rsidR="00D0239C" w:rsidRPr="00A810C3" w:rsidRDefault="006A0A90" w:rsidP="006A0A90">
            <w:pPr>
              <w:jc w:val="right"/>
              <w:rPr>
                <w:sz w:val="20"/>
                <w:szCs w:val="20"/>
              </w:rPr>
            </w:pPr>
            <w:r>
              <w:rPr>
                <w:sz w:val="20"/>
                <w:szCs w:val="20"/>
              </w:rPr>
              <w:t>–</w:t>
            </w:r>
          </w:p>
        </w:tc>
        <w:tc>
          <w:tcPr>
            <w:tcW w:w="669" w:type="pct"/>
            <w:tcBorders>
              <w:bottom w:val="single" w:sz="4" w:space="0" w:color="auto"/>
            </w:tcBorders>
            <w:noWrap/>
            <w:tcMar>
              <w:top w:w="0" w:type="dxa"/>
              <w:left w:w="108" w:type="dxa"/>
              <w:bottom w:w="0" w:type="dxa"/>
              <w:right w:w="108" w:type="dxa"/>
            </w:tcMar>
            <w:vAlign w:val="bottom"/>
          </w:tcPr>
          <w:p w14:paraId="0643D08E" w14:textId="67680F42" w:rsidR="00D0239C" w:rsidRPr="00A810C3" w:rsidRDefault="006A0A90" w:rsidP="006A0A90">
            <w:pPr>
              <w:jc w:val="right"/>
              <w:rPr>
                <w:sz w:val="20"/>
                <w:szCs w:val="20"/>
              </w:rPr>
            </w:pPr>
            <w:r>
              <w:t>–</w:t>
            </w:r>
          </w:p>
        </w:tc>
        <w:tc>
          <w:tcPr>
            <w:tcW w:w="574" w:type="pct"/>
            <w:tcBorders>
              <w:bottom w:val="single" w:sz="4" w:space="0" w:color="auto"/>
            </w:tcBorders>
            <w:noWrap/>
            <w:tcMar>
              <w:top w:w="0" w:type="dxa"/>
              <w:left w:w="108" w:type="dxa"/>
              <w:bottom w:w="0" w:type="dxa"/>
              <w:right w:w="108" w:type="dxa"/>
            </w:tcMar>
            <w:vAlign w:val="bottom"/>
          </w:tcPr>
          <w:p w14:paraId="72A491CD" w14:textId="6A20E046" w:rsidR="00D0239C" w:rsidRPr="002F3D2F" w:rsidRDefault="00D0239C" w:rsidP="006A0A90">
            <w:pPr>
              <w:jc w:val="right"/>
              <w:rPr>
                <w:sz w:val="20"/>
                <w:szCs w:val="20"/>
              </w:rPr>
            </w:pPr>
            <w:r>
              <w:rPr>
                <w:sz w:val="20"/>
                <w:szCs w:val="20"/>
              </w:rPr>
              <w:t>50 000</w:t>
            </w:r>
          </w:p>
        </w:tc>
        <w:tc>
          <w:tcPr>
            <w:tcW w:w="528" w:type="pct"/>
            <w:tcBorders>
              <w:bottom w:val="single" w:sz="4" w:space="0" w:color="auto"/>
            </w:tcBorders>
            <w:noWrap/>
            <w:tcMar>
              <w:top w:w="0" w:type="dxa"/>
              <w:left w:w="108" w:type="dxa"/>
              <w:bottom w:w="0" w:type="dxa"/>
              <w:right w:w="108" w:type="dxa"/>
            </w:tcMar>
            <w:vAlign w:val="bottom"/>
          </w:tcPr>
          <w:p w14:paraId="2E7A6AD9" w14:textId="77777777" w:rsidR="00D0239C" w:rsidRPr="002F3D2F" w:rsidRDefault="00D0239C" w:rsidP="006A0A90">
            <w:pPr>
              <w:jc w:val="right"/>
              <w:rPr>
                <w:sz w:val="20"/>
                <w:szCs w:val="20"/>
              </w:rPr>
            </w:pPr>
            <w:r>
              <w:rPr>
                <w:sz w:val="20"/>
                <w:szCs w:val="20"/>
              </w:rPr>
              <w:t>50 000</w:t>
            </w:r>
          </w:p>
        </w:tc>
        <w:tc>
          <w:tcPr>
            <w:tcW w:w="428" w:type="pct"/>
            <w:tcBorders>
              <w:bottom w:val="single" w:sz="4" w:space="0" w:color="auto"/>
            </w:tcBorders>
            <w:noWrap/>
            <w:tcMar>
              <w:top w:w="0" w:type="dxa"/>
              <w:left w:w="108" w:type="dxa"/>
              <w:bottom w:w="0" w:type="dxa"/>
              <w:right w:w="108" w:type="dxa"/>
            </w:tcMar>
            <w:vAlign w:val="bottom"/>
          </w:tcPr>
          <w:p w14:paraId="2961C699" w14:textId="38B3DE8B" w:rsidR="00D0239C" w:rsidRPr="002F3D2F" w:rsidRDefault="00D0239C" w:rsidP="006A0A90">
            <w:pPr>
              <w:jc w:val="right"/>
              <w:rPr>
                <w:sz w:val="20"/>
                <w:szCs w:val="20"/>
              </w:rPr>
            </w:pPr>
            <w:r>
              <w:rPr>
                <w:sz w:val="20"/>
                <w:szCs w:val="20"/>
              </w:rPr>
              <w:t>6 500</w:t>
            </w:r>
          </w:p>
        </w:tc>
        <w:tc>
          <w:tcPr>
            <w:tcW w:w="457" w:type="pct"/>
            <w:tcBorders>
              <w:bottom w:val="single" w:sz="4" w:space="0" w:color="auto"/>
            </w:tcBorders>
            <w:noWrap/>
            <w:tcMar>
              <w:top w:w="0" w:type="dxa"/>
              <w:left w:w="108" w:type="dxa"/>
              <w:bottom w:w="0" w:type="dxa"/>
              <w:right w:w="108" w:type="dxa"/>
            </w:tcMar>
            <w:vAlign w:val="bottom"/>
          </w:tcPr>
          <w:p w14:paraId="270CA52A" w14:textId="1815AAB8" w:rsidR="00D0239C" w:rsidRPr="002F3D2F" w:rsidRDefault="00D0239C" w:rsidP="006A0A90">
            <w:pPr>
              <w:jc w:val="right"/>
              <w:rPr>
                <w:sz w:val="20"/>
                <w:szCs w:val="20"/>
              </w:rPr>
            </w:pPr>
            <w:r>
              <w:rPr>
                <w:sz w:val="20"/>
                <w:szCs w:val="20"/>
              </w:rPr>
              <w:t>56 500</w:t>
            </w:r>
          </w:p>
        </w:tc>
      </w:tr>
      <w:tr w:rsidR="00CA0BC6" w:rsidRPr="00A810C3" w14:paraId="35E93338" w14:textId="77777777" w:rsidTr="00CA0BC6">
        <w:trPr>
          <w:trHeight w:val="290"/>
        </w:trPr>
        <w:tc>
          <w:tcPr>
            <w:tcW w:w="226" w:type="pct"/>
            <w:tcBorders>
              <w:top w:val="single" w:sz="4" w:space="0" w:color="auto"/>
              <w:bottom w:val="single" w:sz="8" w:space="0" w:color="auto"/>
            </w:tcBorders>
          </w:tcPr>
          <w:p w14:paraId="5EA3F865" w14:textId="77777777" w:rsidR="00D0239C" w:rsidRPr="007D1FEC" w:rsidRDefault="00D0239C" w:rsidP="00DA0C94">
            <w:pPr>
              <w:jc w:val="right"/>
              <w:rPr>
                <w:sz w:val="20"/>
                <w:szCs w:val="20"/>
                <w:lang w:val="en-US"/>
              </w:rPr>
            </w:pPr>
          </w:p>
        </w:tc>
        <w:tc>
          <w:tcPr>
            <w:tcW w:w="1448" w:type="pct"/>
            <w:tcBorders>
              <w:top w:val="single" w:sz="4" w:space="0" w:color="auto"/>
              <w:bottom w:val="single" w:sz="8" w:space="0" w:color="auto"/>
            </w:tcBorders>
            <w:noWrap/>
            <w:tcMar>
              <w:top w:w="0" w:type="dxa"/>
              <w:left w:w="108" w:type="dxa"/>
              <w:bottom w:w="0" w:type="dxa"/>
              <w:right w:w="108" w:type="dxa"/>
            </w:tcMar>
            <w:vAlign w:val="bottom"/>
          </w:tcPr>
          <w:p w14:paraId="537D2AB5" w14:textId="77777777" w:rsidR="00D0239C" w:rsidRPr="003305F8" w:rsidRDefault="00D0239C" w:rsidP="00890663">
            <w:pPr>
              <w:tabs>
                <w:tab w:val="clear" w:pos="567"/>
                <w:tab w:val="left" w:pos="230"/>
              </w:tabs>
              <w:jc w:val="left"/>
              <w:rPr>
                <w:sz w:val="20"/>
                <w:szCs w:val="20"/>
              </w:rPr>
            </w:pPr>
            <w:r>
              <w:rPr>
                <w:b/>
                <w:bCs/>
                <w:sz w:val="20"/>
                <w:szCs w:val="20"/>
              </w:rPr>
              <w:tab/>
              <w:t>Итого</w:t>
            </w:r>
          </w:p>
        </w:tc>
        <w:tc>
          <w:tcPr>
            <w:tcW w:w="1913" w:type="pct"/>
            <w:gridSpan w:val="3"/>
            <w:tcBorders>
              <w:top w:val="single" w:sz="4" w:space="0" w:color="auto"/>
              <w:bottom w:val="single" w:sz="8" w:space="0" w:color="auto"/>
            </w:tcBorders>
            <w:vAlign w:val="bottom"/>
          </w:tcPr>
          <w:p w14:paraId="03DC50CD" w14:textId="77777777" w:rsidR="00D0239C" w:rsidRDefault="00D0239C" w:rsidP="006A0A90">
            <w:pPr>
              <w:tabs>
                <w:tab w:val="clear" w:pos="1134"/>
              </w:tabs>
              <w:ind w:right="143"/>
              <w:jc w:val="right"/>
              <w:rPr>
                <w:b/>
                <w:bCs/>
                <w:sz w:val="20"/>
                <w:szCs w:val="20"/>
                <w:lang w:val="en-US"/>
              </w:rPr>
            </w:pPr>
          </w:p>
        </w:tc>
        <w:tc>
          <w:tcPr>
            <w:tcW w:w="528" w:type="pct"/>
            <w:tcBorders>
              <w:top w:val="single" w:sz="4" w:space="0" w:color="auto"/>
              <w:bottom w:val="single" w:sz="8" w:space="0" w:color="auto"/>
            </w:tcBorders>
            <w:noWrap/>
            <w:tcMar>
              <w:top w:w="0" w:type="dxa"/>
              <w:left w:w="108" w:type="dxa"/>
              <w:bottom w:w="0" w:type="dxa"/>
              <w:right w:w="108" w:type="dxa"/>
            </w:tcMar>
            <w:vAlign w:val="bottom"/>
          </w:tcPr>
          <w:p w14:paraId="3614834B" w14:textId="3D297965" w:rsidR="00D0239C" w:rsidRPr="002F3D2F" w:rsidRDefault="00D0239C" w:rsidP="006A0A90">
            <w:pPr>
              <w:jc w:val="right"/>
              <w:rPr>
                <w:sz w:val="20"/>
                <w:szCs w:val="20"/>
              </w:rPr>
            </w:pPr>
            <w:r>
              <w:rPr>
                <w:b/>
                <w:bCs/>
                <w:sz w:val="20"/>
                <w:szCs w:val="20"/>
              </w:rPr>
              <w:t>338 000</w:t>
            </w:r>
          </w:p>
        </w:tc>
        <w:tc>
          <w:tcPr>
            <w:tcW w:w="428" w:type="pct"/>
            <w:tcBorders>
              <w:top w:val="single" w:sz="4" w:space="0" w:color="auto"/>
              <w:bottom w:val="single" w:sz="8" w:space="0" w:color="auto"/>
            </w:tcBorders>
            <w:noWrap/>
            <w:tcMar>
              <w:top w:w="0" w:type="dxa"/>
              <w:left w:w="108" w:type="dxa"/>
              <w:bottom w:w="0" w:type="dxa"/>
              <w:right w:w="108" w:type="dxa"/>
            </w:tcMar>
            <w:vAlign w:val="bottom"/>
          </w:tcPr>
          <w:p w14:paraId="4BFD9E46" w14:textId="67A06E59" w:rsidR="00D0239C" w:rsidRPr="007D6553" w:rsidRDefault="00D0239C" w:rsidP="006A0A90">
            <w:pPr>
              <w:jc w:val="right"/>
              <w:rPr>
                <w:b/>
                <w:bCs/>
                <w:sz w:val="20"/>
                <w:szCs w:val="20"/>
              </w:rPr>
            </w:pPr>
            <w:r>
              <w:rPr>
                <w:b/>
                <w:bCs/>
                <w:sz w:val="20"/>
                <w:szCs w:val="20"/>
              </w:rPr>
              <w:t>43 940</w:t>
            </w:r>
          </w:p>
        </w:tc>
        <w:tc>
          <w:tcPr>
            <w:tcW w:w="457" w:type="pct"/>
            <w:tcBorders>
              <w:top w:val="single" w:sz="4" w:space="0" w:color="auto"/>
              <w:bottom w:val="single" w:sz="8" w:space="0" w:color="auto"/>
            </w:tcBorders>
            <w:noWrap/>
            <w:tcMar>
              <w:top w:w="0" w:type="dxa"/>
              <w:left w:w="108" w:type="dxa"/>
              <w:bottom w:w="0" w:type="dxa"/>
              <w:right w:w="108" w:type="dxa"/>
            </w:tcMar>
            <w:vAlign w:val="bottom"/>
          </w:tcPr>
          <w:p w14:paraId="5BADCEF3" w14:textId="3F87ADE1" w:rsidR="00D0239C" w:rsidRPr="007D6553" w:rsidRDefault="00D0239C" w:rsidP="006A0A90">
            <w:pPr>
              <w:ind w:right="-22"/>
              <w:jc w:val="right"/>
              <w:rPr>
                <w:b/>
                <w:bCs/>
                <w:sz w:val="20"/>
                <w:szCs w:val="20"/>
              </w:rPr>
            </w:pPr>
            <w:r>
              <w:rPr>
                <w:b/>
                <w:bCs/>
                <w:sz w:val="20"/>
                <w:szCs w:val="20"/>
              </w:rPr>
              <w:t>381 940</w:t>
            </w:r>
          </w:p>
        </w:tc>
      </w:tr>
    </w:tbl>
    <w:p w14:paraId="4E5EB73F" w14:textId="77777777" w:rsidR="00D0239C" w:rsidRPr="00684A7C" w:rsidRDefault="00D0239C" w:rsidP="00D0239C">
      <w:pPr>
        <w:spacing w:before="120"/>
        <w:ind w:firstLine="567"/>
        <w:rPr>
          <w:sz w:val="18"/>
          <w:szCs w:val="18"/>
        </w:rPr>
      </w:pPr>
      <w:r>
        <w:rPr>
          <w:i/>
          <w:iCs/>
          <w:sz w:val="18"/>
          <w:szCs w:val="18"/>
        </w:rPr>
        <w:t>Сокращения:</w:t>
      </w:r>
      <w:r>
        <w:rPr>
          <w:sz w:val="18"/>
          <w:szCs w:val="18"/>
        </w:rPr>
        <w:t xml:space="preserve"> РПП – расходы на поддержку программ; ПП – пункт постановляющей части рекомендации или проекта решения.</w:t>
      </w:r>
    </w:p>
    <w:p w14:paraId="22A8C5CE" w14:textId="0D85A24B" w:rsidR="00D0239C" w:rsidRDefault="00D0239C" w:rsidP="00DA0C94">
      <w:pPr>
        <w:tabs>
          <w:tab w:val="left" w:pos="851"/>
        </w:tabs>
        <w:ind w:firstLine="567"/>
        <w:rPr>
          <w:sz w:val="18"/>
          <w:szCs w:val="18"/>
        </w:rPr>
      </w:pPr>
      <w:r>
        <w:rPr>
          <w:i/>
          <w:iCs/>
          <w:sz w:val="18"/>
          <w:szCs w:val="18"/>
          <w:vertAlign w:val="superscript"/>
        </w:rPr>
        <w:t>a</w:t>
      </w:r>
      <w:r>
        <w:rPr>
          <w:sz w:val="18"/>
          <w:szCs w:val="18"/>
        </w:rPr>
        <w:tab/>
        <w:t>Консультанты, партнеры и дополнительный персонал.</w:t>
      </w:r>
    </w:p>
    <w:p w14:paraId="30F66821" w14:textId="784A94F4" w:rsidR="00244EFC" w:rsidRDefault="00D0239C" w:rsidP="00DA0C94">
      <w:pPr>
        <w:pStyle w:val="FootnoteText"/>
        <w:ind w:left="567"/>
      </w:pPr>
      <w:r>
        <w:rPr>
          <w:i/>
          <w:iCs/>
        </w:rPr>
        <w:t>Примечание</w:t>
      </w:r>
      <w:r>
        <w:t>: для полного выполнения рекомендаций, вынесенных по итогам функционального обзора, потребуются дополнительные должности, однако подробная информация об этом будет представлена Конференции Сторон в рамках бюджетного предложения для рассмотрения на ее 17-м совещании.</w:t>
      </w:r>
    </w:p>
    <w:p w14:paraId="71250DCD" w14:textId="2D41CCA2" w:rsidR="00244EFC" w:rsidRPr="00DD0CE4" w:rsidRDefault="00BD430E" w:rsidP="00A111D1">
      <w:pPr>
        <w:pStyle w:val="Para1"/>
        <w:numPr>
          <w:ilvl w:val="0"/>
          <w:numId w:val="0"/>
        </w:numPr>
        <w:ind w:left="567"/>
        <w:jc w:val="center"/>
      </w:pPr>
      <w:r>
        <w:t>__________</w:t>
      </w:r>
    </w:p>
    <w:sectPr w:rsidR="00244EFC" w:rsidRPr="00DD0CE4" w:rsidSect="00DA0C94">
      <w:pgSz w:w="12240" w:h="15840"/>
      <w:pgMar w:top="1134" w:right="1440" w:bottom="1134"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93FC5" w14:textId="77777777" w:rsidR="009361D3" w:rsidRPr="00DD0CE4" w:rsidRDefault="009361D3" w:rsidP="00CF1848">
      <w:r w:rsidRPr="00DD0CE4">
        <w:separator/>
      </w:r>
    </w:p>
  </w:endnote>
  <w:endnote w:type="continuationSeparator" w:id="0">
    <w:p w14:paraId="3DD72A82" w14:textId="77777777" w:rsidR="009361D3" w:rsidRPr="00DD0CE4" w:rsidRDefault="009361D3" w:rsidP="00CF1848">
      <w:r w:rsidRPr="00DD0C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B83765E" w14:textId="77777777" w:rsidR="00D75CA6" w:rsidRPr="00DD0CE4" w:rsidRDefault="00D75CA6" w:rsidP="00DA0C94">
            <w:pPr>
              <w:pStyle w:val="CBDFooter"/>
              <w:jc w:val="left"/>
            </w:pPr>
            <w:r w:rsidRPr="00DD0CE4">
              <w:fldChar w:fldCharType="begin"/>
            </w:r>
            <w:r w:rsidRPr="00DD0CE4">
              <w:instrText xml:space="preserve"> PAGE </w:instrText>
            </w:r>
            <w:r w:rsidRPr="00DD0CE4">
              <w:fldChar w:fldCharType="separate"/>
            </w:r>
            <w:r w:rsidRPr="00DD0CE4">
              <w:t>2</w:t>
            </w:r>
            <w:r w:rsidRPr="00DD0CE4">
              <w:fldChar w:fldCharType="end"/>
            </w:r>
            <w:r>
              <w:t>/</w:t>
            </w:r>
            <w:fldSimple w:instr=" NUMPAGES  ">
              <w:r w:rsidRPr="00DD0CE4">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6946B9A" w14:textId="77777777" w:rsidR="00D75CA6" w:rsidRPr="00DD0CE4" w:rsidRDefault="00D75CA6" w:rsidP="00DA0C94">
        <w:pPr>
          <w:pStyle w:val="CBDFooter"/>
          <w:jc w:val="right"/>
        </w:pPr>
        <w:r w:rsidRPr="00DD0CE4">
          <w:fldChar w:fldCharType="begin"/>
        </w:r>
        <w:r w:rsidRPr="00DD0CE4">
          <w:instrText xml:space="preserve"> PAGE </w:instrText>
        </w:r>
        <w:r w:rsidRPr="00DD0CE4">
          <w:fldChar w:fldCharType="separate"/>
        </w:r>
        <w:r w:rsidRPr="00DD0CE4">
          <w:t>2</w:t>
        </w:r>
        <w:r w:rsidRPr="00DD0CE4">
          <w:fldChar w:fldCharType="end"/>
        </w:r>
        <w:r>
          <w:t>/</w:t>
        </w:r>
        <w:fldSimple w:instr=" NUMPAGES  ">
          <w:r w:rsidRPr="00DD0CE4">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9152F" w14:textId="77777777" w:rsidR="009361D3" w:rsidRPr="00DD0CE4" w:rsidRDefault="009361D3" w:rsidP="00CF1848">
      <w:r w:rsidRPr="00DD0CE4">
        <w:separator/>
      </w:r>
    </w:p>
  </w:footnote>
  <w:footnote w:type="continuationSeparator" w:id="0">
    <w:p w14:paraId="0A63A280" w14:textId="77777777" w:rsidR="009361D3" w:rsidRPr="00DD0CE4" w:rsidRDefault="009361D3" w:rsidP="00CF1848">
      <w:r w:rsidRPr="00DD0CE4">
        <w:continuationSeparator/>
      </w:r>
    </w:p>
  </w:footnote>
  <w:footnote w:id="1">
    <w:p w14:paraId="68A47947" w14:textId="3220D89E" w:rsidR="008A1499" w:rsidRPr="00A64D03" w:rsidRDefault="008A1499">
      <w:pPr>
        <w:pStyle w:val="FootnoteText"/>
      </w:pPr>
      <w:r>
        <w:rPr>
          <w:rStyle w:val="FootnoteReference"/>
        </w:rPr>
        <w:t>*</w:t>
      </w:r>
      <w:r>
        <w:t xml:space="preserve"> </w:t>
      </w:r>
      <w:hyperlink r:id="rId1" w:history="1">
        <w:r>
          <w:rPr>
            <w:rStyle w:val="Hyperlink"/>
          </w:rPr>
          <w:t>CBD/S</w:t>
        </w:r>
        <w:r>
          <w:rPr>
            <w:rStyle w:val="Hyperlink"/>
          </w:rPr>
          <w:t>B</w:t>
        </w:r>
        <w:r>
          <w:rPr>
            <w:rStyle w:val="Hyperlink"/>
          </w:rPr>
          <w:t>I</w:t>
        </w:r>
        <w:r>
          <w:rPr>
            <w:rStyle w:val="Hyperlink"/>
          </w:rPr>
          <w:t>/</w:t>
        </w:r>
        <w:r>
          <w:rPr>
            <w:rStyle w:val="Hyperlink"/>
          </w:rPr>
          <w:t>6/1</w:t>
        </w:r>
      </w:hyperlink>
      <w:r>
        <w:t>.</w:t>
      </w:r>
    </w:p>
  </w:footnote>
  <w:footnote w:id="2">
    <w:p w14:paraId="01783E8D" w14:textId="21DE2485" w:rsidR="00DA3BBE" w:rsidRPr="00DA0C94" w:rsidRDefault="00DA3BBE">
      <w:pPr>
        <w:pStyle w:val="FootnoteText"/>
      </w:pPr>
      <w:r>
        <w:rPr>
          <w:rStyle w:val="FootnoteReference"/>
        </w:rPr>
        <w:footnoteRef/>
      </w:r>
      <w:r>
        <w:t xml:space="preserve"> Группа консультантов по вопросам управления — это группа внутренних специалистов ПРООН по вопросам управления, базирующаяся в Нью-Йорке и специализирующаяся на улучшении стратегической и операционной эффективности путем предоставления консультационных услуг и аналитики для трансформации работы и управления изменениями.</w:t>
      </w:r>
    </w:p>
  </w:footnote>
  <w:footnote w:id="3">
    <w:p w14:paraId="544F9951" w14:textId="358A2E77" w:rsidR="00503D21" w:rsidRPr="00A64D03" w:rsidRDefault="00503D21" w:rsidP="00503D21">
      <w:pPr>
        <w:pStyle w:val="CBDFootnoteText"/>
      </w:pPr>
      <w:r>
        <w:rPr>
          <w:rStyle w:val="FootnoteReference"/>
        </w:rPr>
        <w:footnoteRef/>
      </w:r>
      <w:r>
        <w:t xml:space="preserve"> Как предусмотрено в статье 24 Конвенции о биологическом разнообразии.</w:t>
      </w:r>
    </w:p>
  </w:footnote>
  <w:footnote w:id="4">
    <w:p w14:paraId="764FB9C7" w14:textId="2C901837" w:rsidR="002A66FA" w:rsidRPr="00DA0C94" w:rsidRDefault="002A66FA">
      <w:pPr>
        <w:pStyle w:val="FootnoteText"/>
      </w:pPr>
      <w:r>
        <w:rPr>
          <w:rStyle w:val="FootnoteReference"/>
        </w:rPr>
        <w:footnoteRef/>
      </w:r>
      <w:r>
        <w:t xml:space="preserve"> Ввиду приближения срока выпуска рабочих документов для настоящего совещания сотрудники секретариата, которые были полностью заняты анализом функций и рабочих процессов секретариата, имели лишь ограниченные возможности для внесения вклада для завершения работы над полным докладом в декабре 2025 года. Поэтому в январе 2026 года секретариат продолжит внутренний обзор с целью рассмотрения и анализа рекомендаций, содержащихся в заключительном докладе, представленном Группой консультантов по вопросам управления.</w:t>
      </w:r>
    </w:p>
  </w:footnote>
  <w:footnote w:id="5">
    <w:p w14:paraId="0644F1F0" w14:textId="3ADE8004" w:rsidR="005D6D15" w:rsidRPr="00DA0C94" w:rsidRDefault="005D6D15">
      <w:pPr>
        <w:pStyle w:val="FootnoteText"/>
      </w:pPr>
      <w:r>
        <w:rPr>
          <w:rStyle w:val="FootnoteReference"/>
        </w:rPr>
        <w:footnoteRef/>
      </w:r>
      <w:r>
        <w:t xml:space="preserve"> Сметные потребности во внебюджетных ресурсах для осуществления мероприятий, изложенных в проекте рекомендации, приводятся в приложении II к настоящему документу.</w:t>
      </w:r>
    </w:p>
  </w:footnote>
  <w:footnote w:id="6">
    <w:p w14:paraId="27008EFD" w14:textId="4CAE8040" w:rsidR="00812C00" w:rsidRPr="00DA0C94" w:rsidRDefault="00812C00">
      <w:pPr>
        <w:pStyle w:val="FootnoteText"/>
      </w:pPr>
      <w:r>
        <w:rPr>
          <w:rStyle w:val="FootnoteReference"/>
        </w:rPr>
        <w:footnoteRef/>
      </w:r>
      <w:r>
        <w:t xml:space="preserve"> Сборник договоров Организации Объединенных Наций, том 1760, № 30619.</w:t>
      </w:r>
    </w:p>
  </w:footnote>
  <w:footnote w:id="7">
    <w:p w14:paraId="086F4B5A" w14:textId="27C10F94" w:rsidR="000405C5" w:rsidRPr="00DA0C94" w:rsidRDefault="000405C5">
      <w:pPr>
        <w:pStyle w:val="FootnoteText"/>
      </w:pPr>
      <w:r>
        <w:rPr>
          <w:rStyle w:val="FootnoteReference"/>
        </w:rPr>
        <w:footnoteRef/>
      </w:r>
      <w:r>
        <w:t xml:space="preserve"> См. CBD/COP/17/xx.</w:t>
      </w:r>
    </w:p>
  </w:footnote>
  <w:footnote w:id="8">
    <w:p w14:paraId="3BF4BB52" w14:textId="7121A520" w:rsidR="00A5770F" w:rsidRPr="00DA0C94" w:rsidRDefault="00A5770F">
      <w:pPr>
        <w:pStyle w:val="FootnoteText"/>
      </w:pPr>
      <w:r>
        <w:rPr>
          <w:rStyle w:val="FootnoteReference"/>
        </w:rPr>
        <w:footnoteRef/>
      </w:r>
      <w:r>
        <w:t xml:space="preserve"> Сборник договоров Организации Объединенных Наций, том 2226, № 30619.</w:t>
      </w:r>
    </w:p>
  </w:footnote>
  <w:footnote w:id="9">
    <w:p w14:paraId="0E439E67" w14:textId="0B2B7135" w:rsidR="000960AA" w:rsidRPr="00DA0C94" w:rsidRDefault="000960AA">
      <w:pPr>
        <w:pStyle w:val="FootnoteText"/>
      </w:pPr>
      <w:r>
        <w:rPr>
          <w:rStyle w:val="FootnoteReference"/>
        </w:rPr>
        <w:footnoteRef/>
      </w:r>
      <w:r>
        <w:t xml:space="preserve"> Там же, том 3008, №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Тема"/>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595D9AC" w14:textId="3650C394" w:rsidR="00534681" w:rsidRPr="00DD0CE4" w:rsidRDefault="000F316D" w:rsidP="007C4951">
        <w:pPr>
          <w:pStyle w:val="Header"/>
          <w:spacing w:after="240"/>
          <w:rPr>
            <w:szCs w:val="20"/>
          </w:rPr>
        </w:pPr>
        <w:r w:rsidRPr="00DD0CE4">
          <w:rPr>
            <w:szCs w:val="20"/>
          </w:rPr>
          <w:t>CBD/SBI/6/10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Тема"/>
      <w:tag w:val=""/>
      <w:id w:val="851227268"/>
      <w:dataBinding w:prefixMappings="xmlns:ns0='http://purl.org/dc/elements/1.1/' xmlns:ns1='http://schemas.openxmlformats.org/package/2006/metadata/core-properties' " w:xpath="/ns1:coreProperties[1]/ns0:subject[1]" w:storeItemID="{6C3C8BC8-F283-45AE-878A-BAB7291924A1}"/>
      <w:text/>
    </w:sdtPr>
    <w:sdtContent>
      <w:p w14:paraId="1737D97A" w14:textId="042784CA" w:rsidR="009505C9" w:rsidRPr="00DD0CE4" w:rsidRDefault="000F316D" w:rsidP="007C4951">
        <w:pPr>
          <w:pStyle w:val="Header"/>
          <w:spacing w:after="240"/>
          <w:jc w:val="right"/>
        </w:pPr>
        <w:r w:rsidRPr="00DD0CE4">
          <w:t>CBD/SBI/6/10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5844D8"/>
    <w:multiLevelType w:val="hybridMultilevel"/>
    <w:tmpl w:val="301C3246"/>
    <w:lvl w:ilvl="0" w:tplc="7C960264">
      <w:start w:val="2"/>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566570E"/>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0895646F"/>
    <w:multiLevelType w:val="hybridMultilevel"/>
    <w:tmpl w:val="E7B229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09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C0C4CF7"/>
    <w:multiLevelType w:val="multilevel"/>
    <w:tmpl w:val="B5F6517A"/>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C8617B4"/>
    <w:multiLevelType w:val="multilevel"/>
    <w:tmpl w:val="F306BC9C"/>
    <w:lvl w:ilvl="0">
      <w:start w:val="1"/>
      <w:numFmt w:val="decimal"/>
      <w:lvlText w:val="%1."/>
      <w:lvlJc w:val="left"/>
      <w:pPr>
        <w:ind w:left="1134" w:firstLine="0"/>
      </w:pPr>
      <w:rPr>
        <w:rFonts w:ascii="Times New Roman" w:hAnsi="Times New Roman" w:cs="Times New Roman" w:hint="default"/>
        <w:b w:val="0"/>
        <w:bCs w:val="0"/>
        <w:i w:val="0"/>
        <w:iCs w:val="0"/>
        <w:color w:val="auto"/>
        <w:sz w:val="22"/>
      </w:rPr>
    </w:lvl>
    <w:lvl w:ilvl="1">
      <w:start w:val="1"/>
      <w:numFmt w:val="decimal"/>
      <w:lvlText w:val="%2."/>
      <w:lvlJc w:val="left"/>
      <w:pPr>
        <w:ind w:left="2061" w:hanging="360"/>
      </w:pPr>
    </w:lvl>
    <w:lvl w:ilvl="2">
      <w:start w:val="1"/>
      <w:numFmt w:val="lowerLetter"/>
      <w:lvlText w:val="%3."/>
      <w:lvlJc w:val="left"/>
      <w:pPr>
        <w:ind w:left="2628" w:hanging="360"/>
      </w:pPr>
    </w:lvl>
    <w:lvl w:ilvl="3">
      <w:start w:val="1"/>
      <w:numFmt w:val="decimal"/>
      <w:lvlText w:val="%4."/>
      <w:lvlJc w:val="left"/>
      <w:pPr>
        <w:ind w:left="3195" w:hanging="360"/>
      </w:p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20" w15:restartNumberingAfterBreak="0">
    <w:nsid w:val="0FA0170D"/>
    <w:multiLevelType w:val="multilevel"/>
    <w:tmpl w:val="222A08B4"/>
    <w:numStyleLink w:val="ListCBD"/>
  </w:abstractNum>
  <w:abstractNum w:abstractNumId="21" w15:restartNumberingAfterBreak="0">
    <w:nsid w:val="0FD05074"/>
    <w:multiLevelType w:val="multilevel"/>
    <w:tmpl w:val="C8028674"/>
    <w:styleLink w:val="CurrentList3"/>
    <w:lvl w:ilvl="0">
      <w:start w:val="7"/>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3D91998"/>
    <w:multiLevelType w:val="multilevel"/>
    <w:tmpl w:val="B4AE2E08"/>
    <w:lvl w:ilvl="0">
      <w:start w:val="7"/>
      <w:numFmt w:val="decimal"/>
      <w:lvlText w:val="%1."/>
      <w:lvlJc w:val="left"/>
      <w:pPr>
        <w:ind w:left="720" w:hanging="360"/>
      </w:pPr>
      <w:rPr>
        <w:rFonts w:hint="default"/>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575660A"/>
    <w:multiLevelType w:val="hybridMultilevel"/>
    <w:tmpl w:val="3376C760"/>
    <w:lvl w:ilvl="0" w:tplc="FFFFFFFF">
      <w:start w:val="1"/>
      <w:numFmt w:val="decimal"/>
      <w:lvlText w:val="%1."/>
      <w:lvlJc w:val="left"/>
      <w:pPr>
        <w:ind w:left="720" w:hanging="360"/>
      </w:pPr>
    </w:lvl>
    <w:lvl w:ilvl="1" w:tplc="04130011">
      <w:start w:val="1"/>
      <w:numFmt w:val="decimal"/>
      <w:lvlText w:val="%2)"/>
      <w:lvlJc w:val="left"/>
      <w:pPr>
        <w:ind w:left="5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6" w15:restartNumberingAfterBreak="0">
    <w:nsid w:val="160189FC"/>
    <w:multiLevelType w:val="hybridMultilevel"/>
    <w:tmpl w:val="1DCA1AAC"/>
    <w:lvl w:ilvl="0" w:tplc="93BC2F14">
      <w:start w:val="1"/>
      <w:numFmt w:val="lowerLetter"/>
      <w:lvlText w:val="(%1)"/>
      <w:lvlJc w:val="left"/>
      <w:pPr>
        <w:ind w:left="630" w:hanging="360"/>
      </w:pPr>
    </w:lvl>
    <w:lvl w:ilvl="1" w:tplc="7F6E0878">
      <w:start w:val="1"/>
      <w:numFmt w:val="lowerLetter"/>
      <w:lvlText w:val="%2."/>
      <w:lvlJc w:val="left"/>
      <w:pPr>
        <w:ind w:left="2160" w:hanging="360"/>
      </w:pPr>
    </w:lvl>
    <w:lvl w:ilvl="2" w:tplc="5E14A06E">
      <w:start w:val="1"/>
      <w:numFmt w:val="lowerRoman"/>
      <w:lvlText w:val="%3."/>
      <w:lvlJc w:val="right"/>
      <w:pPr>
        <w:ind w:left="2880" w:hanging="180"/>
      </w:pPr>
    </w:lvl>
    <w:lvl w:ilvl="3" w:tplc="3F2AAFEA">
      <w:start w:val="1"/>
      <w:numFmt w:val="decimal"/>
      <w:lvlText w:val="%4."/>
      <w:lvlJc w:val="left"/>
      <w:pPr>
        <w:ind w:left="3600" w:hanging="360"/>
      </w:pPr>
    </w:lvl>
    <w:lvl w:ilvl="4" w:tplc="3174ABFE">
      <w:start w:val="1"/>
      <w:numFmt w:val="lowerLetter"/>
      <w:lvlText w:val="%5."/>
      <w:lvlJc w:val="left"/>
      <w:pPr>
        <w:ind w:left="4320" w:hanging="360"/>
      </w:pPr>
    </w:lvl>
    <w:lvl w:ilvl="5" w:tplc="A9EC7236">
      <w:start w:val="1"/>
      <w:numFmt w:val="lowerRoman"/>
      <w:lvlText w:val="%6."/>
      <w:lvlJc w:val="right"/>
      <w:pPr>
        <w:ind w:left="5040" w:hanging="180"/>
      </w:pPr>
    </w:lvl>
    <w:lvl w:ilvl="6" w:tplc="1794D370">
      <w:start w:val="1"/>
      <w:numFmt w:val="decimal"/>
      <w:lvlText w:val="%7."/>
      <w:lvlJc w:val="left"/>
      <w:pPr>
        <w:ind w:left="5760" w:hanging="360"/>
      </w:pPr>
    </w:lvl>
    <w:lvl w:ilvl="7" w:tplc="00E4923C">
      <w:start w:val="1"/>
      <w:numFmt w:val="lowerLetter"/>
      <w:lvlText w:val="%8."/>
      <w:lvlJc w:val="left"/>
      <w:pPr>
        <w:ind w:left="6480" w:hanging="360"/>
      </w:pPr>
    </w:lvl>
    <w:lvl w:ilvl="8" w:tplc="AB02DD6C">
      <w:start w:val="1"/>
      <w:numFmt w:val="lowerRoman"/>
      <w:lvlText w:val="%9."/>
      <w:lvlJc w:val="right"/>
      <w:pPr>
        <w:ind w:left="7200" w:hanging="180"/>
      </w:pPr>
    </w:lvl>
  </w:abstractNum>
  <w:abstractNum w:abstractNumId="27" w15:restartNumberingAfterBreak="0">
    <w:nsid w:val="1970A6C0"/>
    <w:multiLevelType w:val="hybridMultilevel"/>
    <w:tmpl w:val="E0B65FB8"/>
    <w:lvl w:ilvl="0" w:tplc="AFD650D8">
      <w:start w:val="1"/>
      <w:numFmt w:val="decimal"/>
      <w:lvlText w:val="%1."/>
      <w:lvlJc w:val="left"/>
      <w:pPr>
        <w:ind w:left="720" w:hanging="360"/>
      </w:pPr>
    </w:lvl>
    <w:lvl w:ilvl="1" w:tplc="C1E4D5C2">
      <w:start w:val="1"/>
      <w:numFmt w:val="lowerLetter"/>
      <w:lvlText w:val="%2."/>
      <w:lvlJc w:val="left"/>
      <w:pPr>
        <w:ind w:left="720" w:hanging="360"/>
      </w:pPr>
    </w:lvl>
    <w:lvl w:ilvl="2" w:tplc="2E0A8804">
      <w:start w:val="1"/>
      <w:numFmt w:val="lowerRoman"/>
      <w:lvlText w:val="%3."/>
      <w:lvlJc w:val="right"/>
      <w:pPr>
        <w:ind w:left="2160" w:hanging="180"/>
      </w:pPr>
    </w:lvl>
    <w:lvl w:ilvl="3" w:tplc="95A0BC22">
      <w:start w:val="1"/>
      <w:numFmt w:val="decimal"/>
      <w:lvlText w:val="%4."/>
      <w:lvlJc w:val="left"/>
      <w:pPr>
        <w:ind w:left="2880" w:hanging="360"/>
      </w:pPr>
    </w:lvl>
    <w:lvl w:ilvl="4" w:tplc="F09EA59C">
      <w:start w:val="1"/>
      <w:numFmt w:val="lowerLetter"/>
      <w:lvlText w:val="%5."/>
      <w:lvlJc w:val="left"/>
      <w:pPr>
        <w:ind w:left="3600" w:hanging="360"/>
      </w:pPr>
    </w:lvl>
    <w:lvl w:ilvl="5" w:tplc="BD5E5C48">
      <w:start w:val="1"/>
      <w:numFmt w:val="lowerRoman"/>
      <w:lvlText w:val="%6."/>
      <w:lvlJc w:val="right"/>
      <w:pPr>
        <w:ind w:left="4320" w:hanging="180"/>
      </w:pPr>
    </w:lvl>
    <w:lvl w:ilvl="6" w:tplc="B6740DE4">
      <w:start w:val="1"/>
      <w:numFmt w:val="decimal"/>
      <w:lvlText w:val="%7."/>
      <w:lvlJc w:val="left"/>
      <w:pPr>
        <w:ind w:left="5040" w:hanging="360"/>
      </w:pPr>
    </w:lvl>
    <w:lvl w:ilvl="7" w:tplc="490006DC">
      <w:start w:val="1"/>
      <w:numFmt w:val="lowerLetter"/>
      <w:lvlText w:val="%8."/>
      <w:lvlJc w:val="left"/>
      <w:pPr>
        <w:ind w:left="5760" w:hanging="360"/>
      </w:pPr>
    </w:lvl>
    <w:lvl w:ilvl="8" w:tplc="7206E76C">
      <w:start w:val="1"/>
      <w:numFmt w:val="lowerRoman"/>
      <w:lvlText w:val="%9."/>
      <w:lvlJc w:val="right"/>
      <w:pPr>
        <w:ind w:left="6480" w:hanging="180"/>
      </w:pPr>
    </w:lvl>
  </w:abstractNum>
  <w:abstractNum w:abstractNumId="2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217D7DDB"/>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E5356EC"/>
    <w:multiLevelType w:val="multilevel"/>
    <w:tmpl w:val="07D269C8"/>
    <w:numStyleLink w:val="CBDHeadings"/>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5023DB7"/>
    <w:multiLevelType w:val="multilevel"/>
    <w:tmpl w:val="C9181BC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98E2FF3"/>
    <w:multiLevelType w:val="multilevel"/>
    <w:tmpl w:val="222A08B4"/>
    <w:numStyleLink w:val="ListCBD"/>
  </w:abstractNum>
  <w:abstractNum w:abstractNumId="39" w15:restartNumberingAfterBreak="0">
    <w:nsid w:val="3B9C14EE"/>
    <w:multiLevelType w:val="multilevel"/>
    <w:tmpl w:val="512EA18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7EF52C9"/>
    <w:multiLevelType w:val="multilevel"/>
    <w:tmpl w:val="72906C9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8CD2BAD"/>
    <w:multiLevelType w:val="multilevel"/>
    <w:tmpl w:val="222A08B4"/>
    <w:styleLink w:val="CurrentList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49D361BF"/>
    <w:multiLevelType w:val="multilevel"/>
    <w:tmpl w:val="54F6B468"/>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15:restartNumberingAfterBreak="0">
    <w:nsid w:val="4E880595"/>
    <w:multiLevelType w:val="multilevel"/>
    <w:tmpl w:val="222A08B4"/>
    <w:numStyleLink w:val="ListCBD"/>
  </w:abstractNum>
  <w:abstractNum w:abstractNumId="49" w15:restartNumberingAfterBreak="0">
    <w:nsid w:val="51DD4CA4"/>
    <w:multiLevelType w:val="hybridMultilevel"/>
    <w:tmpl w:val="D67CE1B4"/>
    <w:lvl w:ilvl="0" w:tplc="A392A86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24E3FC6"/>
    <w:multiLevelType w:val="multilevel"/>
    <w:tmpl w:val="EB42D896"/>
    <w:styleLink w:val="CurrentList1"/>
    <w:lvl w:ilvl="0">
      <w:start w:val="1"/>
      <w:numFmt w:val="none"/>
      <w:lvlText w:val="A."/>
      <w:lvlJc w:val="left"/>
      <w:pPr>
        <w:ind w:left="720" w:hanging="360"/>
      </w:pPr>
      <w:rPr>
        <w:rFonts w:eastAsia="SimSu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52A66A9D"/>
    <w:multiLevelType w:val="multilevel"/>
    <w:tmpl w:val="222A08B4"/>
    <w:numStyleLink w:val="ListCBD"/>
  </w:abstractNum>
  <w:abstractNum w:abstractNumId="5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5BAB7D99"/>
    <w:multiLevelType w:val="multilevel"/>
    <w:tmpl w:val="3EE8D2B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D943BEE"/>
    <w:multiLevelType w:val="multilevel"/>
    <w:tmpl w:val="222A08B4"/>
    <w:numStyleLink w:val="ListCBD"/>
  </w:abstractNum>
  <w:abstractNum w:abstractNumId="57" w15:restartNumberingAfterBreak="0">
    <w:nsid w:val="5F00584F"/>
    <w:multiLevelType w:val="multilevel"/>
    <w:tmpl w:val="1C089FC6"/>
    <w:lvl w:ilvl="0">
      <w:start w:val="1"/>
      <w:numFmt w:val="decimal"/>
      <w:lvlText w:val="%1)"/>
      <w:lvlJc w:val="left"/>
      <w:pPr>
        <w:ind w:left="720" w:hanging="360"/>
      </w:pPr>
      <w:rPr>
        <w:rFonts w:hint="default"/>
        <w:b/>
      </w:rPr>
    </w:lvl>
    <w:lvl w:ilvl="1">
      <w:start w:val="1"/>
      <w:numFmt w:val="decimal"/>
      <w:lvlText w:val="%1.%2."/>
      <w:lvlJc w:val="left"/>
      <w:pPr>
        <w:ind w:left="1152" w:hanging="432"/>
      </w:pPr>
    </w:lvl>
    <w:lvl w:ilvl="2">
      <w:start w:val="1"/>
      <w:numFmt w:val="bullet"/>
      <w:lvlText w:val=""/>
      <w:lvlJc w:val="left"/>
      <w:pPr>
        <w:ind w:left="1440" w:hanging="360"/>
      </w:pPr>
      <w:rPr>
        <w:rFonts w:ascii="Symbol" w:hAnsi="Symbol" w:hint="default"/>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8" w15:restartNumberingAfterBreak="0">
    <w:nsid w:val="60D3424C"/>
    <w:multiLevelType w:val="hybridMultilevel"/>
    <w:tmpl w:val="476E9C9E"/>
    <w:lvl w:ilvl="0" w:tplc="8DE035D2">
      <w:start w:val="2"/>
      <w:numFmt w:val="upperLetter"/>
      <w:lvlText w:val="%1."/>
      <w:lvlJc w:val="left"/>
      <w:pPr>
        <w:ind w:left="927" w:hanging="360"/>
      </w:pPr>
      <w:rPr>
        <w:rFonts w:eastAsia="SimSu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9" w15:restartNumberingAfterBreak="0">
    <w:nsid w:val="61C86F5D"/>
    <w:multiLevelType w:val="hybridMultilevel"/>
    <w:tmpl w:val="49A6CC88"/>
    <w:lvl w:ilvl="0" w:tplc="3A88C790">
      <w:start w:val="1"/>
      <w:numFmt w:val="decimal"/>
      <w:suff w:val="space"/>
      <w:lvlText w:val="%1."/>
      <w:lvlJc w:val="left"/>
      <w:pPr>
        <w:ind w:left="0" w:firstLine="0"/>
      </w:pPr>
      <w:rPr>
        <w:rFonts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55F2B16"/>
    <w:multiLevelType w:val="hybridMultilevel"/>
    <w:tmpl w:val="4A481B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7E7447A"/>
    <w:multiLevelType w:val="hybridMultilevel"/>
    <w:tmpl w:val="1F6CDEE0"/>
    <w:lvl w:ilvl="0" w:tplc="BAEEE7FA">
      <w:start w:val="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68B70991"/>
    <w:multiLevelType w:val="multilevel"/>
    <w:tmpl w:val="222A08B4"/>
    <w:numStyleLink w:val="ListCBD"/>
  </w:abstractNum>
  <w:abstractNum w:abstractNumId="63" w15:restartNumberingAfterBreak="0">
    <w:nsid w:val="6B7E1BFB"/>
    <w:multiLevelType w:val="hybridMultilevel"/>
    <w:tmpl w:val="BD76D4A4"/>
    <w:lvl w:ilvl="0" w:tplc="ECF65C12">
      <w:start w:val="1"/>
      <w:numFmt w:val="none"/>
      <w:lvlText w:val="A."/>
      <w:lvlJc w:val="left"/>
      <w:pPr>
        <w:ind w:left="720" w:hanging="360"/>
      </w:pPr>
      <w:rPr>
        <w:rFonts w:eastAsia="SimSu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6B810358"/>
    <w:multiLevelType w:val="multilevel"/>
    <w:tmpl w:val="222A08B4"/>
    <w:numStyleLink w:val="ListCBD"/>
  </w:abstractNum>
  <w:abstractNum w:abstractNumId="6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D830ECC"/>
    <w:multiLevelType w:val="multilevel"/>
    <w:tmpl w:val="1E8C4846"/>
    <w:lvl w:ilvl="0">
      <w:start w:val="8"/>
      <w:numFmt w:val="decimal"/>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7" w15:restartNumberingAfterBreak="0">
    <w:nsid w:val="6DC26BCC"/>
    <w:multiLevelType w:val="hybridMultilevel"/>
    <w:tmpl w:val="F08CB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FF31508"/>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1" w15:restartNumberingAfterBreak="0">
    <w:nsid w:val="71CC7DFA"/>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3" w15:restartNumberingAfterBreak="0">
    <w:nsid w:val="755932C1"/>
    <w:multiLevelType w:val="multilevel"/>
    <w:tmpl w:val="F6E0A706"/>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F37485F"/>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30828777">
    <w:abstractNumId w:val="47"/>
  </w:num>
  <w:num w:numId="2" w16cid:durableId="1858829">
    <w:abstractNumId w:val="44"/>
  </w:num>
  <w:num w:numId="3" w16cid:durableId="1333221471">
    <w:abstractNumId w:val="68"/>
  </w:num>
  <w:num w:numId="4" w16cid:durableId="1072390599">
    <w:abstractNumId w:val="70"/>
  </w:num>
  <w:num w:numId="5" w16cid:durableId="960385107">
    <w:abstractNumId w:val="45"/>
  </w:num>
  <w:num w:numId="6" w16cid:durableId="893932166">
    <w:abstractNumId w:val="65"/>
  </w:num>
  <w:num w:numId="7" w16cid:durableId="323945383">
    <w:abstractNumId w:val="56"/>
  </w:num>
  <w:num w:numId="8" w16cid:durableId="145890857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0692704">
    <w:abstractNumId w:val="73"/>
  </w:num>
  <w:num w:numId="10" w16cid:durableId="1477644036">
    <w:abstractNumId w:val="49"/>
  </w:num>
  <w:num w:numId="11" w16cid:durableId="830831889">
    <w:abstractNumId w:val="23"/>
  </w:num>
  <w:num w:numId="12" w16cid:durableId="262496430">
    <w:abstractNumId w:val="39"/>
  </w:num>
  <w:num w:numId="13" w16cid:durableId="619729085">
    <w:abstractNumId w:val="42"/>
  </w:num>
  <w:num w:numId="14" w16cid:durableId="368921083">
    <w:abstractNumId w:val="37"/>
  </w:num>
  <w:num w:numId="15" w16cid:durableId="833111785">
    <w:abstractNumId w:val="55"/>
  </w:num>
  <w:num w:numId="16" w16cid:durableId="1733502971">
    <w:abstractNumId w:val="61"/>
  </w:num>
  <w:num w:numId="17" w16cid:durableId="1191189216">
    <w:abstractNumId w:val="56"/>
  </w:num>
  <w:num w:numId="18" w16cid:durableId="1049106219">
    <w:abstractNumId w:val="46"/>
  </w:num>
  <w:num w:numId="19" w16cid:durableId="661586988">
    <w:abstractNumId w:val="18"/>
  </w:num>
  <w:num w:numId="20" w16cid:durableId="2127696419">
    <w:abstractNumId w:val="56"/>
  </w:num>
  <w:num w:numId="21" w16cid:durableId="1569148637">
    <w:abstractNumId w:val="56"/>
  </w:num>
  <w:num w:numId="22" w16cid:durableId="361977713">
    <w:abstractNumId w:val="56"/>
  </w:num>
  <w:num w:numId="23" w16cid:durableId="1123646816">
    <w:abstractNumId w:val="56"/>
  </w:num>
  <w:num w:numId="24" w16cid:durableId="198057395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2325561">
    <w:abstractNumId w:val="56"/>
  </w:num>
  <w:num w:numId="26" w16cid:durableId="62705670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58944689">
    <w:abstractNumId w:val="56"/>
  </w:num>
  <w:num w:numId="28" w16cid:durableId="1345130704">
    <w:abstractNumId w:val="15"/>
  </w:num>
  <w:num w:numId="29" w16cid:durableId="1571184829">
    <w:abstractNumId w:val="63"/>
  </w:num>
  <w:num w:numId="30" w16cid:durableId="516382742">
    <w:abstractNumId w:val="74"/>
  </w:num>
  <w:num w:numId="31" w16cid:durableId="136533109">
    <w:abstractNumId w:val="31"/>
  </w:num>
  <w:num w:numId="32" w16cid:durableId="342051323">
    <w:abstractNumId w:val="56"/>
  </w:num>
  <w:num w:numId="33" w16cid:durableId="146403388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5516952">
    <w:abstractNumId w:val="56"/>
  </w:num>
  <w:num w:numId="35" w16cid:durableId="429475339">
    <w:abstractNumId w:val="56"/>
  </w:num>
  <w:num w:numId="36" w16cid:durableId="904098278">
    <w:abstractNumId w:val="71"/>
  </w:num>
  <w:num w:numId="37" w16cid:durableId="1596862609">
    <w:abstractNumId w:val="50"/>
  </w:num>
  <w:num w:numId="38" w16cid:durableId="55905878">
    <w:abstractNumId w:val="56"/>
  </w:num>
  <w:num w:numId="39" w16cid:durableId="1514106687">
    <w:abstractNumId w:val="56"/>
  </w:num>
  <w:num w:numId="40" w16cid:durableId="482891228">
    <w:abstractNumId w:val="56"/>
    <w:lvlOverride w:ilvl="0">
      <w:startOverride w:val="1"/>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1" w16cid:durableId="1410928397">
    <w:abstractNumId w:val="56"/>
  </w:num>
  <w:num w:numId="42" w16cid:durableId="1407530071">
    <w:abstractNumId w:val="56"/>
  </w:num>
  <w:num w:numId="43" w16cid:durableId="1376734249">
    <w:abstractNumId w:val="56"/>
  </w:num>
  <w:num w:numId="44" w16cid:durableId="2138137987">
    <w:abstractNumId w:val="56"/>
  </w:num>
  <w:num w:numId="45" w16cid:durableId="423575821">
    <w:abstractNumId w:val="56"/>
  </w:num>
  <w:num w:numId="46" w16cid:durableId="1628781601">
    <w:abstractNumId w:val="66"/>
  </w:num>
  <w:num w:numId="47" w16cid:durableId="1110005843">
    <w:abstractNumId w:val="43"/>
  </w:num>
  <w:num w:numId="48" w16cid:durableId="1015158183">
    <w:abstractNumId w:val="21"/>
  </w:num>
  <w:num w:numId="49" w16cid:durableId="1800226119">
    <w:abstractNumId w:val="64"/>
  </w:num>
  <w:num w:numId="50" w16cid:durableId="845825944">
    <w:abstractNumId w:val="58"/>
  </w:num>
  <w:num w:numId="51" w16cid:durableId="1280532702">
    <w:abstractNumId w:val="60"/>
  </w:num>
  <w:num w:numId="52" w16cid:durableId="965622096">
    <w:abstractNumId w:val="17"/>
  </w:num>
  <w:num w:numId="53" w16cid:durableId="451438123">
    <w:abstractNumId w:val="69"/>
  </w:num>
  <w:num w:numId="54" w16cid:durableId="1825926808">
    <w:abstractNumId w:val="16"/>
  </w:num>
  <w:num w:numId="55" w16cid:durableId="349376718">
    <w:abstractNumId w:val="67"/>
  </w:num>
  <w:num w:numId="56" w16cid:durableId="1721712405">
    <w:abstractNumId w:val="57"/>
  </w:num>
  <w:num w:numId="57" w16cid:durableId="1056122040">
    <w:abstractNumId w:val="26"/>
  </w:num>
  <w:num w:numId="58" w16cid:durableId="297801721">
    <w:abstractNumId w:val="27"/>
  </w:num>
  <w:num w:numId="59" w16cid:durableId="1229652058">
    <w:abstractNumId w:val="24"/>
  </w:num>
  <w:num w:numId="60" w16cid:durableId="220950355">
    <w:abstractNumId w:val="59"/>
  </w:num>
  <w:num w:numId="61" w16cid:durableId="313415918">
    <w:abstractNumId w:val="19"/>
  </w:num>
  <w:num w:numId="62" w16cid:durableId="560672902">
    <w:abstractNumId w:val="14"/>
  </w:num>
  <w:num w:numId="63" w16cid:durableId="1933662228">
    <w:abstractNumId w:val="36"/>
  </w:num>
  <w:num w:numId="64" w16cid:durableId="1991909117">
    <w:abstractNumId w:val="11"/>
  </w:num>
  <w:num w:numId="65" w16cid:durableId="1138956019">
    <w:abstractNumId w:val="28"/>
  </w:num>
  <w:num w:numId="66" w16cid:durableId="607395260">
    <w:abstractNumId w:val="9"/>
  </w:num>
  <w:num w:numId="67" w16cid:durableId="98110136">
    <w:abstractNumId w:val="7"/>
  </w:num>
  <w:num w:numId="68" w16cid:durableId="920676582">
    <w:abstractNumId w:val="6"/>
  </w:num>
  <w:num w:numId="69" w16cid:durableId="447286378">
    <w:abstractNumId w:val="5"/>
  </w:num>
  <w:num w:numId="70" w16cid:durableId="1532258362">
    <w:abstractNumId w:val="4"/>
  </w:num>
  <w:num w:numId="71" w16cid:durableId="1587106058">
    <w:abstractNumId w:val="8"/>
  </w:num>
  <w:num w:numId="72" w16cid:durableId="1646355732">
    <w:abstractNumId w:val="3"/>
  </w:num>
  <w:num w:numId="73" w16cid:durableId="2006930253">
    <w:abstractNumId w:val="2"/>
  </w:num>
  <w:num w:numId="74" w16cid:durableId="1811677887">
    <w:abstractNumId w:val="1"/>
  </w:num>
  <w:num w:numId="75" w16cid:durableId="537353487">
    <w:abstractNumId w:val="0"/>
  </w:num>
  <w:num w:numId="76" w16cid:durableId="2069499237">
    <w:abstractNumId w:val="62"/>
  </w:num>
  <w:num w:numId="77" w16cid:durableId="158270868">
    <w:abstractNumId w:val="72"/>
  </w:num>
  <w:num w:numId="78" w16cid:durableId="159275565">
    <w:abstractNumId w:val="30"/>
  </w:num>
  <w:num w:numId="79" w16cid:durableId="271714945">
    <w:abstractNumId w:val="32"/>
  </w:num>
  <w:num w:numId="80" w16cid:durableId="1638680439">
    <w:abstractNumId w:val="62"/>
    <w:lvlOverride w:ilvl="0">
      <w:startOverride w:val="1"/>
    </w:lvlOverride>
  </w:num>
  <w:num w:numId="81" w16cid:durableId="1865050652">
    <w:abstractNumId w:val="51"/>
  </w:num>
  <w:num w:numId="82" w16cid:durableId="152986975">
    <w:abstractNumId w:val="41"/>
  </w:num>
  <w:num w:numId="83" w16cid:durableId="1295136099">
    <w:abstractNumId w:val="54"/>
  </w:num>
  <w:num w:numId="84" w16cid:durableId="80179172">
    <w:abstractNumId w:val="53"/>
  </w:num>
  <w:num w:numId="85" w16cid:durableId="206798872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771076976">
    <w:abstractNumId w:val="20"/>
  </w:num>
  <w:num w:numId="87" w16cid:durableId="939752621">
    <w:abstractNumId w:val="48"/>
  </w:num>
  <w:num w:numId="88" w16cid:durableId="915044361">
    <w:abstractNumId w:val="38"/>
  </w:num>
  <w:num w:numId="89" w16cid:durableId="855196379">
    <w:abstractNumId w:val="25"/>
  </w:num>
  <w:num w:numId="90" w16cid:durableId="146685333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801917413">
    <w:abstractNumId w:val="29"/>
  </w:num>
  <w:num w:numId="92" w16cid:durableId="708722651">
    <w:abstractNumId w:val="10"/>
  </w:num>
  <w:num w:numId="93" w16cid:durableId="213641244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96523128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48112374">
    <w:abstractNumId w:val="12"/>
  </w:num>
  <w:num w:numId="96" w16cid:durableId="1607615596">
    <w:abstractNumId w:val="33"/>
  </w:num>
  <w:num w:numId="97" w16cid:durableId="643118139">
    <w:abstractNumId w:val="33"/>
    <w:lvlOverride w:ilvl="0">
      <w:startOverride w:val="1"/>
    </w:lvlOverride>
  </w:num>
  <w:num w:numId="98" w16cid:durableId="820851909">
    <w:abstractNumId w:val="33"/>
    <w:lvlOverride w:ilvl="0">
      <w:startOverride w:val="1"/>
    </w:lvlOverride>
  </w:num>
  <w:num w:numId="99" w16cid:durableId="709648587">
    <w:abstractNumId w:val="33"/>
    <w:lvlOverride w:ilvl="0">
      <w:startOverride w:val="1"/>
    </w:lvlOverride>
  </w:num>
  <w:num w:numId="100" w16cid:durableId="1353799543">
    <w:abstractNumId w:val="35"/>
  </w:num>
  <w:num w:numId="101" w16cid:durableId="1570270110">
    <w:abstractNumId w:val="52"/>
  </w:num>
  <w:num w:numId="102" w16cid:durableId="2125995167">
    <w:abstractNumId w:val="40"/>
  </w:num>
  <w:num w:numId="103" w16cid:durableId="1627851340">
    <w:abstractNumId w:val="34"/>
  </w:num>
  <w:num w:numId="104" w16cid:durableId="1945532808">
    <w:abstractNumId w:val="22"/>
  </w:num>
  <w:num w:numId="105" w16cid:durableId="68447852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60276445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7032136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906494965">
    <w:abstractNumId w:val="13"/>
  </w:num>
  <w:num w:numId="109"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102530898">
    <w:abstractNumId w:val="56"/>
  </w:num>
  <w:num w:numId="112" w16cid:durableId="1455096526">
    <w:abstractNumId w:val="56"/>
  </w:num>
  <w:num w:numId="113" w16cid:durableId="1776361112">
    <w:abstractNumId w:val="56"/>
  </w:num>
  <w:num w:numId="114" w16cid:durableId="415246966">
    <w:abstractNumId w:val="56"/>
  </w:num>
  <w:num w:numId="115" w16cid:durableId="1583493697">
    <w:abstractNumId w:val="56"/>
  </w:num>
  <w:num w:numId="116" w16cid:durableId="1468821548">
    <w:abstractNumId w:val="56"/>
  </w:num>
  <w:num w:numId="117" w16cid:durableId="741440786">
    <w:abstractNumId w:val="56"/>
  </w:num>
  <w:num w:numId="118" w16cid:durableId="896598378">
    <w:abstractNumId w:val="56"/>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527"/>
    <w:rsid w:val="00001585"/>
    <w:rsid w:val="00002876"/>
    <w:rsid w:val="00003B96"/>
    <w:rsid w:val="000040B5"/>
    <w:rsid w:val="00004A1C"/>
    <w:rsid w:val="00006BC2"/>
    <w:rsid w:val="000074B8"/>
    <w:rsid w:val="00007BE2"/>
    <w:rsid w:val="00011123"/>
    <w:rsid w:val="000118B2"/>
    <w:rsid w:val="0001579C"/>
    <w:rsid w:val="00020252"/>
    <w:rsid w:val="000216F5"/>
    <w:rsid w:val="000224D3"/>
    <w:rsid w:val="0002338C"/>
    <w:rsid w:val="00023B4A"/>
    <w:rsid w:val="00023C0B"/>
    <w:rsid w:val="00024378"/>
    <w:rsid w:val="00027547"/>
    <w:rsid w:val="000330B6"/>
    <w:rsid w:val="00033FB5"/>
    <w:rsid w:val="000352E7"/>
    <w:rsid w:val="00036C9E"/>
    <w:rsid w:val="00037107"/>
    <w:rsid w:val="0003713D"/>
    <w:rsid w:val="000405C5"/>
    <w:rsid w:val="000439AC"/>
    <w:rsid w:val="00044738"/>
    <w:rsid w:val="00044CFE"/>
    <w:rsid w:val="00044F43"/>
    <w:rsid w:val="00046D43"/>
    <w:rsid w:val="000477DF"/>
    <w:rsid w:val="00051F1B"/>
    <w:rsid w:val="000522CC"/>
    <w:rsid w:val="00052BDE"/>
    <w:rsid w:val="000535BF"/>
    <w:rsid w:val="00053EDD"/>
    <w:rsid w:val="000550C6"/>
    <w:rsid w:val="00055DC2"/>
    <w:rsid w:val="00056E08"/>
    <w:rsid w:val="000616B7"/>
    <w:rsid w:val="000616CE"/>
    <w:rsid w:val="00061A9C"/>
    <w:rsid w:val="000641B1"/>
    <w:rsid w:val="000649FC"/>
    <w:rsid w:val="00065041"/>
    <w:rsid w:val="00065640"/>
    <w:rsid w:val="00071355"/>
    <w:rsid w:val="0007171B"/>
    <w:rsid w:val="00072CC4"/>
    <w:rsid w:val="00073068"/>
    <w:rsid w:val="00074222"/>
    <w:rsid w:val="00074DB0"/>
    <w:rsid w:val="00075575"/>
    <w:rsid w:val="000757B6"/>
    <w:rsid w:val="000767A8"/>
    <w:rsid w:val="00076927"/>
    <w:rsid w:val="00076DB4"/>
    <w:rsid w:val="000770F7"/>
    <w:rsid w:val="00077F9E"/>
    <w:rsid w:val="00077FD3"/>
    <w:rsid w:val="00080E74"/>
    <w:rsid w:val="00081379"/>
    <w:rsid w:val="00081A18"/>
    <w:rsid w:val="00081CE4"/>
    <w:rsid w:val="000823E8"/>
    <w:rsid w:val="0008693E"/>
    <w:rsid w:val="00086DFE"/>
    <w:rsid w:val="00087BE0"/>
    <w:rsid w:val="00090D33"/>
    <w:rsid w:val="00090FA2"/>
    <w:rsid w:val="00092323"/>
    <w:rsid w:val="00092732"/>
    <w:rsid w:val="0009392F"/>
    <w:rsid w:val="00094AD5"/>
    <w:rsid w:val="000951EF"/>
    <w:rsid w:val="000952BF"/>
    <w:rsid w:val="00095D0B"/>
    <w:rsid w:val="00095D49"/>
    <w:rsid w:val="000960AA"/>
    <w:rsid w:val="00097E92"/>
    <w:rsid w:val="000A033E"/>
    <w:rsid w:val="000A0550"/>
    <w:rsid w:val="000A105A"/>
    <w:rsid w:val="000A26E3"/>
    <w:rsid w:val="000A431C"/>
    <w:rsid w:val="000A45C5"/>
    <w:rsid w:val="000A5A53"/>
    <w:rsid w:val="000A63F3"/>
    <w:rsid w:val="000B09C3"/>
    <w:rsid w:val="000B0BAB"/>
    <w:rsid w:val="000B3862"/>
    <w:rsid w:val="000B3C3C"/>
    <w:rsid w:val="000B5E4E"/>
    <w:rsid w:val="000B606A"/>
    <w:rsid w:val="000B60CC"/>
    <w:rsid w:val="000B670B"/>
    <w:rsid w:val="000B6BF1"/>
    <w:rsid w:val="000B7E75"/>
    <w:rsid w:val="000C0DEE"/>
    <w:rsid w:val="000C2024"/>
    <w:rsid w:val="000C20B5"/>
    <w:rsid w:val="000C34CB"/>
    <w:rsid w:val="000C6CFA"/>
    <w:rsid w:val="000C7C77"/>
    <w:rsid w:val="000D0F68"/>
    <w:rsid w:val="000D1D82"/>
    <w:rsid w:val="000D2A15"/>
    <w:rsid w:val="000D4216"/>
    <w:rsid w:val="000D4E55"/>
    <w:rsid w:val="000D634E"/>
    <w:rsid w:val="000D790F"/>
    <w:rsid w:val="000D7A6C"/>
    <w:rsid w:val="000D7E5B"/>
    <w:rsid w:val="000D7F9D"/>
    <w:rsid w:val="000E0C85"/>
    <w:rsid w:val="000E0FBE"/>
    <w:rsid w:val="000E1AAC"/>
    <w:rsid w:val="000E1E28"/>
    <w:rsid w:val="000E3336"/>
    <w:rsid w:val="000E3562"/>
    <w:rsid w:val="000E673A"/>
    <w:rsid w:val="000E686F"/>
    <w:rsid w:val="000F07D8"/>
    <w:rsid w:val="000F21C2"/>
    <w:rsid w:val="000F316D"/>
    <w:rsid w:val="000F419F"/>
    <w:rsid w:val="000F45C1"/>
    <w:rsid w:val="000F4BD4"/>
    <w:rsid w:val="000F6945"/>
    <w:rsid w:val="000F71B3"/>
    <w:rsid w:val="000F7429"/>
    <w:rsid w:val="000F74F5"/>
    <w:rsid w:val="000F78FC"/>
    <w:rsid w:val="000F7E5A"/>
    <w:rsid w:val="00100BED"/>
    <w:rsid w:val="00100FD3"/>
    <w:rsid w:val="00101EC9"/>
    <w:rsid w:val="00102928"/>
    <w:rsid w:val="00104372"/>
    <w:rsid w:val="00105372"/>
    <w:rsid w:val="001054A6"/>
    <w:rsid w:val="00105592"/>
    <w:rsid w:val="001056C0"/>
    <w:rsid w:val="001078A1"/>
    <w:rsid w:val="001103FB"/>
    <w:rsid w:val="00111671"/>
    <w:rsid w:val="00112B99"/>
    <w:rsid w:val="0011373F"/>
    <w:rsid w:val="00114631"/>
    <w:rsid w:val="00114C76"/>
    <w:rsid w:val="001151F3"/>
    <w:rsid w:val="00115BB1"/>
    <w:rsid w:val="00115E74"/>
    <w:rsid w:val="001167A9"/>
    <w:rsid w:val="00120CE9"/>
    <w:rsid w:val="00120FA5"/>
    <w:rsid w:val="00123CF0"/>
    <w:rsid w:val="00125A2D"/>
    <w:rsid w:val="00127B69"/>
    <w:rsid w:val="0013031A"/>
    <w:rsid w:val="001312AD"/>
    <w:rsid w:val="00131331"/>
    <w:rsid w:val="00131E7A"/>
    <w:rsid w:val="00133208"/>
    <w:rsid w:val="00133643"/>
    <w:rsid w:val="001342BE"/>
    <w:rsid w:val="00134710"/>
    <w:rsid w:val="00134846"/>
    <w:rsid w:val="00134A5B"/>
    <w:rsid w:val="00137C2B"/>
    <w:rsid w:val="0014077F"/>
    <w:rsid w:val="00141716"/>
    <w:rsid w:val="00141888"/>
    <w:rsid w:val="00142780"/>
    <w:rsid w:val="00142825"/>
    <w:rsid w:val="00142DFB"/>
    <w:rsid w:val="001431D6"/>
    <w:rsid w:val="00143D9E"/>
    <w:rsid w:val="0014464C"/>
    <w:rsid w:val="00145F6C"/>
    <w:rsid w:val="00146442"/>
    <w:rsid w:val="00146454"/>
    <w:rsid w:val="001514A3"/>
    <w:rsid w:val="00152123"/>
    <w:rsid w:val="00156252"/>
    <w:rsid w:val="00156A9A"/>
    <w:rsid w:val="0015715D"/>
    <w:rsid w:val="00161C74"/>
    <w:rsid w:val="00162516"/>
    <w:rsid w:val="00162593"/>
    <w:rsid w:val="00162645"/>
    <w:rsid w:val="001635A2"/>
    <w:rsid w:val="00163EA8"/>
    <w:rsid w:val="00164771"/>
    <w:rsid w:val="00164F60"/>
    <w:rsid w:val="00165B31"/>
    <w:rsid w:val="0017265E"/>
    <w:rsid w:val="001727AD"/>
    <w:rsid w:val="00172AF6"/>
    <w:rsid w:val="00174252"/>
    <w:rsid w:val="00175828"/>
    <w:rsid w:val="00175A27"/>
    <w:rsid w:val="00175ED6"/>
    <w:rsid w:val="00176A9F"/>
    <w:rsid w:val="00176CEE"/>
    <w:rsid w:val="00176D9B"/>
    <w:rsid w:val="00177443"/>
    <w:rsid w:val="001776F7"/>
    <w:rsid w:val="00177AFC"/>
    <w:rsid w:val="00177FD3"/>
    <w:rsid w:val="001805B5"/>
    <w:rsid w:val="001805D9"/>
    <w:rsid w:val="00180F6E"/>
    <w:rsid w:val="00180FF9"/>
    <w:rsid w:val="00183A2C"/>
    <w:rsid w:val="00184CDC"/>
    <w:rsid w:val="00184E10"/>
    <w:rsid w:val="00185EB3"/>
    <w:rsid w:val="00185F2B"/>
    <w:rsid w:val="001860A3"/>
    <w:rsid w:val="00186DD8"/>
    <w:rsid w:val="001872CE"/>
    <w:rsid w:val="001904A0"/>
    <w:rsid w:val="00192CE3"/>
    <w:rsid w:val="00193892"/>
    <w:rsid w:val="00193FAF"/>
    <w:rsid w:val="00196749"/>
    <w:rsid w:val="001A0802"/>
    <w:rsid w:val="001A0B9B"/>
    <w:rsid w:val="001A0D18"/>
    <w:rsid w:val="001A136D"/>
    <w:rsid w:val="001A18E1"/>
    <w:rsid w:val="001A22E2"/>
    <w:rsid w:val="001A35EC"/>
    <w:rsid w:val="001A4B37"/>
    <w:rsid w:val="001A4EBA"/>
    <w:rsid w:val="001A51DE"/>
    <w:rsid w:val="001A5203"/>
    <w:rsid w:val="001A6000"/>
    <w:rsid w:val="001A7DC7"/>
    <w:rsid w:val="001B0E95"/>
    <w:rsid w:val="001B0F4A"/>
    <w:rsid w:val="001B132F"/>
    <w:rsid w:val="001B13FE"/>
    <w:rsid w:val="001B4999"/>
    <w:rsid w:val="001B53C7"/>
    <w:rsid w:val="001B59B9"/>
    <w:rsid w:val="001B5B4F"/>
    <w:rsid w:val="001B5E61"/>
    <w:rsid w:val="001B5F4A"/>
    <w:rsid w:val="001B6FC7"/>
    <w:rsid w:val="001B71DD"/>
    <w:rsid w:val="001C1AB4"/>
    <w:rsid w:val="001C24A6"/>
    <w:rsid w:val="001C3E34"/>
    <w:rsid w:val="001C4E94"/>
    <w:rsid w:val="001C5068"/>
    <w:rsid w:val="001C6D3B"/>
    <w:rsid w:val="001D0174"/>
    <w:rsid w:val="001D0AEF"/>
    <w:rsid w:val="001D0DB4"/>
    <w:rsid w:val="001D2D30"/>
    <w:rsid w:val="001E0F70"/>
    <w:rsid w:val="001E1847"/>
    <w:rsid w:val="001E1F08"/>
    <w:rsid w:val="001E325B"/>
    <w:rsid w:val="001E3A6E"/>
    <w:rsid w:val="001E43D3"/>
    <w:rsid w:val="001E516A"/>
    <w:rsid w:val="001E519C"/>
    <w:rsid w:val="001E5505"/>
    <w:rsid w:val="001E554A"/>
    <w:rsid w:val="001E55DB"/>
    <w:rsid w:val="001E5CC6"/>
    <w:rsid w:val="001E5EF5"/>
    <w:rsid w:val="001E671D"/>
    <w:rsid w:val="001E6E36"/>
    <w:rsid w:val="001E6E51"/>
    <w:rsid w:val="001E78DC"/>
    <w:rsid w:val="001F03AA"/>
    <w:rsid w:val="001F28B4"/>
    <w:rsid w:val="001F2A6F"/>
    <w:rsid w:val="001F4C39"/>
    <w:rsid w:val="001F5B8C"/>
    <w:rsid w:val="001F6692"/>
    <w:rsid w:val="001F7E35"/>
    <w:rsid w:val="00201275"/>
    <w:rsid w:val="00202F9A"/>
    <w:rsid w:val="002042CD"/>
    <w:rsid w:val="002045C7"/>
    <w:rsid w:val="00204834"/>
    <w:rsid w:val="0020526F"/>
    <w:rsid w:val="0020735E"/>
    <w:rsid w:val="00207DD6"/>
    <w:rsid w:val="002101F3"/>
    <w:rsid w:val="0021063C"/>
    <w:rsid w:val="00212589"/>
    <w:rsid w:val="002145D4"/>
    <w:rsid w:val="00214961"/>
    <w:rsid w:val="0021496C"/>
    <w:rsid w:val="00214FBE"/>
    <w:rsid w:val="00216859"/>
    <w:rsid w:val="00220EFD"/>
    <w:rsid w:val="0022111F"/>
    <w:rsid w:val="00221316"/>
    <w:rsid w:val="00221A3C"/>
    <w:rsid w:val="00221A70"/>
    <w:rsid w:val="00222CAB"/>
    <w:rsid w:val="002236B5"/>
    <w:rsid w:val="00223D8E"/>
    <w:rsid w:val="00223F3A"/>
    <w:rsid w:val="00224652"/>
    <w:rsid w:val="00225527"/>
    <w:rsid w:val="00230410"/>
    <w:rsid w:val="00231F89"/>
    <w:rsid w:val="00233D66"/>
    <w:rsid w:val="00234DE9"/>
    <w:rsid w:val="00235634"/>
    <w:rsid w:val="002356DE"/>
    <w:rsid w:val="00236B68"/>
    <w:rsid w:val="002372CA"/>
    <w:rsid w:val="0023789E"/>
    <w:rsid w:val="0024003E"/>
    <w:rsid w:val="00240089"/>
    <w:rsid w:val="0024022A"/>
    <w:rsid w:val="00243480"/>
    <w:rsid w:val="00244809"/>
    <w:rsid w:val="00244A1B"/>
    <w:rsid w:val="00244EFC"/>
    <w:rsid w:val="002477C7"/>
    <w:rsid w:val="002477D5"/>
    <w:rsid w:val="00251186"/>
    <w:rsid w:val="002512E8"/>
    <w:rsid w:val="00251E7F"/>
    <w:rsid w:val="0025236B"/>
    <w:rsid w:val="002537E9"/>
    <w:rsid w:val="00253CBE"/>
    <w:rsid w:val="00254774"/>
    <w:rsid w:val="002548BF"/>
    <w:rsid w:val="00254E30"/>
    <w:rsid w:val="002562E9"/>
    <w:rsid w:val="0025688B"/>
    <w:rsid w:val="00256A24"/>
    <w:rsid w:val="00257B68"/>
    <w:rsid w:val="002606A2"/>
    <w:rsid w:val="0026178E"/>
    <w:rsid w:val="002619EF"/>
    <w:rsid w:val="00261F77"/>
    <w:rsid w:val="00262521"/>
    <w:rsid w:val="00263302"/>
    <w:rsid w:val="00264058"/>
    <w:rsid w:val="00264362"/>
    <w:rsid w:val="0026545B"/>
    <w:rsid w:val="002654CD"/>
    <w:rsid w:val="002655F1"/>
    <w:rsid w:val="00266E4E"/>
    <w:rsid w:val="00267A74"/>
    <w:rsid w:val="00267CA5"/>
    <w:rsid w:val="00270659"/>
    <w:rsid w:val="00270FAE"/>
    <w:rsid w:val="0027365A"/>
    <w:rsid w:val="00273EBF"/>
    <w:rsid w:val="00274172"/>
    <w:rsid w:val="00276218"/>
    <w:rsid w:val="00277C36"/>
    <w:rsid w:val="00277CA7"/>
    <w:rsid w:val="00280813"/>
    <w:rsid w:val="0028194B"/>
    <w:rsid w:val="00282734"/>
    <w:rsid w:val="00282E33"/>
    <w:rsid w:val="002830A0"/>
    <w:rsid w:val="0028542C"/>
    <w:rsid w:val="00286076"/>
    <w:rsid w:val="0028752E"/>
    <w:rsid w:val="00290CF5"/>
    <w:rsid w:val="00290F5D"/>
    <w:rsid w:val="002914D3"/>
    <w:rsid w:val="00291AFB"/>
    <w:rsid w:val="00292352"/>
    <w:rsid w:val="002949AC"/>
    <w:rsid w:val="00294BDD"/>
    <w:rsid w:val="00295443"/>
    <w:rsid w:val="00295494"/>
    <w:rsid w:val="00296AC5"/>
    <w:rsid w:val="00296FF2"/>
    <w:rsid w:val="002A05EC"/>
    <w:rsid w:val="002A0873"/>
    <w:rsid w:val="002A0F2F"/>
    <w:rsid w:val="002A1B35"/>
    <w:rsid w:val="002A2132"/>
    <w:rsid w:val="002A3130"/>
    <w:rsid w:val="002A325B"/>
    <w:rsid w:val="002A3373"/>
    <w:rsid w:val="002A4FE0"/>
    <w:rsid w:val="002A5A03"/>
    <w:rsid w:val="002A667B"/>
    <w:rsid w:val="002A66FA"/>
    <w:rsid w:val="002A7633"/>
    <w:rsid w:val="002A7747"/>
    <w:rsid w:val="002B05C3"/>
    <w:rsid w:val="002B2C57"/>
    <w:rsid w:val="002B39C6"/>
    <w:rsid w:val="002B41AE"/>
    <w:rsid w:val="002B4293"/>
    <w:rsid w:val="002B4A29"/>
    <w:rsid w:val="002B5A14"/>
    <w:rsid w:val="002B7C87"/>
    <w:rsid w:val="002C05C5"/>
    <w:rsid w:val="002C1181"/>
    <w:rsid w:val="002C25FE"/>
    <w:rsid w:val="002C452E"/>
    <w:rsid w:val="002C5578"/>
    <w:rsid w:val="002C6244"/>
    <w:rsid w:val="002C6B9C"/>
    <w:rsid w:val="002C6D3A"/>
    <w:rsid w:val="002C7D3F"/>
    <w:rsid w:val="002D0585"/>
    <w:rsid w:val="002D2EAD"/>
    <w:rsid w:val="002D300E"/>
    <w:rsid w:val="002D33BE"/>
    <w:rsid w:val="002D54CE"/>
    <w:rsid w:val="002D6955"/>
    <w:rsid w:val="002D72BA"/>
    <w:rsid w:val="002D7768"/>
    <w:rsid w:val="002E0A6A"/>
    <w:rsid w:val="002E0BF2"/>
    <w:rsid w:val="002E270A"/>
    <w:rsid w:val="002E2CE3"/>
    <w:rsid w:val="002E6BE1"/>
    <w:rsid w:val="002E6DB6"/>
    <w:rsid w:val="002F064C"/>
    <w:rsid w:val="002F0D9C"/>
    <w:rsid w:val="002F0FAC"/>
    <w:rsid w:val="002F16F1"/>
    <w:rsid w:val="002F2CE5"/>
    <w:rsid w:val="002F3A5B"/>
    <w:rsid w:val="002F3B7A"/>
    <w:rsid w:val="002F3B7E"/>
    <w:rsid w:val="002F3D38"/>
    <w:rsid w:val="002F5BE0"/>
    <w:rsid w:val="002F738B"/>
    <w:rsid w:val="002F744E"/>
    <w:rsid w:val="002F7619"/>
    <w:rsid w:val="002F7FD6"/>
    <w:rsid w:val="00300319"/>
    <w:rsid w:val="003008FE"/>
    <w:rsid w:val="00300B51"/>
    <w:rsid w:val="0030169D"/>
    <w:rsid w:val="00303506"/>
    <w:rsid w:val="00303901"/>
    <w:rsid w:val="00303CFE"/>
    <w:rsid w:val="003060EB"/>
    <w:rsid w:val="0030686B"/>
    <w:rsid w:val="00307D3F"/>
    <w:rsid w:val="00307F77"/>
    <w:rsid w:val="003105AE"/>
    <w:rsid w:val="00311EF3"/>
    <w:rsid w:val="003138C2"/>
    <w:rsid w:val="003153EB"/>
    <w:rsid w:val="003157B3"/>
    <w:rsid w:val="003165CD"/>
    <w:rsid w:val="00321985"/>
    <w:rsid w:val="00322BE3"/>
    <w:rsid w:val="003236BF"/>
    <w:rsid w:val="00323C19"/>
    <w:rsid w:val="00324F2E"/>
    <w:rsid w:val="00324FA2"/>
    <w:rsid w:val="003275AC"/>
    <w:rsid w:val="00327CAB"/>
    <w:rsid w:val="003349CB"/>
    <w:rsid w:val="00335367"/>
    <w:rsid w:val="00337997"/>
    <w:rsid w:val="00340BCD"/>
    <w:rsid w:val="003410F9"/>
    <w:rsid w:val="00344004"/>
    <w:rsid w:val="003440BE"/>
    <w:rsid w:val="003456A1"/>
    <w:rsid w:val="00345B67"/>
    <w:rsid w:val="003471DF"/>
    <w:rsid w:val="00347C7D"/>
    <w:rsid w:val="00350B27"/>
    <w:rsid w:val="00351205"/>
    <w:rsid w:val="003528D9"/>
    <w:rsid w:val="00352BD0"/>
    <w:rsid w:val="00354E26"/>
    <w:rsid w:val="00356B8F"/>
    <w:rsid w:val="00360580"/>
    <w:rsid w:val="003605F6"/>
    <w:rsid w:val="00360E24"/>
    <w:rsid w:val="00361A0A"/>
    <w:rsid w:val="00361ABE"/>
    <w:rsid w:val="00367E96"/>
    <w:rsid w:val="00372257"/>
    <w:rsid w:val="003724F7"/>
    <w:rsid w:val="00372865"/>
    <w:rsid w:val="00372C41"/>
    <w:rsid w:val="00372F74"/>
    <w:rsid w:val="00374ACD"/>
    <w:rsid w:val="00374CA8"/>
    <w:rsid w:val="00375956"/>
    <w:rsid w:val="00375E7D"/>
    <w:rsid w:val="0037600D"/>
    <w:rsid w:val="00376B41"/>
    <w:rsid w:val="003801F4"/>
    <w:rsid w:val="003808F6"/>
    <w:rsid w:val="0038090B"/>
    <w:rsid w:val="00381D6C"/>
    <w:rsid w:val="00383DA2"/>
    <w:rsid w:val="00384804"/>
    <w:rsid w:val="00384B6C"/>
    <w:rsid w:val="00385F7D"/>
    <w:rsid w:val="00386398"/>
    <w:rsid w:val="00387CD3"/>
    <w:rsid w:val="00390712"/>
    <w:rsid w:val="0039084E"/>
    <w:rsid w:val="003916D6"/>
    <w:rsid w:val="0039283A"/>
    <w:rsid w:val="00392C2E"/>
    <w:rsid w:val="003938B0"/>
    <w:rsid w:val="00393DB4"/>
    <w:rsid w:val="00393FE0"/>
    <w:rsid w:val="003956ED"/>
    <w:rsid w:val="003A035E"/>
    <w:rsid w:val="003A03FC"/>
    <w:rsid w:val="003A205F"/>
    <w:rsid w:val="003A2D12"/>
    <w:rsid w:val="003A3B8E"/>
    <w:rsid w:val="003A51B5"/>
    <w:rsid w:val="003A5264"/>
    <w:rsid w:val="003A62BE"/>
    <w:rsid w:val="003A6673"/>
    <w:rsid w:val="003A68A1"/>
    <w:rsid w:val="003A70C8"/>
    <w:rsid w:val="003A7975"/>
    <w:rsid w:val="003A7A04"/>
    <w:rsid w:val="003A7C16"/>
    <w:rsid w:val="003B0FBF"/>
    <w:rsid w:val="003B24BE"/>
    <w:rsid w:val="003B26DE"/>
    <w:rsid w:val="003B3A84"/>
    <w:rsid w:val="003B3FB9"/>
    <w:rsid w:val="003B6BF5"/>
    <w:rsid w:val="003B6C98"/>
    <w:rsid w:val="003C0D85"/>
    <w:rsid w:val="003C199D"/>
    <w:rsid w:val="003C20F1"/>
    <w:rsid w:val="003C29E8"/>
    <w:rsid w:val="003C2FA8"/>
    <w:rsid w:val="003C3703"/>
    <w:rsid w:val="003C3C01"/>
    <w:rsid w:val="003C3C8A"/>
    <w:rsid w:val="003C5211"/>
    <w:rsid w:val="003C57DA"/>
    <w:rsid w:val="003C6E5B"/>
    <w:rsid w:val="003C6FCC"/>
    <w:rsid w:val="003C76FF"/>
    <w:rsid w:val="003D15AA"/>
    <w:rsid w:val="003D1901"/>
    <w:rsid w:val="003D19B1"/>
    <w:rsid w:val="003D3E7C"/>
    <w:rsid w:val="003D6287"/>
    <w:rsid w:val="003D6BDF"/>
    <w:rsid w:val="003D7993"/>
    <w:rsid w:val="003E2088"/>
    <w:rsid w:val="003E41C7"/>
    <w:rsid w:val="003E6098"/>
    <w:rsid w:val="003F03A7"/>
    <w:rsid w:val="003F05DF"/>
    <w:rsid w:val="003F11E1"/>
    <w:rsid w:val="003F1548"/>
    <w:rsid w:val="003F1B3F"/>
    <w:rsid w:val="003F33C4"/>
    <w:rsid w:val="003F3A42"/>
    <w:rsid w:val="003F414D"/>
    <w:rsid w:val="003F421A"/>
    <w:rsid w:val="003F42CE"/>
    <w:rsid w:val="003F5857"/>
    <w:rsid w:val="003F61E6"/>
    <w:rsid w:val="003F70BC"/>
    <w:rsid w:val="003F7224"/>
    <w:rsid w:val="00400294"/>
    <w:rsid w:val="00402C53"/>
    <w:rsid w:val="0040369A"/>
    <w:rsid w:val="004042F2"/>
    <w:rsid w:val="00404742"/>
    <w:rsid w:val="00404E12"/>
    <w:rsid w:val="00406755"/>
    <w:rsid w:val="004067B1"/>
    <w:rsid w:val="00407073"/>
    <w:rsid w:val="004072B0"/>
    <w:rsid w:val="0041037C"/>
    <w:rsid w:val="00410BA0"/>
    <w:rsid w:val="0041233B"/>
    <w:rsid w:val="00413EF4"/>
    <w:rsid w:val="00414DD5"/>
    <w:rsid w:val="004155DE"/>
    <w:rsid w:val="00415FEF"/>
    <w:rsid w:val="004176F2"/>
    <w:rsid w:val="004205C5"/>
    <w:rsid w:val="004224F5"/>
    <w:rsid w:val="00422696"/>
    <w:rsid w:val="004232C5"/>
    <w:rsid w:val="0042331A"/>
    <w:rsid w:val="00424164"/>
    <w:rsid w:val="00425A83"/>
    <w:rsid w:val="004262EE"/>
    <w:rsid w:val="00426676"/>
    <w:rsid w:val="00427D21"/>
    <w:rsid w:val="00431319"/>
    <w:rsid w:val="00431352"/>
    <w:rsid w:val="00431B37"/>
    <w:rsid w:val="0043211D"/>
    <w:rsid w:val="0043240B"/>
    <w:rsid w:val="00433F7C"/>
    <w:rsid w:val="0043481B"/>
    <w:rsid w:val="00435C0E"/>
    <w:rsid w:val="0043605E"/>
    <w:rsid w:val="00436565"/>
    <w:rsid w:val="00436686"/>
    <w:rsid w:val="00437572"/>
    <w:rsid w:val="00440673"/>
    <w:rsid w:val="0044159A"/>
    <w:rsid w:val="00442F16"/>
    <w:rsid w:val="00443D76"/>
    <w:rsid w:val="00444722"/>
    <w:rsid w:val="00445C48"/>
    <w:rsid w:val="00445E35"/>
    <w:rsid w:val="00446E53"/>
    <w:rsid w:val="00447F4A"/>
    <w:rsid w:val="00450360"/>
    <w:rsid w:val="0045089A"/>
    <w:rsid w:val="0045134E"/>
    <w:rsid w:val="0045212A"/>
    <w:rsid w:val="004521BE"/>
    <w:rsid w:val="00453683"/>
    <w:rsid w:val="00454116"/>
    <w:rsid w:val="00454B5A"/>
    <w:rsid w:val="004558F7"/>
    <w:rsid w:val="00455AF2"/>
    <w:rsid w:val="00455F53"/>
    <w:rsid w:val="00456018"/>
    <w:rsid w:val="00456F67"/>
    <w:rsid w:val="00457847"/>
    <w:rsid w:val="004604DB"/>
    <w:rsid w:val="00462887"/>
    <w:rsid w:val="00464396"/>
    <w:rsid w:val="004644C2"/>
    <w:rsid w:val="0046468E"/>
    <w:rsid w:val="004648A4"/>
    <w:rsid w:val="0046596E"/>
    <w:rsid w:val="004666EC"/>
    <w:rsid w:val="00467073"/>
    <w:rsid w:val="00467F9C"/>
    <w:rsid w:val="004727AF"/>
    <w:rsid w:val="004732C9"/>
    <w:rsid w:val="00474A91"/>
    <w:rsid w:val="00474A95"/>
    <w:rsid w:val="00475141"/>
    <w:rsid w:val="00476359"/>
    <w:rsid w:val="00477A43"/>
    <w:rsid w:val="00480454"/>
    <w:rsid w:val="00480793"/>
    <w:rsid w:val="00480844"/>
    <w:rsid w:val="00480C2B"/>
    <w:rsid w:val="0048119E"/>
    <w:rsid w:val="004819CF"/>
    <w:rsid w:val="00481E53"/>
    <w:rsid w:val="00482CB5"/>
    <w:rsid w:val="00483081"/>
    <w:rsid w:val="0048345C"/>
    <w:rsid w:val="00483AD1"/>
    <w:rsid w:val="00484B4C"/>
    <w:rsid w:val="00486E05"/>
    <w:rsid w:val="00487192"/>
    <w:rsid w:val="004908FA"/>
    <w:rsid w:val="00491E10"/>
    <w:rsid w:val="00492531"/>
    <w:rsid w:val="00492F77"/>
    <w:rsid w:val="004938B6"/>
    <w:rsid w:val="004939AF"/>
    <w:rsid w:val="004940A7"/>
    <w:rsid w:val="004949B2"/>
    <w:rsid w:val="00494EFD"/>
    <w:rsid w:val="00497BEA"/>
    <w:rsid w:val="004A11B0"/>
    <w:rsid w:val="004A1559"/>
    <w:rsid w:val="004A294B"/>
    <w:rsid w:val="004A2AB1"/>
    <w:rsid w:val="004A4196"/>
    <w:rsid w:val="004A4422"/>
    <w:rsid w:val="004A627B"/>
    <w:rsid w:val="004A6F87"/>
    <w:rsid w:val="004A760E"/>
    <w:rsid w:val="004B2ADE"/>
    <w:rsid w:val="004B3559"/>
    <w:rsid w:val="004B49DB"/>
    <w:rsid w:val="004B4E6F"/>
    <w:rsid w:val="004C08C4"/>
    <w:rsid w:val="004C21E8"/>
    <w:rsid w:val="004C26AC"/>
    <w:rsid w:val="004C2F47"/>
    <w:rsid w:val="004C33E1"/>
    <w:rsid w:val="004C4E4B"/>
    <w:rsid w:val="004C52F0"/>
    <w:rsid w:val="004C5C67"/>
    <w:rsid w:val="004D0A87"/>
    <w:rsid w:val="004D277B"/>
    <w:rsid w:val="004D3368"/>
    <w:rsid w:val="004D5C07"/>
    <w:rsid w:val="004D716E"/>
    <w:rsid w:val="004D79DD"/>
    <w:rsid w:val="004E108E"/>
    <w:rsid w:val="004E3752"/>
    <w:rsid w:val="004E494E"/>
    <w:rsid w:val="004E5184"/>
    <w:rsid w:val="004E6330"/>
    <w:rsid w:val="004E731C"/>
    <w:rsid w:val="004E77DF"/>
    <w:rsid w:val="004F1E6B"/>
    <w:rsid w:val="004F2022"/>
    <w:rsid w:val="004F22F1"/>
    <w:rsid w:val="004F2A83"/>
    <w:rsid w:val="004F3563"/>
    <w:rsid w:val="004F3A38"/>
    <w:rsid w:val="004F79C1"/>
    <w:rsid w:val="004F7CC0"/>
    <w:rsid w:val="00501DB4"/>
    <w:rsid w:val="005022C1"/>
    <w:rsid w:val="005023CD"/>
    <w:rsid w:val="00503089"/>
    <w:rsid w:val="00503D21"/>
    <w:rsid w:val="00504295"/>
    <w:rsid w:val="0050498D"/>
    <w:rsid w:val="005071B8"/>
    <w:rsid w:val="00507D33"/>
    <w:rsid w:val="00507DC7"/>
    <w:rsid w:val="0051006C"/>
    <w:rsid w:val="005100C5"/>
    <w:rsid w:val="00512403"/>
    <w:rsid w:val="005129A3"/>
    <w:rsid w:val="00513FF1"/>
    <w:rsid w:val="0051496B"/>
    <w:rsid w:val="005150A0"/>
    <w:rsid w:val="00515C67"/>
    <w:rsid w:val="00516929"/>
    <w:rsid w:val="00520CC8"/>
    <w:rsid w:val="00522D2E"/>
    <w:rsid w:val="00523052"/>
    <w:rsid w:val="00523321"/>
    <w:rsid w:val="0052614C"/>
    <w:rsid w:val="00526268"/>
    <w:rsid w:val="005268BA"/>
    <w:rsid w:val="005269BD"/>
    <w:rsid w:val="00526D9A"/>
    <w:rsid w:val="00527576"/>
    <w:rsid w:val="00531E5C"/>
    <w:rsid w:val="00533B39"/>
    <w:rsid w:val="00534054"/>
    <w:rsid w:val="00534681"/>
    <w:rsid w:val="00534852"/>
    <w:rsid w:val="005348A9"/>
    <w:rsid w:val="005351C1"/>
    <w:rsid w:val="0053537B"/>
    <w:rsid w:val="0053640A"/>
    <w:rsid w:val="005368D3"/>
    <w:rsid w:val="00540052"/>
    <w:rsid w:val="005419A0"/>
    <w:rsid w:val="00541F69"/>
    <w:rsid w:val="00543446"/>
    <w:rsid w:val="0054377E"/>
    <w:rsid w:val="00544329"/>
    <w:rsid w:val="00544410"/>
    <w:rsid w:val="00545157"/>
    <w:rsid w:val="00550B9D"/>
    <w:rsid w:val="0055100A"/>
    <w:rsid w:val="00552638"/>
    <w:rsid w:val="00554FED"/>
    <w:rsid w:val="0056068E"/>
    <w:rsid w:val="00563442"/>
    <w:rsid w:val="0056348E"/>
    <w:rsid w:val="005635AC"/>
    <w:rsid w:val="0056484C"/>
    <w:rsid w:val="005649F9"/>
    <w:rsid w:val="00564C69"/>
    <w:rsid w:val="00565496"/>
    <w:rsid w:val="00565B42"/>
    <w:rsid w:val="00565BD4"/>
    <w:rsid w:val="00566DF3"/>
    <w:rsid w:val="00567A76"/>
    <w:rsid w:val="00567C20"/>
    <w:rsid w:val="00567DD9"/>
    <w:rsid w:val="005706E0"/>
    <w:rsid w:val="00571A4E"/>
    <w:rsid w:val="00572EC4"/>
    <w:rsid w:val="00573BF8"/>
    <w:rsid w:val="0057622C"/>
    <w:rsid w:val="00576980"/>
    <w:rsid w:val="00576DB3"/>
    <w:rsid w:val="00580EA7"/>
    <w:rsid w:val="0058253B"/>
    <w:rsid w:val="0058272E"/>
    <w:rsid w:val="0058599A"/>
    <w:rsid w:val="00585DAB"/>
    <w:rsid w:val="00587490"/>
    <w:rsid w:val="0058783C"/>
    <w:rsid w:val="00590729"/>
    <w:rsid w:val="00590913"/>
    <w:rsid w:val="00591054"/>
    <w:rsid w:val="00591799"/>
    <w:rsid w:val="00592609"/>
    <w:rsid w:val="00593506"/>
    <w:rsid w:val="00593D05"/>
    <w:rsid w:val="00594A55"/>
    <w:rsid w:val="00594ECC"/>
    <w:rsid w:val="00595334"/>
    <w:rsid w:val="0059634E"/>
    <w:rsid w:val="005A0B2B"/>
    <w:rsid w:val="005A35AB"/>
    <w:rsid w:val="005A470E"/>
    <w:rsid w:val="005A4BFA"/>
    <w:rsid w:val="005A4DC7"/>
    <w:rsid w:val="005A4E30"/>
    <w:rsid w:val="005A5890"/>
    <w:rsid w:val="005A67E5"/>
    <w:rsid w:val="005A6BE5"/>
    <w:rsid w:val="005B13DC"/>
    <w:rsid w:val="005B278D"/>
    <w:rsid w:val="005B33EC"/>
    <w:rsid w:val="005B35E2"/>
    <w:rsid w:val="005B3E4B"/>
    <w:rsid w:val="005B414B"/>
    <w:rsid w:val="005C0158"/>
    <w:rsid w:val="005C10F2"/>
    <w:rsid w:val="005C4643"/>
    <w:rsid w:val="005C49B6"/>
    <w:rsid w:val="005C4CE6"/>
    <w:rsid w:val="005C5A1A"/>
    <w:rsid w:val="005C5E90"/>
    <w:rsid w:val="005C5FF8"/>
    <w:rsid w:val="005C68CF"/>
    <w:rsid w:val="005D1AEC"/>
    <w:rsid w:val="005D2893"/>
    <w:rsid w:val="005D3824"/>
    <w:rsid w:val="005D39D5"/>
    <w:rsid w:val="005D3D3E"/>
    <w:rsid w:val="005D6238"/>
    <w:rsid w:val="005D6D15"/>
    <w:rsid w:val="005E1193"/>
    <w:rsid w:val="005E384D"/>
    <w:rsid w:val="005E3B73"/>
    <w:rsid w:val="005E3E24"/>
    <w:rsid w:val="005E437A"/>
    <w:rsid w:val="005E4E99"/>
    <w:rsid w:val="005E659D"/>
    <w:rsid w:val="005E6A27"/>
    <w:rsid w:val="005F17C4"/>
    <w:rsid w:val="005F2933"/>
    <w:rsid w:val="005F2C50"/>
    <w:rsid w:val="005F31F9"/>
    <w:rsid w:val="005F621E"/>
    <w:rsid w:val="005F700C"/>
    <w:rsid w:val="005F7C70"/>
    <w:rsid w:val="006003B8"/>
    <w:rsid w:val="00600557"/>
    <w:rsid w:val="00602709"/>
    <w:rsid w:val="00603C4D"/>
    <w:rsid w:val="006046E3"/>
    <w:rsid w:val="00606726"/>
    <w:rsid w:val="00610E9F"/>
    <w:rsid w:val="00611401"/>
    <w:rsid w:val="00611CF8"/>
    <w:rsid w:val="006122BA"/>
    <w:rsid w:val="00613194"/>
    <w:rsid w:val="00613689"/>
    <w:rsid w:val="00614FEB"/>
    <w:rsid w:val="00615248"/>
    <w:rsid w:val="00615EAF"/>
    <w:rsid w:val="00616485"/>
    <w:rsid w:val="00617AF4"/>
    <w:rsid w:val="00617F9C"/>
    <w:rsid w:val="00620BD0"/>
    <w:rsid w:val="00620CF1"/>
    <w:rsid w:val="00620F8B"/>
    <w:rsid w:val="006215F0"/>
    <w:rsid w:val="00621ADD"/>
    <w:rsid w:val="00622E66"/>
    <w:rsid w:val="00623834"/>
    <w:rsid w:val="006247AC"/>
    <w:rsid w:val="00625A92"/>
    <w:rsid w:val="00631A10"/>
    <w:rsid w:val="00632AC6"/>
    <w:rsid w:val="006331B8"/>
    <w:rsid w:val="00634C1D"/>
    <w:rsid w:val="006359B3"/>
    <w:rsid w:val="00636632"/>
    <w:rsid w:val="006378E3"/>
    <w:rsid w:val="00637F98"/>
    <w:rsid w:val="00641683"/>
    <w:rsid w:val="00643111"/>
    <w:rsid w:val="00643987"/>
    <w:rsid w:val="00646CAD"/>
    <w:rsid w:val="00646E6D"/>
    <w:rsid w:val="00647121"/>
    <w:rsid w:val="006478BF"/>
    <w:rsid w:val="00650948"/>
    <w:rsid w:val="00650F34"/>
    <w:rsid w:val="0065193F"/>
    <w:rsid w:val="00653458"/>
    <w:rsid w:val="00655406"/>
    <w:rsid w:val="006554B6"/>
    <w:rsid w:val="006565F3"/>
    <w:rsid w:val="00660B19"/>
    <w:rsid w:val="00662518"/>
    <w:rsid w:val="00662B31"/>
    <w:rsid w:val="006631E6"/>
    <w:rsid w:val="00664D58"/>
    <w:rsid w:val="00665F22"/>
    <w:rsid w:val="00667664"/>
    <w:rsid w:val="00667825"/>
    <w:rsid w:val="00670C4F"/>
    <w:rsid w:val="006717A3"/>
    <w:rsid w:val="00671AD2"/>
    <w:rsid w:val="0067281E"/>
    <w:rsid w:val="00672AD5"/>
    <w:rsid w:val="00673A55"/>
    <w:rsid w:val="00673DFB"/>
    <w:rsid w:val="00673ECE"/>
    <w:rsid w:val="00676497"/>
    <w:rsid w:val="00676DC9"/>
    <w:rsid w:val="006806B3"/>
    <w:rsid w:val="00681334"/>
    <w:rsid w:val="0068166B"/>
    <w:rsid w:val="00683735"/>
    <w:rsid w:val="00683852"/>
    <w:rsid w:val="00683909"/>
    <w:rsid w:val="00683BA8"/>
    <w:rsid w:val="006844CB"/>
    <w:rsid w:val="00684E0C"/>
    <w:rsid w:val="00686CCB"/>
    <w:rsid w:val="00686F46"/>
    <w:rsid w:val="006921EB"/>
    <w:rsid w:val="00692E1A"/>
    <w:rsid w:val="00697422"/>
    <w:rsid w:val="00697525"/>
    <w:rsid w:val="0069759D"/>
    <w:rsid w:val="006979D3"/>
    <w:rsid w:val="006A0A90"/>
    <w:rsid w:val="006A0F96"/>
    <w:rsid w:val="006A105E"/>
    <w:rsid w:val="006A11B0"/>
    <w:rsid w:val="006A1364"/>
    <w:rsid w:val="006A1FF7"/>
    <w:rsid w:val="006A452B"/>
    <w:rsid w:val="006A5D7E"/>
    <w:rsid w:val="006A64D6"/>
    <w:rsid w:val="006A68F2"/>
    <w:rsid w:val="006A6B44"/>
    <w:rsid w:val="006A73C1"/>
    <w:rsid w:val="006A746D"/>
    <w:rsid w:val="006B19E2"/>
    <w:rsid w:val="006B1FC7"/>
    <w:rsid w:val="006B2290"/>
    <w:rsid w:val="006B2781"/>
    <w:rsid w:val="006B2979"/>
    <w:rsid w:val="006B2FF4"/>
    <w:rsid w:val="006B4026"/>
    <w:rsid w:val="006B7977"/>
    <w:rsid w:val="006C0BD2"/>
    <w:rsid w:val="006C143B"/>
    <w:rsid w:val="006C2289"/>
    <w:rsid w:val="006C531F"/>
    <w:rsid w:val="006C56DC"/>
    <w:rsid w:val="006C6B65"/>
    <w:rsid w:val="006C6FA0"/>
    <w:rsid w:val="006C724F"/>
    <w:rsid w:val="006C7472"/>
    <w:rsid w:val="006C7E6E"/>
    <w:rsid w:val="006D01AB"/>
    <w:rsid w:val="006D19AC"/>
    <w:rsid w:val="006D210A"/>
    <w:rsid w:val="006D25E5"/>
    <w:rsid w:val="006D2FA6"/>
    <w:rsid w:val="006D5C57"/>
    <w:rsid w:val="006D605D"/>
    <w:rsid w:val="006D6A61"/>
    <w:rsid w:val="006D7CA0"/>
    <w:rsid w:val="006E4107"/>
    <w:rsid w:val="006E4434"/>
    <w:rsid w:val="006E671B"/>
    <w:rsid w:val="006E6EE2"/>
    <w:rsid w:val="006E71F9"/>
    <w:rsid w:val="006F0021"/>
    <w:rsid w:val="006F198F"/>
    <w:rsid w:val="006F1ED3"/>
    <w:rsid w:val="006F233B"/>
    <w:rsid w:val="006F317A"/>
    <w:rsid w:val="006F42A1"/>
    <w:rsid w:val="006F5720"/>
    <w:rsid w:val="006F779E"/>
    <w:rsid w:val="006F7DDE"/>
    <w:rsid w:val="00700F41"/>
    <w:rsid w:val="00702940"/>
    <w:rsid w:val="007045C7"/>
    <w:rsid w:val="00704A61"/>
    <w:rsid w:val="00704B53"/>
    <w:rsid w:val="00705C2D"/>
    <w:rsid w:val="00707064"/>
    <w:rsid w:val="00707460"/>
    <w:rsid w:val="00710468"/>
    <w:rsid w:val="007129A9"/>
    <w:rsid w:val="00712D86"/>
    <w:rsid w:val="00713740"/>
    <w:rsid w:val="007145DA"/>
    <w:rsid w:val="00714995"/>
    <w:rsid w:val="00715183"/>
    <w:rsid w:val="00717D88"/>
    <w:rsid w:val="00721B4C"/>
    <w:rsid w:val="007238D3"/>
    <w:rsid w:val="00723D28"/>
    <w:rsid w:val="00724595"/>
    <w:rsid w:val="00724CE4"/>
    <w:rsid w:val="007262CF"/>
    <w:rsid w:val="00726A43"/>
    <w:rsid w:val="0073013D"/>
    <w:rsid w:val="00730E9B"/>
    <w:rsid w:val="007311D8"/>
    <w:rsid w:val="00733AC2"/>
    <w:rsid w:val="00735933"/>
    <w:rsid w:val="0073629E"/>
    <w:rsid w:val="007367C3"/>
    <w:rsid w:val="00736C03"/>
    <w:rsid w:val="007372BB"/>
    <w:rsid w:val="00737BF1"/>
    <w:rsid w:val="00740713"/>
    <w:rsid w:val="00741574"/>
    <w:rsid w:val="007435D4"/>
    <w:rsid w:val="007477B3"/>
    <w:rsid w:val="00747AA6"/>
    <w:rsid w:val="00751085"/>
    <w:rsid w:val="00751E7A"/>
    <w:rsid w:val="0075249B"/>
    <w:rsid w:val="00753048"/>
    <w:rsid w:val="0075344A"/>
    <w:rsid w:val="00754C48"/>
    <w:rsid w:val="00754FFF"/>
    <w:rsid w:val="00755038"/>
    <w:rsid w:val="00755B71"/>
    <w:rsid w:val="00755E91"/>
    <w:rsid w:val="007570C9"/>
    <w:rsid w:val="0075779D"/>
    <w:rsid w:val="00761595"/>
    <w:rsid w:val="007649BD"/>
    <w:rsid w:val="00764ECC"/>
    <w:rsid w:val="00765F13"/>
    <w:rsid w:val="00766902"/>
    <w:rsid w:val="00766DF9"/>
    <w:rsid w:val="00767006"/>
    <w:rsid w:val="0076731E"/>
    <w:rsid w:val="00767793"/>
    <w:rsid w:val="00767A0D"/>
    <w:rsid w:val="007702A8"/>
    <w:rsid w:val="0077040C"/>
    <w:rsid w:val="007707A9"/>
    <w:rsid w:val="00770C0A"/>
    <w:rsid w:val="00772321"/>
    <w:rsid w:val="00772632"/>
    <w:rsid w:val="00772FA5"/>
    <w:rsid w:val="00773315"/>
    <w:rsid w:val="00773FD2"/>
    <w:rsid w:val="00774237"/>
    <w:rsid w:val="00774AF7"/>
    <w:rsid w:val="00774B80"/>
    <w:rsid w:val="00774D33"/>
    <w:rsid w:val="0077603E"/>
    <w:rsid w:val="007767AD"/>
    <w:rsid w:val="007818B9"/>
    <w:rsid w:val="00781FAB"/>
    <w:rsid w:val="007826A0"/>
    <w:rsid w:val="00782A35"/>
    <w:rsid w:val="00782C80"/>
    <w:rsid w:val="0078388F"/>
    <w:rsid w:val="00783D60"/>
    <w:rsid w:val="00783E6C"/>
    <w:rsid w:val="007842BB"/>
    <w:rsid w:val="0078441E"/>
    <w:rsid w:val="00784C39"/>
    <w:rsid w:val="00786056"/>
    <w:rsid w:val="007862AE"/>
    <w:rsid w:val="0078631A"/>
    <w:rsid w:val="00786450"/>
    <w:rsid w:val="007869F3"/>
    <w:rsid w:val="0078768C"/>
    <w:rsid w:val="007902F2"/>
    <w:rsid w:val="00790E1B"/>
    <w:rsid w:val="00790EF8"/>
    <w:rsid w:val="007915F4"/>
    <w:rsid w:val="00791E29"/>
    <w:rsid w:val="007926F1"/>
    <w:rsid w:val="007930A8"/>
    <w:rsid w:val="0079358C"/>
    <w:rsid w:val="00793B3A"/>
    <w:rsid w:val="007942D3"/>
    <w:rsid w:val="0079485B"/>
    <w:rsid w:val="00794F9A"/>
    <w:rsid w:val="007954E8"/>
    <w:rsid w:val="007957C0"/>
    <w:rsid w:val="007970CE"/>
    <w:rsid w:val="007979E9"/>
    <w:rsid w:val="00797E93"/>
    <w:rsid w:val="007A136F"/>
    <w:rsid w:val="007A3B5B"/>
    <w:rsid w:val="007A3BBF"/>
    <w:rsid w:val="007A5CC2"/>
    <w:rsid w:val="007A63E7"/>
    <w:rsid w:val="007A75B3"/>
    <w:rsid w:val="007B02D2"/>
    <w:rsid w:val="007B17AA"/>
    <w:rsid w:val="007B2099"/>
    <w:rsid w:val="007B4796"/>
    <w:rsid w:val="007B4ED8"/>
    <w:rsid w:val="007B5F8A"/>
    <w:rsid w:val="007B6349"/>
    <w:rsid w:val="007B6C09"/>
    <w:rsid w:val="007B72AE"/>
    <w:rsid w:val="007B72FB"/>
    <w:rsid w:val="007B7367"/>
    <w:rsid w:val="007B7741"/>
    <w:rsid w:val="007B7756"/>
    <w:rsid w:val="007C0876"/>
    <w:rsid w:val="007C1931"/>
    <w:rsid w:val="007C29BF"/>
    <w:rsid w:val="007C2F30"/>
    <w:rsid w:val="007C3767"/>
    <w:rsid w:val="007C4951"/>
    <w:rsid w:val="007C74D5"/>
    <w:rsid w:val="007C78E4"/>
    <w:rsid w:val="007C7EE3"/>
    <w:rsid w:val="007D031B"/>
    <w:rsid w:val="007D1563"/>
    <w:rsid w:val="007D16FA"/>
    <w:rsid w:val="007D36FF"/>
    <w:rsid w:val="007D4B9C"/>
    <w:rsid w:val="007D6BA3"/>
    <w:rsid w:val="007D6C80"/>
    <w:rsid w:val="007E09DA"/>
    <w:rsid w:val="007E0F8A"/>
    <w:rsid w:val="007E1AD4"/>
    <w:rsid w:val="007E23BA"/>
    <w:rsid w:val="007E2734"/>
    <w:rsid w:val="007E4705"/>
    <w:rsid w:val="007E5553"/>
    <w:rsid w:val="007E5F23"/>
    <w:rsid w:val="007E7875"/>
    <w:rsid w:val="007E7C4A"/>
    <w:rsid w:val="007F27A0"/>
    <w:rsid w:val="007F4520"/>
    <w:rsid w:val="007F4A82"/>
    <w:rsid w:val="007F50BE"/>
    <w:rsid w:val="007F5BAA"/>
    <w:rsid w:val="007F5F25"/>
    <w:rsid w:val="007F718D"/>
    <w:rsid w:val="00801FAD"/>
    <w:rsid w:val="00805CD3"/>
    <w:rsid w:val="00805EBB"/>
    <w:rsid w:val="008068D7"/>
    <w:rsid w:val="00807E89"/>
    <w:rsid w:val="00812C00"/>
    <w:rsid w:val="00813079"/>
    <w:rsid w:val="00813EEA"/>
    <w:rsid w:val="00814F09"/>
    <w:rsid w:val="00816456"/>
    <w:rsid w:val="008166C8"/>
    <w:rsid w:val="00816CA2"/>
    <w:rsid w:val="008175B5"/>
    <w:rsid w:val="008178B6"/>
    <w:rsid w:val="0082067D"/>
    <w:rsid w:val="00820BBC"/>
    <w:rsid w:val="00820D6D"/>
    <w:rsid w:val="00821BCD"/>
    <w:rsid w:val="00822430"/>
    <w:rsid w:val="008234F8"/>
    <w:rsid w:val="00823919"/>
    <w:rsid w:val="00827348"/>
    <w:rsid w:val="00827846"/>
    <w:rsid w:val="00830D9F"/>
    <w:rsid w:val="00832378"/>
    <w:rsid w:val="00832E89"/>
    <w:rsid w:val="00833AA7"/>
    <w:rsid w:val="0084036E"/>
    <w:rsid w:val="00840DF4"/>
    <w:rsid w:val="0084108D"/>
    <w:rsid w:val="008418EE"/>
    <w:rsid w:val="008423AF"/>
    <w:rsid w:val="008465DD"/>
    <w:rsid w:val="008469FF"/>
    <w:rsid w:val="00852075"/>
    <w:rsid w:val="008520D1"/>
    <w:rsid w:val="008533C2"/>
    <w:rsid w:val="0085798D"/>
    <w:rsid w:val="00860340"/>
    <w:rsid w:val="00860C4E"/>
    <w:rsid w:val="008619CF"/>
    <w:rsid w:val="0086395B"/>
    <w:rsid w:val="00863DEF"/>
    <w:rsid w:val="00865169"/>
    <w:rsid w:val="0086586E"/>
    <w:rsid w:val="00865B74"/>
    <w:rsid w:val="0086604E"/>
    <w:rsid w:val="00866063"/>
    <w:rsid w:val="0086686C"/>
    <w:rsid w:val="00867099"/>
    <w:rsid w:val="008709C1"/>
    <w:rsid w:val="008711B4"/>
    <w:rsid w:val="008715B0"/>
    <w:rsid w:val="00871CB5"/>
    <w:rsid w:val="00871D3C"/>
    <w:rsid w:val="0087273E"/>
    <w:rsid w:val="00874019"/>
    <w:rsid w:val="00874D56"/>
    <w:rsid w:val="00876259"/>
    <w:rsid w:val="00876894"/>
    <w:rsid w:val="00877C4C"/>
    <w:rsid w:val="00882048"/>
    <w:rsid w:val="008837A5"/>
    <w:rsid w:val="0088415B"/>
    <w:rsid w:val="00885C6C"/>
    <w:rsid w:val="00886485"/>
    <w:rsid w:val="0088661A"/>
    <w:rsid w:val="008869DF"/>
    <w:rsid w:val="008879C9"/>
    <w:rsid w:val="00890B90"/>
    <w:rsid w:val="008916D3"/>
    <w:rsid w:val="00892351"/>
    <w:rsid w:val="00894582"/>
    <w:rsid w:val="00894FF3"/>
    <w:rsid w:val="00895018"/>
    <w:rsid w:val="00895404"/>
    <w:rsid w:val="008974F0"/>
    <w:rsid w:val="008978C5"/>
    <w:rsid w:val="008A1499"/>
    <w:rsid w:val="008A14E4"/>
    <w:rsid w:val="008A324F"/>
    <w:rsid w:val="008A3F47"/>
    <w:rsid w:val="008A4875"/>
    <w:rsid w:val="008A4F7A"/>
    <w:rsid w:val="008B009D"/>
    <w:rsid w:val="008B012A"/>
    <w:rsid w:val="008B0743"/>
    <w:rsid w:val="008B1280"/>
    <w:rsid w:val="008B1D5D"/>
    <w:rsid w:val="008B2055"/>
    <w:rsid w:val="008B2B24"/>
    <w:rsid w:val="008B2B8A"/>
    <w:rsid w:val="008B3605"/>
    <w:rsid w:val="008B3B75"/>
    <w:rsid w:val="008B51AC"/>
    <w:rsid w:val="008B6057"/>
    <w:rsid w:val="008B69C1"/>
    <w:rsid w:val="008B7B44"/>
    <w:rsid w:val="008B7E4C"/>
    <w:rsid w:val="008C252B"/>
    <w:rsid w:val="008C2973"/>
    <w:rsid w:val="008C439C"/>
    <w:rsid w:val="008C7381"/>
    <w:rsid w:val="008C74D4"/>
    <w:rsid w:val="008C7692"/>
    <w:rsid w:val="008D08B2"/>
    <w:rsid w:val="008D27EB"/>
    <w:rsid w:val="008D2D4C"/>
    <w:rsid w:val="008D46BF"/>
    <w:rsid w:val="008D5402"/>
    <w:rsid w:val="008D5641"/>
    <w:rsid w:val="008D5B01"/>
    <w:rsid w:val="008D625C"/>
    <w:rsid w:val="008D7517"/>
    <w:rsid w:val="008E16B4"/>
    <w:rsid w:val="008E32EA"/>
    <w:rsid w:val="008E3612"/>
    <w:rsid w:val="008E38F9"/>
    <w:rsid w:val="008E5933"/>
    <w:rsid w:val="008E5CF7"/>
    <w:rsid w:val="008E7F31"/>
    <w:rsid w:val="008F0E8A"/>
    <w:rsid w:val="008F1B83"/>
    <w:rsid w:val="008F2383"/>
    <w:rsid w:val="008F60D2"/>
    <w:rsid w:val="008F6CB9"/>
    <w:rsid w:val="008F7271"/>
    <w:rsid w:val="008F7D70"/>
    <w:rsid w:val="00901079"/>
    <w:rsid w:val="00901639"/>
    <w:rsid w:val="009019AE"/>
    <w:rsid w:val="00901C24"/>
    <w:rsid w:val="00901FE2"/>
    <w:rsid w:val="009024BF"/>
    <w:rsid w:val="00902B16"/>
    <w:rsid w:val="00904BBB"/>
    <w:rsid w:val="00904EEE"/>
    <w:rsid w:val="009051C4"/>
    <w:rsid w:val="009052DD"/>
    <w:rsid w:val="0090609B"/>
    <w:rsid w:val="00906E17"/>
    <w:rsid w:val="00907D74"/>
    <w:rsid w:val="00907F8D"/>
    <w:rsid w:val="00911AA6"/>
    <w:rsid w:val="00912DF4"/>
    <w:rsid w:val="0091475D"/>
    <w:rsid w:val="00914A92"/>
    <w:rsid w:val="00915921"/>
    <w:rsid w:val="0091733C"/>
    <w:rsid w:val="009177F1"/>
    <w:rsid w:val="00917BB1"/>
    <w:rsid w:val="00920AB8"/>
    <w:rsid w:val="009210D8"/>
    <w:rsid w:val="00921268"/>
    <w:rsid w:val="00923C0F"/>
    <w:rsid w:val="00924AFF"/>
    <w:rsid w:val="00924C27"/>
    <w:rsid w:val="00924D5E"/>
    <w:rsid w:val="0092524D"/>
    <w:rsid w:val="00925456"/>
    <w:rsid w:val="00926E24"/>
    <w:rsid w:val="00927FEF"/>
    <w:rsid w:val="00930BA1"/>
    <w:rsid w:val="009315A6"/>
    <w:rsid w:val="0093169E"/>
    <w:rsid w:val="00932977"/>
    <w:rsid w:val="00933579"/>
    <w:rsid w:val="00934E0D"/>
    <w:rsid w:val="00935C76"/>
    <w:rsid w:val="009361D3"/>
    <w:rsid w:val="00936E27"/>
    <w:rsid w:val="00937B34"/>
    <w:rsid w:val="0094204D"/>
    <w:rsid w:val="00943275"/>
    <w:rsid w:val="009437B6"/>
    <w:rsid w:val="009441BF"/>
    <w:rsid w:val="009448A3"/>
    <w:rsid w:val="00945314"/>
    <w:rsid w:val="00945335"/>
    <w:rsid w:val="009455ED"/>
    <w:rsid w:val="00945689"/>
    <w:rsid w:val="00947910"/>
    <w:rsid w:val="00947CA7"/>
    <w:rsid w:val="009505C9"/>
    <w:rsid w:val="00950752"/>
    <w:rsid w:val="00950ABE"/>
    <w:rsid w:val="00950E0D"/>
    <w:rsid w:val="009514C5"/>
    <w:rsid w:val="00952EBE"/>
    <w:rsid w:val="00953F37"/>
    <w:rsid w:val="00953FD8"/>
    <w:rsid w:val="009547A4"/>
    <w:rsid w:val="00954CC4"/>
    <w:rsid w:val="00954DE1"/>
    <w:rsid w:val="00955108"/>
    <w:rsid w:val="00955725"/>
    <w:rsid w:val="00955D11"/>
    <w:rsid w:val="009565CC"/>
    <w:rsid w:val="009566BD"/>
    <w:rsid w:val="00957203"/>
    <w:rsid w:val="009611B7"/>
    <w:rsid w:val="009614F8"/>
    <w:rsid w:val="009618B7"/>
    <w:rsid w:val="00963886"/>
    <w:rsid w:val="0096551E"/>
    <w:rsid w:val="009663F9"/>
    <w:rsid w:val="00966424"/>
    <w:rsid w:val="009664CE"/>
    <w:rsid w:val="00966A89"/>
    <w:rsid w:val="009720C7"/>
    <w:rsid w:val="00973E63"/>
    <w:rsid w:val="009753A8"/>
    <w:rsid w:val="009768A0"/>
    <w:rsid w:val="009768B0"/>
    <w:rsid w:val="00977E3D"/>
    <w:rsid w:val="00980101"/>
    <w:rsid w:val="00983A70"/>
    <w:rsid w:val="009846DC"/>
    <w:rsid w:val="0098558E"/>
    <w:rsid w:val="00985F57"/>
    <w:rsid w:val="009872AA"/>
    <w:rsid w:val="00990380"/>
    <w:rsid w:val="0099138C"/>
    <w:rsid w:val="00992723"/>
    <w:rsid w:val="00992F5B"/>
    <w:rsid w:val="009930AC"/>
    <w:rsid w:val="00993861"/>
    <w:rsid w:val="009938B3"/>
    <w:rsid w:val="009939A4"/>
    <w:rsid w:val="00994ABD"/>
    <w:rsid w:val="0099554A"/>
    <w:rsid w:val="00995638"/>
    <w:rsid w:val="009965D4"/>
    <w:rsid w:val="00996AD8"/>
    <w:rsid w:val="00996C8B"/>
    <w:rsid w:val="00996F4F"/>
    <w:rsid w:val="009A117E"/>
    <w:rsid w:val="009A230F"/>
    <w:rsid w:val="009A377C"/>
    <w:rsid w:val="009A390F"/>
    <w:rsid w:val="009A483A"/>
    <w:rsid w:val="009A4E6C"/>
    <w:rsid w:val="009A576A"/>
    <w:rsid w:val="009B0274"/>
    <w:rsid w:val="009B0F06"/>
    <w:rsid w:val="009B14D5"/>
    <w:rsid w:val="009B2527"/>
    <w:rsid w:val="009B5FE4"/>
    <w:rsid w:val="009B60F7"/>
    <w:rsid w:val="009B67DC"/>
    <w:rsid w:val="009C0695"/>
    <w:rsid w:val="009C0769"/>
    <w:rsid w:val="009C1ECE"/>
    <w:rsid w:val="009C2DE6"/>
    <w:rsid w:val="009C387E"/>
    <w:rsid w:val="009C38AF"/>
    <w:rsid w:val="009C3D77"/>
    <w:rsid w:val="009C62A7"/>
    <w:rsid w:val="009C6839"/>
    <w:rsid w:val="009C6D43"/>
    <w:rsid w:val="009C7C0D"/>
    <w:rsid w:val="009D0252"/>
    <w:rsid w:val="009D0C49"/>
    <w:rsid w:val="009D0CA1"/>
    <w:rsid w:val="009D1364"/>
    <w:rsid w:val="009D1864"/>
    <w:rsid w:val="009D1B8D"/>
    <w:rsid w:val="009D234E"/>
    <w:rsid w:val="009D32FA"/>
    <w:rsid w:val="009D35CE"/>
    <w:rsid w:val="009D3BEC"/>
    <w:rsid w:val="009D3F7A"/>
    <w:rsid w:val="009D57B1"/>
    <w:rsid w:val="009D5A8C"/>
    <w:rsid w:val="009E38BE"/>
    <w:rsid w:val="009E3FBE"/>
    <w:rsid w:val="009E40E3"/>
    <w:rsid w:val="009E4EAE"/>
    <w:rsid w:val="009E5572"/>
    <w:rsid w:val="009E55D6"/>
    <w:rsid w:val="009E5725"/>
    <w:rsid w:val="009E5992"/>
    <w:rsid w:val="009E59A7"/>
    <w:rsid w:val="009E6DC7"/>
    <w:rsid w:val="009F0D68"/>
    <w:rsid w:val="009F1201"/>
    <w:rsid w:val="009F1576"/>
    <w:rsid w:val="009F286F"/>
    <w:rsid w:val="009F448B"/>
    <w:rsid w:val="009F466E"/>
    <w:rsid w:val="009F47C8"/>
    <w:rsid w:val="009F4D39"/>
    <w:rsid w:val="009F4D8D"/>
    <w:rsid w:val="009F5E99"/>
    <w:rsid w:val="009F5F72"/>
    <w:rsid w:val="009F6401"/>
    <w:rsid w:val="009F6B05"/>
    <w:rsid w:val="009F7311"/>
    <w:rsid w:val="009F74B2"/>
    <w:rsid w:val="00A00F88"/>
    <w:rsid w:val="00A01ADF"/>
    <w:rsid w:val="00A03818"/>
    <w:rsid w:val="00A04963"/>
    <w:rsid w:val="00A06560"/>
    <w:rsid w:val="00A06583"/>
    <w:rsid w:val="00A06BD6"/>
    <w:rsid w:val="00A07224"/>
    <w:rsid w:val="00A07C17"/>
    <w:rsid w:val="00A07EC9"/>
    <w:rsid w:val="00A10129"/>
    <w:rsid w:val="00A111D1"/>
    <w:rsid w:val="00A127CB"/>
    <w:rsid w:val="00A12B16"/>
    <w:rsid w:val="00A12FA2"/>
    <w:rsid w:val="00A13071"/>
    <w:rsid w:val="00A130A8"/>
    <w:rsid w:val="00A132B5"/>
    <w:rsid w:val="00A138AA"/>
    <w:rsid w:val="00A14688"/>
    <w:rsid w:val="00A14F4E"/>
    <w:rsid w:val="00A15490"/>
    <w:rsid w:val="00A1781D"/>
    <w:rsid w:val="00A22252"/>
    <w:rsid w:val="00A228D9"/>
    <w:rsid w:val="00A25DF3"/>
    <w:rsid w:val="00A26DAD"/>
    <w:rsid w:val="00A27DD8"/>
    <w:rsid w:val="00A316BF"/>
    <w:rsid w:val="00A33BCC"/>
    <w:rsid w:val="00A33E19"/>
    <w:rsid w:val="00A34187"/>
    <w:rsid w:val="00A34F85"/>
    <w:rsid w:val="00A36E1F"/>
    <w:rsid w:val="00A37729"/>
    <w:rsid w:val="00A3781A"/>
    <w:rsid w:val="00A4142F"/>
    <w:rsid w:val="00A421C9"/>
    <w:rsid w:val="00A42250"/>
    <w:rsid w:val="00A42AE8"/>
    <w:rsid w:val="00A43234"/>
    <w:rsid w:val="00A441BC"/>
    <w:rsid w:val="00A44849"/>
    <w:rsid w:val="00A44AD1"/>
    <w:rsid w:val="00A4500A"/>
    <w:rsid w:val="00A46B4F"/>
    <w:rsid w:val="00A500ED"/>
    <w:rsid w:val="00A50810"/>
    <w:rsid w:val="00A50987"/>
    <w:rsid w:val="00A52174"/>
    <w:rsid w:val="00A528B3"/>
    <w:rsid w:val="00A52F75"/>
    <w:rsid w:val="00A53F01"/>
    <w:rsid w:val="00A54625"/>
    <w:rsid w:val="00A574CF"/>
    <w:rsid w:val="00A5755A"/>
    <w:rsid w:val="00A5770F"/>
    <w:rsid w:val="00A60445"/>
    <w:rsid w:val="00A615ED"/>
    <w:rsid w:val="00A61B6A"/>
    <w:rsid w:val="00A61E14"/>
    <w:rsid w:val="00A62551"/>
    <w:rsid w:val="00A64304"/>
    <w:rsid w:val="00A64D03"/>
    <w:rsid w:val="00A65E8E"/>
    <w:rsid w:val="00A66E63"/>
    <w:rsid w:val="00A702D1"/>
    <w:rsid w:val="00A70939"/>
    <w:rsid w:val="00A7214C"/>
    <w:rsid w:val="00A73945"/>
    <w:rsid w:val="00A754DA"/>
    <w:rsid w:val="00A75670"/>
    <w:rsid w:val="00A76017"/>
    <w:rsid w:val="00A77F33"/>
    <w:rsid w:val="00A80304"/>
    <w:rsid w:val="00A81174"/>
    <w:rsid w:val="00A82AFC"/>
    <w:rsid w:val="00A82F18"/>
    <w:rsid w:val="00A83A45"/>
    <w:rsid w:val="00A84D82"/>
    <w:rsid w:val="00A8570F"/>
    <w:rsid w:val="00A86435"/>
    <w:rsid w:val="00A86F80"/>
    <w:rsid w:val="00A87B6D"/>
    <w:rsid w:val="00A87ED2"/>
    <w:rsid w:val="00A913EE"/>
    <w:rsid w:val="00A92ABA"/>
    <w:rsid w:val="00A93562"/>
    <w:rsid w:val="00A93F44"/>
    <w:rsid w:val="00A9697B"/>
    <w:rsid w:val="00A97CAA"/>
    <w:rsid w:val="00AA01B1"/>
    <w:rsid w:val="00AA1546"/>
    <w:rsid w:val="00AA25E1"/>
    <w:rsid w:val="00AA5A0A"/>
    <w:rsid w:val="00AA5DCE"/>
    <w:rsid w:val="00AA6F92"/>
    <w:rsid w:val="00AA71F6"/>
    <w:rsid w:val="00AB034E"/>
    <w:rsid w:val="00AB2F50"/>
    <w:rsid w:val="00AB3777"/>
    <w:rsid w:val="00AB3DCD"/>
    <w:rsid w:val="00AB5412"/>
    <w:rsid w:val="00AB5FB3"/>
    <w:rsid w:val="00AB6934"/>
    <w:rsid w:val="00AB6A26"/>
    <w:rsid w:val="00AB6AA2"/>
    <w:rsid w:val="00AB6C48"/>
    <w:rsid w:val="00AC39DD"/>
    <w:rsid w:val="00AC3E67"/>
    <w:rsid w:val="00AC6E5E"/>
    <w:rsid w:val="00AC7173"/>
    <w:rsid w:val="00AC77F4"/>
    <w:rsid w:val="00AD10AB"/>
    <w:rsid w:val="00AD248C"/>
    <w:rsid w:val="00AD271A"/>
    <w:rsid w:val="00AD2A95"/>
    <w:rsid w:val="00AD39B8"/>
    <w:rsid w:val="00AD4041"/>
    <w:rsid w:val="00AD4E3B"/>
    <w:rsid w:val="00AD4F07"/>
    <w:rsid w:val="00AD59CE"/>
    <w:rsid w:val="00AE03C1"/>
    <w:rsid w:val="00AE0423"/>
    <w:rsid w:val="00AE04FC"/>
    <w:rsid w:val="00AE0DDC"/>
    <w:rsid w:val="00AE2703"/>
    <w:rsid w:val="00AE2B8A"/>
    <w:rsid w:val="00AE2D6A"/>
    <w:rsid w:val="00AE35C4"/>
    <w:rsid w:val="00AE52E0"/>
    <w:rsid w:val="00AE5CFA"/>
    <w:rsid w:val="00AE5D2E"/>
    <w:rsid w:val="00AE5F45"/>
    <w:rsid w:val="00AE793E"/>
    <w:rsid w:val="00AF16C5"/>
    <w:rsid w:val="00AF2029"/>
    <w:rsid w:val="00AF22FE"/>
    <w:rsid w:val="00AF2343"/>
    <w:rsid w:val="00AF296B"/>
    <w:rsid w:val="00AF3455"/>
    <w:rsid w:val="00AF3F86"/>
    <w:rsid w:val="00AF42DE"/>
    <w:rsid w:val="00AF4F89"/>
    <w:rsid w:val="00AF6C69"/>
    <w:rsid w:val="00AF7DFE"/>
    <w:rsid w:val="00B00300"/>
    <w:rsid w:val="00B00DC3"/>
    <w:rsid w:val="00B028E9"/>
    <w:rsid w:val="00B02A3D"/>
    <w:rsid w:val="00B02C4A"/>
    <w:rsid w:val="00B038BD"/>
    <w:rsid w:val="00B047B9"/>
    <w:rsid w:val="00B05B42"/>
    <w:rsid w:val="00B05DFF"/>
    <w:rsid w:val="00B05F71"/>
    <w:rsid w:val="00B06809"/>
    <w:rsid w:val="00B1543C"/>
    <w:rsid w:val="00B160D5"/>
    <w:rsid w:val="00B16608"/>
    <w:rsid w:val="00B17435"/>
    <w:rsid w:val="00B179CD"/>
    <w:rsid w:val="00B20ED4"/>
    <w:rsid w:val="00B259A8"/>
    <w:rsid w:val="00B2694F"/>
    <w:rsid w:val="00B3060B"/>
    <w:rsid w:val="00B3109B"/>
    <w:rsid w:val="00B31566"/>
    <w:rsid w:val="00B3369F"/>
    <w:rsid w:val="00B344D2"/>
    <w:rsid w:val="00B34FA3"/>
    <w:rsid w:val="00B351F9"/>
    <w:rsid w:val="00B356E9"/>
    <w:rsid w:val="00B37643"/>
    <w:rsid w:val="00B40800"/>
    <w:rsid w:val="00B41024"/>
    <w:rsid w:val="00B419B8"/>
    <w:rsid w:val="00B41A97"/>
    <w:rsid w:val="00B41DA8"/>
    <w:rsid w:val="00B430CE"/>
    <w:rsid w:val="00B4383C"/>
    <w:rsid w:val="00B44581"/>
    <w:rsid w:val="00B447FE"/>
    <w:rsid w:val="00B44C25"/>
    <w:rsid w:val="00B457DD"/>
    <w:rsid w:val="00B4722D"/>
    <w:rsid w:val="00B50893"/>
    <w:rsid w:val="00B517EB"/>
    <w:rsid w:val="00B54095"/>
    <w:rsid w:val="00B54224"/>
    <w:rsid w:val="00B54C11"/>
    <w:rsid w:val="00B5516E"/>
    <w:rsid w:val="00B55680"/>
    <w:rsid w:val="00B56789"/>
    <w:rsid w:val="00B60DAE"/>
    <w:rsid w:val="00B624C4"/>
    <w:rsid w:val="00B64221"/>
    <w:rsid w:val="00B647CC"/>
    <w:rsid w:val="00B7010D"/>
    <w:rsid w:val="00B70C10"/>
    <w:rsid w:val="00B73ED1"/>
    <w:rsid w:val="00B73FD1"/>
    <w:rsid w:val="00B7477F"/>
    <w:rsid w:val="00B764B8"/>
    <w:rsid w:val="00B76DBD"/>
    <w:rsid w:val="00B76EDC"/>
    <w:rsid w:val="00B77FA9"/>
    <w:rsid w:val="00B81BB0"/>
    <w:rsid w:val="00B84880"/>
    <w:rsid w:val="00B84B98"/>
    <w:rsid w:val="00B85467"/>
    <w:rsid w:val="00B868B0"/>
    <w:rsid w:val="00B86A27"/>
    <w:rsid w:val="00B90259"/>
    <w:rsid w:val="00B913A4"/>
    <w:rsid w:val="00B91459"/>
    <w:rsid w:val="00B93386"/>
    <w:rsid w:val="00B93AEF"/>
    <w:rsid w:val="00B94A9E"/>
    <w:rsid w:val="00B94E0C"/>
    <w:rsid w:val="00B94E6C"/>
    <w:rsid w:val="00B951B4"/>
    <w:rsid w:val="00B95D45"/>
    <w:rsid w:val="00B96588"/>
    <w:rsid w:val="00B966D5"/>
    <w:rsid w:val="00BA7107"/>
    <w:rsid w:val="00BA78DB"/>
    <w:rsid w:val="00BB0104"/>
    <w:rsid w:val="00BB0165"/>
    <w:rsid w:val="00BB1FFE"/>
    <w:rsid w:val="00BB2D7E"/>
    <w:rsid w:val="00BB2EED"/>
    <w:rsid w:val="00BB35B9"/>
    <w:rsid w:val="00BB4477"/>
    <w:rsid w:val="00BB4606"/>
    <w:rsid w:val="00BB6C5B"/>
    <w:rsid w:val="00BB7348"/>
    <w:rsid w:val="00BB7BF4"/>
    <w:rsid w:val="00BB7D30"/>
    <w:rsid w:val="00BC2B5E"/>
    <w:rsid w:val="00BC3515"/>
    <w:rsid w:val="00BC383D"/>
    <w:rsid w:val="00BC448C"/>
    <w:rsid w:val="00BC4495"/>
    <w:rsid w:val="00BC4692"/>
    <w:rsid w:val="00BC49F2"/>
    <w:rsid w:val="00BD0891"/>
    <w:rsid w:val="00BD24B3"/>
    <w:rsid w:val="00BD3461"/>
    <w:rsid w:val="00BD351D"/>
    <w:rsid w:val="00BD3B84"/>
    <w:rsid w:val="00BD3C06"/>
    <w:rsid w:val="00BD430E"/>
    <w:rsid w:val="00BD491F"/>
    <w:rsid w:val="00BD522E"/>
    <w:rsid w:val="00BD6ECA"/>
    <w:rsid w:val="00BD6F93"/>
    <w:rsid w:val="00BD7635"/>
    <w:rsid w:val="00BE00EF"/>
    <w:rsid w:val="00BE0562"/>
    <w:rsid w:val="00BE09FE"/>
    <w:rsid w:val="00BE0CDF"/>
    <w:rsid w:val="00BE26E0"/>
    <w:rsid w:val="00BE2C54"/>
    <w:rsid w:val="00BE3F67"/>
    <w:rsid w:val="00BE4016"/>
    <w:rsid w:val="00BE6B67"/>
    <w:rsid w:val="00BF0664"/>
    <w:rsid w:val="00BF1B10"/>
    <w:rsid w:val="00BF1F75"/>
    <w:rsid w:val="00BF2123"/>
    <w:rsid w:val="00BF3A9B"/>
    <w:rsid w:val="00BF5787"/>
    <w:rsid w:val="00BF6778"/>
    <w:rsid w:val="00BF70D8"/>
    <w:rsid w:val="00C014E2"/>
    <w:rsid w:val="00C0186A"/>
    <w:rsid w:val="00C03FBC"/>
    <w:rsid w:val="00C04383"/>
    <w:rsid w:val="00C04DCA"/>
    <w:rsid w:val="00C04FB2"/>
    <w:rsid w:val="00C05AE3"/>
    <w:rsid w:val="00C0698B"/>
    <w:rsid w:val="00C072FB"/>
    <w:rsid w:val="00C078C0"/>
    <w:rsid w:val="00C111E5"/>
    <w:rsid w:val="00C135D1"/>
    <w:rsid w:val="00C1424D"/>
    <w:rsid w:val="00C14883"/>
    <w:rsid w:val="00C14FA6"/>
    <w:rsid w:val="00C1586D"/>
    <w:rsid w:val="00C1591A"/>
    <w:rsid w:val="00C207A7"/>
    <w:rsid w:val="00C20D24"/>
    <w:rsid w:val="00C21CB4"/>
    <w:rsid w:val="00C220CB"/>
    <w:rsid w:val="00C22993"/>
    <w:rsid w:val="00C22A4E"/>
    <w:rsid w:val="00C23D2F"/>
    <w:rsid w:val="00C244A2"/>
    <w:rsid w:val="00C260F4"/>
    <w:rsid w:val="00C262C2"/>
    <w:rsid w:val="00C323DD"/>
    <w:rsid w:val="00C32A3F"/>
    <w:rsid w:val="00C32F8F"/>
    <w:rsid w:val="00C338B3"/>
    <w:rsid w:val="00C34E44"/>
    <w:rsid w:val="00C35B8F"/>
    <w:rsid w:val="00C408C3"/>
    <w:rsid w:val="00C430AE"/>
    <w:rsid w:val="00C4348A"/>
    <w:rsid w:val="00C43E5E"/>
    <w:rsid w:val="00C443BD"/>
    <w:rsid w:val="00C448EC"/>
    <w:rsid w:val="00C451C5"/>
    <w:rsid w:val="00C47DC7"/>
    <w:rsid w:val="00C500B5"/>
    <w:rsid w:val="00C52932"/>
    <w:rsid w:val="00C52B4E"/>
    <w:rsid w:val="00C53F5A"/>
    <w:rsid w:val="00C54E22"/>
    <w:rsid w:val="00C57204"/>
    <w:rsid w:val="00C60C20"/>
    <w:rsid w:val="00C61EAA"/>
    <w:rsid w:val="00C61FDD"/>
    <w:rsid w:val="00C62BD4"/>
    <w:rsid w:val="00C63368"/>
    <w:rsid w:val="00C63428"/>
    <w:rsid w:val="00C6342E"/>
    <w:rsid w:val="00C638D6"/>
    <w:rsid w:val="00C63AE5"/>
    <w:rsid w:val="00C63D4D"/>
    <w:rsid w:val="00C647D5"/>
    <w:rsid w:val="00C67732"/>
    <w:rsid w:val="00C7310F"/>
    <w:rsid w:val="00C734AE"/>
    <w:rsid w:val="00C73506"/>
    <w:rsid w:val="00C744C3"/>
    <w:rsid w:val="00C77AB4"/>
    <w:rsid w:val="00C80EC9"/>
    <w:rsid w:val="00C8217E"/>
    <w:rsid w:val="00C82AD0"/>
    <w:rsid w:val="00C84849"/>
    <w:rsid w:val="00C84EB7"/>
    <w:rsid w:val="00C85B5F"/>
    <w:rsid w:val="00C86201"/>
    <w:rsid w:val="00C866AE"/>
    <w:rsid w:val="00C86CC7"/>
    <w:rsid w:val="00C90D69"/>
    <w:rsid w:val="00C9161D"/>
    <w:rsid w:val="00C91DDE"/>
    <w:rsid w:val="00C9268B"/>
    <w:rsid w:val="00C94354"/>
    <w:rsid w:val="00C943E8"/>
    <w:rsid w:val="00C95435"/>
    <w:rsid w:val="00C954B3"/>
    <w:rsid w:val="00C95AE2"/>
    <w:rsid w:val="00C9742A"/>
    <w:rsid w:val="00C97656"/>
    <w:rsid w:val="00C9766E"/>
    <w:rsid w:val="00CA0BC6"/>
    <w:rsid w:val="00CA0C1D"/>
    <w:rsid w:val="00CA1865"/>
    <w:rsid w:val="00CA2BEC"/>
    <w:rsid w:val="00CA49BE"/>
    <w:rsid w:val="00CA4FA6"/>
    <w:rsid w:val="00CA581D"/>
    <w:rsid w:val="00CA62BD"/>
    <w:rsid w:val="00CA674C"/>
    <w:rsid w:val="00CA7C38"/>
    <w:rsid w:val="00CB00DB"/>
    <w:rsid w:val="00CB09C7"/>
    <w:rsid w:val="00CB0DB4"/>
    <w:rsid w:val="00CB223F"/>
    <w:rsid w:val="00CB27DC"/>
    <w:rsid w:val="00CB3328"/>
    <w:rsid w:val="00CB385F"/>
    <w:rsid w:val="00CB4474"/>
    <w:rsid w:val="00CB44B5"/>
    <w:rsid w:val="00CB45AC"/>
    <w:rsid w:val="00CB45C6"/>
    <w:rsid w:val="00CB45CF"/>
    <w:rsid w:val="00CC113D"/>
    <w:rsid w:val="00CC2DE4"/>
    <w:rsid w:val="00CC2E22"/>
    <w:rsid w:val="00CC30DE"/>
    <w:rsid w:val="00CC3821"/>
    <w:rsid w:val="00CC3C6B"/>
    <w:rsid w:val="00CC4319"/>
    <w:rsid w:val="00CC4337"/>
    <w:rsid w:val="00CC55E5"/>
    <w:rsid w:val="00CC5950"/>
    <w:rsid w:val="00CC5CA9"/>
    <w:rsid w:val="00CC6718"/>
    <w:rsid w:val="00CC757E"/>
    <w:rsid w:val="00CD07BD"/>
    <w:rsid w:val="00CD19B9"/>
    <w:rsid w:val="00CD2963"/>
    <w:rsid w:val="00CD3BC3"/>
    <w:rsid w:val="00CD641E"/>
    <w:rsid w:val="00CD6747"/>
    <w:rsid w:val="00CD6E49"/>
    <w:rsid w:val="00CE2545"/>
    <w:rsid w:val="00CE2DD3"/>
    <w:rsid w:val="00CE2E94"/>
    <w:rsid w:val="00CE355D"/>
    <w:rsid w:val="00CE3C83"/>
    <w:rsid w:val="00CE5631"/>
    <w:rsid w:val="00CE58A5"/>
    <w:rsid w:val="00CF06C5"/>
    <w:rsid w:val="00CF1848"/>
    <w:rsid w:val="00CF1C94"/>
    <w:rsid w:val="00CF2E2E"/>
    <w:rsid w:val="00CF3502"/>
    <w:rsid w:val="00CF3D42"/>
    <w:rsid w:val="00CF41F0"/>
    <w:rsid w:val="00CF516F"/>
    <w:rsid w:val="00CF753A"/>
    <w:rsid w:val="00CF7DE6"/>
    <w:rsid w:val="00D00299"/>
    <w:rsid w:val="00D00C44"/>
    <w:rsid w:val="00D010F7"/>
    <w:rsid w:val="00D0239C"/>
    <w:rsid w:val="00D0674B"/>
    <w:rsid w:val="00D06D47"/>
    <w:rsid w:val="00D11507"/>
    <w:rsid w:val="00D11560"/>
    <w:rsid w:val="00D11F71"/>
    <w:rsid w:val="00D12044"/>
    <w:rsid w:val="00D12884"/>
    <w:rsid w:val="00D14937"/>
    <w:rsid w:val="00D14CE1"/>
    <w:rsid w:val="00D170D9"/>
    <w:rsid w:val="00D1744C"/>
    <w:rsid w:val="00D17CDE"/>
    <w:rsid w:val="00D17FFA"/>
    <w:rsid w:val="00D204A1"/>
    <w:rsid w:val="00D212A7"/>
    <w:rsid w:val="00D21474"/>
    <w:rsid w:val="00D22B0D"/>
    <w:rsid w:val="00D23188"/>
    <w:rsid w:val="00D242B2"/>
    <w:rsid w:val="00D263EE"/>
    <w:rsid w:val="00D30761"/>
    <w:rsid w:val="00D30A58"/>
    <w:rsid w:val="00D31B99"/>
    <w:rsid w:val="00D33EFC"/>
    <w:rsid w:val="00D375C0"/>
    <w:rsid w:val="00D40DBC"/>
    <w:rsid w:val="00D433D9"/>
    <w:rsid w:val="00D44587"/>
    <w:rsid w:val="00D46C54"/>
    <w:rsid w:val="00D46C86"/>
    <w:rsid w:val="00D47984"/>
    <w:rsid w:val="00D5017A"/>
    <w:rsid w:val="00D52751"/>
    <w:rsid w:val="00D539E6"/>
    <w:rsid w:val="00D5492F"/>
    <w:rsid w:val="00D55571"/>
    <w:rsid w:val="00D6101D"/>
    <w:rsid w:val="00D61495"/>
    <w:rsid w:val="00D61C85"/>
    <w:rsid w:val="00D6325A"/>
    <w:rsid w:val="00D6388A"/>
    <w:rsid w:val="00D64681"/>
    <w:rsid w:val="00D647E4"/>
    <w:rsid w:val="00D67084"/>
    <w:rsid w:val="00D67956"/>
    <w:rsid w:val="00D67BC5"/>
    <w:rsid w:val="00D70436"/>
    <w:rsid w:val="00D714E2"/>
    <w:rsid w:val="00D7166E"/>
    <w:rsid w:val="00D720F4"/>
    <w:rsid w:val="00D72224"/>
    <w:rsid w:val="00D74527"/>
    <w:rsid w:val="00D74665"/>
    <w:rsid w:val="00D74897"/>
    <w:rsid w:val="00D75CA6"/>
    <w:rsid w:val="00D76A18"/>
    <w:rsid w:val="00D76C2E"/>
    <w:rsid w:val="00D76E86"/>
    <w:rsid w:val="00D77883"/>
    <w:rsid w:val="00D80849"/>
    <w:rsid w:val="00D82264"/>
    <w:rsid w:val="00D82E8F"/>
    <w:rsid w:val="00D844F6"/>
    <w:rsid w:val="00D84CFB"/>
    <w:rsid w:val="00D853BD"/>
    <w:rsid w:val="00D85A05"/>
    <w:rsid w:val="00D85C38"/>
    <w:rsid w:val="00D91281"/>
    <w:rsid w:val="00D919E3"/>
    <w:rsid w:val="00D91A77"/>
    <w:rsid w:val="00D91DC2"/>
    <w:rsid w:val="00D92449"/>
    <w:rsid w:val="00D9256E"/>
    <w:rsid w:val="00D930E7"/>
    <w:rsid w:val="00D949A4"/>
    <w:rsid w:val="00D94A32"/>
    <w:rsid w:val="00D9570F"/>
    <w:rsid w:val="00D97017"/>
    <w:rsid w:val="00D97247"/>
    <w:rsid w:val="00DA0B5E"/>
    <w:rsid w:val="00DA0C94"/>
    <w:rsid w:val="00DA2ABB"/>
    <w:rsid w:val="00DA351A"/>
    <w:rsid w:val="00DA3BBE"/>
    <w:rsid w:val="00DA3C64"/>
    <w:rsid w:val="00DA4232"/>
    <w:rsid w:val="00DA430A"/>
    <w:rsid w:val="00DA5299"/>
    <w:rsid w:val="00DA53D9"/>
    <w:rsid w:val="00DA5E9F"/>
    <w:rsid w:val="00DA5F31"/>
    <w:rsid w:val="00DA66FF"/>
    <w:rsid w:val="00DA6D5E"/>
    <w:rsid w:val="00DA7124"/>
    <w:rsid w:val="00DA774A"/>
    <w:rsid w:val="00DB1201"/>
    <w:rsid w:val="00DB2D78"/>
    <w:rsid w:val="00DB2D8B"/>
    <w:rsid w:val="00DB3159"/>
    <w:rsid w:val="00DB3F26"/>
    <w:rsid w:val="00DB431B"/>
    <w:rsid w:val="00DB4D0E"/>
    <w:rsid w:val="00DB5E0F"/>
    <w:rsid w:val="00DB7011"/>
    <w:rsid w:val="00DC0564"/>
    <w:rsid w:val="00DC0A64"/>
    <w:rsid w:val="00DC0BD6"/>
    <w:rsid w:val="00DC1257"/>
    <w:rsid w:val="00DC1858"/>
    <w:rsid w:val="00DC1F62"/>
    <w:rsid w:val="00DC23A2"/>
    <w:rsid w:val="00DC37A0"/>
    <w:rsid w:val="00DC42AE"/>
    <w:rsid w:val="00DC55AC"/>
    <w:rsid w:val="00DC56EF"/>
    <w:rsid w:val="00DC5A0E"/>
    <w:rsid w:val="00DC5A69"/>
    <w:rsid w:val="00DC6082"/>
    <w:rsid w:val="00DD0CE4"/>
    <w:rsid w:val="00DD118C"/>
    <w:rsid w:val="00DD140E"/>
    <w:rsid w:val="00DD157A"/>
    <w:rsid w:val="00DD18BE"/>
    <w:rsid w:val="00DD2602"/>
    <w:rsid w:val="00DD27D3"/>
    <w:rsid w:val="00DD281F"/>
    <w:rsid w:val="00DD4ACC"/>
    <w:rsid w:val="00DD756D"/>
    <w:rsid w:val="00DD7E56"/>
    <w:rsid w:val="00DE1BC0"/>
    <w:rsid w:val="00DE2167"/>
    <w:rsid w:val="00DE2CA0"/>
    <w:rsid w:val="00DE4834"/>
    <w:rsid w:val="00DE4F46"/>
    <w:rsid w:val="00DE69F7"/>
    <w:rsid w:val="00DE765C"/>
    <w:rsid w:val="00DF061D"/>
    <w:rsid w:val="00DF0BD2"/>
    <w:rsid w:val="00DF0C7D"/>
    <w:rsid w:val="00DF0D4F"/>
    <w:rsid w:val="00DF12F0"/>
    <w:rsid w:val="00DF199E"/>
    <w:rsid w:val="00DF1B6A"/>
    <w:rsid w:val="00DF357C"/>
    <w:rsid w:val="00DF5461"/>
    <w:rsid w:val="00DF5B3A"/>
    <w:rsid w:val="00DF6E55"/>
    <w:rsid w:val="00DF791C"/>
    <w:rsid w:val="00E02E7A"/>
    <w:rsid w:val="00E0326B"/>
    <w:rsid w:val="00E0343B"/>
    <w:rsid w:val="00E03927"/>
    <w:rsid w:val="00E0448D"/>
    <w:rsid w:val="00E05846"/>
    <w:rsid w:val="00E115B0"/>
    <w:rsid w:val="00E11CD1"/>
    <w:rsid w:val="00E12E3A"/>
    <w:rsid w:val="00E151AC"/>
    <w:rsid w:val="00E16AA2"/>
    <w:rsid w:val="00E175EE"/>
    <w:rsid w:val="00E200B2"/>
    <w:rsid w:val="00E21C27"/>
    <w:rsid w:val="00E21DB1"/>
    <w:rsid w:val="00E22BD0"/>
    <w:rsid w:val="00E2572F"/>
    <w:rsid w:val="00E25C36"/>
    <w:rsid w:val="00E3020B"/>
    <w:rsid w:val="00E31597"/>
    <w:rsid w:val="00E31713"/>
    <w:rsid w:val="00E31755"/>
    <w:rsid w:val="00E318C1"/>
    <w:rsid w:val="00E3297F"/>
    <w:rsid w:val="00E32F24"/>
    <w:rsid w:val="00E3526B"/>
    <w:rsid w:val="00E36FB8"/>
    <w:rsid w:val="00E37942"/>
    <w:rsid w:val="00E37D85"/>
    <w:rsid w:val="00E37EF2"/>
    <w:rsid w:val="00E40F23"/>
    <w:rsid w:val="00E41D74"/>
    <w:rsid w:val="00E42E94"/>
    <w:rsid w:val="00E4478C"/>
    <w:rsid w:val="00E46728"/>
    <w:rsid w:val="00E50021"/>
    <w:rsid w:val="00E53681"/>
    <w:rsid w:val="00E54B63"/>
    <w:rsid w:val="00E54B91"/>
    <w:rsid w:val="00E55180"/>
    <w:rsid w:val="00E57021"/>
    <w:rsid w:val="00E57322"/>
    <w:rsid w:val="00E579D4"/>
    <w:rsid w:val="00E609E6"/>
    <w:rsid w:val="00E638A6"/>
    <w:rsid w:val="00E63EDA"/>
    <w:rsid w:val="00E6447D"/>
    <w:rsid w:val="00E646FA"/>
    <w:rsid w:val="00E65D8C"/>
    <w:rsid w:val="00E66235"/>
    <w:rsid w:val="00E66988"/>
    <w:rsid w:val="00E67190"/>
    <w:rsid w:val="00E6735B"/>
    <w:rsid w:val="00E71879"/>
    <w:rsid w:val="00E734ED"/>
    <w:rsid w:val="00E73504"/>
    <w:rsid w:val="00E74F6A"/>
    <w:rsid w:val="00E7545E"/>
    <w:rsid w:val="00E76CFA"/>
    <w:rsid w:val="00E8033D"/>
    <w:rsid w:val="00E8073D"/>
    <w:rsid w:val="00E8382F"/>
    <w:rsid w:val="00E83C24"/>
    <w:rsid w:val="00E83DA0"/>
    <w:rsid w:val="00E8441C"/>
    <w:rsid w:val="00E84537"/>
    <w:rsid w:val="00E8454B"/>
    <w:rsid w:val="00E90ACF"/>
    <w:rsid w:val="00E90E7B"/>
    <w:rsid w:val="00E90EC4"/>
    <w:rsid w:val="00E92BBF"/>
    <w:rsid w:val="00E92FA7"/>
    <w:rsid w:val="00E9318D"/>
    <w:rsid w:val="00E93F3E"/>
    <w:rsid w:val="00E9483A"/>
    <w:rsid w:val="00E95425"/>
    <w:rsid w:val="00E95861"/>
    <w:rsid w:val="00E9795B"/>
    <w:rsid w:val="00EA0624"/>
    <w:rsid w:val="00EA0BCB"/>
    <w:rsid w:val="00EA0D21"/>
    <w:rsid w:val="00EA0EF6"/>
    <w:rsid w:val="00EA195E"/>
    <w:rsid w:val="00EA37B1"/>
    <w:rsid w:val="00EA3FB9"/>
    <w:rsid w:val="00EA4A8F"/>
    <w:rsid w:val="00EA5DF0"/>
    <w:rsid w:val="00EA65BF"/>
    <w:rsid w:val="00EA6832"/>
    <w:rsid w:val="00EA7117"/>
    <w:rsid w:val="00EA717F"/>
    <w:rsid w:val="00EA71F3"/>
    <w:rsid w:val="00EB066B"/>
    <w:rsid w:val="00EB22CF"/>
    <w:rsid w:val="00EB2AD8"/>
    <w:rsid w:val="00EB3D34"/>
    <w:rsid w:val="00EB3FA4"/>
    <w:rsid w:val="00EB4482"/>
    <w:rsid w:val="00EB6A0B"/>
    <w:rsid w:val="00EB6B55"/>
    <w:rsid w:val="00EB755D"/>
    <w:rsid w:val="00EC1233"/>
    <w:rsid w:val="00EC12D1"/>
    <w:rsid w:val="00EC21E0"/>
    <w:rsid w:val="00EC3309"/>
    <w:rsid w:val="00EC43E4"/>
    <w:rsid w:val="00EC499D"/>
    <w:rsid w:val="00EC5DB7"/>
    <w:rsid w:val="00EC603C"/>
    <w:rsid w:val="00EC6986"/>
    <w:rsid w:val="00EC6D7A"/>
    <w:rsid w:val="00EC7004"/>
    <w:rsid w:val="00EC75F7"/>
    <w:rsid w:val="00EC76A8"/>
    <w:rsid w:val="00EC7DDA"/>
    <w:rsid w:val="00ED0AAA"/>
    <w:rsid w:val="00ED185F"/>
    <w:rsid w:val="00ED2830"/>
    <w:rsid w:val="00ED2A02"/>
    <w:rsid w:val="00ED4A94"/>
    <w:rsid w:val="00ED6D94"/>
    <w:rsid w:val="00ED71AF"/>
    <w:rsid w:val="00ED7479"/>
    <w:rsid w:val="00ED75EC"/>
    <w:rsid w:val="00EE1358"/>
    <w:rsid w:val="00EE18E9"/>
    <w:rsid w:val="00EE1BB5"/>
    <w:rsid w:val="00EE1C53"/>
    <w:rsid w:val="00EE263F"/>
    <w:rsid w:val="00EE29E5"/>
    <w:rsid w:val="00EE2D89"/>
    <w:rsid w:val="00EE2EF7"/>
    <w:rsid w:val="00EE37CB"/>
    <w:rsid w:val="00EE5511"/>
    <w:rsid w:val="00EE596A"/>
    <w:rsid w:val="00EE7BAE"/>
    <w:rsid w:val="00EE7CAC"/>
    <w:rsid w:val="00EF234A"/>
    <w:rsid w:val="00EF304A"/>
    <w:rsid w:val="00EF3D48"/>
    <w:rsid w:val="00EF411B"/>
    <w:rsid w:val="00EF41CF"/>
    <w:rsid w:val="00EF4721"/>
    <w:rsid w:val="00EF4B48"/>
    <w:rsid w:val="00EF5979"/>
    <w:rsid w:val="00EF6456"/>
    <w:rsid w:val="00EF6941"/>
    <w:rsid w:val="00EF7415"/>
    <w:rsid w:val="00F008A1"/>
    <w:rsid w:val="00F009F2"/>
    <w:rsid w:val="00F00A41"/>
    <w:rsid w:val="00F052DF"/>
    <w:rsid w:val="00F05BCF"/>
    <w:rsid w:val="00F063C2"/>
    <w:rsid w:val="00F0644B"/>
    <w:rsid w:val="00F104FE"/>
    <w:rsid w:val="00F13F6B"/>
    <w:rsid w:val="00F15826"/>
    <w:rsid w:val="00F15F20"/>
    <w:rsid w:val="00F16B29"/>
    <w:rsid w:val="00F16DE3"/>
    <w:rsid w:val="00F237AB"/>
    <w:rsid w:val="00F24D62"/>
    <w:rsid w:val="00F24EBD"/>
    <w:rsid w:val="00F2563C"/>
    <w:rsid w:val="00F25B16"/>
    <w:rsid w:val="00F26048"/>
    <w:rsid w:val="00F26311"/>
    <w:rsid w:val="00F2674E"/>
    <w:rsid w:val="00F26A9B"/>
    <w:rsid w:val="00F270AC"/>
    <w:rsid w:val="00F3041E"/>
    <w:rsid w:val="00F307DC"/>
    <w:rsid w:val="00F316AA"/>
    <w:rsid w:val="00F33EFD"/>
    <w:rsid w:val="00F350A2"/>
    <w:rsid w:val="00F35E6E"/>
    <w:rsid w:val="00F363CE"/>
    <w:rsid w:val="00F36FE1"/>
    <w:rsid w:val="00F37088"/>
    <w:rsid w:val="00F407AE"/>
    <w:rsid w:val="00F4248E"/>
    <w:rsid w:val="00F53193"/>
    <w:rsid w:val="00F5327C"/>
    <w:rsid w:val="00F5357E"/>
    <w:rsid w:val="00F53C9D"/>
    <w:rsid w:val="00F545B4"/>
    <w:rsid w:val="00F54AB1"/>
    <w:rsid w:val="00F55314"/>
    <w:rsid w:val="00F55CA0"/>
    <w:rsid w:val="00F57C2D"/>
    <w:rsid w:val="00F6005C"/>
    <w:rsid w:val="00F60740"/>
    <w:rsid w:val="00F63DE5"/>
    <w:rsid w:val="00F64E74"/>
    <w:rsid w:val="00F6586C"/>
    <w:rsid w:val="00F65BF5"/>
    <w:rsid w:val="00F71160"/>
    <w:rsid w:val="00F71318"/>
    <w:rsid w:val="00F718CB"/>
    <w:rsid w:val="00F71A0E"/>
    <w:rsid w:val="00F732C0"/>
    <w:rsid w:val="00F736C9"/>
    <w:rsid w:val="00F73885"/>
    <w:rsid w:val="00F75EC7"/>
    <w:rsid w:val="00F7658D"/>
    <w:rsid w:val="00F76666"/>
    <w:rsid w:val="00F76800"/>
    <w:rsid w:val="00F775A7"/>
    <w:rsid w:val="00F81202"/>
    <w:rsid w:val="00F81841"/>
    <w:rsid w:val="00F827D4"/>
    <w:rsid w:val="00F83234"/>
    <w:rsid w:val="00F8481F"/>
    <w:rsid w:val="00F85A8B"/>
    <w:rsid w:val="00F85E53"/>
    <w:rsid w:val="00F86F32"/>
    <w:rsid w:val="00F8702B"/>
    <w:rsid w:val="00F87588"/>
    <w:rsid w:val="00F9038B"/>
    <w:rsid w:val="00F907C6"/>
    <w:rsid w:val="00F90D68"/>
    <w:rsid w:val="00F91642"/>
    <w:rsid w:val="00F92090"/>
    <w:rsid w:val="00F93ABD"/>
    <w:rsid w:val="00F94022"/>
    <w:rsid w:val="00F942A6"/>
    <w:rsid w:val="00F94774"/>
    <w:rsid w:val="00F9720D"/>
    <w:rsid w:val="00FA0994"/>
    <w:rsid w:val="00FA0A5F"/>
    <w:rsid w:val="00FA0D5F"/>
    <w:rsid w:val="00FA0E3C"/>
    <w:rsid w:val="00FA0EA8"/>
    <w:rsid w:val="00FA1CF9"/>
    <w:rsid w:val="00FA22FF"/>
    <w:rsid w:val="00FA2713"/>
    <w:rsid w:val="00FA2EE2"/>
    <w:rsid w:val="00FA30C3"/>
    <w:rsid w:val="00FA4211"/>
    <w:rsid w:val="00FA663B"/>
    <w:rsid w:val="00FA6750"/>
    <w:rsid w:val="00FA6991"/>
    <w:rsid w:val="00FA6B07"/>
    <w:rsid w:val="00FA76C5"/>
    <w:rsid w:val="00FB2C35"/>
    <w:rsid w:val="00FB383C"/>
    <w:rsid w:val="00FB5B12"/>
    <w:rsid w:val="00FB6093"/>
    <w:rsid w:val="00FC01E8"/>
    <w:rsid w:val="00FC0C35"/>
    <w:rsid w:val="00FC0D72"/>
    <w:rsid w:val="00FC12E7"/>
    <w:rsid w:val="00FC19CA"/>
    <w:rsid w:val="00FC1A6D"/>
    <w:rsid w:val="00FC21AF"/>
    <w:rsid w:val="00FC2A5F"/>
    <w:rsid w:val="00FC427B"/>
    <w:rsid w:val="00FC4818"/>
    <w:rsid w:val="00FC53DB"/>
    <w:rsid w:val="00FC5D3E"/>
    <w:rsid w:val="00FC65DC"/>
    <w:rsid w:val="00FC7E77"/>
    <w:rsid w:val="00FD0AF6"/>
    <w:rsid w:val="00FD1198"/>
    <w:rsid w:val="00FD3718"/>
    <w:rsid w:val="00FD3E23"/>
    <w:rsid w:val="00FD5F32"/>
    <w:rsid w:val="00FD7DC8"/>
    <w:rsid w:val="00FE123C"/>
    <w:rsid w:val="00FE139A"/>
    <w:rsid w:val="00FE1719"/>
    <w:rsid w:val="00FE4C38"/>
    <w:rsid w:val="00FE57B3"/>
    <w:rsid w:val="00FE6595"/>
    <w:rsid w:val="00FE6789"/>
    <w:rsid w:val="00FE684B"/>
    <w:rsid w:val="00FF004E"/>
    <w:rsid w:val="00FF05A7"/>
    <w:rsid w:val="00FF4F95"/>
    <w:rsid w:val="00FF4FD3"/>
    <w:rsid w:val="00FF5003"/>
    <w:rsid w:val="00FF5315"/>
    <w:rsid w:val="00FF5340"/>
    <w:rsid w:val="00FF5BA1"/>
    <w:rsid w:val="00FF5FA1"/>
    <w:rsid w:val="00FF6036"/>
    <w:rsid w:val="00FF7189"/>
    <w:rsid w:val="00FF79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C6F06F"/>
  <w15:docId w15:val="{2C2E31FA-6CF9-41EE-9737-899116853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CE4"/>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DD0CE4"/>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D0CE4"/>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D0CE4"/>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D0CE4"/>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D0CE4"/>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DD0CE4"/>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DD0CE4"/>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DD0CE4"/>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DD0CE4"/>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ru-RU"/>
    </w:rPr>
  </w:style>
  <w:style w:type="character" w:styleId="PlaceholderText">
    <w:name w:val="Placeholder Text"/>
    <w:basedOn w:val="DefaultParagraphFont"/>
    <w:uiPriority w:val="99"/>
    <w:semiHidden/>
    <w:rsid w:val="00105372"/>
    <w:rPr>
      <w:color w:val="808080"/>
      <w:lang w:val="ru-RU"/>
    </w:rPr>
  </w:style>
  <w:style w:type="paragraph" w:styleId="Header">
    <w:name w:val="header"/>
    <w:basedOn w:val="Normal"/>
    <w:link w:val="HeaderChar"/>
    <w:rsid w:val="00DD0CE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D0CE4"/>
    <w:rPr>
      <w:rFonts w:ascii="Times New Roman" w:eastAsia="SimSun" w:hAnsi="Times New Roman" w:cs="Times New Roman"/>
      <w:sz w:val="20"/>
      <w:szCs w:val="22"/>
      <w:lang w:val="ru-RU"/>
    </w:rPr>
  </w:style>
  <w:style w:type="paragraph" w:styleId="Footer">
    <w:name w:val="footer"/>
    <w:basedOn w:val="Normal"/>
    <w:link w:val="FooterChar"/>
    <w:uiPriority w:val="99"/>
    <w:rsid w:val="00DD0CE4"/>
    <w:pPr>
      <w:tabs>
        <w:tab w:val="center" w:pos="4680"/>
        <w:tab w:val="right" w:pos="9360"/>
      </w:tabs>
    </w:pPr>
    <w:rPr>
      <w:sz w:val="20"/>
    </w:rPr>
  </w:style>
  <w:style w:type="character" w:customStyle="1" w:styleId="FooterChar">
    <w:name w:val="Footer Char"/>
    <w:basedOn w:val="DefaultParagraphFont"/>
    <w:link w:val="Footer"/>
    <w:uiPriority w:val="99"/>
    <w:rsid w:val="00DD0CE4"/>
    <w:rPr>
      <w:rFonts w:ascii="Times New Roman" w:eastAsia="SimSun" w:hAnsi="Times New Roman" w:cs="Times New Roman"/>
      <w:sz w:val="20"/>
      <w:szCs w:val="22"/>
      <w:lang w:val="ru-RU"/>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Heading1Char">
    <w:name w:val="Heading 1 Char"/>
    <w:basedOn w:val="DefaultParagraphFont"/>
    <w:link w:val="Heading1"/>
    <w:uiPriority w:val="9"/>
    <w:rsid w:val="00DD0CE4"/>
    <w:rPr>
      <w:rFonts w:ascii="Times New Roman" w:eastAsiaTheme="majorEastAsia" w:hAnsi="Times New Roman" w:cstheme="majorBidi"/>
      <w:b/>
      <w:bCs/>
      <w:kern w:val="2"/>
      <w:sz w:val="28"/>
      <w:szCs w:val="32"/>
      <w:lang w:val="ru-RU"/>
      <w14:ligatures w14:val="standardContextual"/>
    </w:rPr>
  </w:style>
  <w:style w:type="paragraph" w:styleId="BodyText">
    <w:name w:val="Body Text"/>
    <w:basedOn w:val="Normal"/>
    <w:link w:val="BodyTextChar"/>
    <w:uiPriority w:val="99"/>
    <w:unhideWhenUsed/>
    <w:rsid w:val="00DD0CE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DD0CE4"/>
    <w:rPr>
      <w:rFonts w:eastAsiaTheme="minorHAnsi"/>
      <w:kern w:val="2"/>
      <w:sz w:val="22"/>
      <w:szCs w:val="22"/>
      <w:lang w:val="ru-RU"/>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ru-RU"/>
    </w:rPr>
  </w:style>
  <w:style w:type="character" w:styleId="CommentReference">
    <w:name w:val="annotation reference"/>
    <w:basedOn w:val="DefaultParagraphFont"/>
    <w:uiPriority w:val="99"/>
    <w:semiHidden/>
    <w:unhideWhenUsed/>
    <w:rsid w:val="00DD0CE4"/>
    <w:rPr>
      <w:sz w:val="16"/>
      <w:szCs w:val="16"/>
      <w:lang w:val="ru-RU"/>
    </w:rPr>
  </w:style>
  <w:style w:type="paragraph" w:styleId="CommentText">
    <w:name w:val="annotation text"/>
    <w:basedOn w:val="Normal"/>
    <w:link w:val="CommentTextChar"/>
    <w:uiPriority w:val="99"/>
    <w:semiHidden/>
    <w:rsid w:val="00DD0CE4"/>
    <w:rPr>
      <w:sz w:val="20"/>
      <w:szCs w:val="20"/>
    </w:rPr>
  </w:style>
  <w:style w:type="character" w:customStyle="1" w:styleId="CommentTextChar">
    <w:name w:val="Comment Text Char"/>
    <w:basedOn w:val="DefaultParagraphFont"/>
    <w:link w:val="CommentText"/>
    <w:uiPriority w:val="99"/>
    <w:semiHidden/>
    <w:rsid w:val="00DD0CE4"/>
    <w:rPr>
      <w:rFonts w:ascii="Times New Roman" w:eastAsia="SimSun" w:hAnsi="Times New Roman" w:cs="Times New Roman"/>
      <w:sz w:val="20"/>
      <w:szCs w:val="20"/>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ru-RU"/>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ru-RU"/>
    </w:rPr>
  </w:style>
  <w:style w:type="character" w:styleId="FollowedHyperlink">
    <w:name w:val="FollowedHyperlink"/>
    <w:rsid w:val="007E09DA"/>
    <w:rPr>
      <w:color w:val="800080"/>
      <w:u w:val="single"/>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DD0CE4"/>
    <w:rPr>
      <w:vertAlign w:val="superscript"/>
      <w:lang w:val="ru-RU"/>
    </w:rPr>
  </w:style>
  <w:style w:type="paragraph" w:styleId="FootnoteText">
    <w:name w:val="footnote text"/>
    <w:basedOn w:val="Normal"/>
    <w:link w:val="FootnoteTextChar"/>
    <w:uiPriority w:val="99"/>
    <w:unhideWhenUsed/>
    <w:rsid w:val="00DD0CE4"/>
    <w:pPr>
      <w:jc w:val="left"/>
    </w:pPr>
    <w:rPr>
      <w:sz w:val="18"/>
      <w:szCs w:val="20"/>
    </w:rPr>
  </w:style>
  <w:style w:type="character" w:customStyle="1" w:styleId="FootnoteTextChar">
    <w:name w:val="Footnote Text Char"/>
    <w:basedOn w:val="DefaultParagraphFont"/>
    <w:link w:val="FootnoteText"/>
    <w:uiPriority w:val="99"/>
    <w:rsid w:val="00DD0CE4"/>
    <w:rPr>
      <w:rFonts w:ascii="Times New Roman" w:eastAsia="SimSun" w:hAnsi="Times New Roman" w:cs="Times New Roman"/>
      <w:sz w:val="18"/>
      <w:szCs w:val="20"/>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DD0CE4"/>
    <w:rPr>
      <w:rFonts w:ascii="Times New Roman Bold" w:eastAsiaTheme="majorEastAsia" w:hAnsi="Times New Roman Bold" w:cstheme="majorBidi"/>
      <w:b/>
      <w:szCs w:val="26"/>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DD0CE4"/>
    <w:rPr>
      <w:rFonts w:ascii="Times New Roman" w:eastAsiaTheme="majorEastAsia" w:hAnsi="Times New Roman" w:cs="Times New Roman"/>
      <w:b/>
      <w:bCs/>
      <w:sz w:val="22"/>
      <w:szCs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DD0CE4"/>
    <w:rPr>
      <w:rFonts w:ascii="Times New Roman" w:eastAsiaTheme="majorEastAsia" w:hAnsi="Times New Roman" w:cs="Times New Roman"/>
      <w:b/>
      <w:bCs/>
      <w:sz w:val="22"/>
      <w:szCs w:val="22"/>
      <w:lang w:val="ru-RU"/>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DD0CE4"/>
    <w:rPr>
      <w:rFonts w:ascii="Times New Roman" w:eastAsiaTheme="majorEastAsia" w:hAnsi="Times New Roman" w:cs="Times New Roman"/>
      <w:i/>
      <w:iCs/>
      <w:sz w:val="22"/>
      <w:szCs w:val="22"/>
      <w:lang w:val="ru-RU"/>
    </w:rPr>
  </w:style>
  <w:style w:type="character" w:customStyle="1" w:styleId="Heading6Char">
    <w:name w:val="Heading 6 Char"/>
    <w:basedOn w:val="DefaultParagraphFont"/>
    <w:link w:val="Heading6"/>
    <w:rsid w:val="00DD0CE4"/>
    <w:rPr>
      <w:rFonts w:ascii="Times New Roman" w:eastAsia="SimSun" w:hAnsi="Times New Roman" w:cs="Times New Roman"/>
      <w:bCs/>
      <w:szCs w:val="22"/>
      <w:lang w:val="ru-RU"/>
    </w:rPr>
  </w:style>
  <w:style w:type="character" w:customStyle="1" w:styleId="Heading7Char">
    <w:name w:val="Heading 7 Char"/>
    <w:basedOn w:val="DefaultParagraphFont"/>
    <w:link w:val="Heading7"/>
    <w:rsid w:val="00DD0CE4"/>
    <w:rPr>
      <w:rFonts w:ascii="Times New Roman" w:eastAsia="SimSun" w:hAnsi="Times New Roman" w:cs="Times New Roman"/>
      <w:b/>
      <w:snapToGrid w:val="0"/>
      <w:sz w:val="22"/>
      <w:szCs w:val="22"/>
      <w:u w:val="single"/>
      <w:lang w:val="ru-RU"/>
    </w:rPr>
  </w:style>
  <w:style w:type="character" w:customStyle="1" w:styleId="Heading8Char">
    <w:name w:val="Heading 8 Char"/>
    <w:basedOn w:val="DefaultParagraphFont"/>
    <w:link w:val="Heading8"/>
    <w:rsid w:val="00DD0CE4"/>
    <w:rPr>
      <w:rFonts w:ascii="Times New Roman" w:eastAsia="SimSun" w:hAnsi="Times New Roman" w:cs="Times New Roman"/>
      <w:b/>
      <w:snapToGrid w:val="0"/>
      <w:sz w:val="22"/>
      <w:szCs w:val="22"/>
      <w:u w:val="single"/>
      <w:lang w:val="ru-RU"/>
    </w:rPr>
  </w:style>
  <w:style w:type="character" w:customStyle="1" w:styleId="Heading9Char">
    <w:name w:val="Heading 9 Char"/>
    <w:basedOn w:val="DefaultParagraphFont"/>
    <w:link w:val="Heading9"/>
    <w:rsid w:val="00DD0CE4"/>
    <w:rPr>
      <w:rFonts w:ascii="Times New Roman" w:eastAsia="SimSun" w:hAnsi="Times New Roman" w:cs="Times New Roman"/>
      <w:snapToGrid w:val="0"/>
      <w:sz w:val="22"/>
      <w:szCs w:val="22"/>
      <w:u w:val="single"/>
      <w:lang w:val="ru-RU"/>
    </w:rPr>
  </w:style>
  <w:style w:type="character" w:styleId="PageNumber">
    <w:name w:val="page number"/>
    <w:rsid w:val="007E09DA"/>
    <w:rPr>
      <w:rFonts w:ascii="Times New Roman" w:hAnsi="Times New Roman"/>
      <w:sz w:val="22"/>
      <w:lang w:val="ru-RU"/>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DD0CE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DD0CE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DD0CE4"/>
    <w:rPr>
      <w:rFonts w:ascii="Times New Roman" w:hAnsi="Times New Roman"/>
      <w:color w:val="0000FF" w:themeColor="hyperlink"/>
      <w:u w:val="single"/>
      <w:lang w:val="ru-RU"/>
    </w:rPr>
  </w:style>
  <w:style w:type="character" w:customStyle="1" w:styleId="Para1Char">
    <w:name w:val="Para1 Char"/>
    <w:link w:val="Para1"/>
    <w:locked/>
    <w:rsid w:val="005B35E2"/>
    <w:rPr>
      <w:rFonts w:ascii="Times New Roman" w:eastAsia="SimSu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1"/>
    <w:qFormat/>
    <w:rsid w:val="00DD0CE4"/>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0CE4"/>
    <w:rPr>
      <w:rFonts w:ascii="Simplified Arabic" w:eastAsia="Times New Roman" w:hAnsi="Simplified Arabic" w:cs="Simplified Arabic"/>
      <w:noProof/>
    </w:rPr>
  </w:style>
  <w:style w:type="paragraph" w:customStyle="1" w:styleId="DarkList-Accent31">
    <w:name w:val="Dark List - Accent 31"/>
    <w:hidden/>
    <w:uiPriority w:val="99"/>
    <w:semiHidden/>
    <w:rsid w:val="00DD0CE4"/>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DD0CE4"/>
    <w:pPr>
      <w:spacing w:after="120"/>
      <w:ind w:left="567"/>
    </w:pPr>
  </w:style>
  <w:style w:type="paragraph" w:customStyle="1" w:styleId="Footnote">
    <w:name w:val="Footnote"/>
    <w:basedOn w:val="FootnoteText"/>
    <w:semiHidden/>
    <w:qFormat/>
    <w:rsid w:val="00DD0CE4"/>
    <w:rPr>
      <w:szCs w:val="18"/>
    </w:rPr>
  </w:style>
  <w:style w:type="paragraph" w:customStyle="1" w:styleId="Annex">
    <w:name w:val="Annex"/>
    <w:basedOn w:val="Normal"/>
    <w:semiHidden/>
    <w:qFormat/>
    <w:rsid w:val="00DD0CE4"/>
    <w:pPr>
      <w:spacing w:after="240"/>
    </w:pPr>
    <w:rPr>
      <w:b/>
      <w:sz w:val="28"/>
    </w:rPr>
  </w:style>
  <w:style w:type="paragraph" w:customStyle="1" w:styleId="ABSymbol">
    <w:name w:val="AB_Symbol"/>
    <w:basedOn w:val="Normal"/>
    <w:qFormat/>
    <w:rsid w:val="00DD0CE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DD0CE4"/>
    <w:pPr>
      <w:numPr>
        <w:numId w:val="7"/>
      </w:numPr>
      <w:tabs>
        <w:tab w:val="left" w:pos="3969"/>
      </w:tabs>
      <w:spacing w:before="120" w:after="120"/>
    </w:pPr>
  </w:style>
  <w:style w:type="paragraph" w:customStyle="1" w:styleId="AFCorNNormal">
    <w:name w:val="AF_CorNNormal"/>
    <w:basedOn w:val="Normal"/>
    <w:unhideWhenUsed/>
    <w:rsid w:val="00DD0CE4"/>
    <w:pPr>
      <w:jc w:val="left"/>
    </w:pPr>
  </w:style>
  <w:style w:type="paragraph" w:customStyle="1" w:styleId="AEDistrNormal">
    <w:name w:val="AE_DistrNormal"/>
    <w:basedOn w:val="Normal"/>
    <w:unhideWhenUsed/>
    <w:rsid w:val="00DD0CE4"/>
    <w:pPr>
      <w:jc w:val="left"/>
    </w:pPr>
  </w:style>
  <w:style w:type="paragraph" w:customStyle="1" w:styleId="AASmallLogo">
    <w:name w:val="AA_SmallLogo"/>
    <w:basedOn w:val="AEDistrNormal"/>
    <w:unhideWhenUsed/>
    <w:rsid w:val="00DD0CE4"/>
    <w:pPr>
      <w:spacing w:before="40"/>
    </w:pPr>
    <w:rPr>
      <w:sz w:val="4"/>
    </w:rPr>
  </w:style>
  <w:style w:type="paragraph" w:customStyle="1" w:styleId="ACLargeLogo">
    <w:name w:val="AC_LargeLogo"/>
    <w:basedOn w:val="AFCorNNormal"/>
    <w:next w:val="AISpacer"/>
    <w:unhideWhenUsed/>
    <w:rsid w:val="00DD0CE4"/>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DD0CE4"/>
    <w:rPr>
      <w:b/>
      <w:bCs/>
    </w:rPr>
  </w:style>
  <w:style w:type="character" w:customStyle="1" w:styleId="CommentSubjectChar">
    <w:name w:val="Comment Subject Char"/>
    <w:basedOn w:val="CommentTextChar"/>
    <w:link w:val="CommentSubject"/>
    <w:uiPriority w:val="99"/>
    <w:semiHidden/>
    <w:rsid w:val="00DD0CE4"/>
    <w:rPr>
      <w:rFonts w:ascii="Times New Roman" w:eastAsia="SimSun" w:hAnsi="Times New Roman" w:cs="Times New Roman"/>
      <w:b/>
      <w:bCs/>
      <w:sz w:val="20"/>
      <w:szCs w:val="20"/>
      <w:lang w:val="ru-RU"/>
    </w:rPr>
  </w:style>
  <w:style w:type="paragraph" w:customStyle="1" w:styleId="Item">
    <w:name w:val="Item"/>
    <w:basedOn w:val="Normal"/>
    <w:semiHidden/>
    <w:qFormat/>
    <w:rsid w:val="00DD0CE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DD0CE4"/>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DD0CE4"/>
    <w:pPr>
      <w:contextualSpacing/>
    </w:pPr>
  </w:style>
  <w:style w:type="numbering" w:customStyle="1" w:styleId="ListCBD">
    <w:name w:val="ListCBD"/>
    <w:basedOn w:val="NoList"/>
    <w:uiPriority w:val="99"/>
    <w:rsid w:val="00DD0CE4"/>
    <w:pPr>
      <w:numPr>
        <w:numId w:val="5"/>
      </w:numPr>
    </w:pPr>
  </w:style>
  <w:style w:type="numbering" w:customStyle="1" w:styleId="CBDHeadings">
    <w:name w:val="CBD_Headings"/>
    <w:basedOn w:val="ListCBD"/>
    <w:uiPriority w:val="99"/>
    <w:rsid w:val="00DD0CE4"/>
    <w:pPr>
      <w:numPr>
        <w:numId w:val="6"/>
      </w:numPr>
    </w:pPr>
  </w:style>
  <w:style w:type="paragraph" w:customStyle="1" w:styleId="AISpacer">
    <w:name w:val="AI_Spacer"/>
    <w:next w:val="Normal"/>
    <w:unhideWhenUsed/>
    <w:qFormat/>
    <w:rsid w:val="00DD0CE4"/>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DD0CE4"/>
    <w:pPr>
      <w:spacing w:before="120"/>
    </w:pPr>
  </w:style>
  <w:style w:type="paragraph" w:customStyle="1" w:styleId="AFCorNBold">
    <w:name w:val="AF_CorNBold"/>
    <w:basedOn w:val="AFCorNNormal"/>
    <w:next w:val="AFCorNNormal"/>
    <w:unhideWhenUsed/>
    <w:qFormat/>
    <w:rsid w:val="00DD0CE4"/>
    <w:rPr>
      <w:b/>
    </w:rPr>
  </w:style>
  <w:style w:type="paragraph" w:customStyle="1" w:styleId="AFCorN12Bold">
    <w:name w:val="AF_CorN12Bold"/>
    <w:basedOn w:val="AFCorNNormal"/>
    <w:next w:val="AFCorNNormal"/>
    <w:unhideWhenUsed/>
    <w:qFormat/>
    <w:rsid w:val="00DD0CE4"/>
    <w:rPr>
      <w:b/>
      <w:sz w:val="24"/>
    </w:rPr>
  </w:style>
  <w:style w:type="paragraph" w:customStyle="1" w:styleId="CBDAgendaItem">
    <w:name w:val="CBD_AgendaItem"/>
    <w:basedOn w:val="Normal"/>
    <w:qFormat/>
    <w:rsid w:val="00DD0CE4"/>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DD0CE4"/>
    <w:pPr>
      <w:spacing w:after="120"/>
      <w:ind w:left="1134" w:firstLine="567"/>
    </w:pPr>
  </w:style>
  <w:style w:type="paragraph" w:customStyle="1" w:styleId="CBDDesicionAnnex">
    <w:name w:val="CBD_DesicionAnnex"/>
    <w:basedOn w:val="CBDNormal"/>
    <w:next w:val="CBDDesicionText"/>
    <w:qFormat/>
    <w:rsid w:val="00DD0CE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DD0CE4"/>
    <w:pPr>
      <w:keepNext/>
      <w:keepLines/>
      <w:spacing w:after="240"/>
      <w:jc w:val="left"/>
    </w:pPr>
    <w:rPr>
      <w:b/>
      <w:sz w:val="28"/>
      <w:lang w:bidi="ar-SY"/>
    </w:rPr>
  </w:style>
  <w:style w:type="paragraph" w:customStyle="1" w:styleId="CBDSubTitle">
    <w:name w:val="CBD_SubTitle"/>
    <w:basedOn w:val="CBDNormal"/>
    <w:qFormat/>
    <w:rsid w:val="00DD0CE4"/>
    <w:pPr>
      <w:keepNext/>
      <w:keepLines/>
      <w:spacing w:before="240" w:after="240"/>
      <w:ind w:left="567"/>
      <w:jc w:val="left"/>
    </w:pPr>
    <w:rPr>
      <w:b/>
    </w:rPr>
  </w:style>
  <w:style w:type="paragraph" w:customStyle="1" w:styleId="CBDTitle">
    <w:name w:val="CBD_Title"/>
    <w:basedOn w:val="CBDNormal"/>
    <w:next w:val="CBDSubTitle"/>
    <w:qFormat/>
    <w:rsid w:val="00DD0CE4"/>
    <w:pPr>
      <w:keepNext/>
      <w:keepLines/>
      <w:spacing w:before="240" w:after="240"/>
      <w:ind w:left="567"/>
      <w:jc w:val="left"/>
    </w:pPr>
    <w:rPr>
      <w:b/>
      <w:sz w:val="28"/>
    </w:rPr>
  </w:style>
  <w:style w:type="paragraph" w:customStyle="1" w:styleId="AENormal">
    <w:name w:val="AE_Normal"/>
    <w:basedOn w:val="Normal"/>
    <w:rsid w:val="00DD0CE4"/>
  </w:style>
  <w:style w:type="paragraph" w:customStyle="1" w:styleId="CBDH1">
    <w:name w:val="CBD_H1"/>
    <w:basedOn w:val="CBDNormal"/>
    <w:qFormat/>
    <w:rsid w:val="00DD0CE4"/>
    <w:pPr>
      <w:keepNext/>
      <w:keepLines/>
      <w:spacing w:before="240" w:after="120"/>
      <w:ind w:left="567" w:hanging="567"/>
      <w:jc w:val="left"/>
      <w:outlineLvl w:val="0"/>
    </w:pPr>
    <w:rPr>
      <w:b/>
      <w:sz w:val="28"/>
    </w:rPr>
  </w:style>
  <w:style w:type="paragraph" w:customStyle="1" w:styleId="CBDH2">
    <w:name w:val="CBD_H2"/>
    <w:basedOn w:val="CBDNormal"/>
    <w:qFormat/>
    <w:rsid w:val="00DD0CE4"/>
    <w:pPr>
      <w:keepNext/>
      <w:keepLines/>
      <w:ind w:left="567" w:hanging="567"/>
    </w:pPr>
    <w:rPr>
      <w:b/>
      <w:sz w:val="24"/>
    </w:rPr>
  </w:style>
  <w:style w:type="paragraph" w:customStyle="1" w:styleId="CBDFootnoteText">
    <w:name w:val="CBD_Footnote_Text"/>
    <w:basedOn w:val="CBDNormal"/>
    <w:qFormat/>
    <w:rsid w:val="00DD0CE4"/>
    <w:pPr>
      <w:jc w:val="left"/>
    </w:pPr>
    <w:rPr>
      <w:sz w:val="18"/>
    </w:rPr>
  </w:style>
  <w:style w:type="paragraph" w:customStyle="1" w:styleId="CBDFooter">
    <w:name w:val="CBD_Footer"/>
    <w:basedOn w:val="CBDNormal"/>
    <w:qFormat/>
    <w:rsid w:val="00DD0CE4"/>
    <w:rPr>
      <w:sz w:val="20"/>
    </w:rPr>
  </w:style>
  <w:style w:type="paragraph" w:customStyle="1" w:styleId="CBDHeader">
    <w:name w:val="CBD_Header"/>
    <w:basedOn w:val="CBDNormal"/>
    <w:next w:val="CBDFooter"/>
    <w:qFormat/>
    <w:rsid w:val="00DD0CE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DD0CE4"/>
    <w:pPr>
      <w:keepNext/>
      <w:keepLines/>
      <w:spacing w:before="120" w:after="120"/>
      <w:ind w:left="567" w:hanging="567"/>
      <w:jc w:val="left"/>
    </w:pPr>
    <w:rPr>
      <w:b/>
    </w:rPr>
  </w:style>
  <w:style w:type="paragraph" w:customStyle="1" w:styleId="CBDH4">
    <w:name w:val="CBD_H4"/>
    <w:basedOn w:val="CBDNormal"/>
    <w:rsid w:val="00DD0CE4"/>
    <w:pPr>
      <w:keepNext/>
      <w:keepLines/>
      <w:spacing w:before="120" w:after="120"/>
      <w:ind w:left="567" w:hanging="567"/>
      <w:jc w:val="left"/>
    </w:pPr>
    <w:rPr>
      <w:b/>
    </w:rPr>
  </w:style>
  <w:style w:type="paragraph" w:customStyle="1" w:styleId="CBDH5">
    <w:name w:val="CBD_H5"/>
    <w:basedOn w:val="CBDNormal"/>
    <w:qFormat/>
    <w:rsid w:val="00DD0CE4"/>
    <w:pPr>
      <w:keepNext/>
      <w:keepLines/>
      <w:spacing w:before="120" w:after="120"/>
      <w:ind w:left="567" w:hanging="567"/>
      <w:jc w:val="left"/>
    </w:pPr>
    <w:rPr>
      <w:i/>
    </w:rPr>
  </w:style>
  <w:style w:type="paragraph" w:customStyle="1" w:styleId="CBDTableNormal">
    <w:name w:val="CBD_TableNormal"/>
    <w:basedOn w:val="CBDNormal"/>
    <w:qFormat/>
    <w:rsid w:val="00DD0CE4"/>
    <w:pPr>
      <w:spacing w:before="40" w:after="80"/>
      <w:jc w:val="left"/>
    </w:pPr>
    <w:rPr>
      <w:sz w:val="20"/>
    </w:rPr>
  </w:style>
  <w:style w:type="paragraph" w:customStyle="1" w:styleId="CBDTableTitle">
    <w:name w:val="CBD_TableTitle"/>
    <w:basedOn w:val="CBDNormal"/>
    <w:qFormat/>
    <w:rsid w:val="00DD0CE4"/>
    <w:pPr>
      <w:keepNext/>
      <w:keepLines/>
      <w:spacing w:before="120" w:after="60"/>
      <w:ind w:left="567"/>
      <w:jc w:val="left"/>
    </w:pPr>
    <w:rPr>
      <w:b/>
    </w:rPr>
  </w:style>
  <w:style w:type="paragraph" w:customStyle="1" w:styleId="CBDFigureTitle">
    <w:name w:val="CBD_FigureTitle"/>
    <w:basedOn w:val="CBDNormal"/>
    <w:next w:val="CBDNormalNoNumber"/>
    <w:qFormat/>
    <w:rsid w:val="00DD0CE4"/>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ru-RU"/>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ru-RU"/>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ru-RU"/>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ru-RU"/>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ru-RU"/>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ru-RU"/>
    </w:rPr>
  </w:style>
  <w:style w:type="character" w:styleId="BookTitle">
    <w:name w:val="Book Title"/>
    <w:basedOn w:val="DefaultParagraphFont"/>
    <w:uiPriority w:val="33"/>
    <w:qFormat/>
    <w:rsid w:val="00A111D1"/>
    <w:rPr>
      <w:b/>
      <w:bCs/>
      <w:i/>
      <w:iCs/>
      <w:spacing w:val="5"/>
      <w:lang w:val="ru-RU"/>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ru-RU"/>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ru-RU"/>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ru-RU"/>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ru-RU"/>
    </w:rPr>
  </w:style>
  <w:style w:type="character" w:styleId="Emphasis">
    <w:name w:val="Emphasis"/>
    <w:basedOn w:val="DefaultParagraphFont"/>
    <w:uiPriority w:val="20"/>
    <w:qFormat/>
    <w:rsid w:val="00A111D1"/>
    <w:rPr>
      <w:i/>
      <w:iCs/>
      <w:lang w:val="ru-RU"/>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ru-RU"/>
    </w:rPr>
  </w:style>
  <w:style w:type="character" w:styleId="HTMLAcronym">
    <w:name w:val="HTML Acronym"/>
    <w:basedOn w:val="DefaultParagraphFont"/>
    <w:uiPriority w:val="99"/>
    <w:semiHidden/>
    <w:unhideWhenUsed/>
    <w:rsid w:val="00A111D1"/>
    <w:rPr>
      <w:lang w:val="ru-RU"/>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ru-RU"/>
    </w:rPr>
  </w:style>
  <w:style w:type="character" w:styleId="HTMLCite">
    <w:name w:val="HTML Cite"/>
    <w:basedOn w:val="DefaultParagraphFont"/>
    <w:uiPriority w:val="99"/>
    <w:semiHidden/>
    <w:unhideWhenUsed/>
    <w:rsid w:val="00A111D1"/>
    <w:rPr>
      <w:i/>
      <w:iCs/>
      <w:lang w:val="ru-RU"/>
    </w:rPr>
  </w:style>
  <w:style w:type="character" w:styleId="HTMLCode">
    <w:name w:val="HTML Code"/>
    <w:basedOn w:val="DefaultParagraphFont"/>
    <w:uiPriority w:val="99"/>
    <w:semiHidden/>
    <w:unhideWhenUsed/>
    <w:rsid w:val="00A111D1"/>
    <w:rPr>
      <w:rFonts w:ascii="Consolas" w:hAnsi="Consolas"/>
      <w:sz w:val="20"/>
      <w:szCs w:val="20"/>
      <w:lang w:val="ru-RU"/>
    </w:rPr>
  </w:style>
  <w:style w:type="character" w:styleId="HTMLDefinition">
    <w:name w:val="HTML Definition"/>
    <w:basedOn w:val="DefaultParagraphFont"/>
    <w:uiPriority w:val="99"/>
    <w:semiHidden/>
    <w:unhideWhenUsed/>
    <w:rsid w:val="00A111D1"/>
    <w:rPr>
      <w:i/>
      <w:iCs/>
      <w:lang w:val="ru-RU"/>
    </w:rPr>
  </w:style>
  <w:style w:type="character" w:styleId="HTMLKeyboard">
    <w:name w:val="HTML Keyboard"/>
    <w:basedOn w:val="DefaultParagraphFont"/>
    <w:uiPriority w:val="99"/>
    <w:semiHidden/>
    <w:unhideWhenUsed/>
    <w:rsid w:val="00A111D1"/>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ru-RU"/>
    </w:rPr>
  </w:style>
  <w:style w:type="character" w:styleId="HTMLSample">
    <w:name w:val="HTML Sample"/>
    <w:basedOn w:val="DefaultParagraphFont"/>
    <w:uiPriority w:val="99"/>
    <w:semiHidden/>
    <w:unhideWhenUsed/>
    <w:rsid w:val="00A111D1"/>
    <w:rPr>
      <w:rFonts w:ascii="Consolas" w:hAnsi="Consolas"/>
      <w:sz w:val="24"/>
      <w:szCs w:val="24"/>
      <w:lang w:val="ru-RU"/>
    </w:rPr>
  </w:style>
  <w:style w:type="character" w:styleId="HTMLTypewriter">
    <w:name w:val="HTML Typewriter"/>
    <w:basedOn w:val="DefaultParagraphFont"/>
    <w:uiPriority w:val="99"/>
    <w:semiHidden/>
    <w:unhideWhenUsed/>
    <w:rsid w:val="00A111D1"/>
    <w:rPr>
      <w:rFonts w:ascii="Consolas" w:hAnsi="Consolas"/>
      <w:sz w:val="20"/>
      <w:szCs w:val="20"/>
      <w:lang w:val="ru-RU"/>
    </w:rPr>
  </w:style>
  <w:style w:type="character" w:styleId="HTMLVariable">
    <w:name w:val="HTML Variable"/>
    <w:basedOn w:val="DefaultParagraphFont"/>
    <w:uiPriority w:val="99"/>
    <w:semiHidden/>
    <w:unhideWhenUsed/>
    <w:rsid w:val="00A111D1"/>
    <w:rPr>
      <w:i/>
      <w:iCs/>
      <w:lang w:val="ru-RU"/>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ru-RU"/>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ru-RU"/>
    </w:rPr>
  </w:style>
  <w:style w:type="character" w:styleId="IntenseReference">
    <w:name w:val="Intense Reference"/>
    <w:basedOn w:val="DefaultParagraphFont"/>
    <w:uiPriority w:val="32"/>
    <w:qFormat/>
    <w:rsid w:val="00A111D1"/>
    <w:rPr>
      <w:b/>
      <w:bCs/>
      <w:smallCaps/>
      <w:color w:val="4F81BD" w:themeColor="accent1"/>
      <w:spacing w:val="5"/>
      <w:lang w:val="ru-RU"/>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ru-RU"/>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ru-RU"/>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ru-RU"/>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ru-RU"/>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ru-RU"/>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ru-RU"/>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ru-RU"/>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ru-RU"/>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ru-RU"/>
    </w:rPr>
  </w:style>
  <w:style w:type="character" w:styleId="SmartHyperlink">
    <w:name w:val="Smart Hyperlink"/>
    <w:basedOn w:val="DefaultParagraphFont"/>
    <w:uiPriority w:val="99"/>
    <w:semiHidden/>
    <w:unhideWhenUsed/>
    <w:rsid w:val="00A111D1"/>
    <w:rPr>
      <w:u w:val="dotted"/>
      <w:lang w:val="ru-RU"/>
    </w:rPr>
  </w:style>
  <w:style w:type="character" w:styleId="SmartLink">
    <w:name w:val="Smart Link"/>
    <w:basedOn w:val="DefaultParagraphFont"/>
    <w:uiPriority w:val="99"/>
    <w:semiHidden/>
    <w:unhideWhenUsed/>
    <w:rsid w:val="00A111D1"/>
    <w:rPr>
      <w:color w:val="0000FF"/>
      <w:u w:val="single"/>
      <w:shd w:val="clear" w:color="auto" w:fill="F3F2F1"/>
      <w:lang w:val="ru-RU"/>
    </w:rPr>
  </w:style>
  <w:style w:type="character" w:styleId="Strong">
    <w:name w:val="Strong"/>
    <w:basedOn w:val="DefaultParagraphFont"/>
    <w:uiPriority w:val="22"/>
    <w:qFormat/>
    <w:rsid w:val="00A111D1"/>
    <w:rPr>
      <w:b/>
      <w:bCs/>
      <w:lang w:val="ru-RU"/>
    </w:rPr>
  </w:style>
  <w:style w:type="character" w:styleId="SubtleEmphasis">
    <w:name w:val="Subtle Emphasis"/>
    <w:basedOn w:val="DefaultParagraphFont"/>
    <w:uiPriority w:val="19"/>
    <w:qFormat/>
    <w:rsid w:val="00A111D1"/>
    <w:rPr>
      <w:i/>
      <w:iCs/>
      <w:color w:val="404040" w:themeColor="text1" w:themeTint="BF"/>
      <w:lang w:val="ru-RU"/>
    </w:rPr>
  </w:style>
  <w:style w:type="character" w:styleId="SubtleReference">
    <w:name w:val="Subtle Reference"/>
    <w:basedOn w:val="DefaultParagraphFont"/>
    <w:uiPriority w:val="31"/>
    <w:qFormat/>
    <w:rsid w:val="00A111D1"/>
    <w:rPr>
      <w:smallCaps/>
      <w:color w:val="5A5A5A" w:themeColor="text1" w:themeTint="A5"/>
      <w:lang w:val="ru-RU"/>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ru-RU"/>
    </w:rPr>
  </w:style>
  <w:style w:type="paragraph" w:customStyle="1" w:styleId="CBDAgendaItemReport">
    <w:name w:val="CBD_AgendaItem_Report"/>
    <w:basedOn w:val="Normal"/>
    <w:qFormat/>
    <w:rsid w:val="00DD0CE4"/>
    <w:pPr>
      <w:keepNext/>
      <w:keepLines/>
      <w:spacing w:before="240" w:after="120"/>
      <w:jc w:val="left"/>
    </w:pPr>
    <w:rPr>
      <w:b/>
      <w:sz w:val="24"/>
    </w:rPr>
  </w:style>
  <w:style w:type="paragraph" w:customStyle="1" w:styleId="CBDagendaItem0">
    <w:name w:val="CBD_agenda_Item"/>
    <w:basedOn w:val="CBDNormalNumber"/>
    <w:qFormat/>
    <w:rsid w:val="00DD0CE4"/>
  </w:style>
  <w:style w:type="numbering" w:customStyle="1" w:styleId="CurrentList1">
    <w:name w:val="Current List1"/>
    <w:uiPriority w:val="99"/>
    <w:rsid w:val="00D11560"/>
    <w:pPr>
      <w:numPr>
        <w:numId w:val="37"/>
      </w:numPr>
    </w:pPr>
  </w:style>
  <w:style w:type="numbering" w:customStyle="1" w:styleId="CurrentList2">
    <w:name w:val="Current List2"/>
    <w:uiPriority w:val="99"/>
    <w:rsid w:val="00CF1C94"/>
    <w:pPr>
      <w:numPr>
        <w:numId w:val="47"/>
      </w:numPr>
    </w:pPr>
  </w:style>
  <w:style w:type="numbering" w:customStyle="1" w:styleId="CurrentList3">
    <w:name w:val="Current List3"/>
    <w:uiPriority w:val="99"/>
    <w:rsid w:val="000A0550"/>
    <w:pPr>
      <w:numPr>
        <w:numId w:val="48"/>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40800"/>
    <w:pPr>
      <w:spacing w:after="160" w:line="240" w:lineRule="exact"/>
    </w:pPr>
    <w:rPr>
      <w:rFonts w:asciiTheme="minorHAnsi" w:eastAsiaTheme="minorEastAsia" w:hAnsiTheme="minorHAnsi" w:cstheme="minorBidi"/>
      <w:sz w:val="24"/>
      <w:szCs w:val="24"/>
      <w:vertAlign w:val="superscript"/>
    </w:rPr>
  </w:style>
  <w:style w:type="paragraph" w:customStyle="1" w:styleId="CBDpara-item">
    <w:name w:val="CBD_para-item"/>
    <w:basedOn w:val="Normal"/>
    <w:qFormat/>
    <w:rsid w:val="00DD0CE4"/>
    <w:pPr>
      <w:tabs>
        <w:tab w:val="clear" w:pos="567"/>
      </w:tabs>
      <w:spacing w:before="120" w:after="120"/>
      <w:ind w:left="1134" w:hanging="567"/>
      <w:jc w:val="left"/>
    </w:pPr>
  </w:style>
  <w:style w:type="paragraph" w:customStyle="1" w:styleId="CBDsubpara-item">
    <w:name w:val="CBD_subpara-item"/>
    <w:basedOn w:val="CBDpara-item"/>
    <w:qFormat/>
    <w:rsid w:val="00DD0CE4"/>
    <w:pPr>
      <w:tabs>
        <w:tab w:val="clear" w:pos="1134"/>
      </w:tabs>
      <w:ind w:left="1701"/>
    </w:pPr>
  </w:style>
  <w:style w:type="paragraph" w:customStyle="1" w:styleId="CBDRecommendText">
    <w:name w:val="CBD_RecommendText"/>
    <w:basedOn w:val="Normal"/>
    <w:qFormat/>
    <w:rsid w:val="00DD0CE4"/>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c/d080/49e3/6b35b3b9979343b39215b290/cop-16-04-add2-ru.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decisions/cop-16/cop-16-dec-28-ru.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c/d080/49e3/6b35b3b9979343b39215b290/cop-16-04-add2-ru.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cop-16/cop-16-dec-28-ru.pdf" TargetMode="External"/><Relationship Id="rId20" Type="http://schemas.openxmlformats.org/officeDocument/2006/relationships/hyperlink" Target="https://www.cbd.int/doc/decisions/cop-15/cop-15-dec-34-ru.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oc/decisions/cop-15/cop-15-dec-34-ru.pdf"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oc/c/d080/49e3/6b35b3b9979343b39215b290/cop-16-04-add2-ru.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SBI/6/10"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400c/a087/682b60cbfce99723c96a5414/sbi-06-01-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C37A50F15045748448187A6124A286"/>
        <w:category>
          <w:name w:val="General"/>
          <w:gallery w:val="placeholder"/>
        </w:category>
        <w:types>
          <w:type w:val="bbPlcHdr"/>
        </w:types>
        <w:behaviors>
          <w:behavior w:val="content"/>
        </w:behaviors>
        <w:guid w:val="{128FE0DC-BA68-4EB1-8C9E-EEFB08F15D70}"/>
      </w:docPartPr>
      <w:docPartBody>
        <w:p w:rsidR="00FA22FF" w:rsidRDefault="00FA22FF">
          <w:pPr>
            <w:pStyle w:val="5FC37A50F15045748448187A6124A28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2FF"/>
    <w:rsid w:val="00065041"/>
    <w:rsid w:val="000B670B"/>
    <w:rsid w:val="00193FAF"/>
    <w:rsid w:val="001B0DAB"/>
    <w:rsid w:val="001D0174"/>
    <w:rsid w:val="0025263C"/>
    <w:rsid w:val="00297181"/>
    <w:rsid w:val="002D2960"/>
    <w:rsid w:val="002D7CBC"/>
    <w:rsid w:val="002E0BF2"/>
    <w:rsid w:val="00347C7D"/>
    <w:rsid w:val="003C6FCC"/>
    <w:rsid w:val="003E0393"/>
    <w:rsid w:val="003E09AD"/>
    <w:rsid w:val="00413DB9"/>
    <w:rsid w:val="00444722"/>
    <w:rsid w:val="005635AC"/>
    <w:rsid w:val="005A1D20"/>
    <w:rsid w:val="00690533"/>
    <w:rsid w:val="00723D28"/>
    <w:rsid w:val="00761595"/>
    <w:rsid w:val="007749D8"/>
    <w:rsid w:val="007C3767"/>
    <w:rsid w:val="007F7122"/>
    <w:rsid w:val="008E16B4"/>
    <w:rsid w:val="009455ED"/>
    <w:rsid w:val="0096274A"/>
    <w:rsid w:val="00992F5B"/>
    <w:rsid w:val="009A467B"/>
    <w:rsid w:val="00A574CF"/>
    <w:rsid w:val="00A60445"/>
    <w:rsid w:val="00AB02F1"/>
    <w:rsid w:val="00B06809"/>
    <w:rsid w:val="00B17435"/>
    <w:rsid w:val="00BB033B"/>
    <w:rsid w:val="00C53F5A"/>
    <w:rsid w:val="00C63AE5"/>
    <w:rsid w:val="00C97656"/>
    <w:rsid w:val="00CB54B6"/>
    <w:rsid w:val="00D375C0"/>
    <w:rsid w:val="00D46C22"/>
    <w:rsid w:val="00E02E7A"/>
    <w:rsid w:val="00E65A49"/>
    <w:rsid w:val="00F55CA0"/>
    <w:rsid w:val="00F8702B"/>
    <w:rsid w:val="00FA22FF"/>
    <w:rsid w:val="00FE123C"/>
    <w:rsid w:val="00FE57B3"/>
    <w:rsid w:val="00FF50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FC37A50F15045748448187A6124A286">
    <w:name w:val="5FC37A50F15045748448187A6124A2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7D50DC22-12B0-4EA6-B83D-E94A22515E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52</TotalTime>
  <Pages>16</Pages>
  <Words>7409</Words>
  <Characters>42236</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Functional review of the Secretariat</vt:lpstr>
    </vt:vector>
  </TitlesOfParts>
  <Company>SCBD</Company>
  <LinksUpToDate>false</LinksUpToDate>
  <CharactersWithSpaces>49546</CharactersWithSpaces>
  <SharedDoc>false</SharedDoc>
  <HLinks>
    <vt:vector size="108" baseType="variant">
      <vt:variant>
        <vt:i4>6619185</vt:i4>
      </vt:variant>
      <vt:variant>
        <vt:i4>0</vt:i4>
      </vt:variant>
      <vt:variant>
        <vt:i4>0</vt:i4>
      </vt:variant>
      <vt:variant>
        <vt:i4>5</vt:i4>
      </vt:variant>
      <vt:variant>
        <vt:lpwstr>https://www.cbd.int/notifications/2025-112</vt:lpwstr>
      </vt:variant>
      <vt:variant>
        <vt:lpwstr/>
      </vt:variant>
      <vt:variant>
        <vt:i4>5374067</vt:i4>
      </vt:variant>
      <vt:variant>
        <vt:i4>33</vt:i4>
      </vt:variant>
      <vt:variant>
        <vt:i4>0</vt:i4>
      </vt:variant>
      <vt:variant>
        <vt:i4>5</vt:i4>
      </vt:variant>
      <vt:variant>
        <vt:lpwstr>https://www.ramsar.org/sites/default/files/documents/library/sc59_13.1_previous_resolutions_process_e.pdf</vt:lpwstr>
      </vt:variant>
      <vt:variant>
        <vt:lpwstr/>
      </vt:variant>
      <vt:variant>
        <vt:i4>1114158</vt:i4>
      </vt:variant>
      <vt:variant>
        <vt:i4>30</vt:i4>
      </vt:variant>
      <vt:variant>
        <vt:i4>0</vt:i4>
      </vt:variant>
      <vt:variant>
        <vt:i4>5</vt:i4>
      </vt:variant>
      <vt:variant>
        <vt:lpwstr>https://atlantic-turtles.cms.int/sites/default/files/document/cms_cop12_doc.21.2.6_scientific-council_consolidation_e.pdf</vt:lpwstr>
      </vt:variant>
      <vt:variant>
        <vt:lpwstr/>
      </vt:variant>
      <vt:variant>
        <vt:i4>720984</vt:i4>
      </vt:variant>
      <vt:variant>
        <vt:i4>27</vt:i4>
      </vt:variant>
      <vt:variant>
        <vt:i4>0</vt:i4>
      </vt:variant>
      <vt:variant>
        <vt:i4>5</vt:i4>
      </vt:variant>
      <vt:variant>
        <vt:lpwstr>https://ozone.unep.org/treaties/montreal-protocol/meetings/first-meeting-parties/decisions/decision-i5-establishment-open-ended-working-group</vt:lpwstr>
      </vt:variant>
      <vt:variant>
        <vt:lpwstr/>
      </vt:variant>
      <vt:variant>
        <vt:i4>30</vt:i4>
      </vt:variant>
      <vt:variant>
        <vt:i4>24</vt:i4>
      </vt:variant>
      <vt:variant>
        <vt:i4>0</vt:i4>
      </vt:variant>
      <vt:variant>
        <vt:i4>5</vt:i4>
      </vt:variant>
      <vt:variant>
        <vt:lpwstr>https://www.brsmeas.org/Decisionmaking/Overview/SynergiesProcess</vt:lpwstr>
      </vt:variant>
      <vt:variant>
        <vt:lpwstr/>
      </vt:variant>
      <vt:variant>
        <vt:i4>5111903</vt:i4>
      </vt:variant>
      <vt:variant>
        <vt:i4>21</vt:i4>
      </vt:variant>
      <vt:variant>
        <vt:i4>0</vt:i4>
      </vt:variant>
      <vt:variant>
        <vt:i4>5</vt:i4>
      </vt:variant>
      <vt:variant>
        <vt:lpwstr>https://www.unccd.int/sites/default/files/2025-03/5-cop16.pdf</vt:lpwstr>
      </vt:variant>
      <vt:variant>
        <vt:lpwstr/>
      </vt:variant>
      <vt:variant>
        <vt:i4>3407985</vt:i4>
      </vt:variant>
      <vt:variant>
        <vt:i4>18</vt:i4>
      </vt:variant>
      <vt:variant>
        <vt:i4>0</vt:i4>
      </vt:variant>
      <vt:variant>
        <vt:i4>5</vt:i4>
      </vt:variant>
      <vt:variant>
        <vt:lpwstr>https://cites.org/sites/default/files/documents/SC/78/agenda/E-SC78-30.pdf</vt:lpwstr>
      </vt:variant>
      <vt:variant>
        <vt:lpwstr/>
      </vt:variant>
      <vt:variant>
        <vt:i4>7471202</vt:i4>
      </vt:variant>
      <vt:variant>
        <vt:i4>15</vt:i4>
      </vt:variant>
      <vt:variant>
        <vt:i4>0</vt:i4>
      </vt:variant>
      <vt:variant>
        <vt:i4>5</vt:i4>
      </vt:variant>
      <vt:variant>
        <vt:lpwstr>https://cites.org/sites/default/files/documents/E-CoP19-27.pdf</vt:lpwstr>
      </vt:variant>
      <vt:variant>
        <vt:lpwstr/>
      </vt:variant>
      <vt:variant>
        <vt:i4>1310721</vt:i4>
      </vt:variant>
      <vt:variant>
        <vt:i4>12</vt:i4>
      </vt:variant>
      <vt:variant>
        <vt:i4>0</vt:i4>
      </vt:variant>
      <vt:variant>
        <vt:i4>5</vt:i4>
      </vt:variant>
      <vt:variant>
        <vt:lpwstr>https://cites.org/sites/default/files/documents/COP/20/agenda/E-CoP20-014.pdf</vt:lpwstr>
      </vt:variant>
      <vt:variant>
        <vt:lpwstr/>
      </vt:variant>
      <vt:variant>
        <vt:i4>2424873</vt:i4>
      </vt:variant>
      <vt:variant>
        <vt:i4>9</vt:i4>
      </vt:variant>
      <vt:variant>
        <vt:i4>0</vt:i4>
      </vt:variant>
      <vt:variant>
        <vt:i4>5</vt:i4>
      </vt:variant>
      <vt:variant>
        <vt:lpwstr>https://cites.org/sites/default/files/eng/cop/19/E19-CoP-Rules.pdf</vt:lpwstr>
      </vt:variant>
      <vt:variant>
        <vt:lpwstr/>
      </vt:variant>
      <vt:variant>
        <vt:i4>2556022</vt:i4>
      </vt:variant>
      <vt:variant>
        <vt:i4>6</vt:i4>
      </vt:variant>
      <vt:variant>
        <vt:i4>0</vt:i4>
      </vt:variant>
      <vt:variant>
        <vt:i4>5</vt:i4>
      </vt:variant>
      <vt:variant>
        <vt:lpwstr>https://unfccc.int/documents/193408</vt:lpwstr>
      </vt:variant>
      <vt:variant>
        <vt:lpwstr/>
      </vt:variant>
      <vt:variant>
        <vt:i4>7274538</vt:i4>
      </vt:variant>
      <vt:variant>
        <vt:i4>3</vt:i4>
      </vt:variant>
      <vt:variant>
        <vt:i4>0</vt:i4>
      </vt:variant>
      <vt:variant>
        <vt:i4>5</vt:i4>
      </vt:variant>
      <vt:variant>
        <vt:lpwstr>https://unfccc.int/sites/default/files/english_paris_agreement.pdf</vt:lpwstr>
      </vt:variant>
      <vt:variant>
        <vt:lpwstr/>
      </vt:variant>
      <vt:variant>
        <vt:i4>8192083</vt:i4>
      </vt:variant>
      <vt:variant>
        <vt:i4>0</vt:i4>
      </vt:variant>
      <vt:variant>
        <vt:i4>0</vt:i4>
      </vt:variant>
      <vt:variant>
        <vt:i4>5</vt:i4>
      </vt:variant>
      <vt:variant>
        <vt:lpwstr>https://unfccc.int/sites/default/files/resource/sbi2025_inf06.pdf</vt:lpwstr>
      </vt:variant>
      <vt:variant>
        <vt:lpwstr/>
      </vt:variant>
      <vt:variant>
        <vt:i4>5242916</vt:i4>
      </vt:variant>
      <vt:variant>
        <vt:i4>12</vt:i4>
      </vt:variant>
      <vt:variant>
        <vt:i4>0</vt:i4>
      </vt:variant>
      <vt:variant>
        <vt:i4>5</vt:i4>
      </vt:variant>
      <vt:variant>
        <vt:lpwstr>mailto:marianela.araya@un.org</vt:lpwstr>
      </vt:variant>
      <vt:variant>
        <vt:lpwstr/>
      </vt:variant>
      <vt:variant>
        <vt:i4>852078</vt:i4>
      </vt:variant>
      <vt:variant>
        <vt:i4>9</vt:i4>
      </vt:variant>
      <vt:variant>
        <vt:i4>0</vt:i4>
      </vt:variant>
      <vt:variant>
        <vt:i4>5</vt:i4>
      </vt:variant>
      <vt:variant>
        <vt:lpwstr>mailto:monica.kobayashi@un.org</vt:lpwstr>
      </vt:variant>
      <vt:variant>
        <vt:lpwstr/>
      </vt:variant>
      <vt:variant>
        <vt:i4>5242916</vt:i4>
      </vt:variant>
      <vt:variant>
        <vt:i4>6</vt:i4>
      </vt:variant>
      <vt:variant>
        <vt:i4>0</vt:i4>
      </vt:variant>
      <vt:variant>
        <vt:i4>5</vt:i4>
      </vt:variant>
      <vt:variant>
        <vt:lpwstr>mailto:marianela.araya@un.org</vt:lpwstr>
      </vt:variant>
      <vt:variant>
        <vt:lpwstr/>
      </vt:variant>
      <vt:variant>
        <vt:i4>4784160</vt:i4>
      </vt:variant>
      <vt:variant>
        <vt:i4>3</vt:i4>
      </vt:variant>
      <vt:variant>
        <vt:i4>0</vt:i4>
      </vt:variant>
      <vt:variant>
        <vt:i4>5</vt:i4>
      </vt:variant>
      <vt:variant>
        <vt:lpwstr>mailto:kathryn.garforth@un.org</vt:lpwstr>
      </vt:variant>
      <vt:variant>
        <vt:lpwstr/>
      </vt:variant>
      <vt:variant>
        <vt:i4>655482</vt:i4>
      </vt:variant>
      <vt:variant>
        <vt:i4>0</vt:i4>
      </vt:variant>
      <vt:variant>
        <vt:i4>0</vt:i4>
      </vt:variant>
      <vt:variant>
        <vt:i4>5</vt:i4>
      </vt:variant>
      <vt:variant>
        <vt:lpwstr>mailto:fumiko.nakao@un.org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Функциональный обзор секретариата</dc:title>
  <dc:subject>CBD/SBI/6/10</dc:subject>
  <dc:creator>scbd</dc:creator>
  <cp:keywords>Convention on Biological Diversity</cp:keywords>
  <cp:lastModifiedBy>Olga K</cp:lastModifiedBy>
  <cp:revision>10</cp:revision>
  <cp:lastPrinted>2025-12-15T19:17:00Z</cp:lastPrinted>
  <dcterms:created xsi:type="dcterms:W3CDTF">2025-12-30T14:46:00Z</dcterms:created>
  <dcterms:modified xsi:type="dcterms:W3CDTF">2025-12-31T15:53:00Z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