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3" w:type="dxa"/>
        <w:tblInd w:w="-284" w:type="dxa"/>
        <w:tblLayout w:type="fixed"/>
        <w:tblLook w:val="0000" w:firstRow="0" w:lastRow="0" w:firstColumn="0" w:lastColumn="0" w:noHBand="0" w:noVBand="0"/>
      </w:tblPr>
      <w:tblGrid>
        <w:gridCol w:w="975"/>
        <w:gridCol w:w="1434"/>
        <w:gridCol w:w="2544"/>
        <w:gridCol w:w="5519"/>
        <w:gridCol w:w="11"/>
      </w:tblGrid>
      <w:tr w:rsidR="00973DA7" w14:paraId="2F9E8A8A" w14:textId="77777777" w:rsidTr="00D10DD1">
        <w:trPr>
          <w:trHeight w:val="850"/>
        </w:trPr>
        <w:tc>
          <w:tcPr>
            <w:tcW w:w="975" w:type="dxa"/>
            <w:vAlign w:val="bottom"/>
          </w:tcPr>
          <w:p w14:paraId="466E31FB" w14:textId="51CE0A33" w:rsidR="00973DA7" w:rsidRDefault="00D21F41" w:rsidP="00013ACC">
            <w:pPr>
              <w:pStyle w:val="AASmallLogo"/>
              <w:rPr>
                <w:szCs w:val="24"/>
              </w:rPr>
            </w:pPr>
            <w:r>
              <w:rPr>
                <w:noProof/>
                <w:szCs w:val="24"/>
              </w:rPr>
              <w:drawing>
                <wp:inline distT="0" distB="0" distL="0" distR="0" wp14:anchorId="2F69D9A9" wp14:editId="1BCE3B84">
                  <wp:extent cx="475615" cy="40195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615" cy="401955"/>
                          </a:xfrm>
                          <a:prstGeom prst="rect">
                            <a:avLst/>
                          </a:prstGeom>
                          <a:noFill/>
                          <a:ln>
                            <a:noFill/>
                          </a:ln>
                        </pic:spPr>
                      </pic:pic>
                    </a:graphicData>
                  </a:graphic>
                </wp:inline>
              </w:drawing>
            </w:r>
            <w:r w:rsidR="00973DA7">
              <w:rPr>
                <w:szCs w:val="24"/>
              </w:rPr>
              <w:t xml:space="preserve"> </w:t>
            </w:r>
          </w:p>
          <w:p w14:paraId="0C803D48" w14:textId="77777777" w:rsidR="00973DA7" w:rsidRDefault="00973DA7" w:rsidP="00013ACC">
            <w:pPr>
              <w:pStyle w:val="AASmallLogo"/>
              <w:rPr>
                <w:szCs w:val="24"/>
              </w:rPr>
            </w:pPr>
          </w:p>
        </w:tc>
        <w:tc>
          <w:tcPr>
            <w:tcW w:w="1434" w:type="dxa"/>
            <w:noWrap/>
            <w:vAlign w:val="bottom"/>
          </w:tcPr>
          <w:p w14:paraId="2EBBB77E" w14:textId="7F49952B" w:rsidR="00973DA7" w:rsidRPr="00F314B8" w:rsidRDefault="00D21F41" w:rsidP="00D10DD1">
            <w:pPr>
              <w:tabs>
                <w:tab w:val="clear" w:pos="567"/>
                <w:tab w:val="clear" w:pos="1134"/>
                <w:tab w:val="clear" w:pos="1701"/>
                <w:tab w:val="clear" w:pos="2268"/>
              </w:tabs>
              <w:spacing w:before="60"/>
              <w:rPr>
                <w:rFonts w:ascii="SimHei" w:eastAsia="SimHei" w:hAnsi="SimHei"/>
                <w:sz w:val="24"/>
                <w:szCs w:val="20"/>
              </w:rPr>
            </w:pPr>
            <w:r w:rsidRPr="00F314B8">
              <w:rPr>
                <w:rFonts w:ascii="SimHei" w:eastAsia="SimHei" w:hAnsi="SimHei"/>
                <w:noProof/>
                <w:lang w:val="en-US"/>
              </w:rPr>
              <w:drawing>
                <wp:anchor distT="0" distB="0" distL="114300" distR="114300" simplePos="0" relativeHeight="251658240" behindDoc="0" locked="0" layoutInCell="1" allowOverlap="1" wp14:anchorId="0ACFFE1E" wp14:editId="11E7A8F6">
                  <wp:simplePos x="0" y="0"/>
                  <wp:positionH relativeFrom="column">
                    <wp:posOffset>465455</wp:posOffset>
                  </wp:positionH>
                  <wp:positionV relativeFrom="paragraph">
                    <wp:posOffset>43180</wp:posOffset>
                  </wp:positionV>
                  <wp:extent cx="180975" cy="191770"/>
                  <wp:effectExtent l="0" t="0" r="0" b="0"/>
                  <wp:wrapNone/>
                  <wp:docPr id="318692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973DA7" w:rsidRPr="00F314B8">
              <w:rPr>
                <w:rFonts w:ascii="SimHei" w:eastAsia="SimHei" w:hAnsi="SimHei" w:cs="SimSun" w:hint="eastAsia"/>
                <w:sz w:val="24"/>
                <w:szCs w:val="20"/>
              </w:rPr>
              <w:t>联合国</w:t>
            </w:r>
          </w:p>
          <w:p w14:paraId="727B296C" w14:textId="77777777" w:rsidR="00973DA7" w:rsidRDefault="00973DA7" w:rsidP="00D10DD1">
            <w:pPr>
              <w:pStyle w:val="AASmallLogo"/>
              <w:rPr>
                <w:szCs w:val="24"/>
              </w:rPr>
            </w:pPr>
            <w:r w:rsidRPr="00F314B8">
              <w:rPr>
                <w:rFonts w:ascii="SimHei" w:eastAsia="SimHei" w:hAnsi="SimHei" w:cs="SimSun" w:hint="eastAsia"/>
                <w:sz w:val="24"/>
                <w:szCs w:val="20"/>
              </w:rPr>
              <w:t>环境规划署</w:t>
            </w:r>
          </w:p>
        </w:tc>
        <w:tc>
          <w:tcPr>
            <w:tcW w:w="8073" w:type="dxa"/>
            <w:gridSpan w:val="3"/>
            <w:vAlign w:val="bottom"/>
          </w:tcPr>
          <w:p w14:paraId="79F10D77" w14:textId="77777777" w:rsidR="00973DA7" w:rsidRDefault="00973DA7" w:rsidP="00013ACC">
            <w:pPr>
              <w:pStyle w:val="ABSymbol"/>
              <w:tabs>
                <w:tab w:val="clear" w:pos="567"/>
                <w:tab w:val="clear" w:pos="1871"/>
              </w:tabs>
              <w:ind w:left="0"/>
              <w:rPr>
                <w:szCs w:val="24"/>
              </w:rPr>
            </w:pPr>
            <w:r>
              <w:rPr>
                <w:noProof/>
                <w:sz w:val="40"/>
                <w:szCs w:val="24"/>
              </w:rPr>
              <w:t>CBD</w:t>
            </w:r>
            <w:r>
              <w:rPr>
                <w:noProof/>
                <w:szCs w:val="24"/>
              </w:rPr>
              <w:t>/COP/17/4/Add.5-</w:t>
            </w:r>
            <w:r>
              <w:rPr>
                <w:noProof/>
                <w:sz w:val="40"/>
                <w:szCs w:val="24"/>
              </w:rPr>
              <w:t>CBD</w:t>
            </w:r>
            <w:r>
              <w:rPr>
                <w:noProof/>
                <w:szCs w:val="24"/>
              </w:rPr>
              <w:t>/CP/MOP/12/5/Add.2-</w:t>
            </w:r>
            <w:r>
              <w:rPr>
                <w:noProof/>
                <w:sz w:val="40"/>
                <w:szCs w:val="24"/>
              </w:rPr>
              <w:t>CBD</w:t>
            </w:r>
            <w:r>
              <w:rPr>
                <w:noProof/>
                <w:szCs w:val="24"/>
              </w:rPr>
              <w:t>/NP/MOP/6/5/Add.2</w:t>
            </w:r>
          </w:p>
        </w:tc>
      </w:tr>
      <w:tr w:rsidR="00973DA7" w:rsidRPr="00094684" w14:paraId="541A402F" w14:textId="77777777" w:rsidTr="00D10DD1">
        <w:tblPrEx>
          <w:tblLook w:val="00A0" w:firstRow="1" w:lastRow="0" w:firstColumn="1" w:lastColumn="0" w:noHBand="0" w:noVBand="0"/>
        </w:tblPrEx>
        <w:trPr>
          <w:gridAfter w:val="1"/>
          <w:wAfter w:w="11" w:type="dxa"/>
        </w:trPr>
        <w:tc>
          <w:tcPr>
            <w:tcW w:w="4953" w:type="dxa"/>
            <w:gridSpan w:val="3"/>
            <w:tcBorders>
              <w:top w:val="single" w:sz="8" w:space="0" w:color="auto"/>
              <w:bottom w:val="single" w:sz="12" w:space="0" w:color="auto"/>
            </w:tcBorders>
          </w:tcPr>
          <w:p w14:paraId="703590CB" w14:textId="6A6895E2" w:rsidR="00973DA7" w:rsidRPr="00107116" w:rsidRDefault="00D21F41" w:rsidP="00013ACC">
            <w:pPr>
              <w:suppressLineNumbers/>
              <w:tabs>
                <w:tab w:val="clear" w:pos="567"/>
                <w:tab w:val="clear" w:pos="1134"/>
                <w:tab w:val="clear" w:pos="1701"/>
                <w:tab w:val="clear" w:pos="2268"/>
              </w:tabs>
              <w:suppressAutoHyphens/>
              <w:spacing w:before="120" w:after="120"/>
              <w:jc w:val="left"/>
              <w:rPr>
                <w:sz w:val="24"/>
                <w:szCs w:val="20"/>
              </w:rPr>
            </w:pPr>
            <w:bookmarkStart w:id="0" w:name="_Hlk137044360"/>
            <w:bookmarkStart w:id="1" w:name="_Hlk137217151"/>
            <w:r>
              <w:rPr>
                <w:b/>
                <w:noProof/>
                <w:sz w:val="24"/>
                <w:szCs w:val="20"/>
              </w:rPr>
              <w:drawing>
                <wp:inline distT="0" distB="0" distL="0" distR="0" wp14:anchorId="68547094" wp14:editId="0F7DDBDE">
                  <wp:extent cx="2970530" cy="105727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0530" cy="1057275"/>
                          </a:xfrm>
                          <a:prstGeom prst="rect">
                            <a:avLst/>
                          </a:prstGeom>
                          <a:noFill/>
                          <a:ln>
                            <a:noFill/>
                          </a:ln>
                        </pic:spPr>
                      </pic:pic>
                    </a:graphicData>
                  </a:graphic>
                </wp:inline>
              </w:drawing>
            </w:r>
          </w:p>
        </w:tc>
        <w:tc>
          <w:tcPr>
            <w:tcW w:w="5519" w:type="dxa"/>
            <w:tcBorders>
              <w:top w:val="single" w:sz="8" w:space="0" w:color="auto"/>
              <w:bottom w:val="single" w:sz="12" w:space="0" w:color="auto"/>
            </w:tcBorders>
          </w:tcPr>
          <w:p w14:paraId="5200B295"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Distr.: General</w:t>
            </w:r>
          </w:p>
          <w:p w14:paraId="7FCFDB43" w14:textId="77777777" w:rsidR="00973DA7" w:rsidRPr="00107116" w:rsidRDefault="00973DA7" w:rsidP="00013ACC">
            <w:pPr>
              <w:tabs>
                <w:tab w:val="clear" w:pos="567"/>
                <w:tab w:val="clear" w:pos="1134"/>
                <w:tab w:val="clear" w:pos="1701"/>
                <w:tab w:val="clear" w:pos="2268"/>
              </w:tabs>
              <w:ind w:left="2021"/>
              <w:rPr>
                <w:sz w:val="24"/>
                <w:szCs w:val="20"/>
              </w:rPr>
            </w:pPr>
            <w:r>
              <w:rPr>
                <w:rFonts w:eastAsia="DengXian"/>
                <w:sz w:val="24"/>
                <w:szCs w:val="20"/>
              </w:rPr>
              <w:t>2 October</w:t>
            </w:r>
            <w:r w:rsidRPr="00107116">
              <w:rPr>
                <w:sz w:val="24"/>
                <w:szCs w:val="20"/>
              </w:rPr>
              <w:t xml:space="preserve"> 2026</w:t>
            </w:r>
          </w:p>
          <w:p w14:paraId="641B9113"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Chinese</w:t>
            </w:r>
          </w:p>
          <w:p w14:paraId="109969EF"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Original: English</w:t>
            </w:r>
          </w:p>
          <w:p w14:paraId="6881BC1B" w14:textId="77777777" w:rsidR="00973DA7" w:rsidRPr="00107116" w:rsidRDefault="00973DA7" w:rsidP="00013ACC">
            <w:pPr>
              <w:tabs>
                <w:tab w:val="clear" w:pos="567"/>
                <w:tab w:val="clear" w:pos="1134"/>
                <w:tab w:val="clear" w:pos="1701"/>
                <w:tab w:val="clear" w:pos="2268"/>
              </w:tabs>
              <w:rPr>
                <w:sz w:val="24"/>
                <w:szCs w:val="24"/>
              </w:rPr>
            </w:pPr>
          </w:p>
        </w:tc>
      </w:tr>
      <w:bookmarkEnd w:id="0"/>
      <w:bookmarkEnd w:id="1"/>
    </w:tbl>
    <w:p w14:paraId="0E1D25E4" w14:textId="77777777" w:rsidR="00973DA7" w:rsidRDefault="00973DA7">
      <w:pPr>
        <w:pStyle w:val="AISpacer"/>
        <w:rPr>
          <w:szCs w:val="24"/>
        </w:rPr>
      </w:pPr>
    </w:p>
    <w:p w14:paraId="0F435500" w14:textId="77777777" w:rsidR="00973DA7" w:rsidRDefault="00973DA7">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73DA7" w14:paraId="51AB2DBF" w14:textId="77777777">
        <w:trPr>
          <w:trHeight w:val="57"/>
        </w:trPr>
        <w:tc>
          <w:tcPr>
            <w:tcW w:w="6094" w:type="dxa"/>
          </w:tcPr>
          <w:tbl>
            <w:tblPr>
              <w:tblW w:w="5387" w:type="dxa"/>
              <w:tblLayout w:type="fixed"/>
              <w:tblCellMar>
                <w:left w:w="0" w:type="dxa"/>
                <w:right w:w="0" w:type="dxa"/>
              </w:tblCellMar>
              <w:tblLook w:val="00A0" w:firstRow="1" w:lastRow="0" w:firstColumn="1" w:lastColumn="0" w:noHBand="0" w:noVBand="0"/>
            </w:tblPr>
            <w:tblGrid>
              <w:gridCol w:w="5387"/>
            </w:tblGrid>
            <w:tr w:rsidR="00973DA7" w:rsidRPr="009709C1" w14:paraId="3F84329A" w14:textId="77777777" w:rsidTr="00EB05B1">
              <w:trPr>
                <w:trHeight w:val="2445"/>
              </w:trPr>
              <w:tc>
                <w:tcPr>
                  <w:tcW w:w="5387" w:type="dxa"/>
                </w:tcPr>
                <w:p w14:paraId="2520AB2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生物多样性公约缔约方大会</w:t>
                  </w:r>
                </w:p>
                <w:p w14:paraId="7153D6C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第十七届会议</w:t>
                  </w:r>
                </w:p>
                <w:p w14:paraId="38648789"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smartTag w:uri="urn:schemas-microsoft-com:office:smarttags" w:element="chsdate">
                    <w:smartTagPr>
                      <w:attr w:name="IsROCDate" w:val="False"/>
                      <w:attr w:name="IsLunarDate" w:val="False"/>
                      <w:attr w:name="Day" w:val="19"/>
                      <w:attr w:name="Month" w:val="10"/>
                      <w:attr w:name="Year" w:val="2026"/>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03B05F6D"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1"/>
                    <w:t>*</w:t>
                  </w:r>
                  <w:r w:rsidRPr="009709C1">
                    <w:rPr>
                      <w:rFonts w:hint="eastAsia"/>
                      <w:sz w:val="24"/>
                      <w:szCs w:val="24"/>
                      <w:lang w:val="zh-CN"/>
                    </w:rPr>
                    <w:t>项目</w:t>
                  </w:r>
                  <w:r w:rsidRPr="009709C1">
                    <w:rPr>
                      <w:sz w:val="24"/>
                      <w:szCs w:val="24"/>
                      <w:lang w:val="en-CA"/>
                    </w:rPr>
                    <w:t>7</w:t>
                  </w:r>
                </w:p>
                <w:p w14:paraId="2049851B" w14:textId="77777777" w:rsidR="00973DA7" w:rsidRPr="009709C1" w:rsidRDefault="00973DA7" w:rsidP="00177A41">
                  <w:pPr>
                    <w:tabs>
                      <w:tab w:val="clear" w:pos="567"/>
                      <w:tab w:val="clear" w:pos="1134"/>
                      <w:tab w:val="clear" w:pos="1701"/>
                      <w:tab w:val="clear" w:pos="2268"/>
                    </w:tabs>
                    <w:topLinePunct/>
                    <w:jc w:val="left"/>
                    <w:textAlignment w:val="baseline"/>
                    <w:rPr>
                      <w:sz w:val="24"/>
                      <w:szCs w:val="24"/>
                    </w:rPr>
                  </w:pPr>
                  <w:r w:rsidRPr="009709C1">
                    <w:rPr>
                      <w:rFonts w:hint="eastAsia"/>
                      <w:b/>
                      <w:sz w:val="24"/>
                      <w:szCs w:val="24"/>
                      <w:lang w:val="zh-CN"/>
                    </w:rPr>
                    <w:t>《生物多样性公约》的行政管理、信托基金预算和对秘书处的职能审查</w:t>
                  </w:r>
                </w:p>
              </w:tc>
            </w:tr>
            <w:tr w:rsidR="00973DA7" w:rsidRPr="009709C1" w14:paraId="02039611" w14:textId="77777777" w:rsidTr="00EB05B1">
              <w:trPr>
                <w:trHeight w:val="2445"/>
              </w:trPr>
              <w:tc>
                <w:tcPr>
                  <w:tcW w:w="5387" w:type="dxa"/>
                </w:tcPr>
                <w:p w14:paraId="4D9616F6"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作为关于获取遗传资源和公正和公平分享其利用所产生惠益的名古屋议定书缔约方会议的生物多样性公约缔约方大会</w:t>
                  </w:r>
                </w:p>
                <w:p w14:paraId="11FBAD1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第六次会议</w:t>
                  </w:r>
                </w:p>
                <w:p w14:paraId="7F2D11E4"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smartTag w:uri="urn:schemas-microsoft-com:office:smarttags" w:element="chsdate">
                    <w:smartTagPr>
                      <w:attr w:name="IsROCDate" w:val="False"/>
                      <w:attr w:name="IsLunarDate" w:val="False"/>
                      <w:attr w:name="Day" w:val="19"/>
                      <w:attr w:name="Month" w:val="10"/>
                      <w:attr w:name="Year" w:val="2026"/>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7F14484B"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2"/>
                    <w:t>***</w:t>
                  </w:r>
                  <w:r w:rsidRPr="009709C1">
                    <w:rPr>
                      <w:rFonts w:hint="eastAsia"/>
                      <w:sz w:val="24"/>
                      <w:szCs w:val="24"/>
                      <w:lang w:val="zh-CN"/>
                    </w:rPr>
                    <w:t>项目</w:t>
                  </w:r>
                  <w:r w:rsidRPr="009709C1">
                    <w:rPr>
                      <w:sz w:val="24"/>
                      <w:szCs w:val="24"/>
                      <w:lang w:val="en-CA"/>
                    </w:rPr>
                    <w:t>6</w:t>
                  </w:r>
                </w:p>
                <w:p w14:paraId="482657D0" w14:textId="77777777" w:rsidR="00973DA7" w:rsidRPr="009709C1" w:rsidRDefault="00973DA7" w:rsidP="00177A41">
                  <w:pPr>
                    <w:tabs>
                      <w:tab w:val="clear" w:pos="567"/>
                      <w:tab w:val="clear" w:pos="1134"/>
                      <w:tab w:val="clear" w:pos="1701"/>
                      <w:tab w:val="clear" w:pos="2268"/>
                    </w:tabs>
                    <w:topLinePunct/>
                    <w:jc w:val="left"/>
                    <w:textAlignment w:val="baseline"/>
                    <w:rPr>
                      <w:sz w:val="24"/>
                      <w:szCs w:val="24"/>
                    </w:rPr>
                  </w:pPr>
                  <w:r w:rsidRPr="009709C1">
                    <w:rPr>
                      <w:rFonts w:hint="eastAsia"/>
                      <w:b/>
                      <w:sz w:val="24"/>
                      <w:szCs w:val="24"/>
                      <w:lang w:val="zh-CN"/>
                    </w:rPr>
                    <w:t>《名古屋议定书》的行政管理和信托基金预算</w:t>
                  </w:r>
                </w:p>
              </w:tc>
            </w:tr>
          </w:tbl>
          <w:p w14:paraId="5EA0B2EF" w14:textId="77777777" w:rsidR="00973DA7" w:rsidRPr="009709C1" w:rsidRDefault="00973DA7" w:rsidP="00177A41">
            <w:pPr>
              <w:pStyle w:val="AFCorNBold"/>
              <w:topLinePunct/>
              <w:rPr>
                <w:sz w:val="24"/>
                <w:szCs w:val="24"/>
              </w:rPr>
            </w:pPr>
          </w:p>
        </w:tc>
        <w:tc>
          <w:tcPr>
            <w:tcW w:w="4388" w:type="dxa"/>
          </w:tcPr>
          <w:p w14:paraId="55FD73D6" w14:textId="77777777" w:rsidR="00973DA7" w:rsidRPr="009709C1" w:rsidRDefault="00973DA7" w:rsidP="00177A41">
            <w:pPr>
              <w:pStyle w:val="CBDNormal"/>
              <w:topLinePunct/>
              <w:ind w:left="-139"/>
              <w:jc w:val="left"/>
              <w:rPr>
                <w:b/>
                <w:sz w:val="24"/>
                <w:szCs w:val="24"/>
                <w:lang w:val="en-CA"/>
              </w:rPr>
            </w:pPr>
            <w:r w:rsidRPr="009709C1">
              <w:rPr>
                <w:rFonts w:hint="eastAsia"/>
                <w:b/>
                <w:sz w:val="24"/>
                <w:szCs w:val="24"/>
                <w:lang w:val="zh-CN"/>
              </w:rPr>
              <w:t>作为卡塔赫纳生物安全议定书缔约方会议的生物多样性公约缔约方大会</w:t>
            </w:r>
          </w:p>
          <w:p w14:paraId="7751B0A1" w14:textId="77777777" w:rsidR="00973DA7" w:rsidRPr="009709C1" w:rsidRDefault="00973DA7" w:rsidP="00177A41">
            <w:pPr>
              <w:pStyle w:val="CBDNormal"/>
              <w:topLinePunct/>
              <w:ind w:left="-139"/>
              <w:rPr>
                <w:b/>
                <w:sz w:val="24"/>
                <w:szCs w:val="24"/>
                <w:lang w:val="en-CA"/>
              </w:rPr>
            </w:pPr>
            <w:r w:rsidRPr="009709C1">
              <w:rPr>
                <w:rFonts w:hint="eastAsia"/>
                <w:b/>
                <w:sz w:val="24"/>
                <w:szCs w:val="24"/>
                <w:lang w:val="zh-CN"/>
              </w:rPr>
              <w:t>第十二次会议</w:t>
            </w:r>
          </w:p>
          <w:p w14:paraId="13F2132B" w14:textId="77777777" w:rsidR="00973DA7" w:rsidRPr="009709C1" w:rsidRDefault="00973DA7" w:rsidP="00177A41">
            <w:pPr>
              <w:pStyle w:val="CBDNormal"/>
              <w:topLinePunct/>
              <w:ind w:left="-139"/>
              <w:rPr>
                <w:sz w:val="24"/>
                <w:szCs w:val="24"/>
                <w:lang w:val="en-CA"/>
              </w:rPr>
            </w:pPr>
            <w:smartTag w:uri="urn:schemas-microsoft-com:office:smarttags" w:element="chsdate">
              <w:smartTagPr>
                <w:attr w:name="IsROCDate" w:val="False"/>
                <w:attr w:name="IsLunarDate" w:val="False"/>
                <w:attr w:name="Day" w:val="19"/>
                <w:attr w:name="Month" w:val="10"/>
                <w:attr w:name="Year" w:val="2026"/>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48D603B4" w14:textId="77777777" w:rsidR="00973DA7" w:rsidRPr="009709C1" w:rsidRDefault="00973DA7" w:rsidP="00177A41">
            <w:pPr>
              <w:pStyle w:val="CBDNormal"/>
              <w:topLinePunct/>
              <w:ind w:left="-139"/>
              <w:rPr>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3"/>
              <w:t>**</w:t>
            </w:r>
            <w:r w:rsidRPr="009709C1">
              <w:rPr>
                <w:rFonts w:hint="eastAsia"/>
                <w:sz w:val="24"/>
                <w:szCs w:val="24"/>
                <w:lang w:val="zh-CN"/>
              </w:rPr>
              <w:t>项目</w:t>
            </w:r>
            <w:r w:rsidRPr="009709C1">
              <w:rPr>
                <w:sz w:val="24"/>
                <w:szCs w:val="24"/>
                <w:lang w:val="en-CA"/>
              </w:rPr>
              <w:t>6</w:t>
            </w:r>
          </w:p>
          <w:p w14:paraId="5558FB3D" w14:textId="77777777" w:rsidR="00973DA7" w:rsidRPr="009709C1" w:rsidRDefault="00973DA7" w:rsidP="00177A41">
            <w:pPr>
              <w:pStyle w:val="CBDNormal"/>
              <w:topLinePunct/>
              <w:ind w:left="-139"/>
              <w:jc w:val="left"/>
              <w:rPr>
                <w:b/>
                <w:sz w:val="24"/>
                <w:szCs w:val="24"/>
              </w:rPr>
            </w:pPr>
            <w:r w:rsidRPr="009709C1">
              <w:rPr>
                <w:rFonts w:hint="eastAsia"/>
                <w:b/>
                <w:sz w:val="24"/>
                <w:szCs w:val="24"/>
                <w:lang w:val="zh-CN"/>
              </w:rPr>
              <w:t>《卡塔赫纳议定书》的行政管理和信托基金预算</w:t>
            </w:r>
          </w:p>
        </w:tc>
      </w:tr>
    </w:tbl>
    <w:p w14:paraId="2F06E961" w14:textId="77777777" w:rsidR="00973DA7" w:rsidRPr="009709C1" w:rsidRDefault="00973DA7">
      <w:pPr>
        <w:pStyle w:val="CBDTitle"/>
        <w:rPr>
          <w:caps/>
          <w:szCs w:val="24"/>
        </w:rPr>
      </w:pPr>
      <w:r w:rsidRPr="009709C1">
        <w:rPr>
          <w:rFonts w:hAnsi="SimSun" w:hint="eastAsia"/>
          <w:szCs w:val="24"/>
          <w:u w:color="000000"/>
          <w:lang w:val="zh-CN"/>
        </w:rPr>
        <w:t>关于行政和预算事项的补充信息</w:t>
      </w:r>
      <w:r w:rsidRPr="009709C1">
        <w:rPr>
          <w:rStyle w:val="FootnoteReference"/>
          <w:color w:val="000000"/>
          <w:szCs w:val="28"/>
          <w:u w:color="000000"/>
        </w:rPr>
        <w:footnoteReference w:customMarkFollows="1" w:id="4"/>
        <w:sym w:font="Symbol" w:char="F02A"/>
      </w:r>
      <w:r w:rsidRPr="009709C1">
        <w:rPr>
          <w:rStyle w:val="FootnoteReference"/>
          <w:color w:val="000000"/>
          <w:szCs w:val="28"/>
          <w:u w:color="000000"/>
        </w:rPr>
        <w:sym w:font="Symbol" w:char="F02A"/>
      </w:r>
      <w:r w:rsidRPr="009709C1">
        <w:rPr>
          <w:rStyle w:val="FootnoteReference"/>
          <w:color w:val="000000"/>
          <w:szCs w:val="28"/>
          <w:u w:color="000000"/>
        </w:rPr>
        <w:sym w:font="Symbol" w:char="F02A"/>
      </w:r>
      <w:r w:rsidRPr="009709C1">
        <w:rPr>
          <w:rStyle w:val="FootnoteReference"/>
          <w:color w:val="000000"/>
          <w:szCs w:val="28"/>
          <w:u w:color="000000"/>
        </w:rPr>
        <w:sym w:font="Symbol" w:char="F02A"/>
      </w:r>
      <w:r w:rsidRPr="009709C1">
        <w:rPr>
          <w:caps/>
          <w:szCs w:val="24"/>
        </w:rPr>
        <w:t xml:space="preserve"> </w:t>
      </w:r>
    </w:p>
    <w:p w14:paraId="373404C8" w14:textId="77777777" w:rsidR="00973DA7" w:rsidRPr="009709C1" w:rsidRDefault="00973DA7">
      <w:pPr>
        <w:pStyle w:val="CBDSubTitle"/>
        <w:rPr>
          <w:sz w:val="24"/>
          <w:szCs w:val="24"/>
        </w:rPr>
      </w:pPr>
      <w:r w:rsidRPr="009709C1">
        <w:rPr>
          <w:rFonts w:hint="eastAsia"/>
          <w:sz w:val="24"/>
          <w:szCs w:val="24"/>
          <w:lang w:val="zh-CN"/>
        </w:rPr>
        <w:t>秘书处的说明</w:t>
      </w:r>
    </w:p>
    <w:p w14:paraId="61A83EA0" w14:textId="77777777" w:rsidR="00973DA7" w:rsidRPr="009709C1" w:rsidRDefault="00973DA7">
      <w:pPr>
        <w:pStyle w:val="CBDH1"/>
        <w:rPr>
          <w:szCs w:val="24"/>
        </w:rPr>
      </w:pPr>
      <w:r w:rsidRPr="009709C1">
        <w:rPr>
          <w:rFonts w:hint="eastAsia"/>
          <w:szCs w:val="24"/>
          <w:lang w:val="zh-CN"/>
        </w:rPr>
        <w:t>一</w:t>
      </w:r>
      <w:r w:rsidRPr="009709C1">
        <w:rPr>
          <w:szCs w:val="24"/>
          <w:lang w:val="zh-CN"/>
        </w:rPr>
        <w:t>.</w:t>
      </w:r>
      <w:r w:rsidRPr="009709C1">
        <w:rPr>
          <w:szCs w:val="24"/>
        </w:rPr>
        <w:tab/>
      </w:r>
      <w:r w:rsidRPr="009709C1">
        <w:rPr>
          <w:rFonts w:hint="eastAsia"/>
          <w:szCs w:val="24"/>
          <w:lang w:val="zh-CN"/>
        </w:rPr>
        <w:t>导言</w:t>
      </w:r>
    </w:p>
    <w:p w14:paraId="0E777564" w14:textId="77777777" w:rsidR="00973DA7" w:rsidRPr="009709C1" w:rsidRDefault="00973DA7" w:rsidP="007E7892">
      <w:pPr>
        <w:pStyle w:val="CBDNormalNumber"/>
        <w:numPr>
          <w:ilvl w:val="0"/>
          <w:numId w:val="8"/>
        </w:numPr>
        <w:rPr>
          <w:sz w:val="24"/>
          <w:szCs w:val="24"/>
        </w:rPr>
      </w:pPr>
      <w:r w:rsidRPr="009709C1">
        <w:rPr>
          <w:rFonts w:hint="eastAsia"/>
          <w:sz w:val="24"/>
          <w:szCs w:val="24"/>
          <w:lang w:val="zh-CN"/>
        </w:rPr>
        <w:t>《生物多样性公约》及其议定书</w:t>
      </w:r>
      <w:r w:rsidRPr="009709C1">
        <w:rPr>
          <w:sz w:val="24"/>
          <w:szCs w:val="24"/>
        </w:rPr>
        <w:t>2027–2028</w:t>
      </w:r>
      <w:r w:rsidRPr="009709C1">
        <w:rPr>
          <w:rFonts w:hint="eastAsia"/>
          <w:sz w:val="24"/>
          <w:szCs w:val="24"/>
          <w:lang w:val="zh-CN"/>
        </w:rPr>
        <w:t>两年期工作方案的拟议预算已在执行问题附属机构第七次会议议程项目</w:t>
      </w:r>
      <w:r w:rsidRPr="009709C1">
        <w:rPr>
          <w:sz w:val="24"/>
          <w:szCs w:val="24"/>
        </w:rPr>
        <w:t>14</w:t>
      </w:r>
      <w:r w:rsidRPr="009709C1">
        <w:rPr>
          <w:rFonts w:hint="eastAsia"/>
          <w:sz w:val="24"/>
          <w:szCs w:val="24"/>
          <w:lang w:val="zh-CN"/>
        </w:rPr>
        <w:t>下提交</w:t>
      </w:r>
      <w:r w:rsidRPr="009709C1">
        <w:rPr>
          <w:rFonts w:hint="eastAsia"/>
          <w:sz w:val="24"/>
          <w:szCs w:val="24"/>
        </w:rPr>
        <w:t>，</w:t>
      </w:r>
      <w:r w:rsidRPr="009709C1">
        <w:rPr>
          <w:rFonts w:hint="eastAsia"/>
          <w:sz w:val="24"/>
          <w:szCs w:val="24"/>
          <w:lang w:val="zh-CN"/>
        </w:rPr>
        <w:t>以供参考。在进行一读后，主席召开了一次非正式磋商会议。本文件针对附属机构讨论期间提出的问题，就行政和预算事项提供了进一步解释和说明。本文件是对</w:t>
      </w:r>
      <w:r>
        <w:fldChar w:fldCharType="begin"/>
      </w:r>
      <w:r>
        <w:instrText>HYPERLINK "https://www.cbd.int/documents/CBD/COP/17/3"</w:instrText>
      </w:r>
      <w:r>
        <w:fldChar w:fldCharType="separate"/>
      </w:r>
      <w:r w:rsidRPr="009709C1">
        <w:rPr>
          <w:rStyle w:val="Hyperlink"/>
          <w:sz w:val="24"/>
          <w:szCs w:val="24"/>
          <w:lang w:val="zh-CN"/>
        </w:rPr>
        <w:t>CBD/COP/17/3</w:t>
      </w:r>
      <w:r>
        <w:fldChar w:fldCharType="end"/>
      </w:r>
      <w:r w:rsidRPr="009709C1">
        <w:rPr>
          <w:sz w:val="24"/>
          <w:szCs w:val="24"/>
          <w:lang w:val="zh-CN"/>
        </w:rPr>
        <w:t>-</w:t>
      </w:r>
      <w:hyperlink r:id="rId13" w:history="1">
        <w:r w:rsidRPr="009709C1">
          <w:rPr>
            <w:rStyle w:val="Hyperlink"/>
            <w:sz w:val="24"/>
            <w:szCs w:val="24"/>
            <w:lang w:val="zh-CN"/>
          </w:rPr>
          <w:t>CBD/CP/MOP/12/4</w:t>
        </w:r>
      </w:hyperlink>
      <w:r w:rsidRPr="009709C1">
        <w:rPr>
          <w:sz w:val="24"/>
          <w:szCs w:val="24"/>
          <w:lang w:val="zh-CN"/>
        </w:rPr>
        <w:t>-</w:t>
      </w:r>
      <w:hyperlink r:id="rId14" w:history="1">
        <w:r w:rsidRPr="009709C1">
          <w:rPr>
            <w:rStyle w:val="Hyperlink"/>
            <w:sz w:val="24"/>
            <w:szCs w:val="24"/>
            <w:lang w:val="zh-CN"/>
          </w:rPr>
          <w:t>CBD/NP/MOP/6/4</w:t>
        </w:r>
      </w:hyperlink>
      <w:r w:rsidRPr="009709C1">
        <w:rPr>
          <w:rFonts w:hint="eastAsia"/>
          <w:sz w:val="24"/>
          <w:szCs w:val="24"/>
          <w:lang w:val="zh-CN"/>
        </w:rPr>
        <w:t>号文件和对</w:t>
      </w:r>
      <w:hyperlink r:id="rId15" w:history="1">
        <w:r w:rsidRPr="009709C1">
          <w:rPr>
            <w:rStyle w:val="Hyperlink"/>
            <w:sz w:val="24"/>
            <w:szCs w:val="24"/>
            <w:lang w:val="zh-CN"/>
          </w:rPr>
          <w:t>CBD/COP/17/4</w:t>
        </w:r>
      </w:hyperlink>
      <w:r w:rsidRPr="009709C1">
        <w:rPr>
          <w:sz w:val="24"/>
          <w:szCs w:val="24"/>
          <w:lang w:val="zh-CN"/>
        </w:rPr>
        <w:t>-</w:t>
      </w:r>
      <w:hyperlink r:id="rId16" w:history="1">
        <w:r w:rsidRPr="009709C1">
          <w:rPr>
            <w:rStyle w:val="Hyperlink"/>
            <w:sz w:val="24"/>
            <w:szCs w:val="24"/>
            <w:lang w:val="zh-CN"/>
          </w:rPr>
          <w:t>CBD/CP/MOP/12/5</w:t>
        </w:r>
      </w:hyperlink>
      <w:r w:rsidRPr="009709C1">
        <w:rPr>
          <w:sz w:val="24"/>
          <w:szCs w:val="24"/>
          <w:lang w:val="zh-CN"/>
        </w:rPr>
        <w:t>-</w:t>
      </w:r>
      <w:hyperlink r:id="rId17" w:history="1">
        <w:r w:rsidRPr="009709C1">
          <w:rPr>
            <w:rStyle w:val="Hyperlink"/>
            <w:sz w:val="24"/>
            <w:szCs w:val="24"/>
            <w:lang w:val="zh-CN"/>
          </w:rPr>
          <w:t>CBD/NP/MOP/6/5</w:t>
        </w:r>
      </w:hyperlink>
      <w:r w:rsidRPr="009709C1">
        <w:rPr>
          <w:rFonts w:hint="eastAsia"/>
          <w:sz w:val="24"/>
          <w:szCs w:val="24"/>
          <w:lang w:val="zh-CN"/>
        </w:rPr>
        <w:t>号文件的补充。</w:t>
      </w:r>
      <w:r w:rsidRPr="009709C1">
        <w:rPr>
          <w:sz w:val="24"/>
          <w:szCs w:val="24"/>
        </w:rPr>
        <w:t xml:space="preserve"> </w:t>
      </w:r>
    </w:p>
    <w:p w14:paraId="17DF3B12" w14:textId="77777777" w:rsidR="00973DA7" w:rsidRPr="009709C1" w:rsidRDefault="00973DA7" w:rsidP="007E7892">
      <w:pPr>
        <w:pStyle w:val="CBDNormalNumber"/>
        <w:numPr>
          <w:ilvl w:val="0"/>
          <w:numId w:val="8"/>
        </w:numPr>
        <w:rPr>
          <w:sz w:val="24"/>
          <w:szCs w:val="24"/>
        </w:rPr>
      </w:pPr>
      <w:r w:rsidRPr="009709C1">
        <w:rPr>
          <w:rFonts w:hint="eastAsia"/>
          <w:sz w:val="24"/>
          <w:szCs w:val="24"/>
          <w:lang w:val="zh-CN"/>
        </w:rPr>
        <w:t>本文件包含三个主要部分：</w:t>
      </w:r>
    </w:p>
    <w:p w14:paraId="69E9EECA" w14:textId="77777777" w:rsidR="00973DA7" w:rsidRPr="009709C1" w:rsidRDefault="00973DA7" w:rsidP="007E7892">
      <w:pPr>
        <w:pStyle w:val="CBDNormalNumber"/>
        <w:numPr>
          <w:ilvl w:val="1"/>
          <w:numId w:val="8"/>
        </w:numPr>
        <w:ind w:left="1560" w:hanging="400"/>
        <w:rPr>
          <w:sz w:val="24"/>
          <w:szCs w:val="24"/>
        </w:rPr>
      </w:pPr>
      <w:r w:rsidRPr="009709C1">
        <w:rPr>
          <w:rFonts w:hint="eastAsia"/>
          <w:sz w:val="24"/>
          <w:szCs w:val="24"/>
          <w:lang w:val="zh-CN"/>
        </w:rPr>
        <w:lastRenderedPageBreak/>
        <w:t>行政和预算事项概述；</w:t>
      </w:r>
    </w:p>
    <w:p w14:paraId="4E7A9FA3" w14:textId="77777777" w:rsidR="00973DA7" w:rsidRPr="009709C1" w:rsidRDefault="00973DA7" w:rsidP="007E7892">
      <w:pPr>
        <w:pStyle w:val="CBDNormalNumber"/>
        <w:numPr>
          <w:ilvl w:val="1"/>
          <w:numId w:val="8"/>
        </w:numPr>
        <w:ind w:left="1560" w:hanging="400"/>
        <w:rPr>
          <w:sz w:val="24"/>
          <w:szCs w:val="24"/>
        </w:rPr>
      </w:pPr>
      <w:r w:rsidRPr="009709C1">
        <w:rPr>
          <w:rFonts w:hint="eastAsia"/>
          <w:sz w:val="24"/>
          <w:szCs w:val="24"/>
          <w:lang w:val="zh-CN"/>
        </w:rPr>
        <w:t>与秘书处工作相关的其他行政和预算事项</w:t>
      </w:r>
      <w:r w:rsidRPr="009709C1">
        <w:rPr>
          <w:rFonts w:hint="eastAsia"/>
          <w:sz w:val="24"/>
          <w:szCs w:val="24"/>
        </w:rPr>
        <w:t>；</w:t>
      </w:r>
    </w:p>
    <w:p w14:paraId="514B0B67" w14:textId="77777777" w:rsidR="00973DA7" w:rsidRPr="009709C1" w:rsidRDefault="00973DA7" w:rsidP="007E7892">
      <w:pPr>
        <w:pStyle w:val="CBDNormalNumber"/>
        <w:numPr>
          <w:ilvl w:val="1"/>
          <w:numId w:val="8"/>
        </w:numPr>
        <w:ind w:left="1560" w:hanging="400"/>
        <w:rPr>
          <w:sz w:val="24"/>
          <w:szCs w:val="24"/>
        </w:rPr>
      </w:pPr>
      <w:r w:rsidRPr="009709C1">
        <w:rPr>
          <w:rFonts w:hint="eastAsia"/>
          <w:sz w:val="24"/>
          <w:szCs w:val="24"/>
          <w:lang w:val="zh-CN"/>
        </w:rPr>
        <w:t>与组织和支持参加政府间会议相关的其他行政和预算事项。</w:t>
      </w:r>
      <w:r w:rsidRPr="009709C1">
        <w:rPr>
          <w:sz w:val="24"/>
          <w:szCs w:val="24"/>
        </w:rPr>
        <w:t xml:space="preserve"> </w:t>
      </w:r>
    </w:p>
    <w:p w14:paraId="47014A6E" w14:textId="77777777" w:rsidR="00973DA7" w:rsidRPr="009709C1" w:rsidRDefault="00973DA7">
      <w:pPr>
        <w:pStyle w:val="CBDH1"/>
        <w:topLinePunct/>
        <w:rPr>
          <w:sz w:val="24"/>
          <w:szCs w:val="24"/>
        </w:rPr>
      </w:pPr>
      <w:r w:rsidRPr="009709C1">
        <w:rPr>
          <w:rFonts w:hint="eastAsia"/>
          <w:sz w:val="24"/>
          <w:szCs w:val="24"/>
          <w:lang w:val="zh-CN"/>
        </w:rPr>
        <w:t>二</w:t>
      </w:r>
      <w:r w:rsidRPr="009709C1">
        <w:rPr>
          <w:rFonts w:hint="eastAsia"/>
          <w:sz w:val="24"/>
          <w:szCs w:val="24"/>
        </w:rPr>
        <w:t>．</w:t>
      </w:r>
      <w:r w:rsidRPr="009709C1">
        <w:rPr>
          <w:sz w:val="24"/>
          <w:szCs w:val="24"/>
        </w:rPr>
        <w:tab/>
      </w:r>
      <w:r w:rsidRPr="009709C1">
        <w:rPr>
          <w:rFonts w:hint="eastAsia"/>
          <w:sz w:val="24"/>
          <w:szCs w:val="24"/>
          <w:lang w:val="zh-CN"/>
        </w:rPr>
        <w:t>概述</w:t>
      </w:r>
    </w:p>
    <w:p w14:paraId="179139E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《生物多样性公约》及其议定书</w:t>
      </w:r>
      <w:r w:rsidRPr="009709C1">
        <w:rPr>
          <w:sz w:val="24"/>
          <w:szCs w:val="24"/>
        </w:rPr>
        <w:t>2027–2028</w:t>
      </w:r>
      <w:r w:rsidRPr="009709C1">
        <w:rPr>
          <w:rFonts w:hint="eastAsia"/>
          <w:sz w:val="24"/>
          <w:szCs w:val="24"/>
          <w:lang w:val="zh-CN"/>
        </w:rPr>
        <w:t>两年期工作方案的拟议预算载于</w:t>
      </w:r>
      <w:hyperlink r:id="rId18" w:history="1">
        <w:r w:rsidRPr="009709C1">
          <w:rPr>
            <w:rStyle w:val="Hyperlink"/>
            <w:sz w:val="24"/>
            <w:szCs w:val="24"/>
          </w:rPr>
          <w:t>CBD/COP/17/4</w:t>
        </w:r>
      </w:hyperlink>
      <w:r w:rsidRPr="009709C1">
        <w:rPr>
          <w:sz w:val="24"/>
          <w:szCs w:val="24"/>
        </w:rPr>
        <w:t>-</w:t>
      </w:r>
      <w:hyperlink r:id="rId19" w:history="1">
        <w:r w:rsidRPr="009709C1">
          <w:rPr>
            <w:rStyle w:val="Hyperlink"/>
            <w:sz w:val="24"/>
            <w:szCs w:val="24"/>
          </w:rPr>
          <w:t>CBD/CP/MOP/12/5</w:t>
        </w:r>
      </w:hyperlink>
      <w:r w:rsidRPr="009709C1">
        <w:rPr>
          <w:sz w:val="24"/>
          <w:szCs w:val="24"/>
        </w:rPr>
        <w:t>-</w:t>
      </w:r>
      <w:hyperlink r:id="rId20" w:history="1">
        <w:r w:rsidRPr="009709C1">
          <w:rPr>
            <w:rStyle w:val="Hyperlink"/>
            <w:sz w:val="24"/>
            <w:szCs w:val="24"/>
          </w:rPr>
          <w:t>CBD/NP/MOP/6/5</w:t>
        </w:r>
      </w:hyperlink>
      <w:r w:rsidRPr="009709C1">
        <w:rPr>
          <w:rFonts w:hint="eastAsia"/>
          <w:sz w:val="24"/>
          <w:szCs w:val="24"/>
          <w:lang w:val="zh-CN"/>
        </w:rPr>
        <w:t>号文件。该文件提出两类预算</w:t>
      </w:r>
      <w:r w:rsidRPr="009709C1">
        <w:rPr>
          <w:rFonts w:hint="eastAsia"/>
          <w:sz w:val="24"/>
          <w:szCs w:val="24"/>
          <w:lang w:val="en-US"/>
        </w:rPr>
        <w:t>：</w:t>
      </w:r>
      <w:r w:rsidRPr="009709C1">
        <w:rPr>
          <w:rFonts w:hint="eastAsia"/>
          <w:sz w:val="24"/>
          <w:szCs w:val="24"/>
          <w:lang w:val="zh-CN"/>
        </w:rPr>
        <w:t>核心预算和自愿捐款</w:t>
      </w:r>
      <w:r w:rsidRPr="009709C1">
        <w:rPr>
          <w:rFonts w:hint="eastAsia"/>
          <w:sz w:val="24"/>
          <w:szCs w:val="24"/>
          <w:lang w:val="en-US"/>
        </w:rPr>
        <w:t>（</w:t>
      </w:r>
      <w:r w:rsidRPr="009709C1">
        <w:rPr>
          <w:rFonts w:hint="eastAsia"/>
          <w:sz w:val="24"/>
          <w:szCs w:val="24"/>
          <w:lang w:val="zh-CN"/>
        </w:rPr>
        <w:t>列于</w:t>
      </w:r>
      <w:hyperlink r:id="rId21" w:history="1">
        <w:r w:rsidRPr="009709C1">
          <w:rPr>
            <w:rStyle w:val="Hyperlink"/>
            <w:sz w:val="24"/>
            <w:szCs w:val="24"/>
            <w:lang w:val="en-US"/>
          </w:rPr>
          <w:t>CBD/COP/17/4</w:t>
        </w:r>
      </w:hyperlink>
      <w:r w:rsidRPr="009709C1">
        <w:rPr>
          <w:sz w:val="24"/>
          <w:szCs w:val="24"/>
          <w:lang w:val="en-US"/>
        </w:rPr>
        <w:t>-</w:t>
      </w:r>
      <w:hyperlink r:id="rId22" w:history="1">
        <w:r w:rsidRPr="009709C1">
          <w:rPr>
            <w:rStyle w:val="Hyperlink"/>
            <w:sz w:val="24"/>
            <w:szCs w:val="24"/>
            <w:lang w:val="en-US"/>
          </w:rPr>
          <w:t>CBD/CP/MOP/12/5</w:t>
        </w:r>
      </w:hyperlink>
      <w:r w:rsidRPr="009709C1">
        <w:rPr>
          <w:sz w:val="24"/>
          <w:szCs w:val="24"/>
          <w:lang w:val="en-US"/>
        </w:rPr>
        <w:t>-</w:t>
      </w:r>
      <w:hyperlink r:id="rId23" w:history="1">
        <w:r w:rsidRPr="009709C1">
          <w:rPr>
            <w:rStyle w:val="Hyperlink"/>
            <w:sz w:val="24"/>
            <w:szCs w:val="24"/>
            <w:lang w:val="en-US"/>
          </w:rPr>
          <w:t>CBD/NP/MOP/6/5</w:t>
        </w:r>
      </w:hyperlink>
      <w:r w:rsidRPr="009709C1">
        <w:rPr>
          <w:rFonts w:hint="eastAsia"/>
          <w:sz w:val="24"/>
          <w:szCs w:val="24"/>
          <w:lang w:val="zh-CN"/>
        </w:rPr>
        <w:t>号文件</w:t>
      </w:r>
      <w:r w:rsidRPr="009709C1">
        <w:rPr>
          <w:sz w:val="24"/>
          <w:szCs w:val="24"/>
          <w:lang w:val="en-US"/>
        </w:rPr>
        <w:t>“</w:t>
      </w:r>
      <w:r w:rsidRPr="009709C1">
        <w:rPr>
          <w:rFonts w:hint="eastAsia"/>
          <w:sz w:val="24"/>
          <w:szCs w:val="24"/>
          <w:lang w:val="zh-CN"/>
        </w:rPr>
        <w:t>预算外资源</w:t>
      </w:r>
      <w:r w:rsidRPr="009709C1">
        <w:rPr>
          <w:sz w:val="24"/>
          <w:szCs w:val="24"/>
          <w:lang w:val="en-US"/>
        </w:rPr>
        <w:t>”</w:t>
      </w:r>
      <w:r w:rsidRPr="009709C1">
        <w:rPr>
          <w:rFonts w:hint="eastAsia"/>
          <w:sz w:val="24"/>
          <w:szCs w:val="24"/>
          <w:lang w:val="zh-CN"/>
        </w:rPr>
        <w:t>标题下</w:t>
      </w:r>
      <w:r w:rsidRPr="009709C1">
        <w:rPr>
          <w:rFonts w:hint="eastAsia"/>
          <w:sz w:val="24"/>
          <w:szCs w:val="24"/>
          <w:lang w:val="en-US"/>
        </w:rPr>
        <w:t>）</w:t>
      </w:r>
      <w:r w:rsidRPr="009709C1">
        <w:rPr>
          <w:rFonts w:hint="eastAsia"/>
          <w:sz w:val="24"/>
          <w:szCs w:val="24"/>
          <w:lang w:val="zh-CN"/>
        </w:rPr>
        <w:t>。除间接费用信托基金外</w:t>
      </w:r>
      <w:r w:rsidRPr="009709C1">
        <w:rPr>
          <w:rFonts w:hint="eastAsia"/>
          <w:sz w:val="24"/>
          <w:szCs w:val="24"/>
          <w:lang w:val="en-US"/>
        </w:rPr>
        <w:t>，</w:t>
      </w:r>
      <w:r w:rsidRPr="009709C1">
        <w:rPr>
          <w:rFonts w:hint="eastAsia"/>
          <w:sz w:val="24"/>
          <w:szCs w:val="24"/>
          <w:lang w:val="zh-CN"/>
        </w:rPr>
        <w:t>秘书处的所有信托基金均归入核心预算或预算外资源类别。间接费用信托基金包含方案支助费用</w:t>
      </w:r>
      <w:r w:rsidRPr="009709C1">
        <w:rPr>
          <w:rFonts w:hint="eastAsia"/>
          <w:sz w:val="24"/>
          <w:szCs w:val="24"/>
          <w:lang w:val="en-US"/>
        </w:rPr>
        <w:t>，</w:t>
      </w:r>
      <w:r w:rsidRPr="009709C1">
        <w:rPr>
          <w:rFonts w:hint="eastAsia"/>
          <w:sz w:val="24"/>
          <w:szCs w:val="24"/>
          <w:lang w:val="zh-CN"/>
        </w:rPr>
        <w:t>即对所有核心资源和预算外资源收取一定比例的费用</w:t>
      </w:r>
      <w:r w:rsidRPr="009709C1">
        <w:rPr>
          <w:rFonts w:hint="eastAsia"/>
          <w:sz w:val="24"/>
          <w:szCs w:val="24"/>
          <w:lang w:val="en-US"/>
        </w:rPr>
        <w:t>（</w:t>
      </w:r>
      <w:r w:rsidRPr="009709C1">
        <w:rPr>
          <w:rFonts w:hint="eastAsia"/>
          <w:sz w:val="24"/>
          <w:szCs w:val="24"/>
          <w:lang w:val="zh-CN"/>
        </w:rPr>
        <w:t>标准方案支助费用为</w:t>
      </w:r>
      <w:r w:rsidRPr="009709C1">
        <w:rPr>
          <w:sz w:val="24"/>
          <w:szCs w:val="24"/>
          <w:lang w:val="en-US"/>
        </w:rPr>
        <w:t>13%</w:t>
      </w:r>
      <w:r w:rsidRPr="009709C1">
        <w:rPr>
          <w:rFonts w:hint="eastAsia"/>
          <w:sz w:val="24"/>
          <w:szCs w:val="24"/>
          <w:lang w:val="en-US"/>
        </w:rPr>
        <w:t>，</w:t>
      </w:r>
      <w:r w:rsidRPr="009709C1">
        <w:rPr>
          <w:rFonts w:hint="eastAsia"/>
          <w:sz w:val="24"/>
          <w:szCs w:val="24"/>
          <w:lang w:val="zh-CN"/>
        </w:rPr>
        <w:t>除非有特定供资安排</w:t>
      </w:r>
      <w:r w:rsidRPr="009709C1">
        <w:rPr>
          <w:rFonts w:hint="eastAsia"/>
          <w:sz w:val="24"/>
          <w:szCs w:val="24"/>
          <w:lang w:val="en-US"/>
        </w:rPr>
        <w:t>，</w:t>
      </w:r>
      <w:r w:rsidRPr="009709C1">
        <w:rPr>
          <w:rFonts w:hint="eastAsia"/>
          <w:sz w:val="24"/>
          <w:szCs w:val="24"/>
          <w:lang w:val="zh-CN"/>
        </w:rPr>
        <w:t>在此情况下通常为</w:t>
      </w:r>
      <w:r w:rsidRPr="009709C1">
        <w:rPr>
          <w:sz w:val="24"/>
          <w:szCs w:val="24"/>
          <w:lang w:val="en-US"/>
        </w:rPr>
        <w:t>7%</w:t>
      </w:r>
      <w:r w:rsidRPr="009709C1">
        <w:rPr>
          <w:rFonts w:hint="eastAsia"/>
          <w:sz w:val="24"/>
          <w:szCs w:val="24"/>
          <w:lang w:val="en-US"/>
        </w:rPr>
        <w:t>）</w:t>
      </w:r>
      <w:r w:rsidRPr="009709C1">
        <w:rPr>
          <w:rFonts w:hint="eastAsia"/>
          <w:sz w:val="24"/>
          <w:szCs w:val="24"/>
          <w:lang w:val="zh-CN"/>
        </w:rPr>
        <w:t>。</w:t>
      </w:r>
    </w:p>
    <w:p w14:paraId="39670186"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可利用各项预算资金开展的活动类型以及储备金的管理方式</w:t>
      </w:r>
      <w:r w:rsidRPr="009709C1">
        <w:rPr>
          <w:rFonts w:hint="eastAsia"/>
          <w:sz w:val="24"/>
          <w:szCs w:val="24"/>
        </w:rPr>
        <w:t>，</w:t>
      </w:r>
      <w:r w:rsidRPr="009709C1">
        <w:rPr>
          <w:rFonts w:hint="eastAsia"/>
          <w:sz w:val="24"/>
          <w:szCs w:val="24"/>
          <w:lang w:val="zh-CN"/>
        </w:rPr>
        <w:t>因预算类别不同而异。具体而言，各类预算涵盖的活动包括：</w:t>
      </w:r>
      <w:r w:rsidRPr="009709C1">
        <w:rPr>
          <w:rStyle w:val="FootnoteReference"/>
          <w:sz w:val="24"/>
          <w:szCs w:val="24"/>
          <w:lang w:val="zh-CN"/>
        </w:rPr>
        <w:footnoteReference w:id="5"/>
      </w:r>
    </w:p>
    <w:p w14:paraId="3FB24AC5" w14:textId="77777777" w:rsidR="00973DA7" w:rsidRPr="009709C1" w:rsidRDefault="00973DA7" w:rsidP="007E7892">
      <w:pPr>
        <w:pStyle w:val="CBDNormalNumber"/>
        <w:numPr>
          <w:ilvl w:val="1"/>
          <w:numId w:val="8"/>
        </w:numPr>
        <w:topLinePunct/>
        <w:ind w:left="1160" w:firstLine="0"/>
        <w:rPr>
          <w:sz w:val="24"/>
          <w:szCs w:val="24"/>
        </w:rPr>
      </w:pPr>
      <w:r w:rsidRPr="009709C1">
        <w:rPr>
          <w:rFonts w:hint="eastAsia"/>
          <w:sz w:val="24"/>
          <w:szCs w:val="24"/>
          <w:lang w:val="zh-CN"/>
        </w:rPr>
        <w:t>核心预算</w:t>
      </w:r>
      <w:r w:rsidRPr="009709C1">
        <w:rPr>
          <w:rFonts w:hint="eastAsia"/>
          <w:sz w:val="24"/>
          <w:szCs w:val="24"/>
        </w:rPr>
        <w:t>：</w:t>
      </w:r>
      <w:r w:rsidRPr="009709C1">
        <w:rPr>
          <w:rFonts w:hint="eastAsia"/>
          <w:sz w:val="24"/>
          <w:szCs w:val="24"/>
          <w:lang w:val="zh-CN"/>
        </w:rPr>
        <w:t>核心预算包括工作人员费用、会议费用</w:t>
      </w:r>
      <w:r w:rsidRPr="009709C1">
        <w:rPr>
          <w:rFonts w:hint="eastAsia"/>
          <w:sz w:val="24"/>
          <w:szCs w:val="24"/>
        </w:rPr>
        <w:t>（</w:t>
      </w:r>
      <w:r w:rsidRPr="009709C1">
        <w:rPr>
          <w:rFonts w:hint="eastAsia"/>
          <w:sz w:val="24"/>
          <w:szCs w:val="24"/>
          <w:lang w:val="zh-CN"/>
        </w:rPr>
        <w:t>不包括参加正式会议的费用</w:t>
      </w:r>
      <w:r w:rsidRPr="009709C1">
        <w:rPr>
          <w:rFonts w:hint="eastAsia"/>
          <w:sz w:val="24"/>
          <w:szCs w:val="24"/>
        </w:rPr>
        <w:t>）</w:t>
      </w:r>
      <w:r w:rsidRPr="009709C1">
        <w:rPr>
          <w:rFonts w:hint="eastAsia"/>
          <w:sz w:val="24"/>
          <w:szCs w:val="24"/>
          <w:lang w:val="zh-CN"/>
        </w:rPr>
        <w:t>以及业务费用</w:t>
      </w:r>
      <w:r w:rsidRPr="009709C1">
        <w:rPr>
          <w:rFonts w:hint="eastAsia"/>
          <w:sz w:val="24"/>
          <w:szCs w:val="24"/>
        </w:rPr>
        <w:t>（</w:t>
      </w:r>
      <w:r w:rsidRPr="009709C1">
        <w:rPr>
          <w:rFonts w:hint="eastAsia"/>
          <w:sz w:val="24"/>
          <w:szCs w:val="24"/>
          <w:lang w:val="zh-CN"/>
        </w:rPr>
        <w:t>不包括东道国为业务费用提供的捐款</w:t>
      </w:r>
      <w:r w:rsidRPr="009709C1">
        <w:rPr>
          <w:rFonts w:hint="eastAsia"/>
          <w:sz w:val="24"/>
          <w:szCs w:val="24"/>
        </w:rPr>
        <w:t>）</w:t>
      </w:r>
      <w:r w:rsidRPr="009709C1">
        <w:rPr>
          <w:rFonts w:hint="eastAsia"/>
          <w:sz w:val="24"/>
          <w:szCs w:val="24"/>
          <w:lang w:val="zh-CN"/>
        </w:rPr>
        <w:t>。核心预算下设有三个信托基金（一个针对《生物多样性公约》，另外两个分别针对两份议定书）：</w:t>
      </w:r>
      <w:r w:rsidRPr="009709C1">
        <w:rPr>
          <w:sz w:val="24"/>
          <w:szCs w:val="24"/>
          <w:lang w:val="zh-CN"/>
        </w:rPr>
        <w:t>BB——</w:t>
      </w:r>
      <w:r w:rsidRPr="009709C1">
        <w:rPr>
          <w:rFonts w:hint="eastAsia"/>
          <w:sz w:val="24"/>
          <w:szCs w:val="24"/>
          <w:lang w:val="zh-CN"/>
        </w:rPr>
        <w:t>关于获取遗传资源和公正公平分享惠益的名古屋议定书核心方案预算普通信托基金；</w:t>
      </w:r>
      <w:r w:rsidRPr="009709C1">
        <w:rPr>
          <w:sz w:val="24"/>
          <w:szCs w:val="24"/>
          <w:lang w:val="zh-CN"/>
        </w:rPr>
        <w:t>BG——</w:t>
      </w:r>
      <w:r w:rsidRPr="009709C1">
        <w:rPr>
          <w:rFonts w:hint="eastAsia"/>
          <w:sz w:val="24"/>
          <w:szCs w:val="24"/>
          <w:lang w:val="zh-CN"/>
        </w:rPr>
        <w:t>生物安全议定书核心方案预算普通信托基金；</w:t>
      </w:r>
      <w:r w:rsidRPr="009709C1">
        <w:rPr>
          <w:sz w:val="24"/>
          <w:szCs w:val="24"/>
          <w:lang w:val="zh-CN"/>
        </w:rPr>
        <w:t>BY——</w:t>
      </w:r>
      <w:r w:rsidRPr="009709C1">
        <w:rPr>
          <w:rFonts w:hint="eastAsia"/>
          <w:sz w:val="24"/>
          <w:szCs w:val="24"/>
          <w:lang w:val="zh-CN"/>
        </w:rPr>
        <w:t>生物多样性公约普通信托基金。根据联合国规定，在动用这些信托基金进行支出时，需收取方案支持费。此外，根据联合国规定，在编制核心预算时，必须编入相当于核心预算</w:t>
      </w:r>
      <w:r w:rsidRPr="009709C1">
        <w:rPr>
          <w:sz w:val="24"/>
          <w:szCs w:val="24"/>
          <w:lang w:val="zh-CN"/>
        </w:rPr>
        <w:t>15%</w:t>
      </w:r>
      <w:r w:rsidRPr="009709C1">
        <w:rPr>
          <w:rFonts w:hint="eastAsia"/>
          <w:sz w:val="24"/>
          <w:szCs w:val="24"/>
          <w:lang w:val="zh-CN"/>
        </w:rPr>
        <w:t>的周转准备金。如有未动用的资金，这些资金可进行累积，并在预算文件中列为累计结余（必要时可用作应急准备金）；</w:t>
      </w:r>
    </w:p>
    <w:p w14:paraId="35EB4048" w14:textId="77777777" w:rsidR="00973DA7" w:rsidRPr="009709C1" w:rsidRDefault="00973DA7" w:rsidP="007E7892">
      <w:pPr>
        <w:pStyle w:val="CBDNormalNumber"/>
        <w:numPr>
          <w:ilvl w:val="1"/>
          <w:numId w:val="8"/>
        </w:numPr>
        <w:topLinePunct/>
        <w:ind w:left="1160" w:firstLine="0"/>
        <w:rPr>
          <w:sz w:val="24"/>
          <w:szCs w:val="24"/>
        </w:rPr>
      </w:pPr>
      <w:r w:rsidRPr="009709C1">
        <w:rPr>
          <w:rFonts w:hint="eastAsia"/>
          <w:sz w:val="24"/>
          <w:szCs w:val="24"/>
          <w:lang w:val="zh-CN"/>
        </w:rPr>
        <w:t>自愿捐款</w:t>
      </w:r>
      <w:r w:rsidRPr="009709C1">
        <w:rPr>
          <w:rFonts w:hint="eastAsia"/>
          <w:sz w:val="24"/>
          <w:szCs w:val="24"/>
          <w:lang w:val="en-US"/>
        </w:rPr>
        <w:t>：</w:t>
      </w:r>
      <w:r w:rsidRPr="009709C1">
        <w:rPr>
          <w:rFonts w:hint="eastAsia"/>
          <w:sz w:val="24"/>
          <w:szCs w:val="24"/>
          <w:lang w:val="zh-CN"/>
        </w:rPr>
        <w:t>这包括用于经批准的额外活动的资金</w:t>
      </w:r>
      <w:r w:rsidRPr="009709C1">
        <w:rPr>
          <w:rStyle w:val="FootnoteReference"/>
          <w:sz w:val="24"/>
          <w:szCs w:val="24"/>
          <w:lang w:val="zh-CN"/>
        </w:rPr>
        <w:footnoteReference w:id="6"/>
      </w:r>
      <w:r w:rsidRPr="009709C1">
        <w:rPr>
          <w:rFonts w:hint="eastAsia"/>
          <w:sz w:val="24"/>
          <w:szCs w:val="24"/>
          <w:lang w:val="zh-CN"/>
        </w:rPr>
        <w:t>、支持参加会议的资金以及东道国的捐款</w:t>
      </w:r>
      <w:r w:rsidRPr="009709C1">
        <w:rPr>
          <w:rFonts w:hint="eastAsia"/>
          <w:sz w:val="24"/>
          <w:szCs w:val="24"/>
        </w:rPr>
        <w:t>（</w:t>
      </w:r>
      <w:r w:rsidRPr="009709C1">
        <w:rPr>
          <w:rFonts w:hint="eastAsia"/>
          <w:sz w:val="24"/>
          <w:szCs w:val="24"/>
          <w:lang w:val="zh-CN"/>
        </w:rPr>
        <w:t>即用于支付租金及相关费用的资金</w:t>
      </w:r>
      <w:r w:rsidRPr="009709C1">
        <w:rPr>
          <w:rFonts w:hint="eastAsia"/>
          <w:sz w:val="24"/>
          <w:szCs w:val="24"/>
        </w:rPr>
        <w:t>）</w:t>
      </w:r>
      <w:r w:rsidRPr="009709C1">
        <w:rPr>
          <w:rFonts w:hint="eastAsia"/>
          <w:sz w:val="24"/>
          <w:szCs w:val="24"/>
          <w:lang w:val="zh-CN"/>
        </w:rPr>
        <w:t>。预算外资源信托基金包括：</w:t>
      </w:r>
      <w:r w:rsidRPr="009709C1">
        <w:rPr>
          <w:sz w:val="24"/>
          <w:szCs w:val="24"/>
          <w:lang w:val="zh-CN"/>
        </w:rPr>
        <w:t>BE——</w:t>
      </w:r>
      <w:r w:rsidRPr="009709C1">
        <w:rPr>
          <w:rFonts w:hint="eastAsia"/>
          <w:sz w:val="24"/>
          <w:szCs w:val="24"/>
          <w:lang w:val="zh-CN"/>
        </w:rPr>
        <w:t>支持《生物多样性公约》及其议定书下经批准的活动的额外自愿捐款普通信托基金；</w:t>
      </w:r>
      <w:r w:rsidRPr="009709C1">
        <w:rPr>
          <w:sz w:val="24"/>
          <w:szCs w:val="24"/>
          <w:lang w:val="zh-CN"/>
        </w:rPr>
        <w:t>BZ——</w:t>
      </w:r>
      <w:r w:rsidRPr="009709C1">
        <w:rPr>
          <w:rFonts w:hint="eastAsia"/>
          <w:sz w:val="24"/>
          <w:szCs w:val="24"/>
          <w:lang w:val="zh-CN"/>
        </w:rPr>
        <w:t>促进缔约方参与《生物多样性公约》进程的自愿捐款普通信托基金；</w:t>
      </w:r>
      <w:r w:rsidRPr="009709C1">
        <w:rPr>
          <w:sz w:val="24"/>
          <w:szCs w:val="24"/>
          <w:lang w:val="zh-CN"/>
        </w:rPr>
        <w:t>VB——</w:t>
      </w:r>
      <w:r w:rsidRPr="009709C1">
        <w:rPr>
          <w:rFonts w:hint="eastAsia"/>
          <w:sz w:val="24"/>
          <w:szCs w:val="24"/>
          <w:lang w:val="zh-CN"/>
        </w:rPr>
        <w:t>促进土著人民和地方社区参与《生物多样性公约》工作的自愿捐款普通信托基金。根据联合国规定，在动用这些信托基金进行支出时，需收取方案支持费。此外，根据联合国规定，由于此类资金属于自愿性质，预算外资源预算中不包含针对预算外资源的储备金。所筹集的资金用于与相关基金有关的活动，不预留应急储备金。对于已获批准的活动未使用的资金，将退还给捐款方，或根据捐款方的意愿，改用于其他活动。未使用的参加会议的资金将用于资助参与即将召开的正式会议；</w:t>
      </w:r>
    </w:p>
    <w:p w14:paraId="1D0DE665" w14:textId="77777777" w:rsidR="00973DA7" w:rsidRPr="009709C1" w:rsidRDefault="00973DA7" w:rsidP="007E7892">
      <w:pPr>
        <w:pStyle w:val="CBDNormalNumber"/>
        <w:numPr>
          <w:ilvl w:val="1"/>
          <w:numId w:val="8"/>
        </w:numPr>
        <w:topLinePunct/>
        <w:ind w:left="1160" w:firstLine="0"/>
        <w:rPr>
          <w:sz w:val="24"/>
          <w:szCs w:val="24"/>
        </w:rPr>
      </w:pPr>
      <w:r w:rsidRPr="009709C1">
        <w:rPr>
          <w:rFonts w:hint="eastAsia"/>
          <w:sz w:val="24"/>
          <w:szCs w:val="24"/>
          <w:lang w:val="zh-CN"/>
        </w:rPr>
        <w:lastRenderedPageBreak/>
        <w:t>间接费用信托基金</w:t>
      </w:r>
      <w:r w:rsidRPr="009709C1">
        <w:rPr>
          <w:rFonts w:hint="eastAsia"/>
          <w:sz w:val="24"/>
          <w:szCs w:val="24"/>
        </w:rPr>
        <w:t>：</w:t>
      </w:r>
      <w:r w:rsidRPr="009709C1">
        <w:rPr>
          <w:rFonts w:hint="eastAsia"/>
          <w:sz w:val="24"/>
          <w:szCs w:val="24"/>
          <w:lang w:val="zh-CN"/>
        </w:rPr>
        <w:t>这包括方案支助费用</w:t>
      </w:r>
      <w:r w:rsidRPr="009709C1">
        <w:rPr>
          <w:rFonts w:hint="eastAsia"/>
          <w:sz w:val="24"/>
          <w:szCs w:val="24"/>
        </w:rPr>
        <w:t>，</w:t>
      </w:r>
      <w:r w:rsidRPr="009709C1">
        <w:rPr>
          <w:rFonts w:hint="eastAsia"/>
          <w:sz w:val="24"/>
          <w:szCs w:val="24"/>
          <w:lang w:val="zh-CN"/>
        </w:rPr>
        <w:t>用于支持与管理信托基金有关的间接行政和业务费用。间接费用信托基金由内罗毕联合国环境规划署（环境署）管理；然而，环境署管理的资金的</w:t>
      </w:r>
      <w:r w:rsidRPr="009709C1">
        <w:rPr>
          <w:sz w:val="24"/>
          <w:szCs w:val="24"/>
          <w:lang w:val="zh-CN"/>
        </w:rPr>
        <w:t>33%</w:t>
      </w:r>
      <w:r w:rsidRPr="009709C1">
        <w:rPr>
          <w:rFonts w:hint="eastAsia"/>
          <w:sz w:val="24"/>
          <w:szCs w:val="24"/>
          <w:lang w:val="zh-CN"/>
        </w:rPr>
        <w:t>用于支付秘书处内的工作人员，以支持与管理信托基金相关的间接行政和业务费用相关的工作。间接费用信托基金不提供任何方案支助费用。联合国方案支助费用管理准则建议设立相当于年度估计支出总额</w:t>
      </w:r>
      <w:r w:rsidRPr="009709C1">
        <w:rPr>
          <w:sz w:val="24"/>
          <w:szCs w:val="24"/>
          <w:lang w:val="zh-CN"/>
        </w:rPr>
        <w:t>12</w:t>
      </w:r>
      <w:r w:rsidRPr="009709C1">
        <w:rPr>
          <w:rFonts w:hint="eastAsia"/>
          <w:sz w:val="24"/>
          <w:szCs w:val="24"/>
          <w:lang w:val="zh-CN"/>
        </w:rPr>
        <w:t>个月的应急储备金。由于这些资金用于支付工作人员费用，这确保了稳定性并有助于降低不可预见情况带来的风险。</w:t>
      </w:r>
    </w:p>
    <w:p w14:paraId="394C7B2C"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预算文件</w:t>
      </w:r>
      <w:r w:rsidRPr="009709C1">
        <w:rPr>
          <w:rFonts w:hint="eastAsia"/>
          <w:sz w:val="24"/>
          <w:szCs w:val="24"/>
        </w:rPr>
        <w:t>（</w:t>
      </w:r>
      <w:hyperlink r:id="rId24" w:history="1">
        <w:r w:rsidRPr="009709C1">
          <w:rPr>
            <w:rStyle w:val="Hyperlink"/>
            <w:sz w:val="24"/>
            <w:szCs w:val="24"/>
          </w:rPr>
          <w:t>CBD/COP/17/4</w:t>
        </w:r>
      </w:hyperlink>
      <w:r w:rsidRPr="009709C1">
        <w:rPr>
          <w:sz w:val="24"/>
          <w:szCs w:val="24"/>
        </w:rPr>
        <w:t>-</w:t>
      </w:r>
      <w:hyperlink r:id="rId25" w:history="1">
        <w:r w:rsidRPr="009709C1">
          <w:rPr>
            <w:rStyle w:val="Hyperlink"/>
            <w:sz w:val="24"/>
            <w:szCs w:val="24"/>
          </w:rPr>
          <w:t>CBD/CP/MOP/12/5</w:t>
        </w:r>
      </w:hyperlink>
      <w:r w:rsidRPr="009709C1">
        <w:rPr>
          <w:sz w:val="24"/>
          <w:szCs w:val="24"/>
        </w:rPr>
        <w:t>-</w:t>
      </w:r>
      <w:hyperlink r:id="rId26" w:history="1">
        <w:r w:rsidRPr="009709C1">
          <w:rPr>
            <w:rStyle w:val="Hyperlink"/>
            <w:sz w:val="24"/>
            <w:szCs w:val="24"/>
          </w:rPr>
          <w:t>CBD/NP/MOP/6/5</w:t>
        </w:r>
      </w:hyperlink>
      <w:r w:rsidRPr="009709C1">
        <w:rPr>
          <w:rFonts w:hint="eastAsia"/>
          <w:sz w:val="24"/>
          <w:szCs w:val="24"/>
        </w:rPr>
        <w:t>）</w:t>
      </w:r>
      <w:r w:rsidRPr="009709C1">
        <w:rPr>
          <w:rFonts w:hint="eastAsia"/>
          <w:sz w:val="24"/>
          <w:szCs w:val="24"/>
          <w:lang w:val="zh-CN"/>
        </w:rPr>
        <w:t>为</w:t>
      </w:r>
      <w:r w:rsidRPr="009709C1">
        <w:rPr>
          <w:sz w:val="24"/>
          <w:szCs w:val="24"/>
        </w:rPr>
        <w:t>2027-2028</w:t>
      </w:r>
      <w:r w:rsidRPr="009709C1">
        <w:rPr>
          <w:rFonts w:hint="eastAsia"/>
          <w:sz w:val="24"/>
          <w:szCs w:val="24"/>
          <w:lang w:val="zh-CN"/>
        </w:rPr>
        <w:t>年预算提供了不同的设想。它还列入了参加</w:t>
      </w:r>
      <w:r w:rsidRPr="009709C1">
        <w:rPr>
          <w:sz w:val="24"/>
          <w:szCs w:val="24"/>
          <w:lang w:val="en-US"/>
        </w:rPr>
        <w:t>2027</w:t>
      </w:r>
      <w:r w:rsidRPr="009709C1">
        <w:rPr>
          <w:rFonts w:hint="eastAsia"/>
          <w:sz w:val="24"/>
          <w:szCs w:val="24"/>
          <w:lang w:val="zh-CN"/>
        </w:rPr>
        <w:t>年和</w:t>
      </w:r>
      <w:r w:rsidRPr="009709C1">
        <w:rPr>
          <w:sz w:val="24"/>
          <w:szCs w:val="24"/>
          <w:lang w:val="en-US"/>
        </w:rPr>
        <w:t>2028</w:t>
      </w:r>
      <w:r w:rsidRPr="009709C1">
        <w:rPr>
          <w:rFonts w:hint="eastAsia"/>
          <w:sz w:val="24"/>
          <w:szCs w:val="24"/>
          <w:lang w:val="zh-CN"/>
        </w:rPr>
        <w:t>年各次附属机构会议和缔约方大会会议所需资金的估计数。秘书处编制的信托基金的所有财务报表均可在线查阅。</w:t>
      </w:r>
      <w:r w:rsidRPr="009709C1">
        <w:rPr>
          <w:rStyle w:val="FootnoteReference"/>
          <w:sz w:val="24"/>
          <w:szCs w:val="24"/>
          <w:lang w:val="zh-CN"/>
        </w:rPr>
        <w:footnoteReference w:id="7"/>
      </w:r>
      <w:r w:rsidRPr="009709C1">
        <w:rPr>
          <w:rFonts w:hint="eastAsia"/>
          <w:sz w:val="24"/>
          <w:szCs w:val="24"/>
          <w:lang w:val="zh-CN"/>
        </w:rPr>
        <w:t>正如财务报表所指出的那样，核心预算信托基金的累计盈余随着时间的推移一直在增加。这笔累积盈余由联合国决定如何进行投资。根据适用的联合国财务条例、规则、政策和程序，这些投资赚取的任何收入均记入相应的信托基金。利息已列入在线发布的财务报表。因此，累计盈余既包括未动用资金的累积，也包括相应资金随着时间的推移赚取的利息的累积。</w:t>
      </w:r>
      <w:r w:rsidRPr="009709C1">
        <w:rPr>
          <w:sz w:val="24"/>
          <w:szCs w:val="24"/>
        </w:rPr>
        <w:t xml:space="preserve"> </w:t>
      </w:r>
    </w:p>
    <w:p w14:paraId="461E0F9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正如</w:t>
      </w:r>
      <w:hyperlink r:id="rId27" w:history="1">
        <w:r w:rsidRPr="009709C1">
          <w:rPr>
            <w:rStyle w:val="Hyperlink"/>
            <w:sz w:val="24"/>
            <w:szCs w:val="24"/>
          </w:rPr>
          <w:t>CBD/COP/17/3</w:t>
        </w:r>
      </w:hyperlink>
      <w:r w:rsidRPr="009709C1">
        <w:rPr>
          <w:sz w:val="24"/>
          <w:szCs w:val="24"/>
        </w:rPr>
        <w:t>-</w:t>
      </w:r>
      <w:hyperlink r:id="rId28" w:history="1">
        <w:r w:rsidRPr="009709C1">
          <w:rPr>
            <w:rStyle w:val="Hyperlink"/>
            <w:sz w:val="24"/>
            <w:szCs w:val="24"/>
          </w:rPr>
          <w:t>CBD/CP/MOP/12/4</w:t>
        </w:r>
      </w:hyperlink>
      <w:r w:rsidRPr="009709C1">
        <w:rPr>
          <w:sz w:val="24"/>
          <w:szCs w:val="24"/>
        </w:rPr>
        <w:t>-</w:t>
      </w:r>
      <w:hyperlink r:id="rId29" w:history="1">
        <w:r w:rsidRPr="009709C1">
          <w:rPr>
            <w:rStyle w:val="Hyperlink"/>
            <w:sz w:val="24"/>
            <w:szCs w:val="24"/>
          </w:rPr>
          <w:t>CBD/NP/MOP/6/4</w:t>
        </w:r>
      </w:hyperlink>
      <w:r w:rsidRPr="009709C1">
        <w:rPr>
          <w:rFonts w:hint="eastAsia"/>
          <w:sz w:val="24"/>
          <w:szCs w:val="24"/>
          <w:lang w:val="zh-CN"/>
        </w:rPr>
        <w:t>号文件所述</w:t>
      </w:r>
      <w:r w:rsidRPr="009709C1">
        <w:rPr>
          <w:rFonts w:hint="eastAsia"/>
          <w:sz w:val="24"/>
          <w:szCs w:val="24"/>
        </w:rPr>
        <w:t>，</w:t>
      </w:r>
      <w:r w:rsidRPr="009709C1">
        <w:rPr>
          <w:rFonts w:hint="eastAsia"/>
          <w:sz w:val="24"/>
          <w:szCs w:val="24"/>
          <w:lang w:val="zh-CN"/>
        </w:rPr>
        <w:t>《生物多样性公约》目前的累计盈余为</w:t>
      </w:r>
      <w:r w:rsidRPr="009709C1">
        <w:rPr>
          <w:sz w:val="24"/>
          <w:szCs w:val="24"/>
        </w:rPr>
        <w:t>1,100</w:t>
      </w:r>
      <w:r w:rsidRPr="009709C1">
        <w:rPr>
          <w:rFonts w:hint="eastAsia"/>
          <w:sz w:val="24"/>
          <w:szCs w:val="24"/>
          <w:lang w:val="zh-CN"/>
        </w:rPr>
        <w:t>万美元、《卡塔赫纳议定书》为</w:t>
      </w:r>
      <w:r w:rsidRPr="009709C1">
        <w:rPr>
          <w:sz w:val="24"/>
          <w:szCs w:val="24"/>
        </w:rPr>
        <w:t>490</w:t>
      </w:r>
      <w:r w:rsidRPr="009709C1">
        <w:rPr>
          <w:rFonts w:hint="eastAsia"/>
          <w:sz w:val="24"/>
          <w:szCs w:val="24"/>
          <w:lang w:val="zh-CN"/>
        </w:rPr>
        <w:t>万美元和《名古屋议定书》为</w:t>
      </w:r>
      <w:r w:rsidRPr="009709C1">
        <w:rPr>
          <w:sz w:val="24"/>
          <w:szCs w:val="24"/>
        </w:rPr>
        <w:t>230</w:t>
      </w:r>
      <w:r w:rsidRPr="009709C1">
        <w:rPr>
          <w:rFonts w:hint="eastAsia"/>
          <w:sz w:val="24"/>
          <w:szCs w:val="24"/>
          <w:lang w:val="zh-CN"/>
        </w:rPr>
        <w:t>万美元</w:t>
      </w:r>
      <w:r w:rsidRPr="009709C1">
        <w:rPr>
          <w:rFonts w:hint="eastAsia"/>
          <w:sz w:val="24"/>
          <w:szCs w:val="24"/>
        </w:rPr>
        <w:t>，</w:t>
      </w:r>
      <w:r w:rsidRPr="009709C1">
        <w:rPr>
          <w:rFonts w:hint="eastAsia"/>
          <w:sz w:val="24"/>
          <w:szCs w:val="24"/>
          <w:lang w:val="zh-CN"/>
        </w:rPr>
        <w:t>总计为</w:t>
      </w:r>
      <w:r w:rsidRPr="009709C1">
        <w:rPr>
          <w:sz w:val="24"/>
          <w:szCs w:val="24"/>
        </w:rPr>
        <w:t>1,820</w:t>
      </w:r>
      <w:r w:rsidRPr="009709C1">
        <w:rPr>
          <w:rFonts w:hint="eastAsia"/>
          <w:sz w:val="24"/>
          <w:szCs w:val="24"/>
          <w:lang w:val="zh-CN"/>
        </w:rPr>
        <w:t>万美元。目前的累计盈余数额大约相当于</w:t>
      </w:r>
      <w:r w:rsidRPr="009709C1">
        <w:rPr>
          <w:sz w:val="24"/>
          <w:szCs w:val="24"/>
          <w:lang w:val="en-US"/>
        </w:rPr>
        <w:t>2025-2026</w:t>
      </w:r>
      <w:r w:rsidRPr="009709C1">
        <w:rPr>
          <w:rFonts w:hint="eastAsia"/>
          <w:sz w:val="24"/>
          <w:szCs w:val="24"/>
          <w:lang w:val="zh-CN"/>
        </w:rPr>
        <w:t>年预算总额的</w:t>
      </w:r>
      <w:r w:rsidRPr="009709C1">
        <w:rPr>
          <w:sz w:val="24"/>
          <w:szCs w:val="24"/>
          <w:lang w:val="en-US"/>
        </w:rPr>
        <w:t>10</w:t>
      </w:r>
      <w:r w:rsidRPr="009709C1">
        <w:rPr>
          <w:rFonts w:hint="eastAsia"/>
          <w:sz w:val="24"/>
          <w:szCs w:val="24"/>
          <w:lang w:val="zh-CN"/>
        </w:rPr>
        <w:t>个月的数额。</w:t>
      </w:r>
      <w:r w:rsidRPr="009709C1">
        <w:rPr>
          <w:sz w:val="24"/>
          <w:szCs w:val="24"/>
        </w:rPr>
        <w:t xml:space="preserve"> </w:t>
      </w:r>
    </w:p>
    <w:p w14:paraId="0A48EE13" w14:textId="77777777" w:rsidR="00973DA7" w:rsidRPr="009709C1" w:rsidRDefault="00973DA7">
      <w:pPr>
        <w:pStyle w:val="CBDH1"/>
        <w:topLinePunct/>
        <w:rPr>
          <w:sz w:val="24"/>
          <w:szCs w:val="24"/>
        </w:rPr>
      </w:pPr>
      <w:r w:rsidRPr="009709C1">
        <w:rPr>
          <w:rFonts w:hint="eastAsia"/>
          <w:sz w:val="24"/>
          <w:szCs w:val="24"/>
          <w:lang w:val="zh-CN"/>
        </w:rPr>
        <w:t>三</w:t>
      </w:r>
      <w:r w:rsidRPr="009709C1">
        <w:rPr>
          <w:sz w:val="24"/>
          <w:szCs w:val="24"/>
          <w:lang w:val="en-US"/>
        </w:rPr>
        <w:t>.</w:t>
      </w:r>
      <w:r w:rsidRPr="009709C1">
        <w:rPr>
          <w:sz w:val="24"/>
          <w:szCs w:val="24"/>
        </w:rPr>
        <w:tab/>
      </w:r>
      <w:r w:rsidRPr="009709C1">
        <w:rPr>
          <w:rFonts w:hint="eastAsia"/>
          <w:sz w:val="24"/>
          <w:szCs w:val="24"/>
          <w:lang w:val="zh-CN"/>
        </w:rPr>
        <w:t>与秘书处工作相关的其他行政和预算事项</w:t>
      </w:r>
    </w:p>
    <w:p w14:paraId="2AE1F6B1"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秘书处的任务授权来自缔约方大会的决定。秘书处能够通过工作人员的工作和核心预算提供的资源以及筹集额外资金来支持已获批准的活动来履行这一任务。根据职能审查提供的信息</w:t>
      </w:r>
      <w:r w:rsidRPr="009709C1">
        <w:rPr>
          <w:rFonts w:hint="eastAsia"/>
          <w:sz w:val="24"/>
          <w:szCs w:val="24"/>
          <w:lang w:val="en-US"/>
        </w:rPr>
        <w:t>（</w:t>
      </w:r>
      <w:hyperlink r:id="rId30" w:history="1">
        <w:r w:rsidRPr="009709C1">
          <w:rPr>
            <w:rStyle w:val="Hyperlink"/>
            <w:sz w:val="24"/>
            <w:szCs w:val="24"/>
            <w:lang w:val="en-US"/>
          </w:rPr>
          <w:t>CBD/COP/17/4/Add.1</w:t>
        </w:r>
      </w:hyperlink>
      <w:r w:rsidRPr="009709C1">
        <w:rPr>
          <w:rFonts w:hint="eastAsia"/>
          <w:sz w:val="24"/>
          <w:szCs w:val="24"/>
          <w:lang w:val="zh-CN"/>
        </w:rPr>
        <w:t>号文件</w:t>
      </w:r>
      <w:r w:rsidRPr="009709C1">
        <w:rPr>
          <w:rFonts w:hint="eastAsia"/>
          <w:sz w:val="24"/>
          <w:szCs w:val="24"/>
          <w:lang w:val="en-US"/>
        </w:rPr>
        <w:t>），</w:t>
      </w:r>
      <w:r w:rsidRPr="009709C1">
        <w:rPr>
          <w:rFonts w:hint="eastAsia"/>
          <w:sz w:val="24"/>
          <w:szCs w:val="24"/>
          <w:lang w:val="zh-CN"/>
        </w:rPr>
        <w:t>秘书处已采取行动</w:t>
      </w:r>
      <w:r w:rsidRPr="009709C1">
        <w:rPr>
          <w:rFonts w:hint="eastAsia"/>
          <w:sz w:val="24"/>
          <w:szCs w:val="24"/>
          <w:lang w:val="en-US"/>
        </w:rPr>
        <w:t>，</w:t>
      </w:r>
      <w:r w:rsidRPr="009709C1">
        <w:rPr>
          <w:rFonts w:hint="eastAsia"/>
          <w:sz w:val="24"/>
          <w:szCs w:val="24"/>
          <w:lang w:val="zh-CN"/>
        </w:rPr>
        <w:t>确保简化报告安排并实现最佳功能和有效性。本文件提供了秘书处使用预算外资源支持展开的工作以及为提高效率秘书处所采取的举措的信息。</w:t>
      </w:r>
    </w:p>
    <w:p w14:paraId="39C1A916" w14:textId="77777777" w:rsidR="00973DA7" w:rsidRPr="00371713" w:rsidRDefault="00973DA7">
      <w:pPr>
        <w:pStyle w:val="CBDNormalNumber"/>
        <w:numPr>
          <w:ilvl w:val="0"/>
          <w:numId w:val="0"/>
        </w:numPr>
        <w:topLinePunct/>
        <w:ind w:left="567"/>
        <w:rPr>
          <w:rFonts w:ascii="KaiTi" w:eastAsia="KaiTi" w:hAnsi="KaiTi"/>
          <w:sz w:val="24"/>
          <w:szCs w:val="24"/>
        </w:rPr>
      </w:pPr>
      <w:r w:rsidRPr="00371713">
        <w:rPr>
          <w:rFonts w:ascii="KaiTi" w:eastAsia="KaiTi" w:hAnsi="KaiTi" w:hint="eastAsia"/>
          <w:sz w:val="24"/>
          <w:szCs w:val="24"/>
          <w:lang w:val="zh-CN"/>
        </w:rPr>
        <w:t>支持秘书处工作的核心预算和预算外资源</w:t>
      </w:r>
    </w:p>
    <w:p w14:paraId="5580811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上文第</w:t>
      </w:r>
      <w:r w:rsidRPr="009709C1">
        <w:rPr>
          <w:sz w:val="24"/>
          <w:szCs w:val="24"/>
        </w:rPr>
        <w:t>5</w:t>
      </w:r>
      <w:r w:rsidRPr="009709C1">
        <w:rPr>
          <w:rFonts w:hint="eastAsia"/>
          <w:sz w:val="24"/>
          <w:szCs w:val="24"/>
          <w:lang w:val="zh-CN"/>
        </w:rPr>
        <w:t>段提到的预算文件开列了与人员配置有关的需求</w:t>
      </w:r>
      <w:r w:rsidRPr="009709C1">
        <w:rPr>
          <w:rFonts w:hint="eastAsia"/>
          <w:sz w:val="24"/>
          <w:szCs w:val="24"/>
        </w:rPr>
        <w:t>，</w:t>
      </w:r>
      <w:r w:rsidRPr="009709C1">
        <w:rPr>
          <w:rFonts w:hint="eastAsia"/>
          <w:sz w:val="24"/>
          <w:szCs w:val="24"/>
          <w:lang w:val="zh-CN"/>
        </w:rPr>
        <w:t>这方面的进一步解释载于本文件增编</w:t>
      </w:r>
      <w:r w:rsidRPr="009709C1">
        <w:rPr>
          <w:sz w:val="24"/>
          <w:szCs w:val="24"/>
        </w:rPr>
        <w:t>1</w:t>
      </w:r>
      <w:r w:rsidRPr="009709C1">
        <w:rPr>
          <w:rFonts w:hint="eastAsia"/>
          <w:sz w:val="24"/>
          <w:szCs w:val="24"/>
          <w:lang w:val="zh-CN"/>
        </w:rPr>
        <w:t>。</w:t>
      </w:r>
      <w:r w:rsidRPr="009709C1">
        <w:rPr>
          <w:rStyle w:val="FootnoteReference"/>
          <w:sz w:val="24"/>
          <w:szCs w:val="24"/>
          <w:lang w:val="zh-CN"/>
        </w:rPr>
        <w:footnoteReference w:id="8"/>
      </w:r>
      <w:r w:rsidRPr="009709C1">
        <w:rPr>
          <w:rFonts w:hint="eastAsia"/>
          <w:sz w:val="24"/>
          <w:szCs w:val="24"/>
          <w:lang w:val="zh-CN"/>
        </w:rPr>
        <w:t>秘书处致力于通过其现有资源支持缔约方大会要求其开展的所有活动。这项工作的逻辑框架开列在秘书处基于成果的预算中。秘书处结构的设计在于确保秘书处能够持续支持实施《生物多样性公约》的工作，其重点是配备工作人员和系统，以支持实现基于成果的预算中所述的各项主要成果，其中包括与支持主要会议和编制文件；国家实施；提高认识；监测、审查和评估；管理和方案支持有关的工作。然而，缔约方大会的决定向执行秘书提出的一些具体要求需要高度专业化的技能、额外的人力资源或财政资源（例如差旅费），而这些资源并不属于核心预算的一部分。</w:t>
      </w:r>
    </w:p>
    <w:p w14:paraId="3DE52FDD"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开展额外活动的费用已列入科学、技术和工艺咨询附属机构第二十八次会议和执行问题附属机构第七次会议每一议程项目的会前文件。在缔约方大会第十七届会议之前</w:t>
      </w:r>
      <w:r w:rsidRPr="009709C1">
        <w:rPr>
          <w:rFonts w:hint="eastAsia"/>
          <w:sz w:val="24"/>
          <w:szCs w:val="24"/>
          <w:lang w:val="en-US"/>
        </w:rPr>
        <w:t>，</w:t>
      </w:r>
      <w:r w:rsidRPr="009709C1">
        <w:rPr>
          <w:rFonts w:hint="eastAsia"/>
          <w:sz w:val="24"/>
          <w:szCs w:val="24"/>
          <w:lang w:val="zh-CN"/>
        </w:rPr>
        <w:t>根据通过的建议对各项费用进行了修订。</w:t>
      </w:r>
      <w:hyperlink r:id="rId31" w:history="1">
        <w:r w:rsidRPr="009709C1">
          <w:rPr>
            <w:rStyle w:val="Hyperlink"/>
            <w:sz w:val="24"/>
            <w:szCs w:val="24"/>
            <w:lang w:val="en-US"/>
          </w:rPr>
          <w:t>CBD/COP/17/4/Add.2</w:t>
        </w:r>
      </w:hyperlink>
      <w:r w:rsidRPr="009709C1">
        <w:rPr>
          <w:sz w:val="24"/>
          <w:szCs w:val="24"/>
          <w:lang w:val="en-US"/>
        </w:rPr>
        <w:t>-</w:t>
      </w:r>
      <w:hyperlink r:id="rId32" w:history="1">
        <w:r w:rsidRPr="009709C1">
          <w:rPr>
            <w:rStyle w:val="Hyperlink"/>
            <w:sz w:val="24"/>
            <w:szCs w:val="24"/>
            <w:lang w:val="en-US"/>
          </w:rPr>
          <w:t>CBD/CP/MOP/12/5/Add.1</w:t>
        </w:r>
      </w:hyperlink>
      <w:r w:rsidRPr="009709C1">
        <w:rPr>
          <w:sz w:val="24"/>
          <w:szCs w:val="24"/>
          <w:lang w:val="en-US"/>
        </w:rPr>
        <w:t>-</w:t>
      </w:r>
      <w:hyperlink r:id="rId33" w:history="1">
        <w:r w:rsidRPr="009709C1">
          <w:rPr>
            <w:rStyle w:val="Hyperlink"/>
            <w:sz w:val="24"/>
            <w:szCs w:val="24"/>
            <w:lang w:val="en-US"/>
          </w:rPr>
          <w:t>CBD/NP/MOP/6/5/Add.1</w:t>
        </w:r>
      </w:hyperlink>
      <w:r w:rsidRPr="009709C1">
        <w:rPr>
          <w:rFonts w:hint="eastAsia"/>
          <w:sz w:val="24"/>
          <w:szCs w:val="24"/>
          <w:lang w:val="zh-CN"/>
        </w:rPr>
        <w:t>号文件载有</w:t>
      </w:r>
      <w:r w:rsidRPr="009709C1">
        <w:rPr>
          <w:sz w:val="24"/>
          <w:szCs w:val="24"/>
          <w:lang w:val="en-US"/>
        </w:rPr>
        <w:t>2027-2028</w:t>
      </w:r>
      <w:r w:rsidRPr="009709C1">
        <w:rPr>
          <w:rFonts w:hint="eastAsia"/>
          <w:sz w:val="24"/>
          <w:szCs w:val="24"/>
          <w:lang w:val="zh-CN"/>
        </w:rPr>
        <w:t>年已获批准活动所需预算的估计数。这份文件载有向执行秘书提出需要开展某项活动的相关请求</w:t>
      </w:r>
      <w:r w:rsidRPr="009709C1">
        <w:rPr>
          <w:rFonts w:hint="eastAsia"/>
          <w:sz w:val="24"/>
          <w:szCs w:val="24"/>
          <w:lang w:val="en-US"/>
        </w:rPr>
        <w:t>（</w:t>
      </w:r>
      <w:r w:rsidRPr="009709C1">
        <w:rPr>
          <w:rFonts w:hint="eastAsia"/>
          <w:sz w:val="24"/>
          <w:szCs w:val="24"/>
          <w:lang w:val="zh-CN"/>
        </w:rPr>
        <w:t>请注意</w:t>
      </w:r>
      <w:r w:rsidRPr="009709C1">
        <w:rPr>
          <w:rFonts w:hint="eastAsia"/>
          <w:sz w:val="24"/>
          <w:szCs w:val="24"/>
          <w:lang w:val="en-US"/>
        </w:rPr>
        <w:t>，</w:t>
      </w:r>
      <w:r w:rsidRPr="009709C1">
        <w:rPr>
          <w:rFonts w:hint="eastAsia"/>
          <w:sz w:val="24"/>
          <w:szCs w:val="24"/>
          <w:lang w:val="zh-CN"/>
        </w:rPr>
        <w:t>其中许多请求仍列于方括号内</w:t>
      </w:r>
      <w:r w:rsidRPr="009709C1">
        <w:rPr>
          <w:rFonts w:hint="eastAsia"/>
          <w:sz w:val="24"/>
          <w:szCs w:val="24"/>
          <w:lang w:val="en-US"/>
        </w:rPr>
        <w:t>，</w:t>
      </w:r>
      <w:r w:rsidRPr="009709C1">
        <w:rPr>
          <w:rFonts w:hint="eastAsia"/>
          <w:sz w:val="24"/>
          <w:szCs w:val="24"/>
          <w:lang w:val="zh-CN"/>
        </w:rPr>
        <w:t>因为它们是根据决定草案编制的</w:t>
      </w:r>
      <w:r w:rsidRPr="009709C1">
        <w:rPr>
          <w:rFonts w:hint="eastAsia"/>
          <w:sz w:val="24"/>
          <w:szCs w:val="24"/>
          <w:lang w:val="en-US"/>
        </w:rPr>
        <w:t>）</w:t>
      </w:r>
      <w:r w:rsidRPr="009709C1">
        <w:rPr>
          <w:rFonts w:hint="eastAsia"/>
          <w:sz w:val="24"/>
          <w:szCs w:val="24"/>
          <w:lang w:val="zh-CN"/>
        </w:rPr>
        <w:t>及其预算估计数。</w:t>
      </w:r>
      <w:r w:rsidRPr="009709C1">
        <w:rPr>
          <w:sz w:val="24"/>
          <w:szCs w:val="24"/>
        </w:rPr>
        <w:t xml:space="preserve"> </w:t>
      </w:r>
    </w:p>
    <w:p w14:paraId="1C6A0954"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筹集和管理自愿捐款需要投入大量的工作人员时间和精力。一旦资金到位，由自愿捐款供资的活动大多由秘书处核心工作人员进行管理、监督和部分实施。这些由自愿捐款供资的活动分配给秘书处的特定部门实施，由其负责规划、协调、监管、执行、监测以及视情况向捐助方提交报告。因此，这些活动纳入了各部门的工作计划。秘书处工作人员为所有活动提供支持，这意味着提交给执行秘书执行的任何请求，均由核心预算供资的工作人员提供支持。</w:t>
      </w:r>
    </w:p>
    <w:p w14:paraId="2AF49F67" w14:textId="77777777" w:rsidR="00973DA7" w:rsidRPr="009709C1" w:rsidRDefault="00973DA7" w:rsidP="007E7892">
      <w:pPr>
        <w:pStyle w:val="CBDNormalNumber"/>
        <w:numPr>
          <w:ilvl w:val="0"/>
          <w:numId w:val="8"/>
        </w:numPr>
        <w:topLinePunct/>
        <w:rPr>
          <w:sz w:val="24"/>
          <w:szCs w:val="24"/>
        </w:rPr>
      </w:pPr>
      <w:r w:rsidRPr="009709C1">
        <w:rPr>
          <w:rFonts w:hint="eastAsia"/>
          <w:sz w:val="24"/>
          <w:szCs w:val="24"/>
          <w:lang w:val="zh-CN"/>
        </w:rPr>
        <w:t>在编制</w:t>
      </w:r>
      <w:hyperlink r:id="rId34" w:history="1">
        <w:r w:rsidRPr="009709C1">
          <w:rPr>
            <w:rStyle w:val="Hyperlink"/>
            <w:sz w:val="24"/>
            <w:szCs w:val="24"/>
          </w:rPr>
          <w:t>CBD/COP/17/4/Add.2</w:t>
        </w:r>
      </w:hyperlink>
      <w:r w:rsidRPr="009709C1">
        <w:rPr>
          <w:sz w:val="24"/>
          <w:szCs w:val="24"/>
        </w:rPr>
        <w:t>-</w:t>
      </w:r>
      <w:hyperlink r:id="rId35" w:history="1">
        <w:r w:rsidRPr="009709C1">
          <w:rPr>
            <w:rStyle w:val="Hyperlink"/>
            <w:sz w:val="24"/>
            <w:szCs w:val="24"/>
          </w:rPr>
          <w:t>CBD/CP/MOP/12/5/Add.1</w:t>
        </w:r>
      </w:hyperlink>
      <w:r w:rsidRPr="009709C1">
        <w:rPr>
          <w:sz w:val="24"/>
          <w:szCs w:val="24"/>
        </w:rPr>
        <w:t>-</w:t>
      </w:r>
      <w:hyperlink r:id="rId36" w:history="1">
        <w:r w:rsidRPr="009709C1">
          <w:rPr>
            <w:rStyle w:val="Hyperlink"/>
            <w:sz w:val="24"/>
            <w:szCs w:val="24"/>
          </w:rPr>
          <w:t>CBD/NP/MOP/6/5/Add.1</w:t>
        </w:r>
      </w:hyperlink>
      <w:r w:rsidRPr="009709C1">
        <w:rPr>
          <w:sz w:val="24"/>
          <w:szCs w:val="24"/>
        </w:rPr>
        <w:t xml:space="preserve"> </w:t>
      </w:r>
      <w:r w:rsidRPr="009709C1">
        <w:rPr>
          <w:rFonts w:hint="eastAsia"/>
          <w:sz w:val="24"/>
          <w:szCs w:val="24"/>
          <w:lang w:val="zh-CN"/>
        </w:rPr>
        <w:t>号文件时估计将有核心预算供资的工作人员指导总体工作。</w:t>
      </w:r>
      <w:r w:rsidRPr="009709C1">
        <w:rPr>
          <w:sz w:val="24"/>
          <w:szCs w:val="24"/>
        </w:rPr>
        <w:t xml:space="preserve"> </w:t>
      </w:r>
    </w:p>
    <w:p w14:paraId="0593FBA0" w14:textId="77777777" w:rsidR="00973DA7" w:rsidRPr="00371713" w:rsidRDefault="00973DA7">
      <w:pPr>
        <w:pStyle w:val="CBDNormalNumber"/>
        <w:numPr>
          <w:ilvl w:val="0"/>
          <w:numId w:val="0"/>
        </w:numPr>
        <w:topLinePunct/>
        <w:ind w:left="567"/>
        <w:rPr>
          <w:rFonts w:ascii="KaiTi" w:eastAsia="KaiTi" w:hAnsi="KaiTi"/>
          <w:sz w:val="24"/>
          <w:szCs w:val="24"/>
          <w:lang w:val="zh-CN"/>
        </w:rPr>
      </w:pPr>
      <w:r w:rsidRPr="00371713">
        <w:rPr>
          <w:rFonts w:ascii="KaiTi" w:eastAsia="KaiTi" w:hAnsi="KaiTi" w:hint="eastAsia"/>
          <w:sz w:val="24"/>
          <w:szCs w:val="24"/>
          <w:lang w:val="zh-CN"/>
        </w:rPr>
        <w:t>通过秘书处职能审查和整体运作实现效率提升</w:t>
      </w:r>
    </w:p>
    <w:p w14:paraId="1928EE5D" w14:textId="77777777" w:rsidR="00973DA7" w:rsidRPr="009709C1" w:rsidRDefault="00973DA7" w:rsidP="007E7892">
      <w:pPr>
        <w:pStyle w:val="CBDNormalNumber"/>
        <w:numPr>
          <w:ilvl w:val="0"/>
          <w:numId w:val="8"/>
        </w:numPr>
        <w:topLinePunct/>
        <w:rPr>
          <w:kern w:val="2"/>
          <w:sz w:val="24"/>
          <w:szCs w:val="24"/>
          <w:lang w:val="en-CA"/>
        </w:rPr>
      </w:pPr>
      <w:r w:rsidRPr="009709C1">
        <w:rPr>
          <w:rFonts w:hint="eastAsia"/>
          <w:sz w:val="24"/>
          <w:szCs w:val="24"/>
          <w:lang w:val="zh-CN"/>
        </w:rPr>
        <w:t>秘书处需提供与效率提升有关的信息</w:t>
      </w:r>
      <w:r w:rsidRPr="009709C1">
        <w:rPr>
          <w:rFonts w:hint="eastAsia"/>
          <w:sz w:val="24"/>
          <w:szCs w:val="24"/>
        </w:rPr>
        <w:t>，</w:t>
      </w:r>
      <w:r w:rsidRPr="009709C1">
        <w:rPr>
          <w:rFonts w:hint="eastAsia"/>
          <w:sz w:val="24"/>
          <w:szCs w:val="24"/>
          <w:lang w:val="zh-CN"/>
        </w:rPr>
        <w:t>包括通过职能审查或在秘书处整体运作中节省的费用。尽管对秘书处进行外部深入职能审查的主要目的在于评估秘书处的结构设置和资源配备是否足以有效履行职能，而非在于减少费用，而这项审查也在于支持秘书处采取行动，以多种方式提高其业务效率和成效。</w:t>
      </w:r>
      <w:r w:rsidRPr="009709C1">
        <w:rPr>
          <w:sz w:val="24"/>
          <w:szCs w:val="24"/>
        </w:rPr>
        <w:t xml:space="preserve"> </w:t>
      </w:r>
    </w:p>
    <w:p w14:paraId="524D12F7" w14:textId="77777777" w:rsidR="00973DA7" w:rsidRPr="009709C1" w:rsidRDefault="00973DA7" w:rsidP="007E7892">
      <w:pPr>
        <w:pStyle w:val="CBDNormalNumber"/>
        <w:numPr>
          <w:ilvl w:val="0"/>
          <w:numId w:val="8"/>
        </w:numPr>
        <w:topLinePunct/>
        <w:rPr>
          <w:kern w:val="2"/>
          <w:szCs w:val="24"/>
          <w:lang w:val="en-CA"/>
        </w:rPr>
      </w:pPr>
      <w:r w:rsidRPr="009709C1">
        <w:rPr>
          <w:rFonts w:hint="eastAsia"/>
          <w:sz w:val="24"/>
          <w:szCs w:val="24"/>
          <w:lang w:val="zh-CN"/>
        </w:rPr>
        <w:t>就生物多样性公约秘书处而言</w:t>
      </w:r>
      <w:r w:rsidRPr="009709C1">
        <w:rPr>
          <w:rFonts w:hint="eastAsia"/>
          <w:sz w:val="24"/>
          <w:szCs w:val="24"/>
          <w:lang w:val="en-CA"/>
        </w:rPr>
        <w:t>，</w:t>
      </w:r>
      <w:r w:rsidRPr="009709C1">
        <w:rPr>
          <w:rFonts w:hint="eastAsia"/>
          <w:sz w:val="24"/>
          <w:szCs w:val="24"/>
          <w:lang w:val="zh-CN"/>
        </w:rPr>
        <w:t>效率可通过以下关系进行评估</w:t>
      </w:r>
      <w:r w:rsidRPr="009709C1">
        <w:rPr>
          <w:rFonts w:hint="eastAsia"/>
          <w:sz w:val="24"/>
          <w:szCs w:val="24"/>
          <w:lang w:val="en-CA"/>
        </w:rPr>
        <w:t>：</w:t>
      </w:r>
      <w:r w:rsidRPr="009709C1">
        <w:rPr>
          <w:rFonts w:hint="eastAsia"/>
          <w:sz w:val="24"/>
          <w:szCs w:val="24"/>
          <w:lang w:val="zh-CN"/>
        </w:rPr>
        <w:t>投入的总资源和所用的时间与根据缔约方大会的决定而提供的服务的数量、质量及及时性之间的关系。如下表所示，通过更明确的职能调整</w:t>
      </w:r>
      <w:r w:rsidRPr="009709C1">
        <w:rPr>
          <w:sz w:val="24"/>
          <w:szCs w:val="24"/>
          <w:lang w:val="zh-CN"/>
        </w:rPr>
        <w:t>——</w:t>
      </w:r>
      <w:r w:rsidRPr="009709C1">
        <w:rPr>
          <w:rFonts w:hint="eastAsia"/>
          <w:sz w:val="24"/>
          <w:szCs w:val="24"/>
          <w:lang w:val="zh-CN"/>
        </w:rPr>
        <w:t>包括合并某些职能以及在不增加预算的情况下重新部署部分职位</w:t>
      </w:r>
      <w:r w:rsidRPr="009709C1">
        <w:rPr>
          <w:sz w:val="24"/>
          <w:szCs w:val="24"/>
          <w:lang w:val="zh-CN"/>
        </w:rPr>
        <w:t>——</w:t>
      </w:r>
      <w:r w:rsidRPr="009709C1">
        <w:rPr>
          <w:rFonts w:hint="eastAsia"/>
          <w:sz w:val="24"/>
          <w:szCs w:val="24"/>
          <w:lang w:val="zh-CN"/>
        </w:rPr>
        <w:t>职能审查的实施加强了高效开展工作的条件。</w:t>
      </w:r>
      <w:r w:rsidRPr="009709C1">
        <w:rPr>
          <w:sz w:val="24"/>
          <w:szCs w:val="24"/>
        </w:rPr>
        <w:t xml:space="preserve"> </w:t>
      </w:r>
    </w:p>
    <w:p w14:paraId="71DD7BDF" w14:textId="77777777" w:rsidR="00973DA7" w:rsidRDefault="00973DA7">
      <w:pPr>
        <w:tabs>
          <w:tab w:val="clear" w:pos="567"/>
          <w:tab w:val="clear" w:pos="1134"/>
          <w:tab w:val="clear" w:pos="1701"/>
          <w:tab w:val="clear" w:pos="2268"/>
        </w:tabs>
        <w:topLinePunct/>
        <w:jc w:val="left"/>
        <w:rPr>
          <w:kern w:val="2"/>
          <w:szCs w:val="24"/>
          <w:lang w:val="en-CA"/>
        </w:rPr>
      </w:pPr>
      <w:r>
        <w:rPr>
          <w:kern w:val="2"/>
          <w:szCs w:val="24"/>
          <w:lang w:val="en-CA"/>
        </w:rPr>
        <w:br w:type="page"/>
      </w:r>
    </w:p>
    <w:p w14:paraId="58E61AAA" w14:textId="77777777" w:rsidR="00973DA7" w:rsidRDefault="00973DA7">
      <w:pPr>
        <w:topLinePunct/>
        <w:spacing w:line="280" w:lineRule="auto"/>
        <w:jc w:val="left"/>
        <w:rPr>
          <w:kern w:val="2"/>
          <w:szCs w:val="24"/>
          <w:lang w:val="en-CA"/>
        </w:rPr>
      </w:pPr>
      <w:r>
        <w:rPr>
          <w:rFonts w:ascii="SimSun" w:hint="eastAsia"/>
          <w:szCs w:val="24"/>
          <w:lang w:val="zh-CN"/>
        </w:rPr>
        <w:lastRenderedPageBreak/>
        <w:t>表</w:t>
      </w:r>
      <w:r>
        <w:rPr>
          <w:szCs w:val="24"/>
          <w:lang w:val="zh-CN"/>
        </w:rPr>
        <w:t>1</w:t>
      </w:r>
      <w:r>
        <w:rPr>
          <w:b/>
          <w:szCs w:val="24"/>
          <w:lang w:val="zh-CN"/>
        </w:rPr>
        <w:br/>
      </w:r>
      <w:r>
        <w:rPr>
          <w:rFonts w:ascii="SimSun" w:hint="eastAsia"/>
          <w:b/>
          <w:szCs w:val="24"/>
          <w:lang w:val="zh-CN"/>
        </w:rPr>
        <w:t>通过职能审查确定的高效开展工作的条件</w:t>
      </w:r>
    </w:p>
    <w:tbl>
      <w:tblPr>
        <w:tblW w:w="93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975"/>
        <w:gridCol w:w="7381"/>
      </w:tblGrid>
      <w:tr w:rsidR="00973DA7" w14:paraId="088C01C9" w14:textId="77777777">
        <w:trPr>
          <w:cantSplit/>
          <w:tblHeader/>
          <w:jc w:val="center"/>
        </w:trPr>
        <w:tc>
          <w:tcPr>
            <w:tcW w:w="1975" w:type="dxa"/>
            <w:tcMar>
              <w:top w:w="90" w:type="dxa"/>
              <w:left w:w="90" w:type="dxa"/>
              <w:bottom w:w="90" w:type="dxa"/>
              <w:right w:w="90" w:type="dxa"/>
            </w:tcMar>
            <w:vAlign w:val="center"/>
          </w:tcPr>
          <w:p w14:paraId="0E99C0F4" w14:textId="77777777" w:rsidR="00973DA7" w:rsidRPr="00E7003F" w:rsidRDefault="00973DA7">
            <w:pPr>
              <w:topLinePunct/>
              <w:jc w:val="left"/>
            </w:pPr>
            <w:r w:rsidRPr="00E7003F">
              <w:rPr>
                <w:rFonts w:eastAsia="KaiTi" w:hint="eastAsia"/>
                <w:lang w:val="zh-CN"/>
              </w:rPr>
              <w:t>行动领域</w:t>
            </w:r>
          </w:p>
        </w:tc>
        <w:tc>
          <w:tcPr>
            <w:tcW w:w="7381" w:type="dxa"/>
            <w:tcMar>
              <w:top w:w="90" w:type="dxa"/>
              <w:left w:w="90" w:type="dxa"/>
              <w:bottom w:w="90" w:type="dxa"/>
              <w:right w:w="90" w:type="dxa"/>
            </w:tcMar>
            <w:vAlign w:val="center"/>
          </w:tcPr>
          <w:p w14:paraId="3B8C1846" w14:textId="77777777" w:rsidR="00973DA7" w:rsidRPr="00E7003F" w:rsidRDefault="00973DA7">
            <w:pPr>
              <w:topLinePunct/>
              <w:spacing w:before="40" w:after="40"/>
              <w:jc w:val="left"/>
            </w:pPr>
            <w:r w:rsidRPr="00E7003F">
              <w:rPr>
                <w:rFonts w:eastAsia="KaiTi" w:hint="eastAsia"/>
                <w:lang w:val="zh-CN"/>
              </w:rPr>
              <w:t>效率提升，包括节约费用的措施</w:t>
            </w:r>
          </w:p>
        </w:tc>
      </w:tr>
      <w:tr w:rsidR="00973DA7" w14:paraId="1468A82C" w14:textId="77777777">
        <w:trPr>
          <w:jc w:val="center"/>
        </w:trPr>
        <w:tc>
          <w:tcPr>
            <w:tcW w:w="1975" w:type="dxa"/>
            <w:tcMar>
              <w:top w:w="90" w:type="dxa"/>
              <w:left w:w="90" w:type="dxa"/>
              <w:bottom w:w="90" w:type="dxa"/>
              <w:right w:w="90" w:type="dxa"/>
            </w:tcMar>
            <w:vAlign w:val="center"/>
          </w:tcPr>
          <w:p w14:paraId="7E2D3303" w14:textId="77777777" w:rsidR="00973DA7" w:rsidRPr="00E7003F" w:rsidRDefault="00973DA7">
            <w:pPr>
              <w:topLinePunct/>
              <w:jc w:val="left"/>
            </w:pPr>
            <w:r w:rsidRPr="00E7003F">
              <w:rPr>
                <w:rFonts w:hint="eastAsia"/>
                <w:lang w:val="zh-CN"/>
              </w:rPr>
              <w:t>职能整合</w:t>
            </w:r>
          </w:p>
        </w:tc>
        <w:tc>
          <w:tcPr>
            <w:tcW w:w="7381" w:type="dxa"/>
            <w:tcMar>
              <w:top w:w="90" w:type="dxa"/>
              <w:left w:w="90" w:type="dxa"/>
              <w:bottom w:w="90" w:type="dxa"/>
              <w:right w:w="90" w:type="dxa"/>
            </w:tcMar>
            <w:vAlign w:val="center"/>
          </w:tcPr>
          <w:p w14:paraId="270B06BB" w14:textId="77777777" w:rsidR="00973DA7" w:rsidRPr="00E7003F" w:rsidRDefault="00973DA7">
            <w:pPr>
              <w:topLinePunct/>
              <w:spacing w:before="40" w:after="40"/>
              <w:jc w:val="left"/>
            </w:pPr>
            <w:r w:rsidRPr="00E7003F">
              <w:rPr>
                <w:rFonts w:hint="eastAsia"/>
                <w:lang w:val="zh-CN"/>
              </w:rPr>
              <w:t>通过职能审查新设立的</w:t>
            </w:r>
            <w:r w:rsidRPr="00E7003F">
              <w:t>“</w:t>
            </w:r>
            <w:r w:rsidRPr="00E7003F">
              <w:rPr>
                <w:rFonts w:hint="eastAsia"/>
                <w:lang w:val="zh-CN"/>
              </w:rPr>
              <w:t>科学、监测与能力建设司</w:t>
            </w:r>
            <w:r w:rsidRPr="00E7003F">
              <w:t>”</w:t>
            </w:r>
            <w:r w:rsidRPr="00E7003F">
              <w:rPr>
                <w:rFonts w:hint="eastAsia"/>
                <w:lang w:val="zh-CN"/>
              </w:rPr>
              <w:t>及</w:t>
            </w:r>
            <w:r w:rsidRPr="00E7003F">
              <w:t>“</w:t>
            </w:r>
            <w:r w:rsidRPr="00E7003F">
              <w:rPr>
                <w:rFonts w:hint="eastAsia"/>
                <w:lang w:val="zh-CN"/>
              </w:rPr>
              <w:t>经济与社会转型司</w:t>
            </w:r>
            <w:r w:rsidRPr="00E7003F">
              <w:t>”</w:t>
            </w:r>
            <w:r w:rsidRPr="00E7003F">
              <w:rPr>
                <w:rFonts w:hint="eastAsia"/>
                <w:lang w:val="zh-CN"/>
              </w:rPr>
              <w:t>整合了相关职能。此次重组将减少协调工作碎片化</w:t>
            </w:r>
            <w:r w:rsidRPr="00E7003F">
              <w:rPr>
                <w:rFonts w:hint="eastAsia"/>
                <w:lang w:val="en-US"/>
              </w:rPr>
              <w:t>，</w:t>
            </w:r>
            <w:r w:rsidRPr="00E7003F">
              <w:rPr>
                <w:rFonts w:hint="eastAsia"/>
                <w:lang w:val="zh-CN"/>
              </w:rPr>
              <w:t>并明确职能的归属。具体而言</w:t>
            </w:r>
            <w:r w:rsidRPr="00E7003F">
              <w:rPr>
                <w:rFonts w:hint="eastAsia"/>
                <w:lang w:val="en-US"/>
              </w:rPr>
              <w:t>，</w:t>
            </w:r>
            <w:r w:rsidRPr="00E7003F">
              <w:rPr>
                <w:rFonts w:hint="eastAsia"/>
                <w:lang w:val="zh-CN"/>
              </w:rPr>
              <w:t>这一调整为高效开展以下工作创造了有利条件</w:t>
            </w:r>
            <w:r w:rsidRPr="00E7003F">
              <w:rPr>
                <w:rFonts w:hint="eastAsia"/>
                <w:lang w:val="en-US"/>
              </w:rPr>
              <w:t>：</w:t>
            </w:r>
            <w:r w:rsidRPr="00E7003F">
              <w:rPr>
                <w:color w:val="000000"/>
              </w:rPr>
              <w:t xml:space="preserve"> </w:t>
            </w:r>
          </w:p>
          <w:p w14:paraId="6D0E0B86" w14:textId="77777777" w:rsidR="00973DA7" w:rsidRPr="00E7003F" w:rsidRDefault="00973DA7">
            <w:pPr>
              <w:topLinePunct/>
              <w:spacing w:before="40" w:after="40"/>
              <w:jc w:val="left"/>
              <w:rPr>
                <w:color w:val="000000"/>
              </w:rPr>
            </w:pPr>
            <w:r w:rsidRPr="00E7003F">
              <w:rPr>
                <w:rFonts w:hint="eastAsia"/>
              </w:rPr>
              <w:t>（</w:t>
            </w:r>
            <w:r w:rsidRPr="00E7003F">
              <w:t>a</w:t>
            </w:r>
            <w:r w:rsidRPr="00E7003F">
              <w:rPr>
                <w:rFonts w:hint="eastAsia"/>
              </w:rPr>
              <w:t>）</w:t>
            </w:r>
            <w:r w:rsidRPr="00E7003F">
              <w:rPr>
                <w:rFonts w:hint="eastAsia"/>
                <w:lang w:val="zh-CN"/>
              </w:rPr>
              <w:t>能力建设活动</w:t>
            </w:r>
            <w:r w:rsidRPr="00E7003F">
              <w:rPr>
                <w:rFonts w:hint="eastAsia"/>
              </w:rPr>
              <w:t>：</w:t>
            </w:r>
            <w:r w:rsidRPr="00E7003F">
              <w:rPr>
                <w:rFonts w:hint="eastAsia"/>
                <w:lang w:val="zh-CN"/>
              </w:rPr>
              <w:t>将专题方案项下的能力建设活动与区域和次区域技术与科学合作支持中心紧密联系起来</w:t>
            </w:r>
            <w:r w:rsidRPr="00E7003F">
              <w:rPr>
                <w:rFonts w:hint="eastAsia"/>
              </w:rPr>
              <w:t>；</w:t>
            </w:r>
          </w:p>
          <w:p w14:paraId="4EDCFA7B" w14:textId="77777777" w:rsidR="00973DA7" w:rsidRPr="00E7003F" w:rsidRDefault="00973DA7">
            <w:pPr>
              <w:topLinePunct/>
              <w:spacing w:before="40" w:after="40"/>
              <w:jc w:val="left"/>
              <w:rPr>
                <w:color w:val="000000"/>
              </w:rPr>
            </w:pPr>
            <w:r w:rsidRPr="00E7003F">
              <w:rPr>
                <w:rFonts w:hint="eastAsia"/>
              </w:rPr>
              <w:t>（</w:t>
            </w:r>
            <w:r w:rsidRPr="00E7003F">
              <w:t>b</w:t>
            </w:r>
            <w:r w:rsidRPr="00E7003F">
              <w:rPr>
                <w:rFonts w:hint="eastAsia"/>
              </w:rPr>
              <w:t>）</w:t>
            </w:r>
            <w:r w:rsidRPr="00E7003F">
              <w:rPr>
                <w:rFonts w:hint="eastAsia"/>
                <w:lang w:val="zh-CN"/>
              </w:rPr>
              <w:t>将专题工作方案产生的各类知识产品与秘书处的整体知识管理工作相衔接</w:t>
            </w:r>
            <w:r w:rsidRPr="00E7003F">
              <w:rPr>
                <w:rFonts w:hint="eastAsia"/>
              </w:rPr>
              <w:t>；</w:t>
            </w:r>
          </w:p>
          <w:p w14:paraId="0E82229E" w14:textId="77777777" w:rsidR="00973DA7" w:rsidRPr="00E7003F" w:rsidRDefault="00973DA7">
            <w:pPr>
              <w:topLinePunct/>
              <w:spacing w:before="40" w:after="40"/>
              <w:jc w:val="left"/>
              <w:rPr>
                <w:color w:val="000000"/>
              </w:rPr>
            </w:pPr>
            <w:r w:rsidRPr="00E7003F">
              <w:rPr>
                <w:rFonts w:hint="eastAsia"/>
              </w:rPr>
              <w:t>（</w:t>
            </w:r>
            <w:r w:rsidRPr="00E7003F">
              <w:t>c</w:t>
            </w:r>
            <w:r w:rsidRPr="00E7003F">
              <w:rPr>
                <w:rFonts w:hint="eastAsia"/>
              </w:rPr>
              <w:t>）</w:t>
            </w:r>
            <w:r w:rsidRPr="00E7003F">
              <w:rPr>
                <w:rFonts w:hint="eastAsia"/>
                <w:lang w:val="zh-CN"/>
              </w:rPr>
              <w:t>将基于生物群落的科学工作与监测、报告及审查工作相衔接</w:t>
            </w:r>
            <w:r w:rsidRPr="00E7003F">
              <w:rPr>
                <w:rFonts w:hint="eastAsia"/>
              </w:rPr>
              <w:t>；</w:t>
            </w:r>
          </w:p>
          <w:p w14:paraId="3176CA63" w14:textId="77777777" w:rsidR="00973DA7" w:rsidRPr="00E7003F" w:rsidRDefault="00973DA7">
            <w:pPr>
              <w:topLinePunct/>
              <w:spacing w:before="40" w:after="40"/>
              <w:jc w:val="left"/>
              <w:rPr>
                <w:color w:val="000000"/>
              </w:rPr>
            </w:pPr>
            <w:r w:rsidRPr="00E7003F">
              <w:rPr>
                <w:rFonts w:hint="eastAsia"/>
              </w:rPr>
              <w:t>（</w:t>
            </w:r>
            <w:r w:rsidRPr="00E7003F">
              <w:t>d</w:t>
            </w:r>
            <w:r w:rsidRPr="00E7003F">
              <w:rPr>
                <w:rFonts w:hint="eastAsia"/>
              </w:rPr>
              <w:t>）</w:t>
            </w:r>
            <w:r w:rsidRPr="00E7003F">
              <w:rPr>
                <w:rFonts w:hint="eastAsia"/>
                <w:lang w:val="zh-CN"/>
              </w:rPr>
              <w:t>紧密结合资源调动与财务机制</w:t>
            </w:r>
            <w:r w:rsidRPr="00E7003F">
              <w:rPr>
                <w:rFonts w:hint="eastAsia"/>
              </w:rPr>
              <w:t>；</w:t>
            </w:r>
          </w:p>
          <w:p w14:paraId="353EFA47" w14:textId="77777777" w:rsidR="00973DA7" w:rsidRPr="00E7003F" w:rsidRDefault="00973DA7">
            <w:pPr>
              <w:topLinePunct/>
              <w:spacing w:before="40" w:after="40"/>
              <w:jc w:val="left"/>
              <w:rPr>
                <w:color w:val="000000"/>
              </w:rPr>
            </w:pPr>
            <w:r w:rsidRPr="00E7003F">
              <w:rPr>
                <w:rFonts w:hint="eastAsia"/>
              </w:rPr>
              <w:t>（</w:t>
            </w:r>
            <w:r w:rsidRPr="00E7003F">
              <w:t>e</w:t>
            </w:r>
            <w:r w:rsidRPr="00E7003F">
              <w:rPr>
                <w:rFonts w:hint="eastAsia"/>
              </w:rPr>
              <w:t>）</w:t>
            </w:r>
            <w:r w:rsidRPr="00E7003F">
              <w:rPr>
                <w:rFonts w:hint="eastAsia"/>
                <w:lang w:val="zh-CN"/>
              </w:rPr>
              <w:t>加强土著人民和地方社区与各类利益攸关方接触的战略联系</w:t>
            </w:r>
            <w:r w:rsidRPr="00E7003F">
              <w:rPr>
                <w:rFonts w:hint="eastAsia"/>
              </w:rPr>
              <w:t>；</w:t>
            </w:r>
          </w:p>
          <w:p w14:paraId="4C14461E" w14:textId="77777777" w:rsidR="00973DA7" w:rsidRPr="00E7003F" w:rsidRDefault="00973DA7">
            <w:pPr>
              <w:topLinePunct/>
              <w:spacing w:before="40" w:after="40"/>
              <w:jc w:val="left"/>
              <w:rPr>
                <w:color w:val="000000"/>
              </w:rPr>
            </w:pPr>
            <w:r w:rsidRPr="00E7003F">
              <w:rPr>
                <w:rFonts w:hint="eastAsia"/>
              </w:rPr>
              <w:t>（</w:t>
            </w:r>
            <w:r w:rsidRPr="00E7003F">
              <w:t>f</w:t>
            </w:r>
            <w:r w:rsidRPr="00E7003F">
              <w:rPr>
                <w:rFonts w:hint="eastAsia"/>
              </w:rPr>
              <w:t>）</w:t>
            </w:r>
            <w:r w:rsidRPr="00E7003F">
              <w:rPr>
                <w:rFonts w:hint="eastAsia"/>
                <w:lang w:val="zh-CN"/>
              </w:rPr>
              <w:t>将利益攸关方的参与及主流化与宣传、教育及提高公众意识的职能相结合</w:t>
            </w:r>
            <w:r w:rsidRPr="00E7003F">
              <w:rPr>
                <w:rFonts w:hint="eastAsia"/>
              </w:rPr>
              <w:t>；</w:t>
            </w:r>
          </w:p>
          <w:p w14:paraId="40D2BBF3" w14:textId="77777777" w:rsidR="00973DA7" w:rsidRPr="00E7003F" w:rsidRDefault="00973DA7">
            <w:pPr>
              <w:topLinePunct/>
              <w:spacing w:before="40" w:after="40"/>
              <w:jc w:val="left"/>
            </w:pPr>
            <w:r w:rsidRPr="00E7003F">
              <w:rPr>
                <w:rFonts w:hint="eastAsia"/>
              </w:rPr>
              <w:t>（</w:t>
            </w:r>
            <w:r w:rsidRPr="00E7003F">
              <w:t>g</w:t>
            </w:r>
            <w:r w:rsidRPr="00E7003F">
              <w:rPr>
                <w:rFonts w:hint="eastAsia"/>
              </w:rPr>
              <w:t>）</w:t>
            </w:r>
            <w:r w:rsidRPr="00E7003F">
              <w:rPr>
                <w:rFonts w:hint="eastAsia"/>
                <w:lang w:val="zh-CN"/>
              </w:rPr>
              <w:t>整合为《生物多样性公约》及其两项议定书进行宣传、教育及提高公众意识的职能</w:t>
            </w:r>
            <w:r w:rsidRPr="00E7003F">
              <w:rPr>
                <w:rFonts w:hint="eastAsia"/>
              </w:rPr>
              <w:t>，</w:t>
            </w:r>
            <w:r w:rsidRPr="00E7003F">
              <w:rPr>
                <w:rFonts w:hint="eastAsia"/>
                <w:lang w:val="zh-CN"/>
              </w:rPr>
              <w:t>从而在打破部门间壁垒的同时</w:t>
            </w:r>
            <w:r w:rsidRPr="00E7003F">
              <w:rPr>
                <w:rFonts w:hint="eastAsia"/>
              </w:rPr>
              <w:t>，</w:t>
            </w:r>
            <w:r w:rsidRPr="00E7003F">
              <w:rPr>
                <w:rFonts w:hint="eastAsia"/>
                <w:lang w:val="zh-CN"/>
              </w:rPr>
              <w:t>高效分配现有工作人员的时间。</w:t>
            </w:r>
            <w:r w:rsidRPr="00E7003F">
              <w:rPr>
                <w:color w:val="000000"/>
              </w:rPr>
              <w:t xml:space="preserve"> </w:t>
            </w:r>
          </w:p>
          <w:p w14:paraId="6F8124F4" w14:textId="77777777" w:rsidR="00973DA7" w:rsidRPr="00E7003F" w:rsidRDefault="00973DA7">
            <w:pPr>
              <w:topLinePunct/>
              <w:spacing w:before="40" w:after="40"/>
              <w:jc w:val="left"/>
              <w:rPr>
                <w:color w:val="000000"/>
              </w:rPr>
            </w:pPr>
            <w:r w:rsidRPr="00E7003F">
              <w:rPr>
                <w:rFonts w:hint="eastAsia"/>
                <w:lang w:val="zh-CN"/>
              </w:rPr>
              <w:t>在此过程中</w:t>
            </w:r>
            <w:r w:rsidRPr="00E7003F">
              <w:rPr>
                <w:rFonts w:hint="eastAsia"/>
              </w:rPr>
              <w:t>，</w:t>
            </w:r>
            <w:r w:rsidRPr="00E7003F">
              <w:rPr>
                <w:rFonts w:hint="eastAsia"/>
                <w:lang w:val="zh-CN"/>
              </w:rPr>
              <w:t>在未增加预算的情况下</w:t>
            </w:r>
            <w:r w:rsidRPr="00E7003F">
              <w:rPr>
                <w:rFonts w:hint="eastAsia"/>
              </w:rPr>
              <w:t>，</w:t>
            </w:r>
            <w:r w:rsidRPr="00E7003F">
              <w:rPr>
                <w:rFonts w:hint="eastAsia"/>
                <w:lang w:val="zh-CN"/>
              </w:rPr>
              <w:t>设立了</w:t>
            </w:r>
            <w:r w:rsidRPr="00E7003F">
              <w:t>“</w:t>
            </w:r>
            <w:r w:rsidRPr="00E7003F">
              <w:rPr>
                <w:rFonts w:hint="eastAsia"/>
                <w:lang w:val="zh-CN"/>
              </w:rPr>
              <w:t>驱动因素和跨部门工作股</w:t>
            </w:r>
            <w:r w:rsidRPr="00E7003F">
              <w:t>”</w:t>
            </w:r>
            <w:r w:rsidRPr="00E7003F">
              <w:rPr>
                <w:rFonts w:hint="eastAsia"/>
              </w:rPr>
              <w:t>（</w:t>
            </w:r>
            <w:r w:rsidRPr="00E7003F">
              <w:rPr>
                <w:rFonts w:hint="eastAsia"/>
                <w:lang w:val="zh-CN"/>
              </w:rPr>
              <w:t>见</w:t>
            </w:r>
            <w:hyperlink r:id="rId37" w:history="1">
              <w:r w:rsidRPr="00E7003F">
                <w:rPr>
                  <w:rStyle w:val="Hyperlink"/>
                </w:rPr>
                <w:t>CBD/SBI/7/15/Add.1</w:t>
              </w:r>
            </w:hyperlink>
            <w:r w:rsidRPr="00E7003F">
              <w:rPr>
                <w:color w:val="000000"/>
              </w:rPr>
              <w:t>–</w:t>
            </w:r>
            <w:hyperlink r:id="rId38" w:history="1">
              <w:r w:rsidRPr="00E7003F">
                <w:rPr>
                  <w:rStyle w:val="Hyperlink"/>
                </w:rPr>
                <w:t>CBD/COP/17/4/Add.4</w:t>
              </w:r>
            </w:hyperlink>
            <w:r w:rsidRPr="00E7003F">
              <w:rPr>
                <w:rFonts w:hint="eastAsia"/>
                <w:lang w:val="zh-CN"/>
              </w:rPr>
              <w:t>号文件表</w:t>
            </w:r>
            <w:r w:rsidRPr="00E7003F">
              <w:t>1</w:t>
            </w:r>
            <w:r w:rsidRPr="00E7003F">
              <w:rPr>
                <w:rFonts w:hint="eastAsia"/>
              </w:rPr>
              <w:t>），</w:t>
            </w:r>
            <w:r w:rsidRPr="00E7003F">
              <w:rPr>
                <w:rFonts w:hint="eastAsia"/>
                <w:lang w:val="zh-CN"/>
              </w:rPr>
              <w:t>以便以协调一致的方式</w:t>
            </w:r>
            <w:r w:rsidRPr="00E7003F">
              <w:rPr>
                <w:rFonts w:hint="eastAsia"/>
              </w:rPr>
              <w:t>，</w:t>
            </w:r>
            <w:r w:rsidRPr="00E7003F">
              <w:rPr>
                <w:rFonts w:hint="eastAsia"/>
                <w:lang w:val="zh-CN"/>
              </w:rPr>
              <w:t>加强解决生物多样性丧失的驱动因素。</w:t>
            </w:r>
          </w:p>
          <w:p w14:paraId="48739003" w14:textId="77777777" w:rsidR="00973DA7" w:rsidRPr="00E7003F" w:rsidRDefault="00973DA7">
            <w:pPr>
              <w:topLinePunct/>
              <w:spacing w:before="40" w:after="40"/>
              <w:jc w:val="left"/>
            </w:pPr>
            <w:r w:rsidRPr="00E7003F">
              <w:rPr>
                <w:rFonts w:hint="eastAsia"/>
                <w:lang w:val="zh-CN"/>
              </w:rPr>
              <w:t>原属于信息技术股的一个</w:t>
            </w:r>
            <w:r w:rsidRPr="00E7003F">
              <w:t>P-3</w:t>
            </w:r>
            <w:r w:rsidRPr="00E7003F">
              <w:rPr>
                <w:rFonts w:hint="eastAsia"/>
                <w:lang w:val="zh-CN"/>
              </w:rPr>
              <w:t>级职位被重新调配至</w:t>
            </w:r>
            <w:r w:rsidRPr="00E7003F">
              <w:t>“</w:t>
            </w:r>
            <w:r w:rsidRPr="00E7003F">
              <w:rPr>
                <w:rFonts w:hint="eastAsia"/>
                <w:lang w:val="zh-CN"/>
              </w:rPr>
              <w:t>驱动因素和跨部门工作股</w:t>
            </w:r>
            <w:r w:rsidRPr="00E7003F">
              <w:t>”</w:t>
            </w:r>
            <w:r w:rsidRPr="00E7003F">
              <w:rPr>
                <w:rFonts w:hint="eastAsia"/>
              </w:rPr>
              <w:t>；</w:t>
            </w:r>
            <w:r w:rsidRPr="00E7003F">
              <w:rPr>
                <w:rFonts w:hint="eastAsia"/>
                <w:lang w:val="zh-CN"/>
              </w:rPr>
              <w:t>信息技术股出现的空缺改设一个</w:t>
            </w:r>
            <w:r w:rsidRPr="00E7003F">
              <w:t>P-2</w:t>
            </w:r>
            <w:r w:rsidRPr="00E7003F">
              <w:rPr>
                <w:rFonts w:hint="eastAsia"/>
                <w:lang w:val="zh-CN"/>
              </w:rPr>
              <w:t>级职位</w:t>
            </w:r>
            <w:r w:rsidRPr="00E7003F">
              <w:rPr>
                <w:rFonts w:hint="eastAsia"/>
              </w:rPr>
              <w:t>（</w:t>
            </w:r>
            <w:r w:rsidRPr="00E7003F">
              <w:rPr>
                <w:rFonts w:hint="eastAsia"/>
                <w:lang w:val="zh-CN"/>
              </w:rPr>
              <w:t>以替代原</w:t>
            </w:r>
            <w:r w:rsidRPr="00E7003F">
              <w:t>P-3</w:t>
            </w:r>
            <w:r w:rsidRPr="00E7003F">
              <w:rPr>
                <w:rFonts w:hint="eastAsia"/>
                <w:lang w:val="zh-CN"/>
              </w:rPr>
              <w:t>级职位</w:t>
            </w:r>
            <w:r w:rsidRPr="00E7003F">
              <w:rPr>
                <w:rFonts w:hint="eastAsia"/>
              </w:rPr>
              <w:t>），</w:t>
            </w:r>
            <w:r w:rsidRPr="00E7003F">
              <w:rPr>
                <w:rFonts w:hint="eastAsia"/>
                <w:lang w:val="zh-CN"/>
              </w:rPr>
              <w:t>从而实现整体费用节省。尽管为确保该工作股全面运作而要求增设两名</w:t>
            </w:r>
            <w:r w:rsidRPr="00E7003F">
              <w:rPr>
                <w:lang w:val="en-US"/>
              </w:rPr>
              <w:t>P-3</w:t>
            </w:r>
            <w:r w:rsidRPr="00E7003F">
              <w:rPr>
                <w:rFonts w:hint="eastAsia"/>
                <w:lang w:val="zh-CN"/>
              </w:rPr>
              <w:t>级别人员以填补专业能力缺口</w:t>
            </w:r>
            <w:r w:rsidRPr="00E7003F">
              <w:rPr>
                <w:rFonts w:hint="eastAsia"/>
                <w:lang w:val="en-US"/>
              </w:rPr>
              <w:t>，</w:t>
            </w:r>
            <w:r w:rsidRPr="00E7003F">
              <w:rPr>
                <w:rFonts w:hint="eastAsia"/>
                <w:lang w:val="zh-CN"/>
              </w:rPr>
              <w:t>但作为一项节省费用的措施</w:t>
            </w:r>
            <w:r w:rsidRPr="00E7003F">
              <w:rPr>
                <w:rFonts w:hint="eastAsia"/>
                <w:lang w:val="en-US"/>
              </w:rPr>
              <w:t>，</w:t>
            </w:r>
            <w:r w:rsidRPr="00E7003F">
              <w:rPr>
                <w:rFonts w:hint="eastAsia"/>
                <w:lang w:val="zh-CN"/>
              </w:rPr>
              <w:t>没有提出要求提高该新增工作股负责人职位的级别。</w:t>
            </w:r>
            <w:r w:rsidRPr="00E7003F">
              <w:rPr>
                <w:color w:val="000000"/>
              </w:rPr>
              <w:t xml:space="preserve"> </w:t>
            </w:r>
          </w:p>
        </w:tc>
      </w:tr>
      <w:tr w:rsidR="00973DA7" w14:paraId="65B33AA9" w14:textId="77777777">
        <w:trPr>
          <w:cantSplit/>
          <w:jc w:val="center"/>
        </w:trPr>
        <w:tc>
          <w:tcPr>
            <w:tcW w:w="1975" w:type="dxa"/>
            <w:tcMar>
              <w:top w:w="90" w:type="dxa"/>
              <w:left w:w="90" w:type="dxa"/>
              <w:bottom w:w="90" w:type="dxa"/>
              <w:right w:w="90" w:type="dxa"/>
            </w:tcMar>
            <w:vAlign w:val="center"/>
          </w:tcPr>
          <w:p w14:paraId="0E0854BD" w14:textId="77777777" w:rsidR="00973DA7" w:rsidRPr="00E7003F" w:rsidRDefault="00973DA7">
            <w:pPr>
              <w:topLinePunct/>
              <w:jc w:val="left"/>
            </w:pPr>
            <w:r w:rsidRPr="00E7003F">
              <w:rPr>
                <w:rFonts w:hint="eastAsia"/>
                <w:lang w:val="zh-CN"/>
              </w:rPr>
              <w:t>整合并加强会议服务</w:t>
            </w:r>
          </w:p>
        </w:tc>
        <w:tc>
          <w:tcPr>
            <w:tcW w:w="7381" w:type="dxa"/>
            <w:tcMar>
              <w:top w:w="90" w:type="dxa"/>
              <w:left w:w="90" w:type="dxa"/>
              <w:bottom w:w="90" w:type="dxa"/>
              <w:right w:w="90" w:type="dxa"/>
            </w:tcMar>
            <w:vAlign w:val="center"/>
          </w:tcPr>
          <w:p w14:paraId="70A78556" w14:textId="77777777" w:rsidR="00973DA7" w:rsidRPr="00E7003F" w:rsidRDefault="00973DA7">
            <w:pPr>
              <w:topLinePunct/>
              <w:spacing w:before="40" w:after="40"/>
              <w:jc w:val="left"/>
            </w:pPr>
            <w:r w:rsidRPr="00E7003F">
              <w:rPr>
                <w:rFonts w:hint="eastAsia"/>
                <w:lang w:val="zh-CN"/>
              </w:rPr>
              <w:t>修订后的组织架构设立了一个独立的会议事务科</w:t>
            </w:r>
            <w:r w:rsidRPr="00E7003F">
              <w:rPr>
                <w:rFonts w:hint="eastAsia"/>
              </w:rPr>
              <w:t>，</w:t>
            </w:r>
            <w:r w:rsidRPr="00E7003F">
              <w:rPr>
                <w:rFonts w:hint="eastAsia"/>
                <w:lang w:val="zh-CN"/>
              </w:rPr>
              <w:t>将以往分散在不同单位且缺乏强有力高层领导与问责机制的会议规划与业务整合在一起。原设于</w:t>
            </w:r>
            <w:r w:rsidRPr="00E7003F">
              <w:rPr>
                <w:lang w:val="en-US"/>
              </w:rPr>
              <w:t>“</w:t>
            </w:r>
            <w:proofErr w:type="gramStart"/>
            <w:r w:rsidRPr="00E7003F">
              <w:rPr>
                <w:rStyle w:val="style21"/>
                <w:rFonts w:hint="eastAsia"/>
                <w:sz w:val="22"/>
                <w:szCs w:val="22"/>
                <w:lang w:val="zh-CN"/>
              </w:rPr>
              <w:t>利益攸关方参与和合作股</w:t>
            </w:r>
            <w:r w:rsidRPr="00E7003F">
              <w:rPr>
                <w:lang w:val="en-US"/>
              </w:rPr>
              <w:t>”</w:t>
            </w:r>
            <w:r w:rsidRPr="00E7003F">
              <w:rPr>
                <w:rFonts w:hint="eastAsia"/>
                <w:lang w:val="zh-CN"/>
              </w:rPr>
              <w:t>的一个</w:t>
            </w:r>
            <w:proofErr w:type="gramEnd"/>
            <w:r w:rsidRPr="00E7003F">
              <w:rPr>
                <w:lang w:val="en-US"/>
              </w:rPr>
              <w:t>P-5</w:t>
            </w:r>
            <w:r w:rsidRPr="00E7003F">
              <w:rPr>
                <w:rFonts w:hint="eastAsia"/>
                <w:lang w:val="zh-CN"/>
              </w:rPr>
              <w:t>级职位</w:t>
            </w:r>
            <w:r w:rsidRPr="00E7003F">
              <w:rPr>
                <w:rFonts w:hint="eastAsia"/>
                <w:lang w:val="en-US"/>
              </w:rPr>
              <w:t>，</w:t>
            </w:r>
            <w:r w:rsidRPr="00E7003F">
              <w:rPr>
                <w:rFonts w:hint="eastAsia"/>
                <w:lang w:val="zh-CN"/>
              </w:rPr>
              <w:t>在现任人员退休后空缺</w:t>
            </w:r>
            <w:r w:rsidRPr="00E7003F">
              <w:rPr>
                <w:rFonts w:hint="eastAsia"/>
                <w:lang w:val="en-US"/>
              </w:rPr>
              <w:t>，</w:t>
            </w:r>
            <w:r w:rsidRPr="00E7003F">
              <w:rPr>
                <w:rFonts w:hint="eastAsia"/>
                <w:lang w:val="zh-CN"/>
              </w:rPr>
              <w:t>现已被重新调配以领导新设立的会议事务科</w:t>
            </w:r>
            <w:r w:rsidRPr="00E7003F">
              <w:rPr>
                <w:rFonts w:hint="eastAsia"/>
                <w:lang w:val="en-US"/>
              </w:rPr>
              <w:t>，</w:t>
            </w:r>
            <w:r w:rsidRPr="00E7003F">
              <w:rPr>
                <w:rFonts w:hint="eastAsia"/>
                <w:lang w:val="zh-CN"/>
              </w:rPr>
              <w:t>从而避免增设一个</w:t>
            </w:r>
            <w:r w:rsidRPr="00E7003F">
              <w:rPr>
                <w:lang w:val="en-US"/>
              </w:rPr>
              <w:t>P-5</w:t>
            </w:r>
            <w:r w:rsidRPr="00E7003F">
              <w:rPr>
                <w:rFonts w:hint="eastAsia"/>
                <w:lang w:val="zh-CN"/>
              </w:rPr>
              <w:t>级职位的需要。原负责合作事务的</w:t>
            </w:r>
            <w:r w:rsidRPr="00E7003F">
              <w:rPr>
                <w:lang w:val="en-US"/>
              </w:rPr>
              <w:t>P-5</w:t>
            </w:r>
            <w:proofErr w:type="gramStart"/>
            <w:r w:rsidRPr="00E7003F">
              <w:rPr>
                <w:rFonts w:hint="eastAsia"/>
                <w:lang w:val="zh-CN"/>
              </w:rPr>
              <w:t>级高层领导职能与原负责</w:t>
            </w:r>
            <w:r w:rsidRPr="00E7003F">
              <w:rPr>
                <w:lang w:val="en-US"/>
              </w:rPr>
              <w:t>“</w:t>
            </w:r>
            <w:r w:rsidRPr="00E7003F">
              <w:rPr>
                <w:rFonts w:hint="eastAsia"/>
                <w:lang w:val="zh-CN"/>
              </w:rPr>
              <w:t>土著人民和地方社区及传统知识</w:t>
            </w:r>
            <w:r w:rsidRPr="00E7003F">
              <w:rPr>
                <w:lang w:val="en-US"/>
              </w:rPr>
              <w:t>”</w:t>
            </w:r>
            <w:r w:rsidRPr="00E7003F">
              <w:rPr>
                <w:rFonts w:hint="eastAsia"/>
                <w:lang w:val="zh-CN"/>
              </w:rPr>
              <w:t>事务的</w:t>
            </w:r>
            <w:proofErr w:type="gramEnd"/>
            <w:r w:rsidRPr="00E7003F">
              <w:rPr>
                <w:lang w:val="en-US"/>
              </w:rPr>
              <w:t>P-5</w:t>
            </w:r>
            <w:r w:rsidRPr="00E7003F">
              <w:rPr>
                <w:rFonts w:hint="eastAsia"/>
                <w:lang w:val="zh-CN"/>
              </w:rPr>
              <w:t>级职位职能进行了合并</w:t>
            </w:r>
            <w:r w:rsidRPr="00E7003F">
              <w:rPr>
                <w:rFonts w:hint="eastAsia"/>
                <w:lang w:val="en-US"/>
              </w:rPr>
              <w:t>，</w:t>
            </w:r>
            <w:r w:rsidRPr="00E7003F">
              <w:rPr>
                <w:rFonts w:hint="eastAsia"/>
                <w:lang w:val="zh-CN"/>
              </w:rPr>
              <w:t>这实际上节省了高层人员配置的费用。</w:t>
            </w:r>
          </w:p>
        </w:tc>
      </w:tr>
      <w:tr w:rsidR="00973DA7" w14:paraId="53E72670" w14:textId="77777777">
        <w:trPr>
          <w:jc w:val="center"/>
        </w:trPr>
        <w:tc>
          <w:tcPr>
            <w:tcW w:w="1975" w:type="dxa"/>
            <w:tcMar>
              <w:top w:w="90" w:type="dxa"/>
              <w:left w:w="90" w:type="dxa"/>
              <w:bottom w:w="90" w:type="dxa"/>
              <w:right w:w="90" w:type="dxa"/>
            </w:tcMar>
            <w:vAlign w:val="center"/>
          </w:tcPr>
          <w:p w14:paraId="27DE6081" w14:textId="77777777" w:rsidR="00973DA7" w:rsidRPr="00E7003F" w:rsidRDefault="00973DA7">
            <w:pPr>
              <w:topLinePunct/>
              <w:jc w:val="left"/>
            </w:pPr>
            <w:r w:rsidRPr="00E7003F">
              <w:rPr>
                <w:rFonts w:hint="eastAsia"/>
                <w:lang w:val="zh-CN"/>
              </w:rPr>
              <w:t>整合信息技术服务与数字转型支持</w:t>
            </w:r>
          </w:p>
        </w:tc>
        <w:tc>
          <w:tcPr>
            <w:tcW w:w="7381" w:type="dxa"/>
            <w:tcMar>
              <w:top w:w="90" w:type="dxa"/>
              <w:left w:w="90" w:type="dxa"/>
              <w:bottom w:w="90" w:type="dxa"/>
              <w:right w:w="90" w:type="dxa"/>
            </w:tcMar>
            <w:vAlign w:val="center"/>
          </w:tcPr>
          <w:p w14:paraId="1928F90D" w14:textId="77777777" w:rsidR="00973DA7" w:rsidRPr="00E7003F" w:rsidRDefault="00973DA7">
            <w:pPr>
              <w:topLinePunct/>
              <w:spacing w:before="40" w:after="40"/>
              <w:jc w:val="left"/>
            </w:pPr>
            <w:r w:rsidRPr="00E7003F">
              <w:rPr>
                <w:rFonts w:hint="eastAsia"/>
                <w:lang w:val="zh-CN"/>
              </w:rPr>
              <w:t>修订后的组织架构整合了</w:t>
            </w:r>
            <w:r w:rsidRPr="00E7003F">
              <w:t>“</w:t>
            </w:r>
            <w:r w:rsidRPr="00E7003F">
              <w:rPr>
                <w:rFonts w:hint="eastAsia"/>
                <w:lang w:val="zh-CN"/>
              </w:rPr>
              <w:t>信息技术和数字转型股</w:t>
            </w:r>
            <w:r w:rsidRPr="00E7003F">
              <w:t>”</w:t>
            </w:r>
            <w:r w:rsidRPr="00E7003F">
              <w:rPr>
                <w:rFonts w:hint="eastAsia"/>
                <w:lang w:val="zh-CN"/>
              </w:rPr>
              <w:t>和管理服务与合规职能部门</w:t>
            </w:r>
            <w:r w:rsidRPr="00E7003F">
              <w:rPr>
                <w:rFonts w:hint="eastAsia"/>
              </w:rPr>
              <w:t>（</w:t>
            </w:r>
            <w:r w:rsidRPr="00E7003F">
              <w:rPr>
                <w:rFonts w:hint="eastAsia"/>
                <w:lang w:val="zh-CN"/>
              </w:rPr>
              <w:t>此前这两项职能分属两个不同部门</w:t>
            </w:r>
            <w:r w:rsidRPr="00E7003F">
              <w:rPr>
                <w:rFonts w:hint="eastAsia"/>
              </w:rPr>
              <w:t>）</w:t>
            </w:r>
            <w:r w:rsidRPr="00E7003F">
              <w:rPr>
                <w:rFonts w:hint="eastAsia"/>
                <w:lang w:val="zh-CN"/>
              </w:rPr>
              <w:t>。这一整合的体系有助于提高效率</w:t>
            </w:r>
            <w:r w:rsidRPr="00E7003F">
              <w:rPr>
                <w:rFonts w:hint="eastAsia"/>
                <w:lang w:val="en-US"/>
              </w:rPr>
              <w:t>，</w:t>
            </w:r>
            <w:r w:rsidRPr="00E7003F">
              <w:rPr>
                <w:rFonts w:hint="eastAsia"/>
                <w:lang w:val="zh-CN"/>
              </w:rPr>
              <w:t>支持共同的信息技术治理系统、风险控制及数字转型</w:t>
            </w:r>
            <w:r w:rsidRPr="00E7003F">
              <w:rPr>
                <w:rFonts w:hint="eastAsia"/>
                <w:lang w:val="en-US"/>
              </w:rPr>
              <w:t>，</w:t>
            </w:r>
            <w:r w:rsidRPr="00E7003F">
              <w:rPr>
                <w:rFonts w:hint="eastAsia"/>
                <w:lang w:val="zh-CN"/>
              </w:rPr>
              <w:t>从而确保《生物多样性公约》及其议定书下政府间进程的有效运作</w:t>
            </w:r>
            <w:r w:rsidRPr="00E7003F">
              <w:rPr>
                <w:rFonts w:hint="eastAsia"/>
                <w:lang w:val="en-US"/>
              </w:rPr>
              <w:t>，</w:t>
            </w:r>
            <w:r w:rsidRPr="00E7003F">
              <w:rPr>
                <w:rFonts w:hint="eastAsia"/>
                <w:lang w:val="zh-CN"/>
              </w:rPr>
              <w:t>包括会议、信息交换所机制及负责任地使用人工智能技术。作为一项节省费用的措施</w:t>
            </w:r>
            <w:r w:rsidRPr="00E7003F">
              <w:rPr>
                <w:rFonts w:hint="eastAsia"/>
                <w:lang w:val="en-US"/>
              </w:rPr>
              <w:t>，</w:t>
            </w:r>
            <w:r w:rsidRPr="00E7003F">
              <w:rPr>
                <w:rFonts w:hint="eastAsia"/>
                <w:lang w:val="zh-CN"/>
              </w:rPr>
              <w:t>信息技术小组在一名</w:t>
            </w:r>
            <w:r w:rsidRPr="00E7003F">
              <w:rPr>
                <w:lang w:val="en-US"/>
              </w:rPr>
              <w:t>P-3</w:t>
            </w:r>
            <w:r w:rsidRPr="00E7003F">
              <w:rPr>
                <w:rFonts w:hint="eastAsia"/>
                <w:lang w:val="zh-CN"/>
              </w:rPr>
              <w:t>级人员退休后腾出了该职位</w:t>
            </w:r>
            <w:r w:rsidRPr="00E7003F">
              <w:rPr>
                <w:rFonts w:hint="eastAsia"/>
                <w:lang w:val="en-US"/>
              </w:rPr>
              <w:t>，</w:t>
            </w:r>
            <w:r w:rsidRPr="00E7003F">
              <w:rPr>
                <w:rFonts w:hint="eastAsia"/>
                <w:lang w:val="zh-CN"/>
              </w:rPr>
              <w:t>并将其重新调配至</w:t>
            </w:r>
            <w:r w:rsidRPr="00E7003F">
              <w:rPr>
                <w:lang w:val="en-US"/>
              </w:rPr>
              <w:t>“</w:t>
            </w:r>
            <w:r w:rsidRPr="00E7003F">
              <w:rPr>
                <w:rFonts w:hint="eastAsia"/>
                <w:lang w:val="zh-CN"/>
              </w:rPr>
              <w:t>驱动因素和跨部门工作股</w:t>
            </w:r>
            <w:r w:rsidRPr="00E7003F">
              <w:rPr>
                <w:lang w:val="en-US"/>
              </w:rPr>
              <w:t>”</w:t>
            </w:r>
            <w:r w:rsidRPr="00E7003F">
              <w:rPr>
                <w:rFonts w:hint="eastAsia"/>
                <w:lang w:val="zh-CN"/>
              </w:rPr>
              <w:t>。为填补支持数字转型方面的专业知识缺口，要求</w:t>
            </w:r>
            <w:r w:rsidRPr="00E7003F">
              <w:rPr>
                <w:rFonts w:hint="eastAsia"/>
                <w:lang w:val="zh-CN"/>
              </w:rPr>
              <w:lastRenderedPageBreak/>
              <w:t>增设一个</w:t>
            </w:r>
            <w:r w:rsidRPr="00E7003F">
              <w:rPr>
                <w:lang w:val="zh-CN"/>
              </w:rPr>
              <w:t>P-2</w:t>
            </w:r>
            <w:r w:rsidRPr="00E7003F">
              <w:rPr>
                <w:rFonts w:hint="eastAsia"/>
                <w:lang w:val="zh-CN"/>
              </w:rPr>
              <w:t>级职位，并对现有人员的职能进行重新分配，这将带来整体的节省费用。</w:t>
            </w:r>
          </w:p>
        </w:tc>
      </w:tr>
      <w:tr w:rsidR="00973DA7" w14:paraId="44B09A03" w14:textId="77777777">
        <w:trPr>
          <w:cantSplit/>
          <w:jc w:val="center"/>
        </w:trPr>
        <w:tc>
          <w:tcPr>
            <w:tcW w:w="1975" w:type="dxa"/>
            <w:tcMar>
              <w:top w:w="90" w:type="dxa"/>
              <w:left w:w="90" w:type="dxa"/>
              <w:bottom w:w="90" w:type="dxa"/>
              <w:right w:w="90" w:type="dxa"/>
            </w:tcMar>
            <w:vAlign w:val="center"/>
          </w:tcPr>
          <w:p w14:paraId="65BA71CC" w14:textId="77777777" w:rsidR="00973DA7" w:rsidRPr="00E7003F" w:rsidRDefault="00973DA7">
            <w:pPr>
              <w:topLinePunct/>
              <w:jc w:val="left"/>
            </w:pPr>
            <w:r w:rsidRPr="00E7003F">
              <w:rPr>
                <w:rFonts w:hint="eastAsia"/>
                <w:lang w:val="zh-CN"/>
              </w:rPr>
              <w:lastRenderedPageBreak/>
              <w:t>不增加预算的职位调配以支持变革管理和提高行政效率</w:t>
            </w:r>
          </w:p>
        </w:tc>
        <w:tc>
          <w:tcPr>
            <w:tcW w:w="7381" w:type="dxa"/>
            <w:tcMar>
              <w:top w:w="90" w:type="dxa"/>
              <w:left w:w="90" w:type="dxa"/>
              <w:bottom w:w="90" w:type="dxa"/>
              <w:right w:w="90" w:type="dxa"/>
            </w:tcMar>
            <w:vAlign w:val="center"/>
          </w:tcPr>
          <w:p w14:paraId="3CAC9A84" w14:textId="77777777" w:rsidR="00973DA7" w:rsidRPr="00E7003F" w:rsidRDefault="00973DA7">
            <w:pPr>
              <w:topLinePunct/>
              <w:spacing w:before="40" w:after="40"/>
              <w:jc w:val="left"/>
            </w:pPr>
            <w:r w:rsidRPr="00E7003F">
              <w:rPr>
                <w:rFonts w:hint="eastAsia"/>
                <w:lang w:val="zh-CN"/>
              </w:rPr>
              <w:t>原设于纽约联络处</w:t>
            </w:r>
            <w:r w:rsidRPr="00E7003F">
              <w:rPr>
                <w:rFonts w:hint="eastAsia"/>
              </w:rPr>
              <w:t>（</w:t>
            </w:r>
            <w:r w:rsidRPr="00E7003F">
              <w:rPr>
                <w:rFonts w:hint="eastAsia"/>
                <w:lang w:val="zh-CN"/>
              </w:rPr>
              <w:t>与联合国防治荒漠化公约秘书处共用</w:t>
            </w:r>
            <w:r w:rsidRPr="00E7003F">
              <w:rPr>
                <w:rFonts w:hint="eastAsia"/>
              </w:rPr>
              <w:t>）</w:t>
            </w:r>
            <w:r w:rsidRPr="00E7003F">
              <w:rPr>
                <w:rFonts w:hint="eastAsia"/>
                <w:lang w:val="zh-CN"/>
              </w:rPr>
              <w:t>的一个由支助费用</w:t>
            </w:r>
            <w:r w:rsidRPr="00E7003F">
              <w:rPr>
                <w:rFonts w:hint="eastAsia"/>
              </w:rPr>
              <w:t>（</w:t>
            </w:r>
            <w:r w:rsidRPr="00E7003F">
              <w:t>OTA</w:t>
            </w:r>
            <w:r w:rsidRPr="00E7003F">
              <w:rPr>
                <w:rFonts w:hint="eastAsia"/>
              </w:rPr>
              <w:t>）</w:t>
            </w:r>
            <w:r w:rsidRPr="00E7003F">
              <w:rPr>
                <w:rFonts w:hint="eastAsia"/>
                <w:lang w:val="zh-CN"/>
              </w:rPr>
              <w:t>供资的</w:t>
            </w:r>
            <w:r w:rsidRPr="00E7003F">
              <w:t>P-4</w:t>
            </w:r>
            <w:r w:rsidRPr="00E7003F">
              <w:rPr>
                <w:rFonts w:hint="eastAsia"/>
                <w:lang w:val="zh-CN"/>
              </w:rPr>
              <w:t>级职位的</w:t>
            </w:r>
            <w:r w:rsidRPr="00E7003F">
              <w:t>50%</w:t>
            </w:r>
            <w:r w:rsidRPr="00E7003F">
              <w:rPr>
                <w:rFonts w:hint="eastAsia"/>
                <w:lang w:val="zh-CN"/>
              </w:rPr>
              <w:t>工作量在现任人员退休及该联络处关闭后被重新调配</w:t>
            </w:r>
            <w:r w:rsidRPr="00E7003F">
              <w:rPr>
                <w:rFonts w:hint="eastAsia"/>
              </w:rPr>
              <w:t>，</w:t>
            </w:r>
            <w:r w:rsidRPr="00E7003F">
              <w:rPr>
                <w:rFonts w:hint="eastAsia"/>
                <w:lang w:val="zh-CN"/>
              </w:rPr>
              <w:t>以加强</w:t>
            </w:r>
            <w:r w:rsidRPr="00E7003F">
              <w:t>“</w:t>
            </w:r>
            <w:r w:rsidRPr="00E7003F">
              <w:rPr>
                <w:rStyle w:val="style21"/>
                <w:rFonts w:hint="eastAsia"/>
                <w:sz w:val="22"/>
                <w:szCs w:val="22"/>
                <w:lang w:val="zh-CN"/>
              </w:rPr>
              <w:t>行政与业务支助科</w:t>
            </w:r>
            <w:r w:rsidRPr="00E7003F">
              <w:t>”</w:t>
            </w:r>
            <w:r w:rsidRPr="00E7003F">
              <w:rPr>
                <w:rFonts w:hint="eastAsia"/>
                <w:lang w:val="zh-CN"/>
              </w:rPr>
              <w:t>的工作</w:t>
            </w:r>
            <w:r w:rsidRPr="00E7003F">
              <w:t>——</w:t>
            </w:r>
            <w:r w:rsidRPr="00E7003F">
              <w:rPr>
                <w:rFonts w:hint="eastAsia"/>
                <w:lang w:val="zh-CN"/>
              </w:rPr>
              <w:t>具体通过设立</w:t>
            </w:r>
            <w:r w:rsidRPr="00E7003F">
              <w:t>“</w:t>
            </w:r>
            <w:r w:rsidRPr="00E7003F">
              <w:rPr>
                <w:rFonts w:hint="eastAsia"/>
                <w:lang w:val="zh-CN"/>
              </w:rPr>
              <w:t>管理事务与合规股</w:t>
            </w:r>
            <w:r w:rsidRPr="00E7003F">
              <w:t>”</w:t>
            </w:r>
            <w:r w:rsidRPr="00E7003F">
              <w:rPr>
                <w:rFonts w:hint="eastAsia"/>
                <w:lang w:val="zh-CN"/>
              </w:rPr>
              <w:t>来实现</w:t>
            </w:r>
            <w:r w:rsidRPr="00E7003F">
              <w:t>——</w:t>
            </w:r>
            <w:r w:rsidRPr="00E7003F">
              <w:rPr>
                <w:rFonts w:hint="eastAsia"/>
                <w:lang w:val="zh-CN"/>
              </w:rPr>
              <w:t>重点关注变革管理以及提高行政与业务效率。通过这种方式</w:t>
            </w:r>
            <w:r w:rsidRPr="00E7003F">
              <w:rPr>
                <w:rFonts w:hint="eastAsia"/>
                <w:lang w:val="en-US"/>
              </w:rPr>
              <w:t>，</w:t>
            </w:r>
            <w:r w:rsidRPr="00E7003F">
              <w:rPr>
                <w:rFonts w:hint="eastAsia"/>
                <w:lang w:val="zh-CN"/>
              </w:rPr>
              <w:t>秘书处将有一个专门的部门负责制定并实施旨在提高效率和节省费用的标准方案。</w:t>
            </w:r>
          </w:p>
        </w:tc>
      </w:tr>
      <w:tr w:rsidR="00973DA7" w14:paraId="0725B766" w14:textId="77777777">
        <w:trPr>
          <w:cantSplit/>
          <w:jc w:val="center"/>
        </w:trPr>
        <w:tc>
          <w:tcPr>
            <w:tcW w:w="1975" w:type="dxa"/>
            <w:tcMar>
              <w:top w:w="90" w:type="dxa"/>
              <w:left w:w="90" w:type="dxa"/>
              <w:bottom w:w="90" w:type="dxa"/>
              <w:right w:w="90" w:type="dxa"/>
            </w:tcMar>
            <w:vAlign w:val="center"/>
          </w:tcPr>
          <w:p w14:paraId="461139AF" w14:textId="77777777" w:rsidR="00973DA7" w:rsidRPr="00E7003F" w:rsidRDefault="00973DA7">
            <w:pPr>
              <w:topLinePunct/>
              <w:jc w:val="left"/>
            </w:pPr>
            <w:r w:rsidRPr="00E7003F">
              <w:rPr>
                <w:rFonts w:hint="eastAsia"/>
                <w:lang w:val="zh-CN"/>
              </w:rPr>
              <w:t>在申请增设职位时</w:t>
            </w:r>
            <w:r w:rsidRPr="00E7003F">
              <w:rPr>
                <w:rFonts w:hint="eastAsia"/>
              </w:rPr>
              <w:t>，</w:t>
            </w:r>
            <w:r w:rsidRPr="00E7003F">
              <w:rPr>
                <w:rFonts w:hint="eastAsia"/>
                <w:lang w:val="zh-CN"/>
              </w:rPr>
              <w:t>未提议对现有职位进行职级上调</w:t>
            </w:r>
            <w:r w:rsidRPr="00E7003F">
              <w:rPr>
                <w:rFonts w:hint="eastAsia"/>
              </w:rPr>
              <w:t>，</w:t>
            </w:r>
            <w:r w:rsidRPr="00E7003F">
              <w:rPr>
                <w:rFonts w:hint="eastAsia"/>
                <w:lang w:val="zh-CN"/>
              </w:rPr>
              <w:t>也未提议设立最低职级职位</w:t>
            </w:r>
          </w:p>
        </w:tc>
        <w:tc>
          <w:tcPr>
            <w:tcW w:w="7381" w:type="dxa"/>
            <w:tcMar>
              <w:top w:w="90" w:type="dxa"/>
              <w:left w:w="90" w:type="dxa"/>
              <w:bottom w:w="90" w:type="dxa"/>
              <w:right w:w="90" w:type="dxa"/>
            </w:tcMar>
            <w:vAlign w:val="center"/>
          </w:tcPr>
          <w:p w14:paraId="1DDECB30" w14:textId="77777777" w:rsidR="00973DA7" w:rsidRPr="00E7003F" w:rsidRDefault="00973DA7">
            <w:pPr>
              <w:topLinePunct/>
              <w:spacing w:before="40" w:after="40"/>
              <w:jc w:val="left"/>
            </w:pPr>
            <w:r w:rsidRPr="00E7003F">
              <w:rPr>
                <w:rFonts w:hint="eastAsia"/>
                <w:lang w:val="zh-CN"/>
              </w:rPr>
              <w:t>在落实职能审查建议包括编制修订后的组织架构的过程中</w:t>
            </w:r>
            <w:r w:rsidRPr="00E7003F">
              <w:rPr>
                <w:rFonts w:hint="eastAsia"/>
              </w:rPr>
              <w:t>，</w:t>
            </w:r>
            <w:r w:rsidRPr="00E7003F">
              <w:rPr>
                <w:rFonts w:hint="eastAsia"/>
                <w:lang w:val="zh-CN"/>
              </w:rPr>
              <w:t>未提议上调现有职位的职级。尽管现有职位增加了一些职能</w:t>
            </w:r>
            <w:r w:rsidRPr="00E7003F">
              <w:rPr>
                <w:rFonts w:hint="eastAsia"/>
                <w:lang w:val="en-US"/>
              </w:rPr>
              <w:t>，</w:t>
            </w:r>
            <w:r w:rsidRPr="00E7003F">
              <w:rPr>
                <w:rFonts w:hint="eastAsia"/>
                <w:lang w:val="zh-CN"/>
              </w:rPr>
              <w:t>但这种做法确保了与人员配备相关的预算增加完全来自于新设职位</w:t>
            </w:r>
            <w:r w:rsidRPr="00E7003F">
              <w:rPr>
                <w:rFonts w:hint="eastAsia"/>
                <w:lang w:val="en-US"/>
              </w:rPr>
              <w:t>，</w:t>
            </w:r>
            <w:r w:rsidRPr="00E7003F">
              <w:rPr>
                <w:rFonts w:hint="eastAsia"/>
                <w:lang w:val="zh-CN"/>
              </w:rPr>
              <w:t>而非产生于现有职位的职级上调。</w:t>
            </w:r>
            <w:r w:rsidRPr="00E7003F">
              <w:rPr>
                <w:color w:val="000000"/>
              </w:rPr>
              <w:t xml:space="preserve"> </w:t>
            </w:r>
          </w:p>
        </w:tc>
      </w:tr>
      <w:tr w:rsidR="00973DA7" w14:paraId="720D599C" w14:textId="77777777">
        <w:trPr>
          <w:cantSplit/>
          <w:jc w:val="center"/>
        </w:trPr>
        <w:tc>
          <w:tcPr>
            <w:tcW w:w="1975" w:type="dxa"/>
            <w:tcMar>
              <w:top w:w="90" w:type="dxa"/>
              <w:left w:w="90" w:type="dxa"/>
              <w:bottom w:w="90" w:type="dxa"/>
              <w:right w:w="90" w:type="dxa"/>
            </w:tcMar>
            <w:vAlign w:val="center"/>
          </w:tcPr>
          <w:p w14:paraId="4CF9780E" w14:textId="77777777" w:rsidR="00973DA7" w:rsidRPr="00E7003F" w:rsidRDefault="00973DA7">
            <w:pPr>
              <w:topLinePunct/>
              <w:jc w:val="left"/>
            </w:pPr>
            <w:r w:rsidRPr="00E7003F">
              <w:rPr>
                <w:rFonts w:hint="eastAsia"/>
                <w:lang w:val="zh-CN"/>
              </w:rPr>
              <w:t>避免费用的举措</w:t>
            </w:r>
          </w:p>
        </w:tc>
        <w:tc>
          <w:tcPr>
            <w:tcW w:w="7381" w:type="dxa"/>
            <w:tcMar>
              <w:top w:w="90" w:type="dxa"/>
              <w:left w:w="90" w:type="dxa"/>
              <w:bottom w:w="90" w:type="dxa"/>
              <w:right w:w="90" w:type="dxa"/>
            </w:tcMar>
            <w:vAlign w:val="center"/>
          </w:tcPr>
          <w:p w14:paraId="197F8D2D" w14:textId="77777777" w:rsidR="00973DA7" w:rsidRPr="00E7003F" w:rsidRDefault="00973DA7">
            <w:pPr>
              <w:topLinePunct/>
              <w:spacing w:before="40" w:after="40"/>
              <w:jc w:val="left"/>
              <w:rPr>
                <w:color w:val="000000"/>
              </w:rPr>
            </w:pPr>
            <w:r w:rsidRPr="00E7003F">
              <w:rPr>
                <w:rFonts w:hint="eastAsia"/>
                <w:lang w:val="zh-CN"/>
              </w:rPr>
              <w:t>无论职能审查的结果如何</w:t>
            </w:r>
            <w:r w:rsidRPr="00E7003F">
              <w:rPr>
                <w:rFonts w:hint="eastAsia"/>
              </w:rPr>
              <w:t>，</w:t>
            </w:r>
            <w:r w:rsidRPr="00E7003F">
              <w:rPr>
                <w:rFonts w:hint="eastAsia"/>
                <w:lang w:val="zh-CN"/>
              </w:rPr>
              <w:t>秘书处一直在以下各个领域努力避免产生不必要的费用</w:t>
            </w:r>
            <w:r w:rsidRPr="00E7003F">
              <w:rPr>
                <w:rFonts w:hint="eastAsia"/>
              </w:rPr>
              <w:t>：</w:t>
            </w:r>
          </w:p>
          <w:p w14:paraId="4D57B3E4"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若有在线参会、发言或演示的替代方案</w:t>
            </w:r>
            <w:r w:rsidRPr="00E7003F">
              <w:rPr>
                <w:rFonts w:hint="eastAsia"/>
              </w:rPr>
              <w:t>，</w:t>
            </w:r>
            <w:r w:rsidRPr="00E7003F">
              <w:rPr>
                <w:rFonts w:hint="eastAsia"/>
                <w:lang w:val="zh-CN"/>
              </w:rPr>
              <w:t>则避免因参加面对面会议而产生的差旅费用</w:t>
            </w:r>
          </w:p>
          <w:p w14:paraId="389D02AD"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若在不影响各区域及利益攸关方群体公平参与的前提下</w:t>
            </w:r>
            <w:r w:rsidRPr="00E7003F">
              <w:rPr>
                <w:rFonts w:hint="eastAsia"/>
              </w:rPr>
              <w:t>，</w:t>
            </w:r>
            <w:r w:rsidRPr="00E7003F">
              <w:rPr>
                <w:rFonts w:hint="eastAsia"/>
                <w:lang w:val="zh-CN"/>
              </w:rPr>
              <w:t>可改办在线会议</w:t>
            </w:r>
            <w:r w:rsidRPr="00E7003F">
              <w:rPr>
                <w:rFonts w:hint="eastAsia"/>
              </w:rPr>
              <w:t>，</w:t>
            </w:r>
            <w:r w:rsidRPr="00E7003F">
              <w:rPr>
                <w:rFonts w:hint="eastAsia"/>
                <w:lang w:val="zh-CN"/>
              </w:rPr>
              <w:t>则避免组织面对面会议而产生的相关费用</w:t>
            </w:r>
          </w:p>
          <w:p w14:paraId="7A7C804F"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减少陪同高级管理人员的辅助人员人数</w:t>
            </w:r>
          </w:p>
          <w:p w14:paraId="15535242"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在不影响赴会提供服务或参与讨论的工作人员的健康与福祉的前提下</w:t>
            </w:r>
            <w:r w:rsidRPr="00E7003F">
              <w:rPr>
                <w:rFonts w:hint="eastAsia"/>
              </w:rPr>
              <w:t>，</w:t>
            </w:r>
            <w:r w:rsidRPr="00E7003F">
              <w:rPr>
                <w:rFonts w:hint="eastAsia"/>
                <w:lang w:val="zh-CN"/>
              </w:rPr>
              <w:t>自愿降低机票舱位等级</w:t>
            </w:r>
          </w:p>
          <w:p w14:paraId="388775AF"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明确指导工作人员尽可能缩减会议文件篇幅</w:t>
            </w:r>
            <w:r w:rsidRPr="00E7003F">
              <w:rPr>
                <w:rFonts w:hint="eastAsia"/>
              </w:rPr>
              <w:t>，</w:t>
            </w:r>
            <w:r w:rsidRPr="00E7003F">
              <w:rPr>
                <w:rFonts w:hint="eastAsia"/>
                <w:lang w:val="zh-CN"/>
              </w:rPr>
              <w:t>以最大限度降低编辑和翻译费用</w:t>
            </w:r>
          </w:p>
          <w:p w14:paraId="3FBA8DE5"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由高层管理团队加强对工作效率、交付时效及避免费用措施的监督</w:t>
            </w:r>
          </w:p>
          <w:p w14:paraId="72E2636E"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pPr>
            <w:r w:rsidRPr="00E7003F">
              <w:rPr>
                <w:rFonts w:hint="eastAsia"/>
                <w:lang w:val="zh-CN"/>
              </w:rPr>
              <w:t>尽管</w:t>
            </w:r>
            <w:r w:rsidRPr="00E7003F">
              <w:t>2026</w:t>
            </w:r>
            <w:r w:rsidRPr="00E7003F">
              <w:rPr>
                <w:rFonts w:hint="eastAsia"/>
                <w:lang w:val="zh-CN"/>
              </w:rPr>
              <w:t>年增加了会议次数</w:t>
            </w:r>
            <w:r w:rsidRPr="00E7003F">
              <w:rPr>
                <w:rFonts w:hint="eastAsia"/>
              </w:rPr>
              <w:t>，</w:t>
            </w:r>
            <w:r w:rsidRPr="00E7003F">
              <w:rPr>
                <w:rFonts w:hint="eastAsia"/>
                <w:lang w:val="zh-CN"/>
              </w:rPr>
              <w:t>这导致支持这些会议的差旅费、后勤安排及相关合同需求的增加</w:t>
            </w:r>
            <w:r w:rsidRPr="00E7003F">
              <w:rPr>
                <w:rFonts w:hint="eastAsia"/>
              </w:rPr>
              <w:t>，</w:t>
            </w:r>
            <w:r w:rsidRPr="00E7003F">
              <w:rPr>
                <w:rFonts w:hint="eastAsia"/>
                <w:lang w:val="zh-CN"/>
              </w:rPr>
              <w:t>行政团队在维持现有人员编制并控制行政管理费用的同时</w:t>
            </w:r>
            <w:r w:rsidRPr="00E7003F">
              <w:rPr>
                <w:rFonts w:hint="eastAsia"/>
              </w:rPr>
              <w:t>，</w:t>
            </w:r>
            <w:r w:rsidRPr="00E7003F">
              <w:rPr>
                <w:rFonts w:hint="eastAsia"/>
                <w:lang w:val="zh-CN"/>
              </w:rPr>
              <w:t>承担起额外的工作量</w:t>
            </w:r>
          </w:p>
        </w:tc>
      </w:tr>
      <w:tr w:rsidR="00973DA7" w14:paraId="5B896C2D" w14:textId="77777777">
        <w:trPr>
          <w:cantSplit/>
          <w:jc w:val="center"/>
        </w:trPr>
        <w:tc>
          <w:tcPr>
            <w:tcW w:w="1975" w:type="dxa"/>
            <w:tcMar>
              <w:top w:w="90" w:type="dxa"/>
              <w:left w:w="90" w:type="dxa"/>
              <w:bottom w:w="90" w:type="dxa"/>
              <w:right w:w="90" w:type="dxa"/>
            </w:tcMar>
            <w:vAlign w:val="center"/>
          </w:tcPr>
          <w:p w14:paraId="0533B02F" w14:textId="77777777" w:rsidR="00973DA7" w:rsidRPr="00E7003F" w:rsidRDefault="00973DA7">
            <w:pPr>
              <w:topLinePunct/>
              <w:jc w:val="left"/>
            </w:pPr>
            <w:r w:rsidRPr="00E7003F">
              <w:rPr>
                <w:rFonts w:hint="eastAsia"/>
                <w:lang w:val="zh-CN"/>
              </w:rPr>
              <w:t>工作人员培训和培养</w:t>
            </w:r>
          </w:p>
        </w:tc>
        <w:tc>
          <w:tcPr>
            <w:tcW w:w="7381" w:type="dxa"/>
            <w:tcMar>
              <w:top w:w="90" w:type="dxa"/>
              <w:left w:w="90" w:type="dxa"/>
              <w:bottom w:w="90" w:type="dxa"/>
              <w:right w:w="90" w:type="dxa"/>
            </w:tcMar>
            <w:vAlign w:val="center"/>
          </w:tcPr>
          <w:p w14:paraId="2AFAADF4" w14:textId="77777777" w:rsidR="00973DA7" w:rsidRPr="00E7003F" w:rsidRDefault="00973DA7">
            <w:pPr>
              <w:topLinePunct/>
              <w:spacing w:before="40" w:after="40"/>
              <w:jc w:val="left"/>
            </w:pPr>
            <w:r w:rsidRPr="00E7003F">
              <w:rPr>
                <w:rFonts w:hint="eastAsia"/>
                <w:lang w:val="zh-CN"/>
              </w:rPr>
              <w:t>职能审查旨在组建工作效率更高的团队。秘书处也一直致力于通过以下方式提高效率</w:t>
            </w:r>
            <w:r w:rsidRPr="00E7003F">
              <w:rPr>
                <w:rFonts w:hint="eastAsia"/>
              </w:rPr>
              <w:t>：</w:t>
            </w:r>
          </w:p>
          <w:p w14:paraId="6DF029ED"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向工作人员提供使用人工智能工具的培训和指导</w:t>
            </w:r>
          </w:p>
          <w:p w14:paraId="31856375"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审查并精简每位工作人员的</w:t>
            </w:r>
            <w:r w:rsidRPr="00E7003F">
              <w:t>“</w:t>
            </w:r>
            <w:r w:rsidRPr="00E7003F">
              <w:rPr>
                <w:rFonts w:hint="eastAsia"/>
                <w:lang w:val="zh-CN"/>
              </w:rPr>
              <w:t>职权范围</w:t>
            </w:r>
            <w:r w:rsidRPr="00E7003F">
              <w:t>”</w:t>
            </w:r>
            <w:r w:rsidRPr="00E7003F">
              <w:rPr>
                <w:rFonts w:hint="eastAsia"/>
              </w:rPr>
              <w:t>，</w:t>
            </w:r>
            <w:r w:rsidRPr="00E7003F">
              <w:rPr>
                <w:rFonts w:hint="eastAsia"/>
                <w:lang w:val="zh-CN"/>
              </w:rPr>
              <w:t>以确保职责明确及交付成果清晰</w:t>
            </w:r>
          </w:p>
          <w:p w14:paraId="65454ACE"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加强联合国绩效管理工具的使用</w:t>
            </w:r>
          </w:p>
          <w:p w14:paraId="2E53AFBB" w14:textId="77777777" w:rsidR="00973DA7" w:rsidRPr="00E7003F" w:rsidRDefault="00973DA7" w:rsidP="007E7892">
            <w:pPr>
              <w:pStyle w:val="ListParagraph"/>
              <w:numPr>
                <w:ilvl w:val="0"/>
                <w:numId w:val="12"/>
              </w:numPr>
              <w:tabs>
                <w:tab w:val="clear" w:pos="567"/>
                <w:tab w:val="clear" w:pos="1134"/>
                <w:tab w:val="clear" w:pos="1701"/>
                <w:tab w:val="clear" w:pos="2268"/>
              </w:tabs>
              <w:topLinePunct/>
              <w:spacing w:before="40" w:after="40"/>
              <w:ind w:left="400" w:hanging="400"/>
              <w:jc w:val="left"/>
            </w:pPr>
            <w:r w:rsidRPr="00E7003F">
              <w:rPr>
                <w:rFonts w:hint="eastAsia"/>
                <w:lang w:val="zh-CN"/>
              </w:rPr>
              <w:t>促进秘书处内部协作</w:t>
            </w:r>
            <w:r w:rsidRPr="00E7003F">
              <w:rPr>
                <w:rFonts w:hint="eastAsia"/>
              </w:rPr>
              <w:t>（</w:t>
            </w:r>
            <w:r w:rsidRPr="00E7003F">
              <w:rPr>
                <w:rFonts w:hint="eastAsia"/>
                <w:lang w:val="zh-CN"/>
              </w:rPr>
              <w:t>例如</w:t>
            </w:r>
            <w:r w:rsidRPr="00E7003F">
              <w:rPr>
                <w:rFonts w:hint="eastAsia"/>
              </w:rPr>
              <w:t>，</w:t>
            </w:r>
            <w:r w:rsidRPr="00E7003F">
              <w:rPr>
                <w:rFonts w:hint="eastAsia"/>
                <w:lang w:val="zh-CN"/>
              </w:rPr>
              <w:t>几乎各实质性部门的所有工作人员都为落实《昆蒙框架》的集体进展的全球报告提供了具体意见</w:t>
            </w:r>
            <w:r w:rsidRPr="00E7003F">
              <w:rPr>
                <w:rFonts w:hint="eastAsia"/>
              </w:rPr>
              <w:t>）</w:t>
            </w:r>
          </w:p>
        </w:tc>
      </w:tr>
    </w:tbl>
    <w:p w14:paraId="4207F2FB" w14:textId="77777777" w:rsidR="00973DA7" w:rsidRPr="004F3869" w:rsidRDefault="00973DA7" w:rsidP="007E7892">
      <w:pPr>
        <w:pStyle w:val="CBDNormalNumber"/>
        <w:numPr>
          <w:ilvl w:val="0"/>
          <w:numId w:val="8"/>
        </w:numPr>
        <w:topLinePunct/>
        <w:rPr>
          <w:kern w:val="2"/>
          <w:sz w:val="24"/>
          <w:szCs w:val="24"/>
          <w:lang w:val="en-CA"/>
        </w:rPr>
      </w:pPr>
      <w:r w:rsidRPr="004F3869">
        <w:rPr>
          <w:rFonts w:hint="eastAsia"/>
          <w:sz w:val="24"/>
          <w:szCs w:val="24"/>
          <w:lang w:val="zh-CN"/>
        </w:rPr>
        <w:t>作为落实秘书处职能审查工作的一部分</w:t>
      </w:r>
      <w:r w:rsidRPr="004F3869">
        <w:rPr>
          <w:rFonts w:hint="eastAsia"/>
          <w:sz w:val="24"/>
          <w:szCs w:val="24"/>
        </w:rPr>
        <w:t>，</w:t>
      </w:r>
      <w:r w:rsidRPr="004F3869">
        <w:rPr>
          <w:rFonts w:hint="eastAsia"/>
          <w:sz w:val="24"/>
          <w:szCs w:val="24"/>
          <w:lang w:val="zh-CN"/>
        </w:rPr>
        <w:t>通过秘书处结构调整带来了一些效率提升</w:t>
      </w:r>
      <w:r w:rsidRPr="004F3869">
        <w:rPr>
          <w:rFonts w:hint="eastAsia"/>
          <w:sz w:val="24"/>
          <w:szCs w:val="24"/>
        </w:rPr>
        <w:t>，</w:t>
      </w:r>
      <w:r w:rsidRPr="004F3869">
        <w:rPr>
          <w:rFonts w:hint="eastAsia"/>
          <w:sz w:val="24"/>
          <w:szCs w:val="24"/>
          <w:lang w:val="zh-CN"/>
        </w:rPr>
        <w:t>其中包括秘书处内精简流程和提高协调效率得到的益处。这包括向各司和各股负责人下放更多权限；目前正在推进此项工作，旨在增强管理授权、提升领导力</w:t>
      </w:r>
      <w:r w:rsidRPr="004F3869">
        <w:rPr>
          <w:rFonts w:hint="eastAsia"/>
          <w:sz w:val="24"/>
          <w:szCs w:val="24"/>
          <w:lang w:val="zh-CN"/>
        </w:rPr>
        <w:lastRenderedPageBreak/>
        <w:t>和责任感、进一步支持作出及时决策、鼓励中层管理人员发挥主观能动性，促成建立一个更加灵活和反应更迅速的秘书处。运营效率的提升体现在能够重新调配上述职位且对秘书处工作的影响降至最低。</w:t>
      </w:r>
    </w:p>
    <w:p w14:paraId="460171F5"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除秘书处采取的行动外</w:t>
      </w:r>
      <w:r w:rsidRPr="004F3869">
        <w:rPr>
          <w:rFonts w:hint="eastAsia"/>
          <w:sz w:val="24"/>
          <w:szCs w:val="24"/>
          <w:lang w:val="en-CA"/>
        </w:rPr>
        <w:t>，</w:t>
      </w:r>
      <w:r w:rsidRPr="004F3869">
        <w:rPr>
          <w:rFonts w:hint="eastAsia"/>
          <w:sz w:val="24"/>
          <w:szCs w:val="24"/>
          <w:lang w:val="zh-CN"/>
        </w:rPr>
        <w:t>环境署还采取了多项旨在提高效率的举措。环境署机构服务司为环境署管理的各项多边环境协定的互动提供了一个平台。该司促进多边环境协定的行政管理部门举行定期会议</w:t>
      </w:r>
      <w:r w:rsidRPr="004F3869">
        <w:rPr>
          <w:sz w:val="24"/>
          <w:szCs w:val="24"/>
          <w:lang w:val="zh-CN"/>
        </w:rPr>
        <w:t>——</w:t>
      </w:r>
      <w:r w:rsidRPr="004F3869">
        <w:rPr>
          <w:rFonts w:hint="eastAsia"/>
          <w:sz w:val="24"/>
          <w:szCs w:val="24"/>
          <w:lang w:val="zh-CN"/>
        </w:rPr>
        <w:t>《生物多样性公约》的行政管理人员积极参与其中</w:t>
      </w:r>
      <w:r w:rsidRPr="004F3869">
        <w:rPr>
          <w:sz w:val="24"/>
          <w:szCs w:val="24"/>
          <w:lang w:val="zh-CN"/>
        </w:rPr>
        <w:t>——</w:t>
      </w:r>
      <w:r w:rsidRPr="004F3869">
        <w:rPr>
          <w:rFonts w:hint="eastAsia"/>
          <w:sz w:val="24"/>
          <w:szCs w:val="24"/>
          <w:lang w:val="zh-CN"/>
        </w:rPr>
        <w:t>以便交流知识、分享最佳做法和加强各多边环境协定秘书处之间的协作。它还鼓励环境署管理的多边环境协定的各个秘书处开展合作、共同制定举措并建立实施社区，从而提高效率、促进创新并实现业务的协同增效作用。</w:t>
      </w:r>
    </w:p>
    <w:p w14:paraId="407D97A0"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任何涉及环境署管理的多边环境协定的基准比较工作</w:t>
      </w:r>
      <w:r w:rsidRPr="004F3869">
        <w:rPr>
          <w:sz w:val="24"/>
          <w:szCs w:val="24"/>
        </w:rPr>
        <w:t>——</w:t>
      </w:r>
      <w:r w:rsidRPr="004F3869">
        <w:rPr>
          <w:rFonts w:hint="eastAsia"/>
          <w:sz w:val="24"/>
          <w:szCs w:val="24"/>
          <w:lang w:val="zh-CN"/>
        </w:rPr>
        <w:t>旨在利用现有的共享服务模式并加快采用共享数字工具以增强行政协同增效作用</w:t>
      </w:r>
      <w:r w:rsidRPr="004F3869">
        <w:rPr>
          <w:sz w:val="24"/>
          <w:szCs w:val="24"/>
        </w:rPr>
        <w:t>——</w:t>
      </w:r>
      <w:r w:rsidRPr="004F3869">
        <w:rPr>
          <w:rFonts w:hint="eastAsia"/>
          <w:sz w:val="24"/>
          <w:szCs w:val="24"/>
          <w:lang w:val="zh-CN"/>
        </w:rPr>
        <w:t>均需由环境署应会员国的请求予以推动。这将提供一个多边环境协定管理部门能够整合现有做法和促进加强协作与提高效率的机会。</w:t>
      </w:r>
      <w:r w:rsidRPr="004F3869">
        <w:rPr>
          <w:sz w:val="24"/>
          <w:szCs w:val="24"/>
        </w:rPr>
        <w:t xml:space="preserve"> </w:t>
      </w:r>
    </w:p>
    <w:p w14:paraId="2D2EA3E0"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为提升业务绩效</w:t>
      </w:r>
      <w:r w:rsidRPr="004F3869">
        <w:rPr>
          <w:rFonts w:hint="eastAsia"/>
          <w:sz w:val="24"/>
          <w:szCs w:val="24"/>
        </w:rPr>
        <w:t>，</w:t>
      </w:r>
      <w:r w:rsidRPr="004F3869">
        <w:rPr>
          <w:rFonts w:hint="eastAsia"/>
          <w:sz w:val="24"/>
          <w:szCs w:val="24"/>
          <w:lang w:val="zh-CN"/>
        </w:rPr>
        <w:t>环境署正结合</w:t>
      </w:r>
      <w:r w:rsidRPr="004F3869">
        <w:rPr>
          <w:sz w:val="24"/>
          <w:szCs w:val="24"/>
        </w:rPr>
        <w:t>“</w:t>
      </w:r>
      <w:r w:rsidRPr="004F3869">
        <w:rPr>
          <w:rFonts w:hint="eastAsia"/>
          <w:sz w:val="24"/>
          <w:szCs w:val="24"/>
          <w:lang w:val="zh-CN"/>
        </w:rPr>
        <w:t>联合国</w:t>
      </w:r>
      <w:r w:rsidRPr="004F3869">
        <w:rPr>
          <w:sz w:val="24"/>
          <w:szCs w:val="24"/>
        </w:rPr>
        <w:t>80</w:t>
      </w:r>
      <w:r w:rsidRPr="004F3869">
        <w:rPr>
          <w:rFonts w:hint="eastAsia"/>
          <w:sz w:val="24"/>
          <w:szCs w:val="24"/>
          <w:lang w:val="zh-CN"/>
        </w:rPr>
        <w:t>周年倡议</w:t>
      </w:r>
      <w:r w:rsidRPr="004F3869">
        <w:rPr>
          <w:sz w:val="24"/>
          <w:szCs w:val="24"/>
        </w:rPr>
        <w:t>”</w:t>
      </w:r>
      <w:r w:rsidRPr="004F3869">
        <w:rPr>
          <w:rFonts w:hint="eastAsia"/>
          <w:sz w:val="24"/>
          <w:szCs w:val="24"/>
        </w:rPr>
        <w:t>，</w:t>
      </w:r>
      <w:r w:rsidRPr="004F3869">
        <w:rPr>
          <w:rFonts w:hint="eastAsia"/>
          <w:sz w:val="24"/>
          <w:szCs w:val="24"/>
          <w:lang w:val="zh-CN"/>
        </w:rPr>
        <w:t>实施一项简化流程的项目</w:t>
      </w:r>
      <w:r w:rsidRPr="004F3869">
        <w:rPr>
          <w:rFonts w:hint="eastAsia"/>
          <w:sz w:val="24"/>
          <w:szCs w:val="24"/>
        </w:rPr>
        <w:t>，</w:t>
      </w:r>
      <w:r w:rsidRPr="004F3869">
        <w:rPr>
          <w:rFonts w:hint="eastAsia"/>
          <w:sz w:val="24"/>
          <w:szCs w:val="24"/>
          <w:lang w:val="zh-CN"/>
        </w:rPr>
        <w:t>以便审查和精简核心行政和业务工作流程。这个项目的前两个阶段已于报告所述期间完成，制定了一系列涵盖各个职能领域的具体行动。这些行动有助于：（</w:t>
      </w:r>
      <w:r w:rsidRPr="004F3869">
        <w:rPr>
          <w:sz w:val="24"/>
          <w:szCs w:val="24"/>
          <w:lang w:val="zh-CN"/>
        </w:rPr>
        <w:t>a</w:t>
      </w:r>
      <w:r w:rsidRPr="004F3869">
        <w:rPr>
          <w:rFonts w:hint="eastAsia"/>
          <w:sz w:val="24"/>
          <w:szCs w:val="24"/>
          <w:lang w:val="zh-CN"/>
        </w:rPr>
        <w:t>）减少流程中重复和增值较低的步骤；（</w:t>
      </w:r>
      <w:r w:rsidRPr="004F3869">
        <w:rPr>
          <w:sz w:val="24"/>
          <w:szCs w:val="24"/>
          <w:lang w:val="zh-CN"/>
        </w:rPr>
        <w:t>b</w:t>
      </w:r>
      <w:r w:rsidRPr="004F3869">
        <w:rPr>
          <w:rFonts w:hint="eastAsia"/>
          <w:sz w:val="24"/>
          <w:szCs w:val="24"/>
          <w:lang w:val="zh-CN"/>
        </w:rPr>
        <w:t>）明确角色和职责；（</w:t>
      </w:r>
      <w:r w:rsidRPr="004F3869">
        <w:rPr>
          <w:sz w:val="24"/>
          <w:szCs w:val="24"/>
          <w:lang w:val="zh-CN"/>
        </w:rPr>
        <w:t>c</w:t>
      </w:r>
      <w:r w:rsidRPr="004F3869">
        <w:rPr>
          <w:rFonts w:hint="eastAsia"/>
          <w:sz w:val="24"/>
          <w:szCs w:val="24"/>
          <w:lang w:val="zh-CN"/>
        </w:rPr>
        <w:t>）精简授权框架和使行政决策更贴近方案执行工作。环境署机构服务司正推动将所有相关简化措施推广至生物多样性公约秘书处。</w:t>
      </w:r>
      <w:r w:rsidRPr="004F3869">
        <w:rPr>
          <w:sz w:val="24"/>
          <w:szCs w:val="24"/>
        </w:rPr>
        <w:t xml:space="preserve"> </w:t>
      </w:r>
    </w:p>
    <w:p w14:paraId="71519E8A"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这个项目的第三阶段将确定更多可用于标准化及更能获得一致应用的内部流程</w:t>
      </w:r>
      <w:r w:rsidRPr="004F3869">
        <w:rPr>
          <w:rFonts w:hint="eastAsia"/>
          <w:sz w:val="24"/>
          <w:szCs w:val="24"/>
        </w:rPr>
        <w:t>，</w:t>
      </w:r>
      <w:r w:rsidRPr="004F3869">
        <w:rPr>
          <w:rFonts w:hint="eastAsia"/>
          <w:sz w:val="24"/>
          <w:szCs w:val="24"/>
          <w:lang w:val="zh-CN"/>
        </w:rPr>
        <w:t>并为环境署及各多边环境协定秘书处确立一种适用的行政与业务支持模式。这项工作也契合推动整个联合国系统提高效率、简化流程、加强协调并优化资源利用的</w:t>
      </w:r>
      <w:r w:rsidRPr="004F3869">
        <w:rPr>
          <w:sz w:val="24"/>
          <w:szCs w:val="24"/>
          <w:lang w:val="zh-CN"/>
        </w:rPr>
        <w:t>“</w:t>
      </w:r>
      <w:r w:rsidRPr="004F3869">
        <w:rPr>
          <w:rFonts w:hint="eastAsia"/>
          <w:sz w:val="24"/>
          <w:szCs w:val="24"/>
          <w:lang w:val="zh-CN"/>
        </w:rPr>
        <w:t>联合国</w:t>
      </w:r>
      <w:r w:rsidRPr="004F3869">
        <w:rPr>
          <w:sz w:val="24"/>
          <w:szCs w:val="24"/>
          <w:lang w:val="zh-CN"/>
        </w:rPr>
        <w:t>80</w:t>
      </w:r>
      <w:r w:rsidRPr="004F3869">
        <w:rPr>
          <w:rFonts w:hint="eastAsia"/>
          <w:sz w:val="24"/>
          <w:szCs w:val="24"/>
          <w:lang w:val="zh-CN"/>
        </w:rPr>
        <w:t>周年倡议</w:t>
      </w:r>
      <w:r w:rsidRPr="004F3869">
        <w:rPr>
          <w:sz w:val="24"/>
          <w:szCs w:val="24"/>
          <w:lang w:val="zh-CN"/>
        </w:rPr>
        <w:t>”</w:t>
      </w:r>
      <w:r w:rsidRPr="004F3869">
        <w:rPr>
          <w:rFonts w:hint="eastAsia"/>
          <w:sz w:val="24"/>
          <w:szCs w:val="24"/>
          <w:lang w:val="zh-CN"/>
        </w:rPr>
        <w:t>的目标。生物多样性公约秘书处将继续获得环境署机构服务司的支持，落实第三阶段产生的简化流程。</w:t>
      </w:r>
      <w:r w:rsidRPr="004F3869">
        <w:rPr>
          <w:sz w:val="24"/>
          <w:szCs w:val="24"/>
          <w:lang w:val="zh-CN"/>
        </w:rPr>
        <w:t>“</w:t>
      </w:r>
      <w:r w:rsidRPr="004F3869">
        <w:rPr>
          <w:rFonts w:hint="eastAsia"/>
          <w:sz w:val="24"/>
          <w:szCs w:val="24"/>
          <w:lang w:val="zh-CN"/>
        </w:rPr>
        <w:t>联合国</w:t>
      </w:r>
      <w:r w:rsidRPr="004F3869">
        <w:rPr>
          <w:sz w:val="24"/>
          <w:szCs w:val="24"/>
          <w:lang w:val="zh-CN"/>
        </w:rPr>
        <w:t>80</w:t>
      </w:r>
      <w:r w:rsidRPr="004F3869">
        <w:rPr>
          <w:rFonts w:hint="eastAsia"/>
          <w:sz w:val="24"/>
          <w:szCs w:val="24"/>
          <w:lang w:val="zh-CN"/>
        </w:rPr>
        <w:t>周年倡议</w:t>
      </w:r>
      <w:r w:rsidRPr="004F3869">
        <w:rPr>
          <w:sz w:val="24"/>
          <w:szCs w:val="24"/>
          <w:lang w:val="zh-CN"/>
        </w:rPr>
        <w:t>”</w:t>
      </w:r>
      <w:r w:rsidRPr="004F3869">
        <w:rPr>
          <w:rFonts w:hint="eastAsia"/>
          <w:sz w:val="24"/>
          <w:szCs w:val="24"/>
          <w:lang w:val="zh-CN"/>
        </w:rPr>
        <w:t>行动计划第</w:t>
      </w:r>
      <w:r w:rsidRPr="004F3869">
        <w:rPr>
          <w:sz w:val="24"/>
          <w:szCs w:val="24"/>
          <w:lang w:val="zh-CN"/>
        </w:rPr>
        <w:t>27</w:t>
      </w:r>
      <w:r w:rsidRPr="004F3869">
        <w:rPr>
          <w:rFonts w:hint="eastAsia"/>
          <w:sz w:val="24"/>
          <w:szCs w:val="24"/>
          <w:lang w:val="zh-CN"/>
        </w:rPr>
        <w:t>号工作套案的最新进展将适时予以通报。</w:t>
      </w:r>
    </w:p>
    <w:p w14:paraId="633C0FFD" w14:textId="77777777" w:rsidR="00973DA7" w:rsidRPr="004F3869" w:rsidRDefault="00973DA7">
      <w:pPr>
        <w:pStyle w:val="CBDH1"/>
        <w:topLinePunct/>
        <w:rPr>
          <w:sz w:val="24"/>
          <w:szCs w:val="24"/>
        </w:rPr>
      </w:pPr>
      <w:r w:rsidRPr="004F3869">
        <w:rPr>
          <w:rFonts w:hint="eastAsia"/>
          <w:sz w:val="24"/>
          <w:szCs w:val="24"/>
          <w:lang w:val="zh-CN"/>
        </w:rPr>
        <w:t>四</w:t>
      </w:r>
      <w:r w:rsidRPr="004F3869">
        <w:rPr>
          <w:sz w:val="24"/>
          <w:szCs w:val="24"/>
          <w:lang w:val="zh-CN"/>
        </w:rPr>
        <w:t>.</w:t>
      </w:r>
      <w:r w:rsidRPr="004F3869">
        <w:rPr>
          <w:sz w:val="24"/>
          <w:szCs w:val="24"/>
        </w:rPr>
        <w:tab/>
      </w:r>
      <w:r w:rsidRPr="004F3869">
        <w:rPr>
          <w:rFonts w:hint="eastAsia"/>
          <w:sz w:val="24"/>
          <w:szCs w:val="24"/>
          <w:lang w:val="zh-CN"/>
        </w:rPr>
        <w:t>与组织和支持参加政府间会议相关的其他行政和预算事项</w:t>
      </w:r>
    </w:p>
    <w:p w14:paraId="123E407E"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政府间会议的预算包括场地费用以及秘书处为会议提供支持的费用。与场地和秘书处支持相关的费用属于核心预算的一部分。有两个信托基金用于支持参会：</w:t>
      </w:r>
      <w:r w:rsidRPr="004F3869">
        <w:rPr>
          <w:sz w:val="24"/>
          <w:szCs w:val="24"/>
          <w:lang w:val="zh-CN"/>
        </w:rPr>
        <w:t>BZ</w:t>
      </w:r>
      <w:r w:rsidRPr="004F3869">
        <w:rPr>
          <w:rFonts w:hint="eastAsia"/>
          <w:sz w:val="24"/>
          <w:szCs w:val="24"/>
          <w:lang w:val="zh-CN"/>
        </w:rPr>
        <w:t>基金和</w:t>
      </w:r>
      <w:r w:rsidRPr="004F3869">
        <w:rPr>
          <w:sz w:val="24"/>
          <w:szCs w:val="24"/>
          <w:lang w:val="zh-CN"/>
        </w:rPr>
        <w:t>VB</w:t>
      </w:r>
      <w:r w:rsidRPr="004F3869">
        <w:rPr>
          <w:rFonts w:hint="eastAsia"/>
          <w:sz w:val="24"/>
          <w:szCs w:val="24"/>
          <w:lang w:val="zh-CN"/>
        </w:rPr>
        <w:t>基金。</w:t>
      </w:r>
    </w:p>
    <w:p w14:paraId="793CE49B" w14:textId="77777777" w:rsidR="00973DA7" w:rsidRPr="004F3869" w:rsidRDefault="00973DA7" w:rsidP="007E7892">
      <w:pPr>
        <w:pStyle w:val="CBDNormalNumber"/>
        <w:numPr>
          <w:ilvl w:val="0"/>
          <w:numId w:val="8"/>
        </w:numPr>
        <w:topLinePunct/>
        <w:rPr>
          <w:sz w:val="24"/>
          <w:szCs w:val="24"/>
        </w:rPr>
      </w:pPr>
      <w:hyperlink r:id="rId39" w:history="1">
        <w:r w:rsidRPr="004F3869">
          <w:rPr>
            <w:rStyle w:val="Hyperlink"/>
            <w:sz w:val="24"/>
            <w:szCs w:val="24"/>
          </w:rPr>
          <w:t>CBD/COP/17/3</w:t>
        </w:r>
      </w:hyperlink>
      <w:r w:rsidRPr="004F3869">
        <w:rPr>
          <w:sz w:val="24"/>
          <w:szCs w:val="24"/>
        </w:rPr>
        <w:t>-</w:t>
      </w:r>
      <w:hyperlink r:id="rId40" w:history="1">
        <w:r w:rsidRPr="004F3869">
          <w:rPr>
            <w:rStyle w:val="Hyperlink"/>
            <w:sz w:val="24"/>
            <w:szCs w:val="24"/>
          </w:rPr>
          <w:t>CBD/CP/MOP/12/4</w:t>
        </w:r>
      </w:hyperlink>
      <w:r w:rsidRPr="004F3869">
        <w:rPr>
          <w:sz w:val="24"/>
          <w:szCs w:val="24"/>
        </w:rPr>
        <w:t>-</w:t>
      </w:r>
      <w:hyperlink r:id="rId41" w:history="1">
        <w:r w:rsidRPr="004F3869">
          <w:rPr>
            <w:rStyle w:val="Hyperlink"/>
            <w:sz w:val="24"/>
            <w:szCs w:val="24"/>
          </w:rPr>
          <w:t>CBD/NP/MOP/6/4</w:t>
        </w:r>
      </w:hyperlink>
      <w:r w:rsidRPr="004F3869">
        <w:rPr>
          <w:rFonts w:hint="eastAsia"/>
          <w:sz w:val="24"/>
          <w:szCs w:val="24"/>
          <w:lang w:val="zh-CN"/>
        </w:rPr>
        <w:t>号文件提供了</w:t>
      </w:r>
      <w:r w:rsidRPr="004F3869">
        <w:rPr>
          <w:sz w:val="24"/>
          <w:szCs w:val="24"/>
        </w:rPr>
        <w:t>2025–2026</w:t>
      </w:r>
      <w:r w:rsidRPr="004F3869">
        <w:rPr>
          <w:rFonts w:hint="eastAsia"/>
          <w:sz w:val="24"/>
          <w:szCs w:val="24"/>
          <w:lang w:val="zh-CN"/>
        </w:rPr>
        <w:t>年期间的会议费用及与参会相关费用的估计数。关于</w:t>
      </w:r>
      <w:r w:rsidRPr="004F3869">
        <w:rPr>
          <w:sz w:val="24"/>
          <w:szCs w:val="24"/>
          <w:lang w:val="en-US"/>
        </w:rPr>
        <w:t>2025–2026</w:t>
      </w:r>
      <w:r w:rsidRPr="004F3869">
        <w:rPr>
          <w:rFonts w:hint="eastAsia"/>
          <w:sz w:val="24"/>
          <w:szCs w:val="24"/>
          <w:lang w:val="zh-CN"/>
        </w:rPr>
        <w:t>年期间参会资助</w:t>
      </w:r>
      <w:r w:rsidRPr="004F3869">
        <w:rPr>
          <w:rFonts w:hint="eastAsia"/>
          <w:sz w:val="24"/>
          <w:szCs w:val="24"/>
          <w:lang w:val="en-US"/>
        </w:rPr>
        <w:t>（</w:t>
      </w:r>
      <w:r w:rsidRPr="004F3869">
        <w:rPr>
          <w:rFonts w:hint="eastAsia"/>
          <w:sz w:val="24"/>
          <w:szCs w:val="24"/>
          <w:lang w:val="zh-CN"/>
        </w:rPr>
        <w:t>包括对最不发达国家和小岛屿发展中国家的资助</w:t>
      </w:r>
      <w:r w:rsidRPr="004F3869">
        <w:rPr>
          <w:rFonts w:hint="eastAsia"/>
          <w:sz w:val="24"/>
          <w:szCs w:val="24"/>
          <w:lang w:val="en-US"/>
        </w:rPr>
        <w:t>）</w:t>
      </w:r>
      <w:r w:rsidRPr="004F3869">
        <w:rPr>
          <w:rFonts w:hint="eastAsia"/>
          <w:sz w:val="24"/>
          <w:szCs w:val="24"/>
          <w:lang w:val="zh-CN"/>
        </w:rPr>
        <w:t>以及缔约方代表团规模和构成的详细列表将在一份信息文件中提供。</w:t>
      </w:r>
    </w:p>
    <w:p w14:paraId="301B0F69" w14:textId="77777777" w:rsidR="00973DA7" w:rsidRPr="00371713" w:rsidRDefault="00973DA7">
      <w:pPr>
        <w:pStyle w:val="CBDNormalNumber"/>
        <w:numPr>
          <w:ilvl w:val="0"/>
          <w:numId w:val="0"/>
        </w:numPr>
        <w:topLinePunct/>
        <w:ind w:left="567"/>
        <w:rPr>
          <w:rFonts w:ascii="KaiTi" w:eastAsia="KaiTi" w:hAnsi="KaiTi"/>
          <w:i/>
          <w:sz w:val="24"/>
          <w:szCs w:val="24"/>
        </w:rPr>
      </w:pPr>
      <w:r w:rsidRPr="00371713">
        <w:rPr>
          <w:rFonts w:ascii="KaiTi" w:eastAsia="KaiTi" w:hAnsi="KaiTi" w:hint="eastAsia"/>
          <w:sz w:val="24"/>
          <w:szCs w:val="24"/>
          <w:lang w:val="zh-CN"/>
        </w:rPr>
        <w:t>会议费用预算：场地费用及秘书处支持会议费用</w:t>
      </w:r>
    </w:p>
    <w:p w14:paraId="192B07CA"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在</w:t>
      </w:r>
      <w:r w:rsidRPr="004F3869">
        <w:rPr>
          <w:sz w:val="24"/>
          <w:szCs w:val="24"/>
        </w:rPr>
        <w:t>2025–2026</w:t>
      </w:r>
      <w:r w:rsidRPr="004F3869">
        <w:rPr>
          <w:rFonts w:hint="eastAsia"/>
          <w:sz w:val="24"/>
          <w:szCs w:val="24"/>
          <w:lang w:val="zh-CN"/>
        </w:rPr>
        <w:t>年期间</w:t>
      </w:r>
      <w:r w:rsidRPr="004F3869">
        <w:rPr>
          <w:rFonts w:hint="eastAsia"/>
          <w:sz w:val="24"/>
          <w:szCs w:val="24"/>
        </w:rPr>
        <w:t>，</w:t>
      </w:r>
      <w:r w:rsidRPr="004F3869">
        <w:rPr>
          <w:rFonts w:hint="eastAsia"/>
          <w:sz w:val="24"/>
          <w:szCs w:val="24"/>
          <w:lang w:val="zh-CN"/>
        </w:rPr>
        <w:t>核心预算项下的实际支出高于最初批准的预算额度。超支原因是增加了两次会议，即在闭会期间加开了以下会议：缔约方大会第十六届会议、作为卡塔赫纳议定书缔约方会议的缔约方大会第十一次会议和作为名古屋议定书缔约方会议的缔约方大会第五次会议的面对面续会以及执行问题附属机构加开的会议。这些会议均未列入已批准的预算。这些会议的费用为</w:t>
      </w:r>
      <w:r w:rsidRPr="004F3869">
        <w:rPr>
          <w:sz w:val="24"/>
          <w:szCs w:val="24"/>
          <w:lang w:val="zh-CN"/>
        </w:rPr>
        <w:t>110</w:t>
      </w:r>
      <w:r w:rsidRPr="004F3869">
        <w:rPr>
          <w:rFonts w:hint="eastAsia"/>
          <w:sz w:val="24"/>
          <w:szCs w:val="24"/>
          <w:lang w:val="zh-CN"/>
        </w:rPr>
        <w:t>万美元。尽管秘书</w:t>
      </w:r>
      <w:r w:rsidRPr="004F3869">
        <w:rPr>
          <w:rFonts w:hint="eastAsia"/>
          <w:sz w:val="24"/>
          <w:szCs w:val="24"/>
          <w:lang w:val="zh-CN"/>
        </w:rPr>
        <w:lastRenderedPageBreak/>
        <w:t>处设法减少其他会议的费用，但预计</w:t>
      </w:r>
      <w:r w:rsidRPr="004F3869">
        <w:rPr>
          <w:sz w:val="24"/>
          <w:szCs w:val="24"/>
          <w:lang w:val="zh-CN"/>
        </w:rPr>
        <w:t>2025–2026</w:t>
      </w:r>
      <w:r w:rsidRPr="004F3869">
        <w:rPr>
          <w:rFonts w:hint="eastAsia"/>
          <w:sz w:val="24"/>
          <w:szCs w:val="24"/>
          <w:lang w:val="zh-CN"/>
        </w:rPr>
        <w:t>年会议费用预算项目下仍将产生</w:t>
      </w:r>
      <w:r w:rsidRPr="004F3869">
        <w:rPr>
          <w:sz w:val="24"/>
          <w:szCs w:val="24"/>
          <w:lang w:val="zh-CN"/>
        </w:rPr>
        <w:t>88</w:t>
      </w:r>
      <w:r w:rsidRPr="004F3869">
        <w:rPr>
          <w:rFonts w:hint="eastAsia"/>
          <w:sz w:val="24"/>
          <w:szCs w:val="24"/>
          <w:lang w:val="zh-CN"/>
        </w:rPr>
        <w:t>万美元的额外总费用。</w:t>
      </w:r>
    </w:p>
    <w:p w14:paraId="22D67F4A"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根据第</w:t>
      </w:r>
      <w:hyperlink r:id="rId42" w:history="1">
        <w:r w:rsidRPr="004F3869">
          <w:rPr>
            <w:rStyle w:val="Hyperlink"/>
            <w:sz w:val="24"/>
            <w:szCs w:val="24"/>
          </w:rPr>
          <w:t>16/29</w:t>
        </w:r>
      </w:hyperlink>
      <w:r w:rsidRPr="004F3869">
        <w:rPr>
          <w:rFonts w:hint="eastAsia"/>
          <w:sz w:val="24"/>
          <w:szCs w:val="24"/>
          <w:lang w:val="zh-CN"/>
        </w:rPr>
        <w:t>、</w:t>
      </w:r>
      <w:hyperlink r:id="rId43" w:history="1">
        <w:r w:rsidRPr="004F3869">
          <w:rPr>
            <w:rStyle w:val="Hyperlink"/>
            <w:sz w:val="24"/>
            <w:szCs w:val="24"/>
          </w:rPr>
          <w:t>CP-11/12</w:t>
        </w:r>
      </w:hyperlink>
      <w:r w:rsidRPr="004F3869">
        <w:rPr>
          <w:rFonts w:hint="eastAsia"/>
          <w:sz w:val="24"/>
          <w:szCs w:val="24"/>
          <w:lang w:val="zh-CN"/>
        </w:rPr>
        <w:t>和</w:t>
      </w:r>
      <w:hyperlink r:id="rId44" w:history="1">
        <w:r w:rsidRPr="004F3869">
          <w:rPr>
            <w:rStyle w:val="Hyperlink"/>
            <w:sz w:val="24"/>
            <w:szCs w:val="24"/>
          </w:rPr>
          <w:t>NP-5/13</w:t>
        </w:r>
      </w:hyperlink>
      <w:r w:rsidRPr="004F3869">
        <w:rPr>
          <w:rFonts w:hint="eastAsia"/>
          <w:sz w:val="24"/>
          <w:szCs w:val="24"/>
          <w:lang w:val="zh-CN"/>
        </w:rPr>
        <w:t>号决定</w:t>
      </w:r>
      <w:r w:rsidRPr="004F3869">
        <w:rPr>
          <w:rFonts w:hint="eastAsia"/>
          <w:sz w:val="24"/>
          <w:szCs w:val="24"/>
        </w:rPr>
        <w:t>，</w:t>
      </w:r>
      <w:r w:rsidRPr="004F3869">
        <w:rPr>
          <w:rFonts w:hint="eastAsia"/>
          <w:sz w:val="24"/>
          <w:szCs w:val="24"/>
          <w:lang w:val="zh-CN"/>
        </w:rPr>
        <w:t>执行秘书获得授权</w:t>
      </w:r>
      <w:r w:rsidRPr="004F3869">
        <w:rPr>
          <w:rFonts w:hint="eastAsia"/>
          <w:sz w:val="24"/>
          <w:szCs w:val="24"/>
        </w:rPr>
        <w:t>，</w:t>
      </w:r>
      <w:r w:rsidRPr="004F3869">
        <w:rPr>
          <w:rFonts w:hint="eastAsia"/>
          <w:sz w:val="24"/>
          <w:szCs w:val="24"/>
          <w:lang w:val="zh-CN"/>
        </w:rPr>
        <w:t>从《生物多样性公约》及其议定书的普通信托基金的未动用余额提取不超过</w:t>
      </w:r>
      <w:r w:rsidRPr="004F3869">
        <w:rPr>
          <w:sz w:val="24"/>
          <w:szCs w:val="24"/>
        </w:rPr>
        <w:t>400,000</w:t>
      </w:r>
      <w:r w:rsidRPr="004F3869">
        <w:rPr>
          <w:rFonts w:hint="eastAsia"/>
          <w:sz w:val="24"/>
          <w:szCs w:val="24"/>
          <w:lang w:val="zh-CN"/>
        </w:rPr>
        <w:t>美元的资金</w:t>
      </w:r>
      <w:r w:rsidRPr="004F3869">
        <w:rPr>
          <w:rFonts w:hint="eastAsia"/>
          <w:sz w:val="24"/>
          <w:szCs w:val="24"/>
        </w:rPr>
        <w:t>，</w:t>
      </w:r>
      <w:r w:rsidRPr="004F3869">
        <w:rPr>
          <w:rFonts w:hint="eastAsia"/>
          <w:sz w:val="24"/>
          <w:szCs w:val="24"/>
          <w:lang w:val="zh-CN"/>
        </w:rPr>
        <w:t>用于支付因举行面对面续会而产生的额外开支。</w:t>
      </w:r>
      <w:r w:rsidRPr="004F3869">
        <w:rPr>
          <w:sz w:val="24"/>
          <w:szCs w:val="24"/>
        </w:rPr>
        <w:t xml:space="preserve"> </w:t>
      </w:r>
    </w:p>
    <w:p w14:paraId="19DE087C"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会议费用的超支数额</w:t>
      </w:r>
      <w:r w:rsidRPr="004F3869">
        <w:rPr>
          <w:rFonts w:hint="eastAsia"/>
          <w:sz w:val="24"/>
          <w:szCs w:val="24"/>
        </w:rPr>
        <w:t>，</w:t>
      </w:r>
      <w:r w:rsidRPr="004F3869">
        <w:rPr>
          <w:rFonts w:hint="eastAsia"/>
          <w:sz w:val="24"/>
          <w:szCs w:val="24"/>
          <w:lang w:val="zh-CN"/>
        </w:rPr>
        <w:t>若无法通过</w:t>
      </w:r>
      <w:r w:rsidRPr="004F3869">
        <w:rPr>
          <w:sz w:val="24"/>
          <w:szCs w:val="24"/>
        </w:rPr>
        <w:t>2025–2026</w:t>
      </w:r>
      <w:r w:rsidRPr="004F3869">
        <w:rPr>
          <w:rFonts w:hint="eastAsia"/>
          <w:sz w:val="24"/>
          <w:szCs w:val="24"/>
          <w:lang w:val="zh-CN"/>
        </w:rPr>
        <w:t>两年期期间因职位空缺而产生的人员经费项目节余来弥补</w:t>
      </w:r>
      <w:r w:rsidRPr="004F3869">
        <w:rPr>
          <w:rFonts w:hint="eastAsia"/>
          <w:sz w:val="24"/>
          <w:szCs w:val="24"/>
        </w:rPr>
        <w:t>，</w:t>
      </w:r>
      <w:r w:rsidRPr="004F3869">
        <w:rPr>
          <w:rFonts w:hint="eastAsia"/>
          <w:sz w:val="24"/>
          <w:szCs w:val="24"/>
          <w:lang w:val="zh-CN"/>
        </w:rPr>
        <w:t>则将根据第</w:t>
      </w:r>
      <w:hyperlink r:id="rId45" w:tgtFrame="_blank" w:history="1">
        <w:r w:rsidRPr="004F3869">
          <w:rPr>
            <w:rStyle w:val="Hyperlink"/>
            <w:sz w:val="24"/>
            <w:szCs w:val="24"/>
          </w:rPr>
          <w:t>16/29</w:t>
        </w:r>
      </w:hyperlink>
      <w:r w:rsidRPr="004F3869">
        <w:rPr>
          <w:rFonts w:hint="eastAsia"/>
          <w:sz w:val="24"/>
          <w:szCs w:val="24"/>
          <w:lang w:val="zh-CN"/>
        </w:rPr>
        <w:t>号决定规定的办法消化处理。</w:t>
      </w:r>
    </w:p>
    <w:p w14:paraId="75F84546"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根据已批准的预算规定</w:t>
      </w:r>
      <w:r w:rsidRPr="004F3869">
        <w:rPr>
          <w:rFonts w:hint="eastAsia"/>
          <w:sz w:val="24"/>
          <w:szCs w:val="24"/>
        </w:rPr>
        <w:t>，</w:t>
      </w:r>
      <w:r w:rsidRPr="004F3869">
        <w:rPr>
          <w:rFonts w:hint="eastAsia"/>
          <w:sz w:val="24"/>
          <w:szCs w:val="24"/>
          <w:lang w:val="zh-CN"/>
        </w:rPr>
        <w:t>执行秘书有权在主要拨款项目之间调拨资源</w:t>
      </w:r>
      <w:r w:rsidRPr="004F3869">
        <w:rPr>
          <w:rFonts w:hint="eastAsia"/>
          <w:sz w:val="24"/>
          <w:szCs w:val="24"/>
        </w:rPr>
        <w:t>，</w:t>
      </w:r>
      <w:r w:rsidRPr="004F3869">
        <w:rPr>
          <w:rFonts w:hint="eastAsia"/>
          <w:sz w:val="24"/>
          <w:szCs w:val="24"/>
          <w:lang w:val="zh-CN"/>
        </w:rPr>
        <w:t>调拨总额不得超过方案预算总额的</w:t>
      </w:r>
      <w:r w:rsidRPr="004F3869">
        <w:rPr>
          <w:sz w:val="24"/>
          <w:szCs w:val="24"/>
        </w:rPr>
        <w:t>15%</w:t>
      </w:r>
      <w:r w:rsidRPr="004F3869">
        <w:rPr>
          <w:rFonts w:hint="eastAsia"/>
          <w:sz w:val="24"/>
          <w:szCs w:val="24"/>
        </w:rPr>
        <w:t>，</w:t>
      </w:r>
      <w:r w:rsidRPr="004F3869">
        <w:rPr>
          <w:rFonts w:hint="eastAsia"/>
          <w:sz w:val="24"/>
          <w:szCs w:val="24"/>
          <w:lang w:val="zh-CN"/>
        </w:rPr>
        <w:t>且针对任何单一拨款项目的调拨数额不得超过该项目预算的</w:t>
      </w:r>
      <w:r w:rsidRPr="004F3869">
        <w:rPr>
          <w:sz w:val="24"/>
          <w:szCs w:val="24"/>
        </w:rPr>
        <w:t>25%</w:t>
      </w:r>
      <w:r w:rsidRPr="004F3869">
        <w:rPr>
          <w:rFonts w:hint="eastAsia"/>
          <w:sz w:val="24"/>
          <w:szCs w:val="24"/>
          <w:lang w:val="zh-CN"/>
        </w:rPr>
        <w:t>。会议预算项目的超支额占该预算项目的</w:t>
      </w:r>
      <w:r w:rsidRPr="004F3869">
        <w:rPr>
          <w:sz w:val="24"/>
          <w:szCs w:val="24"/>
          <w:lang w:val="zh-CN"/>
        </w:rPr>
        <w:t>18%</w:t>
      </w:r>
      <w:r w:rsidRPr="004F3869">
        <w:rPr>
          <w:rFonts w:hint="eastAsia"/>
          <w:sz w:val="24"/>
          <w:szCs w:val="24"/>
          <w:lang w:val="zh-CN"/>
        </w:rPr>
        <w:t>，远低于总预算的</w:t>
      </w:r>
      <w:r w:rsidRPr="004F3869">
        <w:rPr>
          <w:sz w:val="24"/>
          <w:szCs w:val="24"/>
          <w:lang w:val="zh-CN"/>
        </w:rPr>
        <w:t>15%</w:t>
      </w:r>
      <w:r w:rsidRPr="004F3869">
        <w:rPr>
          <w:rFonts w:hint="eastAsia"/>
          <w:sz w:val="24"/>
          <w:szCs w:val="24"/>
          <w:lang w:val="zh-CN"/>
        </w:rPr>
        <w:t>。因此，该项调拨在执行秘书的授权范围内。此外，人员经费预算项目有</w:t>
      </w:r>
      <w:r w:rsidRPr="004F3869">
        <w:rPr>
          <w:sz w:val="24"/>
          <w:szCs w:val="24"/>
          <w:lang w:val="zh-CN"/>
        </w:rPr>
        <w:t>886,000</w:t>
      </w:r>
      <w:r w:rsidRPr="004F3869">
        <w:rPr>
          <w:rFonts w:hint="eastAsia"/>
          <w:sz w:val="24"/>
          <w:szCs w:val="24"/>
          <w:lang w:val="zh-CN"/>
        </w:rPr>
        <w:t>美元的节余，因此会议费用的超支数额将由人员经费预算项目的节余予以抵消。</w:t>
      </w:r>
    </w:p>
    <w:p w14:paraId="50869287" w14:textId="77777777" w:rsidR="00973DA7" w:rsidRPr="00371713" w:rsidRDefault="00973DA7">
      <w:pPr>
        <w:pStyle w:val="CBDNormalNumber"/>
        <w:numPr>
          <w:ilvl w:val="0"/>
          <w:numId w:val="0"/>
        </w:numPr>
        <w:topLinePunct/>
        <w:ind w:left="567"/>
        <w:rPr>
          <w:rFonts w:ascii="KaiTi" w:eastAsia="KaiTi" w:hAnsi="KaiTi"/>
          <w:i/>
          <w:sz w:val="24"/>
          <w:szCs w:val="24"/>
        </w:rPr>
      </w:pPr>
      <w:r w:rsidRPr="00371713">
        <w:rPr>
          <w:rFonts w:ascii="KaiTi" w:eastAsia="KaiTi" w:hAnsi="KaiTi" w:hint="eastAsia"/>
          <w:sz w:val="24"/>
          <w:szCs w:val="24"/>
          <w:lang w:val="zh-CN"/>
        </w:rPr>
        <w:t>促进缔约方的参与</w:t>
      </w:r>
    </w:p>
    <w:p w14:paraId="55B027DF"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在第</w:t>
      </w:r>
      <w:hyperlink r:id="rId46" w:tgtFrame="_blank" w:history="1">
        <w:r w:rsidRPr="004F3869">
          <w:rPr>
            <w:rStyle w:val="Hyperlink"/>
            <w:sz w:val="24"/>
            <w:szCs w:val="24"/>
          </w:rPr>
          <w:t>14/37</w:t>
        </w:r>
      </w:hyperlink>
      <w:r w:rsidRPr="004F3869">
        <w:rPr>
          <w:rFonts w:hint="eastAsia"/>
          <w:sz w:val="24"/>
          <w:szCs w:val="24"/>
          <w:lang w:val="zh-CN"/>
        </w:rPr>
        <w:t>号决定中</w:t>
      </w:r>
      <w:r w:rsidRPr="004F3869">
        <w:rPr>
          <w:rFonts w:hint="eastAsia"/>
          <w:sz w:val="24"/>
          <w:szCs w:val="24"/>
        </w:rPr>
        <w:t>，</w:t>
      </w:r>
      <w:r w:rsidRPr="004F3869">
        <w:rPr>
          <w:rFonts w:hint="eastAsia"/>
          <w:sz w:val="24"/>
          <w:szCs w:val="24"/>
          <w:lang w:val="zh-CN"/>
        </w:rPr>
        <w:t>缔约方大会请执行秘书提出建议</w:t>
      </w:r>
      <w:r w:rsidRPr="004F3869">
        <w:rPr>
          <w:rFonts w:hint="eastAsia"/>
          <w:sz w:val="24"/>
          <w:szCs w:val="24"/>
        </w:rPr>
        <w:t>，</w:t>
      </w:r>
      <w:r w:rsidRPr="004F3869">
        <w:rPr>
          <w:rFonts w:hint="eastAsia"/>
          <w:sz w:val="24"/>
          <w:szCs w:val="24"/>
          <w:lang w:val="zh-CN"/>
        </w:rPr>
        <w:t>用以修订关于</w:t>
      </w:r>
      <w:r w:rsidRPr="004F3869">
        <w:rPr>
          <w:sz w:val="24"/>
          <w:szCs w:val="24"/>
        </w:rPr>
        <w:t>“</w:t>
      </w:r>
      <w:r w:rsidRPr="004F3869">
        <w:rPr>
          <w:rFonts w:hint="eastAsia"/>
          <w:sz w:val="24"/>
          <w:szCs w:val="24"/>
          <w:lang w:val="zh-CN"/>
        </w:rPr>
        <w:t>资助缔约方</w:t>
      </w:r>
      <w:r w:rsidRPr="004F3869">
        <w:rPr>
          <w:rFonts w:hint="eastAsia"/>
          <w:color w:val="000000"/>
          <w:sz w:val="24"/>
          <w:szCs w:val="24"/>
          <w:lang w:val="zh-CN"/>
        </w:rPr>
        <w:t>参与生物多样性公约进程自愿捐款特别信托基金</w:t>
      </w:r>
      <w:r w:rsidRPr="004F3869">
        <w:rPr>
          <w:sz w:val="24"/>
          <w:szCs w:val="24"/>
        </w:rPr>
        <w:t>”</w:t>
      </w:r>
      <w:r w:rsidRPr="004F3869">
        <w:rPr>
          <w:rFonts w:hint="eastAsia"/>
          <w:sz w:val="24"/>
          <w:szCs w:val="24"/>
        </w:rPr>
        <w:t>（</w:t>
      </w:r>
      <w:r w:rsidRPr="004F3869">
        <w:rPr>
          <w:sz w:val="24"/>
          <w:szCs w:val="24"/>
        </w:rPr>
        <w:t>BZ</w:t>
      </w:r>
      <w:r w:rsidRPr="004F3869">
        <w:rPr>
          <w:rFonts w:hint="eastAsia"/>
          <w:sz w:val="24"/>
          <w:szCs w:val="24"/>
          <w:lang w:val="zh-CN"/>
        </w:rPr>
        <w:t>信托基金</w:t>
      </w:r>
      <w:r w:rsidRPr="004F3869">
        <w:rPr>
          <w:rFonts w:hint="eastAsia"/>
          <w:sz w:val="24"/>
          <w:szCs w:val="24"/>
        </w:rPr>
        <w:t>）</w:t>
      </w:r>
      <w:r w:rsidRPr="004F3869">
        <w:rPr>
          <w:rFonts w:hint="eastAsia"/>
          <w:sz w:val="24"/>
          <w:szCs w:val="24"/>
          <w:lang w:val="zh-CN"/>
        </w:rPr>
        <w:t>的结构和规则</w:t>
      </w:r>
      <w:r w:rsidRPr="004F3869">
        <w:rPr>
          <w:rFonts w:hint="eastAsia"/>
          <w:sz w:val="24"/>
          <w:szCs w:val="24"/>
        </w:rPr>
        <w:t>，</w:t>
      </w:r>
      <w:r w:rsidRPr="004F3869">
        <w:rPr>
          <w:rFonts w:hint="eastAsia"/>
          <w:sz w:val="24"/>
          <w:szCs w:val="24"/>
          <w:lang w:val="zh-CN"/>
        </w:rPr>
        <w:t>以期解决该基金长期缺乏可预测和可持续的资金问题</w:t>
      </w:r>
      <w:r w:rsidRPr="004F3869">
        <w:rPr>
          <w:rFonts w:hint="eastAsia"/>
          <w:sz w:val="24"/>
          <w:szCs w:val="24"/>
        </w:rPr>
        <w:t>，</w:t>
      </w:r>
      <w:r w:rsidRPr="004F3869">
        <w:rPr>
          <w:rFonts w:hint="eastAsia"/>
          <w:sz w:val="24"/>
          <w:szCs w:val="24"/>
          <w:lang w:val="zh-CN"/>
        </w:rPr>
        <w:t>并确保该基金重点向最需要的缔约方提供支持。</w:t>
      </w:r>
      <w:r w:rsidRPr="004F3869">
        <w:rPr>
          <w:sz w:val="24"/>
          <w:szCs w:val="24"/>
        </w:rPr>
        <w:t xml:space="preserve"> </w:t>
      </w:r>
    </w:p>
    <w:p w14:paraId="61F68641"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通过第</w:t>
      </w:r>
      <w:hyperlink r:id="rId47" w:tgtFrame="_blank" w:history="1">
        <w:r w:rsidRPr="004F3869">
          <w:rPr>
            <w:rStyle w:val="Hyperlink"/>
            <w:sz w:val="24"/>
            <w:szCs w:val="24"/>
          </w:rPr>
          <w:t>16/25</w:t>
        </w:r>
      </w:hyperlink>
      <w:r w:rsidRPr="004F3869">
        <w:rPr>
          <w:rFonts w:hint="eastAsia"/>
          <w:sz w:val="24"/>
          <w:szCs w:val="24"/>
          <w:lang w:val="zh-CN"/>
        </w:rPr>
        <w:t>号和第</w:t>
      </w:r>
      <w:hyperlink r:id="rId48" w:tgtFrame="_blank" w:history="1">
        <w:r w:rsidRPr="004F3869">
          <w:rPr>
            <w:rStyle w:val="Hyperlink"/>
            <w:sz w:val="24"/>
            <w:szCs w:val="24"/>
          </w:rPr>
          <w:t>16/28</w:t>
        </w:r>
      </w:hyperlink>
      <w:r w:rsidRPr="004F3869">
        <w:rPr>
          <w:rFonts w:hint="eastAsia"/>
          <w:sz w:val="24"/>
          <w:szCs w:val="24"/>
          <w:lang w:val="zh-CN"/>
        </w:rPr>
        <w:t>号决定</w:t>
      </w:r>
      <w:r w:rsidRPr="004F3869">
        <w:rPr>
          <w:rFonts w:hint="eastAsia"/>
          <w:sz w:val="24"/>
          <w:szCs w:val="24"/>
        </w:rPr>
        <w:t>，</w:t>
      </w:r>
      <w:r w:rsidRPr="004F3869">
        <w:rPr>
          <w:rFonts w:hint="eastAsia"/>
          <w:sz w:val="24"/>
          <w:szCs w:val="24"/>
          <w:lang w:val="zh-CN"/>
        </w:rPr>
        <w:t>缔约方大会强调了发展中国家缔约方特别是最不发达国家和小岛屿发展中国家以及经济转型国家缔约方参与会议的重要性。</w:t>
      </w:r>
      <w:r w:rsidRPr="004F3869">
        <w:rPr>
          <w:sz w:val="24"/>
          <w:szCs w:val="24"/>
        </w:rPr>
        <w:t xml:space="preserve"> </w:t>
      </w:r>
    </w:p>
    <w:p w14:paraId="49894933"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秘书处对全球多边环境协定的各秘书处开展了一次调查</w:t>
      </w:r>
      <w:r w:rsidRPr="004F3869">
        <w:rPr>
          <w:rFonts w:hint="eastAsia"/>
          <w:sz w:val="24"/>
          <w:szCs w:val="24"/>
        </w:rPr>
        <w:t>，</w:t>
      </w:r>
      <w:r w:rsidRPr="004F3869">
        <w:rPr>
          <w:rFonts w:hint="eastAsia"/>
          <w:sz w:val="24"/>
          <w:szCs w:val="24"/>
          <w:lang w:val="zh-CN"/>
        </w:rPr>
        <w:t>以收集在其他多边环境协定下有关支持参与机制的信息。</w:t>
      </w:r>
      <w:r w:rsidRPr="004F3869">
        <w:rPr>
          <w:rStyle w:val="FootnoteReference"/>
          <w:sz w:val="24"/>
          <w:szCs w:val="24"/>
          <w:lang w:val="zh-CN"/>
        </w:rPr>
        <w:footnoteReference w:id="9"/>
      </w:r>
    </w:p>
    <w:p w14:paraId="32C9FE59"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执行秘书定期致函所有缔约方</w:t>
      </w:r>
      <w:r w:rsidRPr="004F3869">
        <w:rPr>
          <w:rFonts w:hint="eastAsia"/>
          <w:sz w:val="24"/>
          <w:szCs w:val="24"/>
        </w:rPr>
        <w:t>，</w:t>
      </w:r>
      <w:r w:rsidRPr="004F3869">
        <w:rPr>
          <w:rFonts w:hint="eastAsia"/>
          <w:sz w:val="24"/>
          <w:szCs w:val="24"/>
          <w:lang w:val="zh-CN"/>
        </w:rPr>
        <w:t>邀请它们提供自愿捐款。在这些信函中，还鼓励符合资助条件的缔约方探索其他供资方式。执行秘书在与缔约方及与非政府行为体举行双边会议时，也继续强调提供参与支持的重要性，以期调动其他资金来源。</w:t>
      </w:r>
    </w:p>
    <w:p w14:paraId="0A2F677D" w14:textId="77777777" w:rsidR="00973DA7" w:rsidRPr="004F3869" w:rsidRDefault="00973DA7" w:rsidP="007E7892">
      <w:pPr>
        <w:pStyle w:val="CBDNormalNumber"/>
        <w:numPr>
          <w:ilvl w:val="0"/>
          <w:numId w:val="8"/>
        </w:numPr>
        <w:topLinePunct/>
        <w:rPr>
          <w:sz w:val="24"/>
          <w:szCs w:val="24"/>
        </w:rPr>
      </w:pPr>
      <w:r w:rsidRPr="004F3869">
        <w:rPr>
          <w:rFonts w:hint="eastAsia"/>
          <w:sz w:val="24"/>
          <w:szCs w:val="24"/>
          <w:lang w:val="zh-CN"/>
        </w:rPr>
        <w:t>如下文图一和图二所示</w:t>
      </w:r>
      <w:r w:rsidRPr="004F3869">
        <w:rPr>
          <w:rFonts w:hint="eastAsia"/>
          <w:sz w:val="24"/>
          <w:szCs w:val="24"/>
        </w:rPr>
        <w:t>，</w:t>
      </w:r>
      <w:r w:rsidRPr="004F3869">
        <w:rPr>
          <w:rFonts w:hint="eastAsia"/>
          <w:sz w:val="24"/>
          <w:szCs w:val="24"/>
          <w:lang w:val="zh-CN"/>
        </w:rPr>
        <w:t>这两个信托基金的捐款趋势显示</w:t>
      </w:r>
      <w:r w:rsidRPr="004F3869">
        <w:rPr>
          <w:rFonts w:hint="eastAsia"/>
          <w:sz w:val="24"/>
          <w:szCs w:val="24"/>
        </w:rPr>
        <w:t>，</w:t>
      </w:r>
      <w:r w:rsidRPr="004F3869">
        <w:rPr>
          <w:rFonts w:hint="eastAsia"/>
          <w:sz w:val="24"/>
          <w:szCs w:val="24"/>
          <w:lang w:val="zh-CN"/>
        </w:rPr>
        <w:t>用于支持符合资格的缔约方以及土著人民和地方社区参与的总体资金水平呈下降趋势。</w:t>
      </w:r>
    </w:p>
    <w:p w14:paraId="57A1E101" w14:textId="77777777" w:rsidR="00973DA7" w:rsidRDefault="00973DA7">
      <w:pPr>
        <w:tabs>
          <w:tab w:val="clear" w:pos="567"/>
          <w:tab w:val="clear" w:pos="1134"/>
          <w:tab w:val="clear" w:pos="1701"/>
          <w:tab w:val="clear" w:pos="2268"/>
        </w:tabs>
        <w:ind w:left="567"/>
        <w:jc w:val="left"/>
        <w:rPr>
          <w:szCs w:val="24"/>
        </w:rPr>
      </w:pPr>
      <w:r>
        <w:rPr>
          <w:szCs w:val="24"/>
        </w:rPr>
        <w:br w:type="page"/>
      </w:r>
      <w:r>
        <w:rPr>
          <w:rFonts w:ascii="SimSun" w:hint="eastAsia"/>
          <w:szCs w:val="24"/>
          <w:lang w:val="zh-CN"/>
        </w:rPr>
        <w:lastRenderedPageBreak/>
        <w:t>图一</w:t>
      </w:r>
    </w:p>
    <w:p w14:paraId="7841BED9" w14:textId="77777777" w:rsidR="00973DA7" w:rsidRDefault="00973DA7">
      <w:pPr>
        <w:pStyle w:val="CBDNormalNumber"/>
        <w:numPr>
          <w:ilvl w:val="0"/>
          <w:numId w:val="0"/>
        </w:numPr>
        <w:spacing w:before="0"/>
        <w:ind w:left="567"/>
        <w:jc w:val="left"/>
        <w:rPr>
          <w:b/>
          <w:szCs w:val="24"/>
        </w:rPr>
      </w:pPr>
      <w:r>
        <w:rPr>
          <w:rFonts w:hint="eastAsia"/>
          <w:b/>
          <w:color w:val="000000"/>
          <w:szCs w:val="24"/>
          <w:lang w:val="zh-CN"/>
        </w:rPr>
        <w:t>资助符合资格的缔约方参与的</w:t>
      </w:r>
      <w:r>
        <w:rPr>
          <w:b/>
          <w:color w:val="000000"/>
          <w:szCs w:val="24"/>
        </w:rPr>
        <w:t>BZ</w:t>
      </w:r>
      <w:r>
        <w:rPr>
          <w:rFonts w:hint="eastAsia"/>
          <w:b/>
          <w:color w:val="000000"/>
          <w:szCs w:val="24"/>
          <w:lang w:val="zh-CN"/>
        </w:rPr>
        <w:t>特别自愿信托基金</w:t>
      </w:r>
      <w:r>
        <w:rPr>
          <w:rFonts w:hint="eastAsia"/>
          <w:b/>
          <w:color w:val="000000"/>
          <w:szCs w:val="24"/>
        </w:rPr>
        <w:t>：</w:t>
      </w:r>
      <w:r>
        <w:rPr>
          <w:b/>
          <w:szCs w:val="24"/>
        </w:rPr>
        <w:t>2017-2026</w:t>
      </w:r>
      <w:r>
        <w:rPr>
          <w:rFonts w:hint="eastAsia"/>
          <w:b/>
          <w:szCs w:val="24"/>
          <w:lang w:val="zh-CN"/>
        </w:rPr>
        <w:t>年的捐款趋势</w:t>
      </w:r>
    </w:p>
    <w:p w14:paraId="0D4382B9" w14:textId="27EFA7BB" w:rsidR="00973DA7" w:rsidRDefault="00D21F41">
      <w:pPr>
        <w:pStyle w:val="CBDNormalNumber"/>
        <w:numPr>
          <w:ilvl w:val="0"/>
          <w:numId w:val="0"/>
        </w:numPr>
        <w:ind w:left="567"/>
        <w:rPr>
          <w:szCs w:val="24"/>
        </w:rPr>
      </w:pPr>
      <w:r>
        <w:rPr>
          <w:noProof/>
          <w:szCs w:val="24"/>
        </w:rPr>
        <w:drawing>
          <wp:inline distT="0" distB="0" distL="0" distR="0" wp14:anchorId="0A6FDA00" wp14:editId="7F4C29E1">
            <wp:extent cx="5581650" cy="2066925"/>
            <wp:effectExtent l="0" t="0" r="0" b="0"/>
            <wp:docPr id="3"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81650" cy="2066925"/>
                    </a:xfrm>
                    <a:prstGeom prst="rect">
                      <a:avLst/>
                    </a:prstGeom>
                    <a:noFill/>
                    <a:ln>
                      <a:noFill/>
                    </a:ln>
                  </pic:spPr>
                </pic:pic>
              </a:graphicData>
            </a:graphic>
          </wp:inline>
        </w:drawing>
      </w:r>
    </w:p>
    <w:p w14:paraId="71FA984B" w14:textId="77777777" w:rsidR="00973DA7" w:rsidRDefault="00973DA7">
      <w:pPr>
        <w:pStyle w:val="CBDNormalNumber"/>
        <w:numPr>
          <w:ilvl w:val="0"/>
          <w:numId w:val="0"/>
        </w:numPr>
        <w:spacing w:after="0"/>
        <w:ind w:left="567"/>
        <w:rPr>
          <w:szCs w:val="24"/>
        </w:rPr>
      </w:pPr>
      <w:r>
        <w:rPr>
          <w:rFonts w:hint="eastAsia"/>
          <w:szCs w:val="24"/>
          <w:lang w:val="zh-CN"/>
        </w:rPr>
        <w:t>图二</w:t>
      </w:r>
    </w:p>
    <w:p w14:paraId="35B17214" w14:textId="77777777" w:rsidR="00973DA7" w:rsidRDefault="00973DA7">
      <w:pPr>
        <w:pStyle w:val="CBDNormalNumber"/>
        <w:numPr>
          <w:ilvl w:val="0"/>
          <w:numId w:val="0"/>
        </w:numPr>
        <w:spacing w:before="0"/>
        <w:ind w:left="567"/>
        <w:jc w:val="left"/>
        <w:rPr>
          <w:b/>
          <w:szCs w:val="24"/>
        </w:rPr>
      </w:pPr>
      <w:r>
        <w:rPr>
          <w:rFonts w:hint="eastAsia"/>
          <w:b/>
          <w:szCs w:val="24"/>
          <w:lang w:val="zh-CN"/>
        </w:rPr>
        <w:t>资助土著人民和地方社区参与的</w:t>
      </w:r>
      <w:r>
        <w:rPr>
          <w:b/>
          <w:szCs w:val="24"/>
        </w:rPr>
        <w:t>VB</w:t>
      </w:r>
      <w:r>
        <w:rPr>
          <w:rFonts w:hint="eastAsia"/>
          <w:b/>
          <w:szCs w:val="24"/>
          <w:lang w:val="zh-CN"/>
        </w:rPr>
        <w:t>特别自愿信托基金</w:t>
      </w:r>
      <w:r>
        <w:rPr>
          <w:rFonts w:hint="eastAsia"/>
          <w:b/>
          <w:szCs w:val="24"/>
        </w:rPr>
        <w:t>：</w:t>
      </w:r>
      <w:r>
        <w:rPr>
          <w:b/>
          <w:szCs w:val="24"/>
        </w:rPr>
        <w:t>2017-2026</w:t>
      </w:r>
      <w:r>
        <w:rPr>
          <w:rFonts w:hint="eastAsia"/>
          <w:b/>
          <w:szCs w:val="24"/>
          <w:lang w:val="zh-CN"/>
        </w:rPr>
        <w:t>年的捐款趋势</w:t>
      </w:r>
    </w:p>
    <w:p w14:paraId="7372346A" w14:textId="40E275D3" w:rsidR="00973DA7" w:rsidRDefault="00D21F41">
      <w:pPr>
        <w:pStyle w:val="CBDNormalNumber"/>
        <w:numPr>
          <w:ilvl w:val="0"/>
          <w:numId w:val="0"/>
        </w:numPr>
        <w:ind w:left="567"/>
        <w:rPr>
          <w:szCs w:val="24"/>
        </w:rPr>
      </w:pPr>
      <w:r>
        <w:rPr>
          <w:noProof/>
          <w:szCs w:val="24"/>
        </w:rPr>
        <w:drawing>
          <wp:inline distT="0" distB="0" distL="0" distR="0" wp14:anchorId="000AEBA0" wp14:editId="7D0195F3">
            <wp:extent cx="5539105" cy="2325370"/>
            <wp:effectExtent l="0" t="0" r="0" b="0"/>
            <wp:docPr id="4" name="Picture 2"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39105" cy="2325370"/>
                    </a:xfrm>
                    <a:prstGeom prst="rect">
                      <a:avLst/>
                    </a:prstGeom>
                    <a:noFill/>
                    <a:ln>
                      <a:noFill/>
                    </a:ln>
                  </pic:spPr>
                </pic:pic>
              </a:graphicData>
            </a:graphic>
          </wp:inline>
        </w:drawing>
      </w:r>
    </w:p>
    <w:p w14:paraId="7F51CDD3" w14:textId="77777777" w:rsidR="00973DA7" w:rsidRDefault="00973DA7">
      <w:pPr>
        <w:pStyle w:val="CBDNormalNumber"/>
        <w:numPr>
          <w:ilvl w:val="0"/>
          <w:numId w:val="0"/>
        </w:numPr>
        <w:ind w:left="567"/>
        <w:rPr>
          <w:szCs w:val="24"/>
        </w:rPr>
      </w:pPr>
    </w:p>
    <w:p w14:paraId="005219A8" w14:textId="77777777" w:rsidR="00973DA7" w:rsidRDefault="00973DA7">
      <w:pPr>
        <w:pStyle w:val="CBDNormalNumber"/>
        <w:numPr>
          <w:ilvl w:val="0"/>
          <w:numId w:val="0"/>
        </w:numPr>
        <w:ind w:left="567"/>
        <w:rPr>
          <w:szCs w:val="24"/>
        </w:rPr>
      </w:pPr>
    </w:p>
    <w:p w14:paraId="68AEFB33" w14:textId="77777777" w:rsidR="00973DA7" w:rsidRDefault="00973DA7" w:rsidP="007E7892">
      <w:pPr>
        <w:pStyle w:val="CBDNormalNumber"/>
        <w:numPr>
          <w:ilvl w:val="0"/>
          <w:numId w:val="8"/>
        </w:numPr>
        <w:topLinePunct/>
        <w:rPr>
          <w:szCs w:val="24"/>
        </w:rPr>
      </w:pPr>
      <w:hyperlink r:id="rId51" w:history="1">
        <w:r>
          <w:rPr>
            <w:color w:val="0000FF"/>
            <w:szCs w:val="24"/>
            <w:u w:val="single"/>
          </w:rPr>
          <w:t>CBD/COP/17/4</w:t>
        </w:r>
      </w:hyperlink>
      <w:r>
        <w:rPr>
          <w:szCs w:val="24"/>
        </w:rPr>
        <w:t>-</w:t>
      </w:r>
      <w:hyperlink r:id="rId52" w:history="1">
        <w:r>
          <w:rPr>
            <w:color w:val="0000FF"/>
            <w:szCs w:val="24"/>
            <w:u w:val="single"/>
          </w:rPr>
          <w:t>CBD/CP/MOP/12/5</w:t>
        </w:r>
      </w:hyperlink>
      <w:r>
        <w:rPr>
          <w:szCs w:val="24"/>
        </w:rPr>
        <w:t>-</w:t>
      </w:r>
      <w:hyperlink r:id="rId53" w:history="1">
        <w:r>
          <w:rPr>
            <w:color w:val="0000FF"/>
            <w:szCs w:val="24"/>
            <w:u w:val="single"/>
          </w:rPr>
          <w:t>CBD/NP/MOP/6/5</w:t>
        </w:r>
      </w:hyperlink>
      <w:r>
        <w:rPr>
          <w:rFonts w:hint="eastAsia"/>
          <w:szCs w:val="24"/>
          <w:lang w:val="zh-CN"/>
        </w:rPr>
        <w:t>号文件提出的</w:t>
      </w:r>
      <w:r>
        <w:rPr>
          <w:szCs w:val="24"/>
        </w:rPr>
        <w:t>2027–2028</w:t>
      </w:r>
      <w:r>
        <w:rPr>
          <w:rFonts w:hint="eastAsia"/>
          <w:szCs w:val="24"/>
          <w:lang w:val="zh-CN"/>
        </w:rPr>
        <w:t>两年期概算已纳入各附属机构各举行一次会议的安排。下文表</w:t>
      </w:r>
      <w:r>
        <w:rPr>
          <w:szCs w:val="24"/>
          <w:lang w:val="en-US"/>
        </w:rPr>
        <w:t>2</w:t>
      </w:r>
      <w:r>
        <w:rPr>
          <w:rFonts w:hint="eastAsia"/>
          <w:szCs w:val="24"/>
          <w:lang w:val="zh-CN"/>
        </w:rPr>
        <w:t>列出基于不同方案和情景作出的会议费用估算。尽管现行标准在分配与会资金时</w:t>
      </w:r>
      <w:r>
        <w:rPr>
          <w:rFonts w:hint="eastAsia"/>
          <w:szCs w:val="24"/>
          <w:lang w:val="en-US"/>
        </w:rPr>
        <w:t>（</w:t>
      </w:r>
      <w:r>
        <w:rPr>
          <w:rFonts w:hint="eastAsia"/>
          <w:szCs w:val="24"/>
          <w:lang w:val="zh-CN"/>
        </w:rPr>
        <w:t>优先考虑最不发达国家和小岛屿发展中国家</w:t>
      </w:r>
      <w:r>
        <w:rPr>
          <w:rFonts w:hint="eastAsia"/>
          <w:szCs w:val="24"/>
          <w:lang w:val="en-US"/>
        </w:rPr>
        <w:t>）</w:t>
      </w:r>
      <w:r>
        <w:rPr>
          <w:rFonts w:hint="eastAsia"/>
          <w:szCs w:val="24"/>
          <w:lang w:val="zh-CN"/>
        </w:rPr>
        <w:t>依然适用</w:t>
      </w:r>
      <w:r>
        <w:rPr>
          <w:rFonts w:hint="eastAsia"/>
          <w:szCs w:val="24"/>
          <w:lang w:val="en-US"/>
        </w:rPr>
        <w:t>，</w:t>
      </w:r>
      <w:r>
        <w:rPr>
          <w:rFonts w:hint="eastAsia"/>
          <w:szCs w:val="24"/>
          <w:lang w:val="zh-CN"/>
        </w:rPr>
        <w:t>但增加向信托基金捐款的缔约方及其他行为体数量仍十分重要。</w:t>
      </w:r>
    </w:p>
    <w:p w14:paraId="1BE7C413" w14:textId="77777777" w:rsidR="00973DA7" w:rsidRDefault="00973DA7">
      <w:pPr>
        <w:tabs>
          <w:tab w:val="clear" w:pos="567"/>
          <w:tab w:val="clear" w:pos="1134"/>
          <w:tab w:val="clear" w:pos="1701"/>
          <w:tab w:val="clear" w:pos="2268"/>
        </w:tabs>
        <w:jc w:val="left"/>
        <w:rPr>
          <w:szCs w:val="24"/>
        </w:rPr>
      </w:pPr>
      <w:r>
        <w:rPr>
          <w:szCs w:val="24"/>
        </w:rPr>
        <w:br w:type="page"/>
      </w:r>
    </w:p>
    <w:p w14:paraId="2559C806" w14:textId="77777777" w:rsidR="00973DA7" w:rsidRDefault="00973DA7">
      <w:pPr>
        <w:pStyle w:val="CBDNormalNumber"/>
        <w:numPr>
          <w:ilvl w:val="0"/>
          <w:numId w:val="0"/>
        </w:numPr>
        <w:ind w:left="567"/>
        <w:jc w:val="left"/>
        <w:rPr>
          <w:sz w:val="24"/>
          <w:szCs w:val="24"/>
          <w:lang w:val="en-US"/>
        </w:rPr>
      </w:pPr>
      <w:r w:rsidRPr="005469A2">
        <w:rPr>
          <w:rFonts w:hint="eastAsia"/>
          <w:sz w:val="24"/>
          <w:szCs w:val="24"/>
          <w:lang w:val="zh-CN"/>
        </w:rPr>
        <w:lastRenderedPageBreak/>
        <w:t>表</w:t>
      </w:r>
      <w:r w:rsidRPr="005469A2">
        <w:rPr>
          <w:sz w:val="24"/>
          <w:szCs w:val="24"/>
          <w:lang w:val="zh-CN"/>
        </w:rPr>
        <w:t>2</w:t>
      </w:r>
      <w:r w:rsidRPr="005469A2">
        <w:rPr>
          <w:sz w:val="24"/>
          <w:szCs w:val="24"/>
          <w:lang w:val="zh-CN"/>
        </w:rPr>
        <w:br/>
      </w:r>
      <w:r w:rsidRPr="005469A2">
        <w:rPr>
          <w:rFonts w:hint="eastAsia"/>
          <w:b/>
          <w:sz w:val="24"/>
          <w:szCs w:val="24"/>
          <w:lang w:val="zh-CN"/>
        </w:rPr>
        <w:t>基于不同方案和情景估算的会议费用</w:t>
      </w:r>
      <w:r w:rsidRPr="005469A2">
        <w:rPr>
          <w:b/>
          <w:sz w:val="24"/>
          <w:szCs w:val="24"/>
          <w:lang w:val="zh-CN"/>
        </w:rPr>
        <w:br/>
      </w:r>
      <w:r w:rsidRPr="005469A2">
        <w:rPr>
          <w:rFonts w:hint="eastAsia"/>
          <w:sz w:val="24"/>
          <w:szCs w:val="24"/>
          <w:lang w:val="zh-CN"/>
        </w:rPr>
        <w:t>（</w:t>
      </w:r>
      <w:r w:rsidRPr="00AB51D3">
        <w:rPr>
          <w:rFonts w:ascii="KaiTi" w:eastAsia="KaiTi" w:hAnsi="KaiTi" w:hint="eastAsia"/>
          <w:sz w:val="20"/>
          <w:szCs w:val="20"/>
          <w:lang w:val="zh-CN"/>
        </w:rPr>
        <w:t>美元</w:t>
      </w:r>
      <w:r w:rsidRPr="005469A2">
        <w:rPr>
          <w:rFonts w:hint="eastAsia"/>
          <w:sz w:val="24"/>
          <w:szCs w:val="24"/>
          <w:lang w:val="zh-CN"/>
        </w:rPr>
        <w:t>）</w:t>
      </w:r>
    </w:p>
    <w:p w14:paraId="3B24AC49" w14:textId="65895880" w:rsidR="00AB51D3" w:rsidRDefault="00AB51D3">
      <w:pPr>
        <w:pStyle w:val="CBDNormalNumber"/>
        <w:numPr>
          <w:ilvl w:val="0"/>
          <w:numId w:val="0"/>
        </w:numPr>
        <w:ind w:left="567"/>
        <w:jc w:val="left"/>
        <w:rPr>
          <w:sz w:val="24"/>
          <w:szCs w:val="24"/>
          <w:lang w:val="en-US"/>
        </w:rPr>
      </w:pPr>
      <w:r w:rsidRPr="00AB51D3">
        <w:rPr>
          <w:noProof/>
          <w:sz w:val="24"/>
          <w:szCs w:val="24"/>
          <w:lang w:val="en-US"/>
        </w:rPr>
        <w:drawing>
          <wp:inline distT="0" distB="0" distL="0" distR="0" wp14:anchorId="60C11090" wp14:editId="07684599">
            <wp:extent cx="5943600" cy="2565400"/>
            <wp:effectExtent l="0" t="0" r="0" b="6350"/>
            <wp:docPr id="164732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2565400"/>
                    </a:xfrm>
                    <a:prstGeom prst="rect">
                      <a:avLst/>
                    </a:prstGeom>
                    <a:noFill/>
                    <a:ln>
                      <a:noFill/>
                    </a:ln>
                  </pic:spPr>
                </pic:pic>
              </a:graphicData>
            </a:graphic>
          </wp:inline>
        </w:drawing>
      </w:r>
    </w:p>
    <w:p w14:paraId="49C166E2" w14:textId="77777777" w:rsidR="00973DA7" w:rsidRPr="00E7003F" w:rsidRDefault="00973DA7">
      <w:pPr>
        <w:pStyle w:val="CBDNormalNumber"/>
        <w:numPr>
          <w:ilvl w:val="0"/>
          <w:numId w:val="0"/>
        </w:numPr>
        <w:ind w:left="567"/>
        <w:rPr>
          <w:i/>
          <w:sz w:val="20"/>
          <w:szCs w:val="20"/>
        </w:rPr>
      </w:pPr>
      <w:r w:rsidRPr="0073541E">
        <w:rPr>
          <w:rFonts w:ascii="KaiTi" w:eastAsia="KaiTi" w:hAnsi="KaiTi" w:hint="eastAsia"/>
          <w:sz w:val="20"/>
          <w:szCs w:val="20"/>
          <w:lang w:val="zh-CN"/>
        </w:rPr>
        <w:t>缩写</w:t>
      </w:r>
      <w:r w:rsidRPr="00E7003F">
        <w:rPr>
          <w:rFonts w:hAnsi="SimSun" w:hint="eastAsia"/>
          <w:sz w:val="20"/>
          <w:szCs w:val="20"/>
        </w:rPr>
        <w:t>：</w:t>
      </w:r>
      <w:r w:rsidRPr="00E7003F">
        <w:rPr>
          <w:sz w:val="20"/>
          <w:szCs w:val="20"/>
        </w:rPr>
        <w:t>COP</w:t>
      </w:r>
      <w:r w:rsidRPr="00E7003F">
        <w:rPr>
          <w:rFonts w:hAnsi="SimSun" w:hint="eastAsia"/>
          <w:sz w:val="20"/>
          <w:szCs w:val="20"/>
        </w:rPr>
        <w:t>，</w:t>
      </w:r>
      <w:r w:rsidRPr="00E7003F">
        <w:rPr>
          <w:rFonts w:hAnsi="SimSun" w:hint="eastAsia"/>
          <w:sz w:val="20"/>
          <w:szCs w:val="20"/>
          <w:lang w:val="zh-CN"/>
        </w:rPr>
        <w:t>缔约方大会</w:t>
      </w:r>
      <w:r w:rsidRPr="00E7003F">
        <w:rPr>
          <w:rFonts w:hAnsi="SimSun" w:hint="eastAsia"/>
          <w:sz w:val="20"/>
          <w:szCs w:val="20"/>
        </w:rPr>
        <w:t>；</w:t>
      </w:r>
      <w:r w:rsidRPr="00E7003F">
        <w:rPr>
          <w:sz w:val="20"/>
          <w:szCs w:val="20"/>
        </w:rPr>
        <w:t>DSA</w:t>
      </w:r>
      <w:r w:rsidRPr="00E7003F">
        <w:rPr>
          <w:rFonts w:hAnsi="SimSun" w:hint="eastAsia"/>
          <w:sz w:val="20"/>
          <w:szCs w:val="20"/>
        </w:rPr>
        <w:t>，</w:t>
      </w:r>
      <w:r w:rsidRPr="00E7003F">
        <w:rPr>
          <w:rFonts w:hAnsi="SimSun" w:hint="eastAsia"/>
          <w:sz w:val="20"/>
          <w:szCs w:val="20"/>
          <w:lang w:val="zh-CN"/>
        </w:rPr>
        <w:t>每日生活津贴</w:t>
      </w:r>
      <w:r w:rsidRPr="00E7003F">
        <w:rPr>
          <w:rFonts w:hAnsi="SimSun" w:hint="eastAsia"/>
          <w:sz w:val="20"/>
          <w:szCs w:val="20"/>
        </w:rPr>
        <w:t>；</w:t>
      </w:r>
      <w:r w:rsidRPr="00E7003F">
        <w:rPr>
          <w:sz w:val="20"/>
          <w:szCs w:val="20"/>
        </w:rPr>
        <w:t>IC</w:t>
      </w:r>
      <w:r w:rsidRPr="00E7003F">
        <w:rPr>
          <w:rFonts w:hAnsi="SimSun" w:hint="eastAsia"/>
          <w:sz w:val="20"/>
          <w:szCs w:val="20"/>
        </w:rPr>
        <w:t>，</w:t>
      </w:r>
      <w:r w:rsidRPr="00E7003F">
        <w:rPr>
          <w:rFonts w:hAnsi="SimSun" w:hint="eastAsia"/>
          <w:sz w:val="20"/>
          <w:szCs w:val="20"/>
          <w:lang w:val="zh-CN"/>
        </w:rPr>
        <w:t>咨询人</w:t>
      </w:r>
      <w:r w:rsidRPr="00E7003F">
        <w:rPr>
          <w:rFonts w:hAnsi="SimSun" w:hint="eastAsia"/>
          <w:sz w:val="20"/>
          <w:szCs w:val="20"/>
        </w:rPr>
        <w:t>；</w:t>
      </w:r>
      <w:r w:rsidRPr="00E7003F">
        <w:rPr>
          <w:sz w:val="20"/>
          <w:szCs w:val="20"/>
        </w:rPr>
        <w:t>LDC</w:t>
      </w:r>
      <w:r w:rsidRPr="00E7003F">
        <w:rPr>
          <w:rFonts w:hAnsi="SimSun" w:hint="eastAsia"/>
          <w:sz w:val="20"/>
          <w:szCs w:val="20"/>
        </w:rPr>
        <w:t>，</w:t>
      </w:r>
      <w:r w:rsidRPr="00E7003F">
        <w:rPr>
          <w:rFonts w:hAnsi="SimSun" w:hint="eastAsia"/>
          <w:sz w:val="20"/>
          <w:szCs w:val="20"/>
          <w:lang w:val="zh-CN"/>
        </w:rPr>
        <w:t>最不发达国家</w:t>
      </w:r>
      <w:r w:rsidRPr="00E7003F">
        <w:rPr>
          <w:rFonts w:hAnsi="SimSun" w:hint="eastAsia"/>
          <w:sz w:val="20"/>
          <w:szCs w:val="20"/>
        </w:rPr>
        <w:t>；</w:t>
      </w:r>
      <w:r w:rsidRPr="00E7003F">
        <w:rPr>
          <w:sz w:val="20"/>
          <w:szCs w:val="20"/>
        </w:rPr>
        <w:t>PSC</w:t>
      </w:r>
      <w:r w:rsidRPr="00E7003F">
        <w:rPr>
          <w:rFonts w:hAnsi="SimSun" w:hint="eastAsia"/>
          <w:sz w:val="20"/>
          <w:szCs w:val="20"/>
        </w:rPr>
        <w:t>，</w:t>
      </w:r>
      <w:r w:rsidRPr="00E7003F">
        <w:rPr>
          <w:rFonts w:hAnsi="SimSun" w:hint="eastAsia"/>
          <w:sz w:val="20"/>
          <w:szCs w:val="20"/>
          <w:lang w:val="zh-CN"/>
        </w:rPr>
        <w:t>方案支助费用</w:t>
      </w:r>
      <w:r w:rsidRPr="00E7003F">
        <w:rPr>
          <w:rFonts w:hAnsi="SimSun" w:hint="eastAsia"/>
          <w:sz w:val="20"/>
          <w:szCs w:val="20"/>
        </w:rPr>
        <w:t>；</w:t>
      </w:r>
      <w:r w:rsidRPr="00E7003F">
        <w:rPr>
          <w:sz w:val="20"/>
          <w:szCs w:val="20"/>
        </w:rPr>
        <w:t>SB8J</w:t>
      </w:r>
      <w:r w:rsidRPr="00E7003F">
        <w:rPr>
          <w:rFonts w:hAnsi="SimSun" w:hint="eastAsia"/>
          <w:sz w:val="20"/>
          <w:szCs w:val="20"/>
        </w:rPr>
        <w:t>，</w:t>
      </w:r>
      <w:r w:rsidRPr="00E7003F">
        <w:rPr>
          <w:rFonts w:hAnsi="SimSun" w:hint="eastAsia"/>
          <w:color w:val="000000"/>
          <w:sz w:val="20"/>
          <w:szCs w:val="20"/>
          <w:lang w:val="zh-CN"/>
        </w:rPr>
        <w:t>生物多样性公约关于土著人民和地方社区的第</w:t>
      </w:r>
      <w:r w:rsidRPr="00E7003F">
        <w:rPr>
          <w:color w:val="000000"/>
          <w:sz w:val="20"/>
          <w:szCs w:val="20"/>
        </w:rPr>
        <w:t xml:space="preserve"> 8</w:t>
      </w:r>
      <w:r w:rsidRPr="00E7003F">
        <w:rPr>
          <w:rFonts w:hAnsi="SimSun" w:hint="eastAsia"/>
          <w:color w:val="000000"/>
          <w:sz w:val="20"/>
          <w:szCs w:val="20"/>
        </w:rPr>
        <w:t>（</w:t>
      </w:r>
      <w:r w:rsidRPr="00E7003F">
        <w:rPr>
          <w:color w:val="000000"/>
          <w:sz w:val="20"/>
          <w:szCs w:val="20"/>
        </w:rPr>
        <w:t>j</w:t>
      </w:r>
      <w:r w:rsidRPr="00E7003F">
        <w:rPr>
          <w:rFonts w:hAnsi="SimSun" w:hint="eastAsia"/>
          <w:color w:val="000000"/>
          <w:sz w:val="20"/>
          <w:szCs w:val="20"/>
        </w:rPr>
        <w:t>）</w:t>
      </w:r>
      <w:r w:rsidRPr="00E7003F">
        <w:rPr>
          <w:rFonts w:hAnsi="SimSun" w:hint="eastAsia"/>
          <w:color w:val="000000"/>
          <w:sz w:val="20"/>
          <w:szCs w:val="20"/>
          <w:lang w:val="zh-CN"/>
        </w:rPr>
        <w:t>条和其他条款附属机构</w:t>
      </w:r>
      <w:r w:rsidRPr="00E7003F">
        <w:rPr>
          <w:rFonts w:hAnsi="SimSun" w:hint="eastAsia"/>
          <w:sz w:val="20"/>
          <w:szCs w:val="20"/>
        </w:rPr>
        <w:t>；</w:t>
      </w:r>
      <w:r w:rsidRPr="00E7003F">
        <w:rPr>
          <w:sz w:val="20"/>
          <w:szCs w:val="20"/>
        </w:rPr>
        <w:t>SBI</w:t>
      </w:r>
      <w:r w:rsidRPr="00E7003F">
        <w:rPr>
          <w:rFonts w:hAnsi="SimSun" w:hint="eastAsia"/>
          <w:sz w:val="20"/>
          <w:szCs w:val="20"/>
        </w:rPr>
        <w:t>，</w:t>
      </w:r>
      <w:r w:rsidRPr="00E7003F">
        <w:rPr>
          <w:rFonts w:hAnsi="SimSun" w:hint="eastAsia"/>
          <w:sz w:val="20"/>
          <w:szCs w:val="20"/>
          <w:lang w:val="zh-CN"/>
        </w:rPr>
        <w:t>执行问题附属机构</w:t>
      </w:r>
      <w:r w:rsidRPr="00E7003F">
        <w:rPr>
          <w:rFonts w:hAnsi="SimSun" w:hint="eastAsia"/>
          <w:sz w:val="20"/>
          <w:szCs w:val="20"/>
        </w:rPr>
        <w:t>；</w:t>
      </w:r>
      <w:r w:rsidRPr="00E7003F">
        <w:rPr>
          <w:sz w:val="20"/>
          <w:szCs w:val="20"/>
        </w:rPr>
        <w:t>SBSTTA</w:t>
      </w:r>
      <w:r w:rsidRPr="00E7003F">
        <w:rPr>
          <w:rFonts w:hAnsi="SimSun" w:hint="eastAsia"/>
          <w:sz w:val="20"/>
          <w:szCs w:val="20"/>
        </w:rPr>
        <w:t>，</w:t>
      </w:r>
      <w:r w:rsidRPr="00E7003F">
        <w:rPr>
          <w:rFonts w:hAnsi="SimSun" w:hint="eastAsia"/>
          <w:sz w:val="20"/>
          <w:szCs w:val="20"/>
          <w:lang w:val="zh-CN"/>
        </w:rPr>
        <w:t>科学、技术和工艺咨询附属机构</w:t>
      </w:r>
      <w:r w:rsidRPr="00E7003F">
        <w:rPr>
          <w:rFonts w:hAnsi="SimSun" w:hint="eastAsia"/>
          <w:sz w:val="20"/>
          <w:szCs w:val="20"/>
        </w:rPr>
        <w:t>；</w:t>
      </w:r>
      <w:r w:rsidRPr="00E7003F">
        <w:rPr>
          <w:sz w:val="20"/>
          <w:szCs w:val="20"/>
        </w:rPr>
        <w:t>SIDS</w:t>
      </w:r>
      <w:r w:rsidRPr="00E7003F">
        <w:rPr>
          <w:rFonts w:hAnsi="SimSun" w:hint="eastAsia"/>
          <w:sz w:val="20"/>
          <w:szCs w:val="20"/>
        </w:rPr>
        <w:t>，</w:t>
      </w:r>
      <w:r w:rsidRPr="00E7003F">
        <w:rPr>
          <w:rFonts w:hAnsi="SimSun" w:hint="eastAsia"/>
          <w:sz w:val="20"/>
          <w:szCs w:val="20"/>
          <w:lang w:val="zh-CN"/>
        </w:rPr>
        <w:t>小岛屿发展中国家。</w:t>
      </w:r>
      <w:r w:rsidRPr="00E7003F">
        <w:rPr>
          <w:sz w:val="20"/>
          <w:szCs w:val="20"/>
        </w:rPr>
        <w:t xml:space="preserve"> </w:t>
      </w:r>
    </w:p>
    <w:p w14:paraId="1B94BA2E" w14:textId="77777777" w:rsidR="00973DA7" w:rsidRDefault="00973DA7">
      <w:pPr>
        <w:pStyle w:val="CBDNormalNumber"/>
        <w:numPr>
          <w:ilvl w:val="0"/>
          <w:numId w:val="0"/>
        </w:numPr>
        <w:ind w:left="567"/>
        <w:jc w:val="left"/>
        <w:rPr>
          <w:rFonts w:hAnsi="SimSun"/>
          <w:sz w:val="24"/>
          <w:szCs w:val="24"/>
          <w:lang w:val="en-US"/>
        </w:rPr>
      </w:pPr>
    </w:p>
    <w:p w14:paraId="188EDA6F"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1</w:t>
      </w:r>
      <w:r w:rsidRPr="00E7003F">
        <w:rPr>
          <w:rFonts w:hAnsi="SimSun" w:hint="eastAsia"/>
          <w:sz w:val="24"/>
          <w:szCs w:val="24"/>
          <w:lang w:val="zh-CN"/>
        </w:rPr>
        <w:t>：</w:t>
      </w:r>
    </w:p>
    <w:p w14:paraId="3B5E9C7B"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37A5F174"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w:t>
      </w:r>
      <w:r w:rsidRPr="00E7003F">
        <w:rPr>
          <w:rFonts w:hAnsi="SimSun" w:hint="eastAsia"/>
          <w:sz w:val="24"/>
          <w:szCs w:val="24"/>
        </w:rPr>
        <w:t>：</w:t>
      </w:r>
      <w:r w:rsidRPr="00E7003F">
        <w:rPr>
          <w:sz w:val="24"/>
          <w:szCs w:val="24"/>
        </w:rPr>
        <w:t>12</w:t>
      </w:r>
      <w:r w:rsidRPr="00E7003F">
        <w:rPr>
          <w:rFonts w:hAnsi="SimSun" w:hint="eastAsia"/>
          <w:sz w:val="24"/>
          <w:szCs w:val="24"/>
          <w:lang w:val="zh-CN"/>
        </w:rPr>
        <w:t>天</w:t>
      </w:r>
    </w:p>
    <w:p w14:paraId="742CAFA7"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执行问题附属机构第八次会议：</w:t>
      </w:r>
      <w:r w:rsidRPr="00E7003F">
        <w:rPr>
          <w:sz w:val="24"/>
          <w:szCs w:val="24"/>
          <w:lang w:val="zh-CN"/>
        </w:rPr>
        <w:t>12</w:t>
      </w:r>
      <w:r w:rsidRPr="00E7003F">
        <w:rPr>
          <w:rFonts w:hAnsi="SimSun" w:hint="eastAsia"/>
          <w:sz w:val="24"/>
          <w:szCs w:val="24"/>
          <w:lang w:val="zh-CN"/>
        </w:rPr>
        <w:t>天</w:t>
      </w:r>
    </w:p>
    <w:p w14:paraId="715B8291"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5EACD9E7"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2</w:t>
      </w:r>
      <w:r w:rsidRPr="00E7003F">
        <w:rPr>
          <w:rFonts w:hAnsi="SimSun" w:hint="eastAsia"/>
          <w:sz w:val="24"/>
          <w:szCs w:val="24"/>
          <w:lang w:val="zh-CN"/>
        </w:rPr>
        <w:t>（附属机构会议会期缩短）：</w:t>
      </w:r>
    </w:p>
    <w:p w14:paraId="28305C0B"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6247E5C4"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w:t>
      </w:r>
      <w:r w:rsidRPr="00E7003F">
        <w:rPr>
          <w:rFonts w:hAnsi="SimSun" w:hint="eastAsia"/>
          <w:sz w:val="24"/>
          <w:szCs w:val="24"/>
        </w:rPr>
        <w:t>：</w:t>
      </w:r>
      <w:r w:rsidRPr="00E7003F">
        <w:rPr>
          <w:sz w:val="24"/>
          <w:szCs w:val="24"/>
        </w:rPr>
        <w:t>10</w:t>
      </w:r>
      <w:r w:rsidRPr="00E7003F">
        <w:rPr>
          <w:rFonts w:hAnsi="SimSun" w:hint="eastAsia"/>
          <w:sz w:val="24"/>
          <w:szCs w:val="24"/>
          <w:lang w:val="zh-CN"/>
        </w:rPr>
        <w:t>天</w:t>
      </w:r>
    </w:p>
    <w:p w14:paraId="7B466CE3"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执行问题附属机构第八次会议：</w:t>
      </w:r>
      <w:r w:rsidRPr="00E7003F">
        <w:rPr>
          <w:sz w:val="24"/>
          <w:szCs w:val="24"/>
          <w:lang w:val="zh-CN"/>
        </w:rPr>
        <w:t>10</w:t>
      </w:r>
      <w:r w:rsidRPr="00E7003F">
        <w:rPr>
          <w:rFonts w:hAnsi="SimSun" w:hint="eastAsia"/>
          <w:sz w:val="24"/>
          <w:szCs w:val="24"/>
          <w:lang w:val="zh-CN"/>
        </w:rPr>
        <w:t>天</w:t>
      </w:r>
    </w:p>
    <w:p w14:paraId="57CC34C1"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5010A65B"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3</w:t>
      </w:r>
      <w:r w:rsidRPr="00E7003F">
        <w:rPr>
          <w:rFonts w:hAnsi="SimSun" w:hint="eastAsia"/>
          <w:sz w:val="24"/>
          <w:szCs w:val="24"/>
          <w:lang w:val="zh-CN"/>
        </w:rPr>
        <w:t>（合并会议）：</w:t>
      </w:r>
    </w:p>
    <w:p w14:paraId="29CACD86"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lastRenderedPageBreak/>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643B46B3"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科学、技术和工艺咨询附属机构第二十九次会议和执行问题附属机构第八次会议</w:t>
      </w:r>
      <w:r w:rsidRPr="00E7003F">
        <w:rPr>
          <w:rFonts w:hAnsi="SimSun" w:hint="eastAsia"/>
          <w:sz w:val="24"/>
          <w:szCs w:val="24"/>
        </w:rPr>
        <w:t>：</w:t>
      </w:r>
      <w:r w:rsidRPr="00E7003F">
        <w:rPr>
          <w:sz w:val="24"/>
          <w:szCs w:val="24"/>
        </w:rPr>
        <w:t>20</w:t>
      </w:r>
      <w:r w:rsidRPr="00E7003F">
        <w:rPr>
          <w:rFonts w:hAnsi="SimSun" w:hint="eastAsia"/>
          <w:sz w:val="24"/>
          <w:szCs w:val="24"/>
          <w:lang w:val="zh-CN"/>
        </w:rPr>
        <w:t>天</w:t>
      </w:r>
    </w:p>
    <w:p w14:paraId="511423A2" w14:textId="77777777" w:rsidR="00973DA7" w:rsidRPr="00E7003F" w:rsidRDefault="00973DA7" w:rsidP="007E7892">
      <w:pPr>
        <w:pStyle w:val="CBDNormalNumber"/>
        <w:numPr>
          <w:ilvl w:val="1"/>
          <w:numId w:val="13"/>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0CA7D931" w14:textId="77777777" w:rsidR="00973DA7" w:rsidRDefault="00973DA7">
      <w:pPr>
        <w:pStyle w:val="CBDNormalNumber"/>
        <w:numPr>
          <w:ilvl w:val="0"/>
          <w:numId w:val="0"/>
        </w:numPr>
        <w:ind w:left="567"/>
        <w:jc w:val="left"/>
        <w:rPr>
          <w:szCs w:val="24"/>
        </w:rPr>
      </w:pPr>
    </w:p>
    <w:p w14:paraId="1E43F063" w14:textId="77777777" w:rsidR="00973DA7" w:rsidRDefault="00973DA7">
      <w:pPr>
        <w:pStyle w:val="Para1"/>
        <w:numPr>
          <w:ilvl w:val="0"/>
          <w:numId w:val="0"/>
        </w:numPr>
        <w:ind w:left="567"/>
        <w:jc w:val="center"/>
        <w:rPr>
          <w:szCs w:val="24"/>
        </w:rPr>
      </w:pPr>
      <w:r>
        <w:rPr>
          <w:szCs w:val="24"/>
        </w:rPr>
        <w:t>__________</w:t>
      </w:r>
    </w:p>
    <w:sectPr w:rsidR="00973DA7" w:rsidSect="00973DA7">
      <w:headerReference w:type="even" r:id="rId55"/>
      <w:headerReference w:type="default" r:id="rId56"/>
      <w:footerReference w:type="even" r:id="rId57"/>
      <w:footerReference w:type="default" r:id="rId58"/>
      <w:headerReference w:type="first" r:id="rId59"/>
      <w:footerReference w:type="first" r:id="rId60"/>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8127" w14:textId="77777777" w:rsidR="003A0CFB" w:rsidRDefault="003A0CFB">
      <w:pPr>
        <w:rPr>
          <w:szCs w:val="24"/>
        </w:rPr>
      </w:pPr>
      <w:r>
        <w:rPr>
          <w:szCs w:val="24"/>
        </w:rPr>
        <w:separator/>
      </w:r>
    </w:p>
  </w:endnote>
  <w:endnote w:type="continuationSeparator" w:id="0">
    <w:p w14:paraId="498292E5" w14:textId="77777777" w:rsidR="003A0CFB" w:rsidRDefault="003A0CF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9A97" w14:textId="77777777" w:rsidR="00973DA7" w:rsidRDefault="00973DA7">
    <w:pPr>
      <w:pStyle w:val="Footer"/>
      <w:jc w:val="left"/>
      <w:rPr>
        <w:szCs w:val="24"/>
      </w:rPr>
    </w:pPr>
    <w:r>
      <w:rPr>
        <w:b/>
        <w:szCs w:val="24"/>
      </w:rPr>
      <w:fldChar w:fldCharType="begin"/>
    </w:r>
    <w:r>
      <w:rPr>
        <w:b/>
        <w:szCs w:val="24"/>
      </w:rPr>
      <w:instrText xml:space="preserve"> PAGE </w:instrText>
    </w:r>
    <w:r>
      <w:rPr>
        <w:b/>
        <w:szCs w:val="24"/>
      </w:rPr>
      <w:fldChar w:fldCharType="separate"/>
    </w:r>
    <w:r>
      <w:rPr>
        <w:b/>
        <w:noProof/>
        <w:szCs w:val="24"/>
      </w:rPr>
      <w:t>2</w:t>
    </w:r>
    <w:r>
      <w:rPr>
        <w:b/>
        <w:szCs w:val="24"/>
      </w:rPr>
      <w:fldChar w:fldCharType="end"/>
    </w:r>
    <w:r>
      <w:rPr>
        <w:szCs w:val="24"/>
      </w:rPr>
      <w:t>/</w:t>
    </w:r>
    <w:r>
      <w:rPr>
        <w:b/>
        <w:szCs w:val="24"/>
      </w:rPr>
      <w:fldChar w:fldCharType="begin"/>
    </w:r>
    <w:r>
      <w:rPr>
        <w:b/>
        <w:szCs w:val="24"/>
      </w:rPr>
      <w:instrText xml:space="preserve"> NUMPAGES  </w:instrText>
    </w:r>
    <w:r>
      <w:rPr>
        <w:b/>
        <w:szCs w:val="24"/>
      </w:rPr>
      <w:fldChar w:fldCharType="separate"/>
    </w:r>
    <w:r>
      <w:rPr>
        <w:b/>
        <w:noProof/>
        <w:szCs w:val="24"/>
      </w:rPr>
      <w:t>2</w:t>
    </w:r>
    <w:r>
      <w:rPr>
        <w:b/>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1476" w14:textId="77777777" w:rsidR="00973DA7" w:rsidRDefault="00973DA7" w:rsidP="00881047">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10</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11</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1FCA" w14:textId="77777777" w:rsidR="007E7892" w:rsidRDefault="007E7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FE178" w14:textId="77777777" w:rsidR="003A0CFB" w:rsidRDefault="003A0CFB">
      <w:pPr>
        <w:rPr>
          <w:szCs w:val="24"/>
        </w:rPr>
      </w:pPr>
      <w:r>
        <w:rPr>
          <w:szCs w:val="24"/>
        </w:rPr>
        <w:separator/>
      </w:r>
    </w:p>
  </w:footnote>
  <w:footnote w:type="continuationSeparator" w:id="0">
    <w:p w14:paraId="50317186" w14:textId="77777777" w:rsidR="003A0CFB" w:rsidRDefault="003A0CFB">
      <w:pPr>
        <w:rPr>
          <w:szCs w:val="24"/>
        </w:rPr>
      </w:pPr>
      <w:r>
        <w:rPr>
          <w:szCs w:val="24"/>
        </w:rPr>
        <w:continuationSeparator/>
      </w:r>
    </w:p>
  </w:footnote>
  <w:footnote w:id="1">
    <w:p w14:paraId="3DDAB97B" w14:textId="77777777" w:rsidR="00973DA7" w:rsidRDefault="00973DA7">
      <w:pPr>
        <w:pStyle w:val="FootnoteText"/>
      </w:pPr>
      <w:r w:rsidRPr="00E7003F">
        <w:rPr>
          <w:rStyle w:val="FootnoteReference"/>
          <w:szCs w:val="24"/>
        </w:rPr>
        <w:t>*</w:t>
      </w:r>
      <w:r w:rsidRPr="00E7003F">
        <w:rPr>
          <w:szCs w:val="24"/>
        </w:rPr>
        <w:t xml:space="preserve"> </w:t>
      </w:r>
      <w:hyperlink r:id="rId1" w:history="1">
        <w:r w:rsidRPr="00E7003F">
          <w:rPr>
            <w:rStyle w:val="Hyperlink"/>
            <w:szCs w:val="24"/>
            <w:lang w:val="en-US"/>
          </w:rPr>
          <w:t>CBD/COP/17/1/Rev.1</w:t>
        </w:r>
      </w:hyperlink>
      <w:r w:rsidRPr="00E7003F">
        <w:rPr>
          <w:rFonts w:hAnsi="SimSun" w:hint="eastAsia"/>
          <w:szCs w:val="24"/>
          <w:lang w:val="zh-CN"/>
        </w:rPr>
        <w:t>。</w:t>
      </w:r>
    </w:p>
  </w:footnote>
  <w:footnote w:id="2">
    <w:p w14:paraId="0B0A82B2" w14:textId="77777777" w:rsidR="00973DA7" w:rsidRDefault="00973DA7">
      <w:pPr>
        <w:pStyle w:val="FootnoteText"/>
      </w:pPr>
      <w:r w:rsidRPr="00E7003F">
        <w:rPr>
          <w:rStyle w:val="FootnoteReference"/>
          <w:szCs w:val="24"/>
        </w:rPr>
        <w:t>**</w:t>
      </w:r>
      <w:r w:rsidRPr="00E7003F">
        <w:rPr>
          <w:szCs w:val="24"/>
        </w:rPr>
        <w:t xml:space="preserve"> </w:t>
      </w:r>
      <w:hyperlink r:id="rId2" w:history="1">
        <w:r w:rsidRPr="00E7003F">
          <w:rPr>
            <w:rStyle w:val="Hyperlink"/>
            <w:noProof/>
            <w:szCs w:val="24"/>
          </w:rPr>
          <w:t>CBD/CP/MOP/12/1</w:t>
        </w:r>
      </w:hyperlink>
      <w:r w:rsidRPr="00E7003F">
        <w:rPr>
          <w:rFonts w:hAnsi="SimSun" w:hint="eastAsia"/>
          <w:noProof/>
          <w:szCs w:val="24"/>
        </w:rPr>
        <w:t>。</w:t>
      </w:r>
    </w:p>
  </w:footnote>
  <w:footnote w:id="3">
    <w:p w14:paraId="2D44A66E" w14:textId="77777777" w:rsidR="00973DA7" w:rsidRDefault="00973DA7">
      <w:pPr>
        <w:pStyle w:val="FootnoteText"/>
      </w:pPr>
      <w:r w:rsidRPr="00E7003F">
        <w:rPr>
          <w:rStyle w:val="FootnoteReference"/>
          <w:szCs w:val="24"/>
        </w:rPr>
        <w:t>***</w:t>
      </w:r>
      <w:r w:rsidRPr="00E7003F">
        <w:rPr>
          <w:szCs w:val="24"/>
        </w:rPr>
        <w:t xml:space="preserve"> </w:t>
      </w:r>
      <w:hyperlink r:id="rId3" w:history="1">
        <w:r w:rsidRPr="00E7003F">
          <w:rPr>
            <w:rStyle w:val="Hyperlink"/>
            <w:szCs w:val="24"/>
            <w:lang w:val="en-US"/>
          </w:rPr>
          <w:t>CBD/NP/MOP/6/1</w:t>
        </w:r>
      </w:hyperlink>
      <w:r w:rsidRPr="00E7003F">
        <w:rPr>
          <w:rFonts w:hAnsi="SimSun" w:hint="eastAsia"/>
          <w:szCs w:val="24"/>
          <w:lang w:val="zh-CN"/>
        </w:rPr>
        <w:t>。</w:t>
      </w:r>
    </w:p>
  </w:footnote>
  <w:footnote w:id="4">
    <w:p w14:paraId="3DB1938A" w14:textId="77777777" w:rsidR="00973DA7" w:rsidRDefault="00973DA7">
      <w:pPr>
        <w:pStyle w:val="FootnoteText"/>
      </w:pPr>
      <w:r w:rsidRPr="00E7003F">
        <w:rPr>
          <w:rStyle w:val="FootnoteReference"/>
          <w:szCs w:val="18"/>
        </w:rPr>
        <w:sym w:font="Symbol" w:char="F02A"/>
      </w:r>
      <w:r w:rsidRPr="00E7003F">
        <w:rPr>
          <w:rStyle w:val="FootnoteReference"/>
          <w:szCs w:val="18"/>
        </w:rPr>
        <w:sym w:font="Symbol" w:char="F02A"/>
      </w:r>
      <w:r w:rsidRPr="00E7003F">
        <w:rPr>
          <w:rStyle w:val="FootnoteReference"/>
          <w:szCs w:val="18"/>
        </w:rPr>
        <w:sym w:font="Symbol" w:char="F02A"/>
      </w:r>
      <w:r w:rsidRPr="00E7003F">
        <w:rPr>
          <w:rStyle w:val="FootnoteReference"/>
          <w:szCs w:val="18"/>
        </w:rPr>
        <w:sym w:font="Symbol" w:char="F02A"/>
      </w:r>
      <w:r w:rsidRPr="00E7003F">
        <w:rPr>
          <w:szCs w:val="24"/>
        </w:rPr>
        <w:t xml:space="preserve"> </w:t>
      </w:r>
      <w:r w:rsidRPr="00E7003F">
        <w:rPr>
          <w:rFonts w:hAnsi="SimSun" w:hint="eastAsia"/>
          <w:szCs w:val="24"/>
          <w:lang w:val="zh-CN"/>
        </w:rPr>
        <w:t>本文件未经正式编辑。</w:t>
      </w:r>
    </w:p>
  </w:footnote>
  <w:footnote w:id="5">
    <w:p w14:paraId="6075FD35"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请注意，东道国的捐款作为预算抵扣款支付，因此未在下文说明。</w:t>
      </w:r>
      <w:r w:rsidRPr="00E7003F">
        <w:rPr>
          <w:sz w:val="20"/>
        </w:rPr>
        <w:t xml:space="preserve"> </w:t>
      </w:r>
    </w:p>
  </w:footnote>
  <w:footnote w:id="6">
    <w:p w14:paraId="297FBF8F"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关于支持</w:t>
      </w:r>
      <w:r w:rsidRPr="00E7003F">
        <w:rPr>
          <w:sz w:val="20"/>
        </w:rPr>
        <w:t>2027–2028</w:t>
      </w:r>
      <w:r w:rsidRPr="00E7003F">
        <w:rPr>
          <w:rFonts w:hAnsi="SimSun" w:hint="eastAsia"/>
          <w:sz w:val="20"/>
          <w:lang w:val="zh-CN"/>
        </w:rPr>
        <w:t>年核准的活动的额外自愿捐款信托基金的各项资金需求载于</w:t>
      </w:r>
      <w:hyperlink r:id="rId4" w:history="1">
        <w:r w:rsidRPr="00E7003F">
          <w:rPr>
            <w:rStyle w:val="Hyperlink"/>
            <w:sz w:val="20"/>
          </w:rPr>
          <w:t>CBD/COP/17/4/Add.2</w:t>
        </w:r>
      </w:hyperlink>
      <w:r w:rsidRPr="00E7003F">
        <w:rPr>
          <w:sz w:val="20"/>
        </w:rPr>
        <w:t>-</w:t>
      </w:r>
      <w:hyperlink r:id="rId5" w:history="1">
        <w:r w:rsidRPr="00E7003F">
          <w:rPr>
            <w:rStyle w:val="Hyperlink"/>
            <w:sz w:val="20"/>
          </w:rPr>
          <w:t>CBD/CP/MOP/12/5/Add.1</w:t>
        </w:r>
      </w:hyperlink>
      <w:r w:rsidRPr="00E7003F">
        <w:rPr>
          <w:sz w:val="20"/>
        </w:rPr>
        <w:t>-</w:t>
      </w:r>
      <w:hyperlink r:id="rId6" w:history="1">
        <w:r w:rsidRPr="00E7003F">
          <w:rPr>
            <w:rStyle w:val="Hyperlink"/>
            <w:sz w:val="20"/>
          </w:rPr>
          <w:t>CBD/NP/MOP/6/5/Add.1</w:t>
        </w:r>
      </w:hyperlink>
      <w:r w:rsidRPr="00E7003F">
        <w:rPr>
          <w:rFonts w:hAnsi="SimSun" w:hint="eastAsia"/>
          <w:sz w:val="20"/>
          <w:lang w:val="zh-CN"/>
        </w:rPr>
        <w:t>号文件。请注意</w:t>
      </w:r>
      <w:r w:rsidRPr="00E7003F">
        <w:rPr>
          <w:rFonts w:hAnsi="SimSun" w:hint="eastAsia"/>
          <w:sz w:val="20"/>
          <w:lang w:val="en-US"/>
        </w:rPr>
        <w:t>，</w:t>
      </w:r>
      <w:r w:rsidRPr="00E7003F">
        <w:rPr>
          <w:rFonts w:hAnsi="SimSun" w:hint="eastAsia"/>
          <w:sz w:val="20"/>
          <w:lang w:val="zh-CN"/>
        </w:rPr>
        <w:t>其他活动包括要求执行秘书开展且请求中包含</w:t>
      </w:r>
      <w:r w:rsidRPr="00E7003F">
        <w:rPr>
          <w:sz w:val="20"/>
          <w:lang w:val="en-US"/>
        </w:rPr>
        <w:t>“</w:t>
      </w:r>
      <w:r w:rsidRPr="00E7003F">
        <w:rPr>
          <w:rFonts w:hAnsi="SimSun" w:hint="eastAsia"/>
          <w:sz w:val="20"/>
          <w:lang w:val="zh-CN"/>
        </w:rPr>
        <w:t>在资源允许的情况下</w:t>
      </w:r>
      <w:r w:rsidRPr="00E7003F">
        <w:rPr>
          <w:sz w:val="20"/>
          <w:lang w:val="en-US"/>
        </w:rPr>
        <w:t>”</w:t>
      </w:r>
      <w:r w:rsidRPr="00E7003F">
        <w:rPr>
          <w:rFonts w:hAnsi="SimSun" w:hint="eastAsia"/>
          <w:sz w:val="20"/>
          <w:lang w:val="zh-CN"/>
        </w:rPr>
        <w:t>这一表述的活动。</w:t>
      </w:r>
      <w:r w:rsidRPr="00E7003F">
        <w:rPr>
          <w:sz w:val="20"/>
        </w:rPr>
        <w:t xml:space="preserve"> </w:t>
      </w:r>
    </w:p>
  </w:footnote>
  <w:footnote w:id="7">
    <w:p w14:paraId="24E49A9B" w14:textId="77777777" w:rsidR="00973DA7" w:rsidRDefault="00973DA7">
      <w:pPr>
        <w:pStyle w:val="FootnoteText"/>
      </w:pPr>
      <w:r w:rsidRPr="00E7003F">
        <w:rPr>
          <w:rStyle w:val="FootnoteReference"/>
          <w:sz w:val="20"/>
        </w:rPr>
        <w:footnoteRef/>
      </w:r>
      <w:r w:rsidRPr="00E7003F">
        <w:rPr>
          <w:sz w:val="20"/>
        </w:rPr>
        <w:t xml:space="preserve"> </w:t>
      </w:r>
      <w:hyperlink r:id="rId7" w:history="1">
        <w:r w:rsidRPr="00E7003F">
          <w:rPr>
            <w:rStyle w:val="Hyperlink"/>
            <w:sz w:val="20"/>
          </w:rPr>
          <w:t>www.cbd.int/information/adm-fin</w:t>
        </w:r>
      </w:hyperlink>
      <w:r w:rsidRPr="00E7003F">
        <w:rPr>
          <w:rFonts w:hint="eastAsia"/>
          <w:sz w:val="20"/>
          <w:lang w:val="zh-CN"/>
        </w:rPr>
        <w:t>。</w:t>
      </w:r>
    </w:p>
  </w:footnote>
  <w:footnote w:id="8">
    <w:p w14:paraId="710BF4FD" w14:textId="77777777" w:rsidR="00973DA7" w:rsidRDefault="00973DA7">
      <w:pPr>
        <w:pStyle w:val="FootnoteText"/>
      </w:pPr>
      <w:r w:rsidRPr="00E7003F">
        <w:rPr>
          <w:rStyle w:val="FootnoteReference"/>
          <w:sz w:val="20"/>
        </w:rPr>
        <w:footnoteRef/>
      </w:r>
      <w:r w:rsidRPr="00E7003F">
        <w:rPr>
          <w:sz w:val="20"/>
        </w:rPr>
        <w:t xml:space="preserve"> </w:t>
      </w:r>
      <w:hyperlink r:id="rId8" w:history="1">
        <w:r w:rsidRPr="00E7003F">
          <w:rPr>
            <w:rStyle w:val="Hyperlink"/>
            <w:sz w:val="20"/>
            <w:lang w:val="en-US"/>
          </w:rPr>
          <w:t>CBD/COP/17/4/Add.1</w:t>
        </w:r>
      </w:hyperlink>
      <w:r w:rsidRPr="00E7003F">
        <w:rPr>
          <w:rFonts w:hint="eastAsia"/>
          <w:sz w:val="20"/>
          <w:lang w:val="zh-CN"/>
        </w:rPr>
        <w:t>。</w:t>
      </w:r>
    </w:p>
  </w:footnote>
  <w:footnote w:id="9">
    <w:p w14:paraId="72C26F17"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见</w:t>
      </w:r>
      <w:hyperlink r:id="rId9" w:history="1">
        <w:r w:rsidRPr="00E7003F">
          <w:rPr>
            <w:rStyle w:val="Hyperlink"/>
            <w:sz w:val="20"/>
            <w:lang w:val="zh-CN"/>
          </w:rPr>
          <w:t>CBD/SBI/6/INF/9</w:t>
        </w:r>
      </w:hyperlink>
      <w:r w:rsidRPr="00E7003F">
        <w:rPr>
          <w:rFonts w:hAnsi="SimSun" w:hint="eastAsia"/>
          <w:sz w:val="20"/>
          <w:lang w:val="zh-CN"/>
        </w:rPr>
        <w:t>。这份文件审查了其他多边环境协定包括《联合国气候变化框架公约》、《濒危野生动植物种国际贸易公约》、《</w:t>
      </w:r>
      <w:r w:rsidRPr="00E7003F">
        <w:rPr>
          <w:rFonts w:hAnsi="SimSun" w:hint="eastAsia"/>
          <w:color w:val="000000"/>
          <w:sz w:val="20"/>
          <w:lang w:val="zh-CN"/>
        </w:rPr>
        <w:t>保护野生动物迁徙物种公约</w:t>
      </w:r>
      <w:r w:rsidRPr="00E7003F">
        <w:rPr>
          <w:rFonts w:hAnsi="SimSun" w:hint="eastAsia"/>
          <w:sz w:val="20"/>
          <w:lang w:val="zh-CN"/>
        </w:rPr>
        <w:t>》、《巴塞尔公约》、《鹿特丹公约》、《斯德哥尔摩公约》、《水俣公约》、《维也纳公约》及《蒙特利尔议定书》和《拉姆萨尔公约》的参与支持机制。文件指出</w:t>
      </w:r>
      <w:r w:rsidRPr="00E7003F">
        <w:rPr>
          <w:rFonts w:hAnsi="SimSun" w:hint="eastAsia"/>
          <w:sz w:val="20"/>
          <w:lang w:val="en-US"/>
        </w:rPr>
        <w:t>，</w:t>
      </w:r>
      <w:r w:rsidRPr="00E7003F">
        <w:rPr>
          <w:rFonts w:hAnsi="SimSun" w:hint="eastAsia"/>
          <w:sz w:val="20"/>
          <w:lang w:val="zh-CN"/>
        </w:rPr>
        <w:t>所有此类协定均依赖于自愿信托基金。《联合国气候变化框架公约》和《濒危野生动植物种国际贸易公约》对支持参与的资金分配制定了明确的标准。不过</w:t>
      </w:r>
      <w:r w:rsidRPr="00E7003F">
        <w:rPr>
          <w:rFonts w:hAnsi="SimSun" w:hint="eastAsia"/>
          <w:sz w:val="20"/>
          <w:lang w:val="en-US"/>
        </w:rPr>
        <w:t>，</w:t>
      </w:r>
      <w:r w:rsidRPr="00E7003F">
        <w:rPr>
          <w:rFonts w:hAnsi="SimSun" w:hint="eastAsia"/>
          <w:sz w:val="20"/>
          <w:lang w:val="zh-CN"/>
        </w:rPr>
        <w:t>所有这些协定都充分考虑了最不发达国家和小岛屿发展中国家的需求。通过调查确定的其他考虑因素包括</w:t>
      </w:r>
      <w:r w:rsidRPr="00E7003F">
        <w:rPr>
          <w:rFonts w:hAnsi="SimSun" w:hint="eastAsia"/>
          <w:sz w:val="20"/>
          <w:lang w:val="en-US"/>
        </w:rPr>
        <w:t>：</w:t>
      </w:r>
      <w:r w:rsidRPr="00E7003F">
        <w:rPr>
          <w:rFonts w:hAnsi="SimSun" w:hint="eastAsia"/>
          <w:sz w:val="20"/>
          <w:lang w:val="zh-CN"/>
        </w:rPr>
        <w:t>是否缴纳拖欠款项以及参加缔约方大会以往各届会议的代表团数不多。就本公约进程而言</w:t>
      </w:r>
      <w:r w:rsidRPr="00E7003F">
        <w:rPr>
          <w:rFonts w:hAnsi="SimSun" w:hint="eastAsia"/>
          <w:sz w:val="20"/>
          <w:lang w:val="en-US"/>
        </w:rPr>
        <w:t>，</w:t>
      </w:r>
      <w:r w:rsidRPr="00E7003F">
        <w:rPr>
          <w:sz w:val="20"/>
          <w:lang w:val="en-US"/>
        </w:rPr>
        <w:t>BZ</w:t>
      </w:r>
      <w:r w:rsidRPr="00E7003F">
        <w:rPr>
          <w:rFonts w:hAnsi="SimSun" w:hint="eastAsia"/>
          <w:sz w:val="20"/>
          <w:lang w:val="zh-CN"/>
        </w:rPr>
        <w:t>基金的分配方式遵循第</w:t>
      </w:r>
      <w:hyperlink r:id="rId10" w:history="1">
        <w:r w:rsidRPr="00E7003F">
          <w:rPr>
            <w:rStyle w:val="Hyperlink"/>
            <w:sz w:val="20"/>
            <w:lang w:val="en-US"/>
          </w:rPr>
          <w:t>9/34</w:t>
        </w:r>
      </w:hyperlink>
      <w:r w:rsidRPr="00E7003F">
        <w:rPr>
          <w:rFonts w:hAnsi="SimSun" w:hint="eastAsia"/>
          <w:sz w:val="20"/>
          <w:lang w:val="zh-CN"/>
        </w:rPr>
        <w:t>号决定的规定</w:t>
      </w:r>
      <w:r w:rsidRPr="00E7003F">
        <w:rPr>
          <w:rFonts w:hAnsi="SimSun" w:hint="eastAsia"/>
          <w:sz w:val="20"/>
          <w:lang w:val="en-US"/>
        </w:rPr>
        <w:t>（</w:t>
      </w:r>
      <w:r w:rsidRPr="00E7003F">
        <w:rPr>
          <w:rFonts w:hAnsi="SimSun" w:hint="eastAsia"/>
          <w:sz w:val="20"/>
          <w:lang w:val="zh-CN"/>
        </w:rPr>
        <w:t>附件</w:t>
      </w:r>
      <w:r w:rsidRPr="00E7003F">
        <w:rPr>
          <w:rFonts w:hAnsi="SimSun" w:hint="eastAsia"/>
          <w:sz w:val="20"/>
          <w:lang w:val="en-US"/>
        </w:rPr>
        <w:t>：</w:t>
      </w:r>
      <w:r w:rsidRPr="00E7003F">
        <w:rPr>
          <w:rFonts w:hAnsi="SimSun" w:hint="eastAsia"/>
          <w:sz w:val="20"/>
          <w:lang w:val="zh-CN"/>
        </w:rPr>
        <w:t>为便利缔约方参加公约进程从特别自愿信托基金</w:t>
      </w:r>
      <w:r w:rsidRPr="00E7003F">
        <w:rPr>
          <w:rFonts w:hAnsi="SimSun" w:hint="eastAsia"/>
          <w:sz w:val="20"/>
          <w:lang w:val="en-US"/>
        </w:rPr>
        <w:t>（</w:t>
      </w:r>
      <w:r w:rsidRPr="00E7003F">
        <w:rPr>
          <w:sz w:val="20"/>
          <w:lang w:val="en-US"/>
        </w:rPr>
        <w:t>BZ</w:t>
      </w:r>
      <w:r w:rsidRPr="00E7003F">
        <w:rPr>
          <w:rFonts w:hAnsi="SimSun" w:hint="eastAsia"/>
          <w:sz w:val="20"/>
          <w:lang w:val="en-US"/>
        </w:rPr>
        <w:t>）</w:t>
      </w:r>
      <w:r w:rsidRPr="00E7003F">
        <w:rPr>
          <w:rFonts w:hAnsi="SimSun" w:hint="eastAsia"/>
          <w:sz w:val="20"/>
          <w:lang w:val="zh-CN"/>
        </w:rPr>
        <w:t>拨供经费的程序</w:t>
      </w:r>
      <w:r w:rsidRPr="00E7003F">
        <w:rPr>
          <w:rFonts w:hAnsi="SimSun" w:hint="eastAsia"/>
          <w:sz w:val="20"/>
          <w:lang w:val="en-US"/>
        </w:rPr>
        <w:t>）</w:t>
      </w:r>
      <w:r w:rsidRPr="00E7003F">
        <w:rPr>
          <w:sz w:val="20"/>
          <w:lang w:val="en-US"/>
        </w:rPr>
        <w:t xml:space="preserve"> </w:t>
      </w:r>
      <w:r w:rsidRPr="00E7003F">
        <w:rPr>
          <w:rFonts w:hAnsi="SimSun" w:hint="eastAsia"/>
          <w:sz w:val="20"/>
          <w:lang w:val="en-US"/>
        </w:rPr>
        <w:t>，</w:t>
      </w:r>
      <w:r w:rsidRPr="00E7003F">
        <w:rPr>
          <w:rFonts w:hAnsi="SimSun" w:hint="eastAsia"/>
          <w:sz w:val="20"/>
          <w:lang w:val="zh-CN"/>
        </w:rPr>
        <w:t>其中包括以下原则</w:t>
      </w:r>
      <w:r w:rsidRPr="00E7003F">
        <w:rPr>
          <w:rFonts w:hAnsi="SimSun" w:hint="eastAsia"/>
          <w:sz w:val="20"/>
          <w:lang w:val="en-US"/>
        </w:rPr>
        <w:t>：（</w:t>
      </w:r>
      <w:r w:rsidRPr="00E7003F">
        <w:rPr>
          <w:rFonts w:hAnsi="SimSun" w:hint="eastAsia"/>
          <w:sz w:val="20"/>
          <w:lang w:val="zh-CN"/>
        </w:rPr>
        <w:t>一</w:t>
      </w:r>
      <w:r w:rsidRPr="00E7003F">
        <w:rPr>
          <w:rFonts w:hAnsi="SimSun" w:hint="eastAsia"/>
          <w:sz w:val="20"/>
          <w:lang w:val="en-US"/>
        </w:rPr>
        <w:t>）</w:t>
      </w:r>
      <w:r w:rsidRPr="00E7003F">
        <w:rPr>
          <w:rFonts w:hAnsi="SimSun" w:hint="eastAsia"/>
          <w:sz w:val="20"/>
          <w:lang w:val="zh-CN"/>
        </w:rPr>
        <w:t>优先考虑最不发达国家和小岛屿发展中国家</w:t>
      </w:r>
      <w:r w:rsidRPr="00E7003F">
        <w:rPr>
          <w:rFonts w:hAnsi="SimSun" w:hint="eastAsia"/>
          <w:sz w:val="20"/>
          <w:lang w:val="en-US"/>
        </w:rPr>
        <w:t>；（</w:t>
      </w:r>
      <w:r w:rsidRPr="00E7003F">
        <w:rPr>
          <w:rFonts w:hAnsi="SimSun" w:hint="eastAsia"/>
          <w:sz w:val="20"/>
          <w:lang w:val="zh-CN"/>
        </w:rPr>
        <w:t>二</w:t>
      </w:r>
      <w:r w:rsidRPr="00E7003F">
        <w:rPr>
          <w:rFonts w:hAnsi="SimSun" w:hint="eastAsia"/>
          <w:sz w:val="20"/>
          <w:lang w:val="en-US"/>
        </w:rPr>
        <w:t>）</w:t>
      </w:r>
      <w:r w:rsidRPr="00E7003F">
        <w:rPr>
          <w:rFonts w:hAnsi="SimSun" w:hint="eastAsia"/>
          <w:sz w:val="20"/>
          <w:lang w:val="zh-CN"/>
        </w:rPr>
        <w:t>确保所有符合资格的缔约方在地域上得到充分代表性</w:t>
      </w:r>
      <w:r w:rsidRPr="00E7003F">
        <w:rPr>
          <w:rFonts w:hAnsi="SimSun" w:hint="eastAsia"/>
          <w:sz w:val="20"/>
          <w:lang w:val="en-US"/>
        </w:rPr>
        <w:t>；（</w:t>
      </w:r>
      <w:r w:rsidRPr="00E7003F">
        <w:rPr>
          <w:rFonts w:hAnsi="SimSun" w:hint="eastAsia"/>
          <w:sz w:val="20"/>
          <w:lang w:val="zh-CN"/>
        </w:rPr>
        <w:t>三</w:t>
      </w:r>
      <w:r w:rsidRPr="00E7003F">
        <w:rPr>
          <w:rFonts w:hAnsi="SimSun" w:hint="eastAsia"/>
          <w:sz w:val="20"/>
          <w:lang w:val="en-US"/>
        </w:rPr>
        <w:t>）</w:t>
      </w:r>
      <w:r w:rsidRPr="00E7003F">
        <w:rPr>
          <w:rFonts w:hAnsi="SimSun" w:hint="eastAsia"/>
          <w:sz w:val="20"/>
          <w:lang w:val="zh-CN"/>
        </w:rPr>
        <w:t>及时提交资助申请表</w:t>
      </w:r>
      <w:r w:rsidRPr="00E7003F">
        <w:rPr>
          <w:rFonts w:hAnsi="SimSun" w:hint="eastAsia"/>
          <w:sz w:val="20"/>
          <w:lang w:val="en-US"/>
        </w:rPr>
        <w:t>；（</w:t>
      </w:r>
      <w:r w:rsidRPr="00E7003F">
        <w:rPr>
          <w:rFonts w:hAnsi="SimSun" w:hint="eastAsia"/>
          <w:sz w:val="20"/>
          <w:lang w:val="zh-CN"/>
        </w:rPr>
        <w:t>四</w:t>
      </w:r>
      <w:r w:rsidRPr="00E7003F">
        <w:rPr>
          <w:rFonts w:hAnsi="SimSun" w:hint="eastAsia"/>
          <w:sz w:val="20"/>
          <w:lang w:val="en-US"/>
        </w:rPr>
        <w:t>）</w:t>
      </w:r>
      <w:r w:rsidRPr="00E7003F">
        <w:rPr>
          <w:rFonts w:hAnsi="SimSun" w:hint="eastAsia"/>
          <w:sz w:val="20"/>
          <w:lang w:val="zh-CN"/>
        </w:rPr>
        <w:t>考虑性别平等因素。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E71" w14:textId="77777777" w:rsidR="00973DA7" w:rsidRDefault="00973DA7">
    <w:pPr>
      <w:pStyle w:val="Header"/>
      <w:spacing w:after="240"/>
      <w:rPr>
        <w:szCs w:val="24"/>
      </w:rPr>
    </w:pPr>
    <w:r>
      <w:rPr>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36C9" w14:textId="53686CA7" w:rsidR="00973DA7" w:rsidRPr="007E7892" w:rsidRDefault="007E7892" w:rsidP="00881047">
    <w:pPr>
      <w:pStyle w:val="Header"/>
      <w:jc w:val="right"/>
    </w:pPr>
    <w:r w:rsidRPr="006E483F">
      <w:t>CBD/COP/17/</w:t>
    </w:r>
    <w:r>
      <w:t>4/Add.5</w:t>
    </w:r>
    <w:r w:rsidRPr="006E483F">
      <w:t>-CBD/CP/MOP/12/</w:t>
    </w:r>
    <w:r>
      <w:t>5/Add.2</w:t>
    </w:r>
    <w:r w:rsidRPr="006E483F">
      <w:t>-CBD/NP/MOP/6/</w:t>
    </w:r>
    <w:r>
      <w:t>5/Add.2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23A8" w14:textId="77777777" w:rsidR="007E7892" w:rsidRDefault="007E78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72A6498"/>
    <w:lvl w:ilvl="0">
      <w:start w:val="1"/>
      <w:numFmt w:val="bullet"/>
      <w:pStyle w:val="Para3"/>
      <w:lvlText w:val=""/>
      <w:lvlJc w:val="left"/>
      <w:pPr>
        <w:tabs>
          <w:tab w:val="num" w:pos="720"/>
        </w:tabs>
        <w:ind w:left="720" w:hanging="360"/>
      </w:pPr>
      <w:rPr>
        <w:rFonts w:ascii="Symbol" w:hAnsi="Symbol" w:hint="default"/>
      </w:rPr>
    </w:lvl>
  </w:abstractNum>
  <w:abstractNum w:abstractNumId="1" w15:restartNumberingAfterBreak="0">
    <w:nsid w:val="1E9D2729"/>
    <w:multiLevelType w:val="multilevel"/>
    <w:tmpl w:val="AF48CA4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MS Mincho" w:hAnsi="Aptos" w:hint="default"/>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8E4287B"/>
    <w:multiLevelType w:val="multilevel"/>
    <w:tmpl w:val="2E6A1D38"/>
    <w:lvl w:ilvl="0">
      <w:start w:val="1"/>
      <w:numFmt w:val="decimal"/>
      <w:pStyle w:val="CBDNormalNumber"/>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E8F6BB6A">
      <w:start w:val="1"/>
      <w:numFmt w:val="lowerLetter"/>
      <w:lvlText w:val="%2."/>
      <w:lvlJc w:val="left"/>
      <w:pPr>
        <w:tabs>
          <w:tab w:val="num" w:pos="1440"/>
        </w:tabs>
        <w:ind w:left="159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5E2644FA">
      <w:start w:val="1"/>
      <w:numFmt w:val="lowerRoman"/>
      <w:lvlText w:val="%3."/>
      <w:lvlJc w:val="left"/>
      <w:pPr>
        <w:tabs>
          <w:tab w:val="num" w:pos="2160"/>
        </w:tabs>
        <w:ind w:left="231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AF76E5AC">
      <w:start w:val="1"/>
      <w:numFmt w:val="decimal"/>
      <w:lvlText w:val="%4."/>
      <w:lvlJc w:val="left"/>
      <w:pPr>
        <w:tabs>
          <w:tab w:val="num" w:pos="2880"/>
        </w:tabs>
        <w:ind w:left="303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778A8A7A">
      <w:start w:val="1"/>
      <w:numFmt w:val="lowerLetter"/>
      <w:lvlText w:val="%5."/>
      <w:lvlJc w:val="left"/>
      <w:pPr>
        <w:tabs>
          <w:tab w:val="num" w:pos="3600"/>
        </w:tabs>
        <w:ind w:left="375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E7AEBC42">
      <w:start w:val="1"/>
      <w:numFmt w:val="lowerRoman"/>
      <w:lvlText w:val="%6."/>
      <w:lvlJc w:val="left"/>
      <w:pPr>
        <w:tabs>
          <w:tab w:val="num" w:pos="4320"/>
        </w:tabs>
        <w:ind w:left="447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A94EAFA6">
      <w:start w:val="1"/>
      <w:numFmt w:val="decimal"/>
      <w:lvlText w:val="%7."/>
      <w:lvlJc w:val="left"/>
      <w:pPr>
        <w:tabs>
          <w:tab w:val="num" w:pos="5040"/>
        </w:tabs>
        <w:ind w:left="519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EFE48544">
      <w:start w:val="1"/>
      <w:numFmt w:val="lowerLetter"/>
      <w:lvlText w:val="%8."/>
      <w:lvlJc w:val="left"/>
      <w:pPr>
        <w:tabs>
          <w:tab w:val="num" w:pos="5760"/>
        </w:tabs>
        <w:ind w:left="591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1FA0C4EE">
      <w:start w:val="1"/>
      <w:numFmt w:val="lowerRoman"/>
      <w:lvlText w:val="%9."/>
      <w:lvlJc w:val="left"/>
      <w:pPr>
        <w:tabs>
          <w:tab w:val="num" w:pos="6480"/>
        </w:tabs>
        <w:ind w:left="663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D943BEE"/>
    <w:multiLevelType w:val="multilevel"/>
    <w:tmpl w:val="331041F0"/>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2" w15:restartNumberingAfterBreak="0">
    <w:nsid w:val="7DC718A5"/>
    <w:multiLevelType w:val="hybridMultilevel"/>
    <w:tmpl w:val="5CA48BA0"/>
    <w:lvl w:ilvl="0" w:tplc="5B508F20">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585906">
    <w:abstractNumId w:val="0"/>
  </w:num>
  <w:num w:numId="2" w16cid:durableId="620184385">
    <w:abstractNumId w:val="6"/>
  </w:num>
  <w:num w:numId="3" w16cid:durableId="504637016">
    <w:abstractNumId w:val="4"/>
  </w:num>
  <w:num w:numId="4" w16cid:durableId="1855683728">
    <w:abstractNumId w:val="10"/>
  </w:num>
  <w:num w:numId="5" w16cid:durableId="1146776411">
    <w:abstractNumId w:val="11"/>
  </w:num>
  <w:num w:numId="6" w16cid:durableId="1742368220">
    <w:abstractNumId w:val="5"/>
  </w:num>
  <w:num w:numId="7" w16cid:durableId="1105537418">
    <w:abstractNumId w:val="9"/>
  </w:num>
  <w:num w:numId="8" w16cid:durableId="262806859">
    <w:abstractNumId w:val="8"/>
  </w:num>
  <w:num w:numId="9" w16cid:durableId="1462848054">
    <w:abstractNumId w:val="3"/>
  </w:num>
  <w:num w:numId="10" w16cid:durableId="898322724">
    <w:abstractNumId w:val="2"/>
  </w:num>
  <w:num w:numId="11" w16cid:durableId="104888436">
    <w:abstractNumId w:val="7"/>
  </w:num>
  <w:num w:numId="12" w16cid:durableId="890581584">
    <w:abstractNumId w:val="12"/>
  </w:num>
  <w:num w:numId="13" w16cid:durableId="1758205920">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8C3"/>
    <w:rsid w:val="00000101"/>
    <w:rsid w:val="0000081A"/>
    <w:rsid w:val="000029C3"/>
    <w:rsid w:val="00006385"/>
    <w:rsid w:val="00006AA5"/>
    <w:rsid w:val="000125DA"/>
    <w:rsid w:val="00013ACC"/>
    <w:rsid w:val="00013D10"/>
    <w:rsid w:val="000140C4"/>
    <w:rsid w:val="00015192"/>
    <w:rsid w:val="000165AA"/>
    <w:rsid w:val="00022191"/>
    <w:rsid w:val="00023550"/>
    <w:rsid w:val="0002459E"/>
    <w:rsid w:val="00025590"/>
    <w:rsid w:val="00025FB9"/>
    <w:rsid w:val="0002730A"/>
    <w:rsid w:val="0003598A"/>
    <w:rsid w:val="00036E7C"/>
    <w:rsid w:val="0003749E"/>
    <w:rsid w:val="00041DAA"/>
    <w:rsid w:val="00042688"/>
    <w:rsid w:val="00043BE4"/>
    <w:rsid w:val="00044133"/>
    <w:rsid w:val="0004547C"/>
    <w:rsid w:val="00046CCC"/>
    <w:rsid w:val="00046FEC"/>
    <w:rsid w:val="0005091C"/>
    <w:rsid w:val="00051835"/>
    <w:rsid w:val="00052482"/>
    <w:rsid w:val="00053374"/>
    <w:rsid w:val="00053EB2"/>
    <w:rsid w:val="0005759A"/>
    <w:rsid w:val="00057EB2"/>
    <w:rsid w:val="00060B2D"/>
    <w:rsid w:val="000646CA"/>
    <w:rsid w:val="00071066"/>
    <w:rsid w:val="0007171B"/>
    <w:rsid w:val="0007306D"/>
    <w:rsid w:val="00074C4C"/>
    <w:rsid w:val="000757D8"/>
    <w:rsid w:val="000768DB"/>
    <w:rsid w:val="00077779"/>
    <w:rsid w:val="000844BD"/>
    <w:rsid w:val="00093A9A"/>
    <w:rsid w:val="00093B01"/>
    <w:rsid w:val="00094684"/>
    <w:rsid w:val="00097A31"/>
    <w:rsid w:val="000A0399"/>
    <w:rsid w:val="000A0D57"/>
    <w:rsid w:val="000A0E8B"/>
    <w:rsid w:val="000A1C22"/>
    <w:rsid w:val="000A2992"/>
    <w:rsid w:val="000A3BFD"/>
    <w:rsid w:val="000A5D07"/>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1C86"/>
    <w:rsid w:val="000F3809"/>
    <w:rsid w:val="000F6945"/>
    <w:rsid w:val="000F74F5"/>
    <w:rsid w:val="000F78FC"/>
    <w:rsid w:val="0010187D"/>
    <w:rsid w:val="00102F2A"/>
    <w:rsid w:val="001031DF"/>
    <w:rsid w:val="00103789"/>
    <w:rsid w:val="00104F10"/>
    <w:rsid w:val="00105372"/>
    <w:rsid w:val="001054A6"/>
    <w:rsid w:val="00106D50"/>
    <w:rsid w:val="00107116"/>
    <w:rsid w:val="00107206"/>
    <w:rsid w:val="001078A1"/>
    <w:rsid w:val="00110389"/>
    <w:rsid w:val="001117FF"/>
    <w:rsid w:val="00113857"/>
    <w:rsid w:val="00113FD0"/>
    <w:rsid w:val="001170EE"/>
    <w:rsid w:val="0011727E"/>
    <w:rsid w:val="00125B12"/>
    <w:rsid w:val="00127D1D"/>
    <w:rsid w:val="00127F8E"/>
    <w:rsid w:val="001301E0"/>
    <w:rsid w:val="001312AD"/>
    <w:rsid w:val="00131E7A"/>
    <w:rsid w:val="00134846"/>
    <w:rsid w:val="00142329"/>
    <w:rsid w:val="00145984"/>
    <w:rsid w:val="00146DD3"/>
    <w:rsid w:val="0014721B"/>
    <w:rsid w:val="00151FE7"/>
    <w:rsid w:val="001526C8"/>
    <w:rsid w:val="00152EC2"/>
    <w:rsid w:val="00152F3D"/>
    <w:rsid w:val="001537A1"/>
    <w:rsid w:val="00153C20"/>
    <w:rsid w:val="00164C0B"/>
    <w:rsid w:val="00164F30"/>
    <w:rsid w:val="00166D55"/>
    <w:rsid w:val="00166E42"/>
    <w:rsid w:val="00167967"/>
    <w:rsid w:val="00172AF6"/>
    <w:rsid w:val="00172C3C"/>
    <w:rsid w:val="001734B3"/>
    <w:rsid w:val="00173EFB"/>
    <w:rsid w:val="00176CEE"/>
    <w:rsid w:val="00176DC8"/>
    <w:rsid w:val="00177364"/>
    <w:rsid w:val="00177A41"/>
    <w:rsid w:val="001825EA"/>
    <w:rsid w:val="001830F2"/>
    <w:rsid w:val="00185BAD"/>
    <w:rsid w:val="001866C2"/>
    <w:rsid w:val="00186DD8"/>
    <w:rsid w:val="00196B61"/>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3E04"/>
    <w:rsid w:val="001E618F"/>
    <w:rsid w:val="001E6655"/>
    <w:rsid w:val="001F3738"/>
    <w:rsid w:val="001F38FF"/>
    <w:rsid w:val="001F6307"/>
    <w:rsid w:val="001F64FF"/>
    <w:rsid w:val="001F7919"/>
    <w:rsid w:val="00204630"/>
    <w:rsid w:val="00205971"/>
    <w:rsid w:val="00212288"/>
    <w:rsid w:val="002130F4"/>
    <w:rsid w:val="00213B75"/>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3E49"/>
    <w:rsid w:val="00285FD7"/>
    <w:rsid w:val="00292149"/>
    <w:rsid w:val="00292914"/>
    <w:rsid w:val="00293210"/>
    <w:rsid w:val="00293CB8"/>
    <w:rsid w:val="00293CF1"/>
    <w:rsid w:val="00294F3D"/>
    <w:rsid w:val="00295263"/>
    <w:rsid w:val="002A36E3"/>
    <w:rsid w:val="002A5D3D"/>
    <w:rsid w:val="002A6971"/>
    <w:rsid w:val="002B0A18"/>
    <w:rsid w:val="002B358C"/>
    <w:rsid w:val="002B442E"/>
    <w:rsid w:val="002B4B02"/>
    <w:rsid w:val="002B535F"/>
    <w:rsid w:val="002B69C2"/>
    <w:rsid w:val="002B6E81"/>
    <w:rsid w:val="002C044E"/>
    <w:rsid w:val="002C04C0"/>
    <w:rsid w:val="002C057C"/>
    <w:rsid w:val="002C1AAD"/>
    <w:rsid w:val="002C2313"/>
    <w:rsid w:val="002C3517"/>
    <w:rsid w:val="002C42C1"/>
    <w:rsid w:val="002C45CE"/>
    <w:rsid w:val="002C621A"/>
    <w:rsid w:val="002C6A9D"/>
    <w:rsid w:val="002D186E"/>
    <w:rsid w:val="002D5244"/>
    <w:rsid w:val="002D7CAA"/>
    <w:rsid w:val="002E0137"/>
    <w:rsid w:val="002E27FF"/>
    <w:rsid w:val="002E4091"/>
    <w:rsid w:val="002E62C9"/>
    <w:rsid w:val="002E681E"/>
    <w:rsid w:val="002F0E53"/>
    <w:rsid w:val="002F1EF1"/>
    <w:rsid w:val="002F289D"/>
    <w:rsid w:val="002F358F"/>
    <w:rsid w:val="002F5550"/>
    <w:rsid w:val="002F6E18"/>
    <w:rsid w:val="002F73DB"/>
    <w:rsid w:val="003008FE"/>
    <w:rsid w:val="0030161A"/>
    <w:rsid w:val="0030169D"/>
    <w:rsid w:val="00303060"/>
    <w:rsid w:val="00303198"/>
    <w:rsid w:val="003037A8"/>
    <w:rsid w:val="00303BDA"/>
    <w:rsid w:val="003042DB"/>
    <w:rsid w:val="00305DB9"/>
    <w:rsid w:val="003060EB"/>
    <w:rsid w:val="00306A02"/>
    <w:rsid w:val="003117FB"/>
    <w:rsid w:val="00313D1E"/>
    <w:rsid w:val="00314C4C"/>
    <w:rsid w:val="00315353"/>
    <w:rsid w:val="003153EB"/>
    <w:rsid w:val="00316B41"/>
    <w:rsid w:val="0031707E"/>
    <w:rsid w:val="00321083"/>
    <w:rsid w:val="0032136E"/>
    <w:rsid w:val="00321859"/>
    <w:rsid w:val="00321985"/>
    <w:rsid w:val="00322784"/>
    <w:rsid w:val="00326F7B"/>
    <w:rsid w:val="00340B28"/>
    <w:rsid w:val="00344923"/>
    <w:rsid w:val="003464D7"/>
    <w:rsid w:val="003473DA"/>
    <w:rsid w:val="003506B7"/>
    <w:rsid w:val="00351205"/>
    <w:rsid w:val="003554CA"/>
    <w:rsid w:val="00355546"/>
    <w:rsid w:val="003558E5"/>
    <w:rsid w:val="00355CC2"/>
    <w:rsid w:val="00355F61"/>
    <w:rsid w:val="00361E9B"/>
    <w:rsid w:val="00362457"/>
    <w:rsid w:val="00367F65"/>
    <w:rsid w:val="00371713"/>
    <w:rsid w:val="00372F74"/>
    <w:rsid w:val="00375429"/>
    <w:rsid w:val="0037579C"/>
    <w:rsid w:val="003801F7"/>
    <w:rsid w:val="00385CCB"/>
    <w:rsid w:val="00386939"/>
    <w:rsid w:val="003878A7"/>
    <w:rsid w:val="00392DEB"/>
    <w:rsid w:val="0039345E"/>
    <w:rsid w:val="0039794C"/>
    <w:rsid w:val="003A0CEC"/>
    <w:rsid w:val="003A0CFB"/>
    <w:rsid w:val="003A4C30"/>
    <w:rsid w:val="003A56E1"/>
    <w:rsid w:val="003A5CD3"/>
    <w:rsid w:val="003A6ECC"/>
    <w:rsid w:val="003B0105"/>
    <w:rsid w:val="003B43CB"/>
    <w:rsid w:val="003B52C0"/>
    <w:rsid w:val="003B55AF"/>
    <w:rsid w:val="003C02C7"/>
    <w:rsid w:val="003C3D31"/>
    <w:rsid w:val="003C3DD0"/>
    <w:rsid w:val="003C425C"/>
    <w:rsid w:val="003D38E7"/>
    <w:rsid w:val="003D40E3"/>
    <w:rsid w:val="003D6834"/>
    <w:rsid w:val="003D6DA9"/>
    <w:rsid w:val="003E037C"/>
    <w:rsid w:val="003E2C1C"/>
    <w:rsid w:val="003E2EED"/>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46D3"/>
    <w:rsid w:val="00417439"/>
    <w:rsid w:val="00421F4D"/>
    <w:rsid w:val="00427D21"/>
    <w:rsid w:val="0043366E"/>
    <w:rsid w:val="00434E98"/>
    <w:rsid w:val="004350D5"/>
    <w:rsid w:val="00437AEC"/>
    <w:rsid w:val="00445100"/>
    <w:rsid w:val="00446478"/>
    <w:rsid w:val="004475D6"/>
    <w:rsid w:val="00447926"/>
    <w:rsid w:val="00447F4A"/>
    <w:rsid w:val="004525AD"/>
    <w:rsid w:val="00452DE3"/>
    <w:rsid w:val="00453F02"/>
    <w:rsid w:val="00454A2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976DD"/>
    <w:rsid w:val="004A0164"/>
    <w:rsid w:val="004A311E"/>
    <w:rsid w:val="004A44F8"/>
    <w:rsid w:val="004A52FB"/>
    <w:rsid w:val="004B10BD"/>
    <w:rsid w:val="004B2235"/>
    <w:rsid w:val="004B2F33"/>
    <w:rsid w:val="004B3801"/>
    <w:rsid w:val="004B596F"/>
    <w:rsid w:val="004C0BFD"/>
    <w:rsid w:val="004C1D07"/>
    <w:rsid w:val="004D3086"/>
    <w:rsid w:val="004D34BA"/>
    <w:rsid w:val="004E01A9"/>
    <w:rsid w:val="004E1305"/>
    <w:rsid w:val="004E2C3D"/>
    <w:rsid w:val="004E5826"/>
    <w:rsid w:val="004E7194"/>
    <w:rsid w:val="004F3869"/>
    <w:rsid w:val="004F70C8"/>
    <w:rsid w:val="004F774A"/>
    <w:rsid w:val="0050055A"/>
    <w:rsid w:val="00503FF0"/>
    <w:rsid w:val="00504E2F"/>
    <w:rsid w:val="00506C02"/>
    <w:rsid w:val="0051006C"/>
    <w:rsid w:val="005116FF"/>
    <w:rsid w:val="00512B9C"/>
    <w:rsid w:val="00515730"/>
    <w:rsid w:val="00515A2B"/>
    <w:rsid w:val="0051671D"/>
    <w:rsid w:val="00522FB7"/>
    <w:rsid w:val="00531525"/>
    <w:rsid w:val="00532CC0"/>
    <w:rsid w:val="0053410F"/>
    <w:rsid w:val="00534681"/>
    <w:rsid w:val="00540C45"/>
    <w:rsid w:val="00542174"/>
    <w:rsid w:val="005433FE"/>
    <w:rsid w:val="00543B3F"/>
    <w:rsid w:val="005469A2"/>
    <w:rsid w:val="00550122"/>
    <w:rsid w:val="00551F51"/>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93AFB"/>
    <w:rsid w:val="00594DE5"/>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E3E10"/>
    <w:rsid w:val="005E572F"/>
    <w:rsid w:val="005F0132"/>
    <w:rsid w:val="005F0437"/>
    <w:rsid w:val="005F0F68"/>
    <w:rsid w:val="005F3D87"/>
    <w:rsid w:val="005F4740"/>
    <w:rsid w:val="005F64A3"/>
    <w:rsid w:val="005F653D"/>
    <w:rsid w:val="00601870"/>
    <w:rsid w:val="006025B6"/>
    <w:rsid w:val="00603B88"/>
    <w:rsid w:val="006052E6"/>
    <w:rsid w:val="00605918"/>
    <w:rsid w:val="00610D1E"/>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80BBA"/>
    <w:rsid w:val="006814E8"/>
    <w:rsid w:val="00682AE2"/>
    <w:rsid w:val="00682BA9"/>
    <w:rsid w:val="0068672B"/>
    <w:rsid w:val="006870CF"/>
    <w:rsid w:val="00687524"/>
    <w:rsid w:val="00690BB9"/>
    <w:rsid w:val="00692148"/>
    <w:rsid w:val="0069310E"/>
    <w:rsid w:val="00695308"/>
    <w:rsid w:val="00697BF9"/>
    <w:rsid w:val="006A46BA"/>
    <w:rsid w:val="006A73C1"/>
    <w:rsid w:val="006A7E18"/>
    <w:rsid w:val="006B0450"/>
    <w:rsid w:val="006B1592"/>
    <w:rsid w:val="006B2290"/>
    <w:rsid w:val="006B2E60"/>
    <w:rsid w:val="006B2F7C"/>
    <w:rsid w:val="006B3BC2"/>
    <w:rsid w:val="006B65D0"/>
    <w:rsid w:val="006B71D9"/>
    <w:rsid w:val="006C0D4A"/>
    <w:rsid w:val="006C1DA2"/>
    <w:rsid w:val="006C3EC8"/>
    <w:rsid w:val="006C7F3A"/>
    <w:rsid w:val="006D05AB"/>
    <w:rsid w:val="006D0E41"/>
    <w:rsid w:val="006D6527"/>
    <w:rsid w:val="006E0FEF"/>
    <w:rsid w:val="006E12C3"/>
    <w:rsid w:val="006E1AEA"/>
    <w:rsid w:val="006E42EC"/>
    <w:rsid w:val="006E483F"/>
    <w:rsid w:val="006E7187"/>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18B1"/>
    <w:rsid w:val="007329F5"/>
    <w:rsid w:val="00732C0F"/>
    <w:rsid w:val="0073541E"/>
    <w:rsid w:val="0073546F"/>
    <w:rsid w:val="00736952"/>
    <w:rsid w:val="00740FDB"/>
    <w:rsid w:val="007447F4"/>
    <w:rsid w:val="00746021"/>
    <w:rsid w:val="00750B6E"/>
    <w:rsid w:val="00755275"/>
    <w:rsid w:val="007564C8"/>
    <w:rsid w:val="007569E6"/>
    <w:rsid w:val="00760086"/>
    <w:rsid w:val="0076013E"/>
    <w:rsid w:val="007621B0"/>
    <w:rsid w:val="00767177"/>
    <w:rsid w:val="007679A1"/>
    <w:rsid w:val="00770F4B"/>
    <w:rsid w:val="0077131B"/>
    <w:rsid w:val="00775235"/>
    <w:rsid w:val="00780A64"/>
    <w:rsid w:val="007819F8"/>
    <w:rsid w:val="00785061"/>
    <w:rsid w:val="00786056"/>
    <w:rsid w:val="00791256"/>
    <w:rsid w:val="00791C06"/>
    <w:rsid w:val="007942D3"/>
    <w:rsid w:val="007952BC"/>
    <w:rsid w:val="0079531A"/>
    <w:rsid w:val="00796360"/>
    <w:rsid w:val="00797B32"/>
    <w:rsid w:val="007A0F49"/>
    <w:rsid w:val="007B2099"/>
    <w:rsid w:val="007B2B0B"/>
    <w:rsid w:val="007B2B53"/>
    <w:rsid w:val="007B6C09"/>
    <w:rsid w:val="007B7741"/>
    <w:rsid w:val="007C07B4"/>
    <w:rsid w:val="007C0D50"/>
    <w:rsid w:val="007C2D08"/>
    <w:rsid w:val="007C3549"/>
    <w:rsid w:val="007C3948"/>
    <w:rsid w:val="007C4951"/>
    <w:rsid w:val="007C517F"/>
    <w:rsid w:val="007C57EA"/>
    <w:rsid w:val="007D22FA"/>
    <w:rsid w:val="007D40D8"/>
    <w:rsid w:val="007D7977"/>
    <w:rsid w:val="007E09DA"/>
    <w:rsid w:val="007E0F8A"/>
    <w:rsid w:val="007E1795"/>
    <w:rsid w:val="007E28F2"/>
    <w:rsid w:val="007E32C4"/>
    <w:rsid w:val="007E6750"/>
    <w:rsid w:val="007E7892"/>
    <w:rsid w:val="007F3943"/>
    <w:rsid w:val="007F45B5"/>
    <w:rsid w:val="007F5D6D"/>
    <w:rsid w:val="007F6C83"/>
    <w:rsid w:val="007F718D"/>
    <w:rsid w:val="00801100"/>
    <w:rsid w:val="00801451"/>
    <w:rsid w:val="00801FAD"/>
    <w:rsid w:val="00803D19"/>
    <w:rsid w:val="00805263"/>
    <w:rsid w:val="008056AD"/>
    <w:rsid w:val="00805CB0"/>
    <w:rsid w:val="00811812"/>
    <w:rsid w:val="00813143"/>
    <w:rsid w:val="008145AF"/>
    <w:rsid w:val="00814FA9"/>
    <w:rsid w:val="00815908"/>
    <w:rsid w:val="00815D39"/>
    <w:rsid w:val="00816CA3"/>
    <w:rsid w:val="008178B6"/>
    <w:rsid w:val="00817AD8"/>
    <w:rsid w:val="00820C21"/>
    <w:rsid w:val="008212A6"/>
    <w:rsid w:val="00821BDE"/>
    <w:rsid w:val="0082259B"/>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6E4"/>
    <w:rsid w:val="00876C1E"/>
    <w:rsid w:val="00881047"/>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5BA2"/>
    <w:rsid w:val="008B78C3"/>
    <w:rsid w:val="008C0495"/>
    <w:rsid w:val="008C185F"/>
    <w:rsid w:val="008C1925"/>
    <w:rsid w:val="008C3DFE"/>
    <w:rsid w:val="008C3FB1"/>
    <w:rsid w:val="008C479E"/>
    <w:rsid w:val="008C5102"/>
    <w:rsid w:val="008C5157"/>
    <w:rsid w:val="008D0189"/>
    <w:rsid w:val="008D3A54"/>
    <w:rsid w:val="008D4552"/>
    <w:rsid w:val="008D577E"/>
    <w:rsid w:val="008E3FF2"/>
    <w:rsid w:val="008E61FA"/>
    <w:rsid w:val="008E6A66"/>
    <w:rsid w:val="008F21E3"/>
    <w:rsid w:val="008F4AC5"/>
    <w:rsid w:val="008F62B9"/>
    <w:rsid w:val="00905211"/>
    <w:rsid w:val="00906E17"/>
    <w:rsid w:val="0091300E"/>
    <w:rsid w:val="00913EFC"/>
    <w:rsid w:val="009141AE"/>
    <w:rsid w:val="009167CB"/>
    <w:rsid w:val="00916C04"/>
    <w:rsid w:val="00917056"/>
    <w:rsid w:val="009212E0"/>
    <w:rsid w:val="00921A6E"/>
    <w:rsid w:val="00924B72"/>
    <w:rsid w:val="00924CDB"/>
    <w:rsid w:val="00925333"/>
    <w:rsid w:val="00930BA1"/>
    <w:rsid w:val="0093169E"/>
    <w:rsid w:val="00931BFD"/>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709C1"/>
    <w:rsid w:val="00973DA7"/>
    <w:rsid w:val="00976C0D"/>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D62AB"/>
    <w:rsid w:val="009E121A"/>
    <w:rsid w:val="009E1823"/>
    <w:rsid w:val="009E1A01"/>
    <w:rsid w:val="009E62DA"/>
    <w:rsid w:val="009E66EC"/>
    <w:rsid w:val="009F37F3"/>
    <w:rsid w:val="009F5D47"/>
    <w:rsid w:val="00A00894"/>
    <w:rsid w:val="00A00993"/>
    <w:rsid w:val="00A0148B"/>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2718"/>
    <w:rsid w:val="00A542A3"/>
    <w:rsid w:val="00A570DD"/>
    <w:rsid w:val="00A608D2"/>
    <w:rsid w:val="00A62D77"/>
    <w:rsid w:val="00A64AFB"/>
    <w:rsid w:val="00A65569"/>
    <w:rsid w:val="00A721E8"/>
    <w:rsid w:val="00A84714"/>
    <w:rsid w:val="00A84FB3"/>
    <w:rsid w:val="00A85239"/>
    <w:rsid w:val="00A86541"/>
    <w:rsid w:val="00A86542"/>
    <w:rsid w:val="00A868BA"/>
    <w:rsid w:val="00A86B71"/>
    <w:rsid w:val="00A93302"/>
    <w:rsid w:val="00A95855"/>
    <w:rsid w:val="00A95BFE"/>
    <w:rsid w:val="00A975D1"/>
    <w:rsid w:val="00AA1DE9"/>
    <w:rsid w:val="00AA1F44"/>
    <w:rsid w:val="00AA23F2"/>
    <w:rsid w:val="00AA2B64"/>
    <w:rsid w:val="00AA3C6E"/>
    <w:rsid w:val="00AA4471"/>
    <w:rsid w:val="00AA51AD"/>
    <w:rsid w:val="00AA62F1"/>
    <w:rsid w:val="00AA6F92"/>
    <w:rsid w:val="00AA7220"/>
    <w:rsid w:val="00AB356E"/>
    <w:rsid w:val="00AB38D8"/>
    <w:rsid w:val="00AB4584"/>
    <w:rsid w:val="00AB51D3"/>
    <w:rsid w:val="00AB58F9"/>
    <w:rsid w:val="00AB6934"/>
    <w:rsid w:val="00AB6D25"/>
    <w:rsid w:val="00AB742F"/>
    <w:rsid w:val="00AC2323"/>
    <w:rsid w:val="00AC3F01"/>
    <w:rsid w:val="00AC55AF"/>
    <w:rsid w:val="00AC593D"/>
    <w:rsid w:val="00AC5A5F"/>
    <w:rsid w:val="00AC5BE4"/>
    <w:rsid w:val="00AC5FA9"/>
    <w:rsid w:val="00AC5FD0"/>
    <w:rsid w:val="00AD18CC"/>
    <w:rsid w:val="00AD2926"/>
    <w:rsid w:val="00AE3848"/>
    <w:rsid w:val="00AF42DE"/>
    <w:rsid w:val="00AF4C3B"/>
    <w:rsid w:val="00AF5D24"/>
    <w:rsid w:val="00AF5E8E"/>
    <w:rsid w:val="00B00473"/>
    <w:rsid w:val="00B07390"/>
    <w:rsid w:val="00B07D94"/>
    <w:rsid w:val="00B07F34"/>
    <w:rsid w:val="00B1013B"/>
    <w:rsid w:val="00B131BD"/>
    <w:rsid w:val="00B1544D"/>
    <w:rsid w:val="00B17429"/>
    <w:rsid w:val="00B27379"/>
    <w:rsid w:val="00B301E6"/>
    <w:rsid w:val="00B31F8B"/>
    <w:rsid w:val="00B3369F"/>
    <w:rsid w:val="00B34EE3"/>
    <w:rsid w:val="00B36288"/>
    <w:rsid w:val="00B40E35"/>
    <w:rsid w:val="00B41F61"/>
    <w:rsid w:val="00B4527D"/>
    <w:rsid w:val="00B468D1"/>
    <w:rsid w:val="00B47D1B"/>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2F3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06986"/>
    <w:rsid w:val="00C075AF"/>
    <w:rsid w:val="00C118A8"/>
    <w:rsid w:val="00C11EE6"/>
    <w:rsid w:val="00C130F7"/>
    <w:rsid w:val="00C137CA"/>
    <w:rsid w:val="00C13D48"/>
    <w:rsid w:val="00C1561B"/>
    <w:rsid w:val="00C16D8B"/>
    <w:rsid w:val="00C21C42"/>
    <w:rsid w:val="00C227C2"/>
    <w:rsid w:val="00C23D2F"/>
    <w:rsid w:val="00C27E3F"/>
    <w:rsid w:val="00C30FEA"/>
    <w:rsid w:val="00C3340A"/>
    <w:rsid w:val="00C3453B"/>
    <w:rsid w:val="00C35F08"/>
    <w:rsid w:val="00C36C14"/>
    <w:rsid w:val="00C41EE4"/>
    <w:rsid w:val="00C436D3"/>
    <w:rsid w:val="00C43D9C"/>
    <w:rsid w:val="00C443BD"/>
    <w:rsid w:val="00C451C5"/>
    <w:rsid w:val="00C45AA6"/>
    <w:rsid w:val="00C50799"/>
    <w:rsid w:val="00C5198C"/>
    <w:rsid w:val="00C523DE"/>
    <w:rsid w:val="00C55C66"/>
    <w:rsid w:val="00C56C3E"/>
    <w:rsid w:val="00C56CB7"/>
    <w:rsid w:val="00C56E79"/>
    <w:rsid w:val="00C5709E"/>
    <w:rsid w:val="00C57198"/>
    <w:rsid w:val="00C57556"/>
    <w:rsid w:val="00C57887"/>
    <w:rsid w:val="00C60B9B"/>
    <w:rsid w:val="00C638A5"/>
    <w:rsid w:val="00C65EC3"/>
    <w:rsid w:val="00C669FE"/>
    <w:rsid w:val="00C66DD0"/>
    <w:rsid w:val="00C70759"/>
    <w:rsid w:val="00C71A45"/>
    <w:rsid w:val="00C73037"/>
    <w:rsid w:val="00C73956"/>
    <w:rsid w:val="00C8087F"/>
    <w:rsid w:val="00C865C3"/>
    <w:rsid w:val="00C90B4D"/>
    <w:rsid w:val="00C9161D"/>
    <w:rsid w:val="00C91971"/>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17B6"/>
    <w:rsid w:val="00CE1936"/>
    <w:rsid w:val="00CE2AA1"/>
    <w:rsid w:val="00CE2C75"/>
    <w:rsid w:val="00CE42E5"/>
    <w:rsid w:val="00CF036B"/>
    <w:rsid w:val="00CF1111"/>
    <w:rsid w:val="00CF1848"/>
    <w:rsid w:val="00CF48A9"/>
    <w:rsid w:val="00CF524B"/>
    <w:rsid w:val="00D0538B"/>
    <w:rsid w:val="00D07B9B"/>
    <w:rsid w:val="00D10DD1"/>
    <w:rsid w:val="00D12044"/>
    <w:rsid w:val="00D14A00"/>
    <w:rsid w:val="00D166C5"/>
    <w:rsid w:val="00D16EC0"/>
    <w:rsid w:val="00D170D9"/>
    <w:rsid w:val="00D17AF9"/>
    <w:rsid w:val="00D17F51"/>
    <w:rsid w:val="00D20F15"/>
    <w:rsid w:val="00D21F41"/>
    <w:rsid w:val="00D25D03"/>
    <w:rsid w:val="00D30C10"/>
    <w:rsid w:val="00D31D61"/>
    <w:rsid w:val="00D33B75"/>
    <w:rsid w:val="00D33B86"/>
    <w:rsid w:val="00D33EFC"/>
    <w:rsid w:val="00D3576C"/>
    <w:rsid w:val="00D404CD"/>
    <w:rsid w:val="00D4093E"/>
    <w:rsid w:val="00D40D5A"/>
    <w:rsid w:val="00D40DBC"/>
    <w:rsid w:val="00D4303A"/>
    <w:rsid w:val="00D44D00"/>
    <w:rsid w:val="00D4635E"/>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1F5"/>
    <w:rsid w:val="00DB75AC"/>
    <w:rsid w:val="00DC746C"/>
    <w:rsid w:val="00DC7E22"/>
    <w:rsid w:val="00DD118C"/>
    <w:rsid w:val="00DD3AE0"/>
    <w:rsid w:val="00DD61C6"/>
    <w:rsid w:val="00DE0891"/>
    <w:rsid w:val="00DE2627"/>
    <w:rsid w:val="00DE6D8F"/>
    <w:rsid w:val="00DE6F3E"/>
    <w:rsid w:val="00DE765C"/>
    <w:rsid w:val="00DE79D4"/>
    <w:rsid w:val="00DF09EF"/>
    <w:rsid w:val="00DF3626"/>
    <w:rsid w:val="00DF497F"/>
    <w:rsid w:val="00DF5649"/>
    <w:rsid w:val="00DF70E0"/>
    <w:rsid w:val="00E00FC2"/>
    <w:rsid w:val="00E01AFD"/>
    <w:rsid w:val="00E0221D"/>
    <w:rsid w:val="00E10836"/>
    <w:rsid w:val="00E11698"/>
    <w:rsid w:val="00E12A58"/>
    <w:rsid w:val="00E14A1A"/>
    <w:rsid w:val="00E14E1D"/>
    <w:rsid w:val="00E150A9"/>
    <w:rsid w:val="00E157AA"/>
    <w:rsid w:val="00E224A6"/>
    <w:rsid w:val="00E26E64"/>
    <w:rsid w:val="00E30548"/>
    <w:rsid w:val="00E33CE4"/>
    <w:rsid w:val="00E3400C"/>
    <w:rsid w:val="00E3571C"/>
    <w:rsid w:val="00E44557"/>
    <w:rsid w:val="00E51F96"/>
    <w:rsid w:val="00E537CA"/>
    <w:rsid w:val="00E57814"/>
    <w:rsid w:val="00E64FC2"/>
    <w:rsid w:val="00E66235"/>
    <w:rsid w:val="00E6623C"/>
    <w:rsid w:val="00E67264"/>
    <w:rsid w:val="00E7003F"/>
    <w:rsid w:val="00E70341"/>
    <w:rsid w:val="00E71F11"/>
    <w:rsid w:val="00E7324A"/>
    <w:rsid w:val="00E76E11"/>
    <w:rsid w:val="00E802FA"/>
    <w:rsid w:val="00E80C00"/>
    <w:rsid w:val="00E8142B"/>
    <w:rsid w:val="00E82E24"/>
    <w:rsid w:val="00E83471"/>
    <w:rsid w:val="00E83C24"/>
    <w:rsid w:val="00E860F6"/>
    <w:rsid w:val="00E9318D"/>
    <w:rsid w:val="00E93F3E"/>
    <w:rsid w:val="00E95C7E"/>
    <w:rsid w:val="00E971DF"/>
    <w:rsid w:val="00E97241"/>
    <w:rsid w:val="00EA127E"/>
    <w:rsid w:val="00EA74AC"/>
    <w:rsid w:val="00EA7732"/>
    <w:rsid w:val="00EB05B1"/>
    <w:rsid w:val="00EB06FF"/>
    <w:rsid w:val="00EB0739"/>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14B8"/>
    <w:rsid w:val="00F32633"/>
    <w:rsid w:val="00F3289C"/>
    <w:rsid w:val="00F35BF2"/>
    <w:rsid w:val="00F40A88"/>
    <w:rsid w:val="00F45245"/>
    <w:rsid w:val="00F471A6"/>
    <w:rsid w:val="00F5289C"/>
    <w:rsid w:val="00F53193"/>
    <w:rsid w:val="00F53267"/>
    <w:rsid w:val="00F5357E"/>
    <w:rsid w:val="00F60891"/>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429A"/>
    <w:rsid w:val="00F872CB"/>
    <w:rsid w:val="00F87A86"/>
    <w:rsid w:val="00F9038B"/>
    <w:rsid w:val="00F904DF"/>
    <w:rsid w:val="00F90690"/>
    <w:rsid w:val="00F94774"/>
    <w:rsid w:val="00F95847"/>
    <w:rsid w:val="00F964CE"/>
    <w:rsid w:val="00FA1D6E"/>
    <w:rsid w:val="00FA1E48"/>
    <w:rsid w:val="00FA33B7"/>
    <w:rsid w:val="00FA45FC"/>
    <w:rsid w:val="00FA536E"/>
    <w:rsid w:val="00FA663B"/>
    <w:rsid w:val="00FA6B87"/>
    <w:rsid w:val="00FB1FD2"/>
    <w:rsid w:val="00FB3B1C"/>
    <w:rsid w:val="00FB3B53"/>
    <w:rsid w:val="00FB4386"/>
    <w:rsid w:val="00FB4FB2"/>
    <w:rsid w:val="00FB63FF"/>
    <w:rsid w:val="00FB6FF3"/>
    <w:rsid w:val="00FB7835"/>
    <w:rsid w:val="00FC2BC0"/>
    <w:rsid w:val="00FC32FE"/>
    <w:rsid w:val="00FC53DB"/>
    <w:rsid w:val="00FC6498"/>
    <w:rsid w:val="00FC7712"/>
    <w:rsid w:val="00FD0F79"/>
    <w:rsid w:val="00FD2D51"/>
    <w:rsid w:val="00FD43F1"/>
    <w:rsid w:val="00FD6DDC"/>
    <w:rsid w:val="00FD75CB"/>
    <w:rsid w:val="00FD7CE0"/>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9C73FFC"/>
  <w15:docId w15:val="{6834999F-6B8D-4A97-B188-1103CCA7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lang w:val="en-GB"/>
    </w:rPr>
  </w:style>
  <w:style w:type="paragraph" w:styleId="Heading1">
    <w:name w:val="heading 1"/>
    <w:basedOn w:val="Normal"/>
    <w:next w:val="Heading2"/>
    <w:link w:val="Heading1Char"/>
    <w:uiPriority w:val="99"/>
    <w:qFormat/>
    <w:pPr>
      <w:keepNext/>
      <w:keepLines/>
      <w:numPr>
        <w:numId w:val="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7"/>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7"/>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cs="Times New Roman"/>
      <w:b/>
      <w:sz w:val="24"/>
      <w:szCs w:val="26"/>
      <w:lang w:val="en-GB"/>
    </w:rPr>
  </w:style>
  <w:style w:type="character" w:customStyle="1" w:styleId="Heading3Char">
    <w:name w:val="Heading 3 Char"/>
    <w:basedOn w:val="DefaultParagraphFont"/>
    <w:link w:val="Heading3"/>
    <w:uiPriority w:val="99"/>
    <w:locked/>
    <w:rPr>
      <w:rFonts w:cs="Times New Roman"/>
      <w:b/>
      <w:bCs/>
      <w:lang w:val="en-GB"/>
    </w:rPr>
  </w:style>
  <w:style w:type="character" w:customStyle="1" w:styleId="Heading4Char">
    <w:name w:val="Heading 4 Char"/>
    <w:basedOn w:val="DefaultParagraphFont"/>
    <w:link w:val="Heading4"/>
    <w:uiPriority w:val="99"/>
    <w:locked/>
    <w:rPr>
      <w:rFonts w:cs="Times New Roman"/>
      <w:b/>
      <w:bCs/>
      <w:lang w:val="en-GB"/>
    </w:rPr>
  </w:style>
  <w:style w:type="character" w:customStyle="1" w:styleId="Heading5Char">
    <w:name w:val="Heading 5 Char"/>
    <w:basedOn w:val="DefaultParagraphFont"/>
    <w:link w:val="Heading5"/>
    <w:uiPriority w:val="99"/>
    <w:locked/>
    <w:rPr>
      <w:rFonts w:cs="Times New Roman"/>
      <w:i/>
      <w:iCs/>
      <w:lang w:val="en-GB"/>
    </w:rPr>
  </w:style>
  <w:style w:type="character" w:customStyle="1" w:styleId="Heading6Char">
    <w:name w:val="Heading 6 Char"/>
    <w:basedOn w:val="DefaultParagraphFont"/>
    <w:link w:val="Heading6"/>
    <w:uiPriority w:val="99"/>
    <w:locked/>
    <w:rPr>
      <w:rFonts w:cs="Times New Roman"/>
      <w:bCs/>
      <w:sz w:val="24"/>
      <w:lang w:val="en-GB"/>
    </w:rPr>
  </w:style>
  <w:style w:type="character" w:customStyle="1" w:styleId="Heading7Char">
    <w:name w:val="Heading 7 Char"/>
    <w:basedOn w:val="DefaultParagraphFont"/>
    <w:link w:val="Heading7"/>
    <w:uiPriority w:val="99"/>
    <w:locked/>
    <w:rPr>
      <w:rFonts w:cs="Times New Roman"/>
      <w:b/>
      <w:u w:val="single"/>
      <w:lang w:val="en-GB"/>
    </w:rPr>
  </w:style>
  <w:style w:type="character" w:customStyle="1" w:styleId="Heading8Char">
    <w:name w:val="Heading 8 Char"/>
    <w:basedOn w:val="DefaultParagraphFont"/>
    <w:link w:val="Heading8"/>
    <w:uiPriority w:val="99"/>
    <w:locked/>
    <w:rPr>
      <w:rFonts w:cs="Times New Roman"/>
      <w:b/>
      <w:u w:val="single"/>
      <w:lang w:val="en-GB"/>
    </w:rPr>
  </w:style>
  <w:style w:type="character" w:customStyle="1" w:styleId="Heading9Char">
    <w:name w:val="Heading 9 Char"/>
    <w:basedOn w:val="DefaultParagraphFont"/>
    <w:link w:val="Heading9"/>
    <w:uiPriority w:val="99"/>
    <w:locked/>
    <w:rPr>
      <w:rFonts w:cs="Times New Roman"/>
      <w:u w:val="single"/>
      <w:lang w:val="en-GB"/>
    </w:rPr>
  </w:style>
  <w:style w:type="table" w:styleId="TableGrid">
    <w:name w:val="Table Grid"/>
    <w:basedOn w:val="TableNormal"/>
    <w:uiPriority w:val="99"/>
    <w:rPr>
      <w:rFonts w:eastAsia="MS Mincho"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basedOn w:val="DefaultParagraphFont"/>
    <w:uiPriority w:val="99"/>
    <w:semiHidden/>
    <w:locked/>
    <w:rPr>
      <w:rFonts w:ascii="Times New Roman" w:eastAsia="Times New Roman" w:hAnsi="Times New Roman" w:cs="Times New Roman"/>
      <w:sz w:val="18"/>
      <w:szCs w:val="18"/>
      <w:lang w:val="en-GB"/>
    </w:rPr>
  </w:style>
  <w:style w:type="character" w:styleId="PlaceholderText">
    <w:name w:val="Placeholder Text"/>
    <w:aliases w:val="Signature Char1"/>
    <w:basedOn w:val="DefaultParagraphFont"/>
    <w:link w:val="Signature"/>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rFonts w:cs="Arial"/>
      <w:kern w:val="2"/>
    </w:rPr>
  </w:style>
  <w:style w:type="character" w:customStyle="1" w:styleId="BodyTextChar">
    <w:name w:val="Body Text Char"/>
    <w:basedOn w:val="DefaultParagraphFon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basedOn w:val="DefaultParagraphFont"/>
    <w:link w:val="BalloonText"/>
    <w:uiPriority w:val="99"/>
    <w:locked/>
    <w:rPr>
      <w:rFonts w:cs="Times New Roman"/>
      <w:color w:val="800080"/>
      <w:u w:val="single"/>
      <w:lang w:val="en-GB"/>
    </w:rPr>
  </w:style>
  <w:style w:type="character" w:styleId="FootnoteReference">
    <w:name w:val="footnote reference"/>
    <w:basedOn w:val="DefaultParagraphFont"/>
    <w:uiPriority w:val="99"/>
    <w:semiHidden/>
    <w:rPr>
      <w:rFonts w:cs="Times New Roman"/>
      <w:vertAlign w:val="superscript"/>
      <w:lang w:val="en-GB"/>
    </w:rPr>
  </w:style>
  <w:style w:type="paragraph" w:styleId="FootnoteText">
    <w:name w:val="footnote text"/>
    <w:basedOn w:val="Normal"/>
    <w:link w:val="FootnoteTextChar1"/>
    <w:uiPriority w:val="99"/>
    <w:pPr>
      <w:jc w:val="left"/>
    </w:pPr>
    <w:rPr>
      <w:sz w:val="18"/>
      <w:szCs w:val="20"/>
    </w:rPr>
  </w:style>
  <w:style w:type="character" w:customStyle="1" w:styleId="FootnoteTextChar">
    <w:name w:val="Footnote Text Char"/>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1"/>
      </w:numPr>
      <w:tabs>
        <w:tab w:val="clear" w:pos="720"/>
        <w:tab w:val="left" w:pos="1980"/>
        <w:tab w:val="num" w:pos="2160"/>
      </w:tabs>
      <w:spacing w:before="80" w:after="80"/>
      <w:ind w:left="2160" w:hanging="72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rFonts w:cs="Arial"/>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cs="Times New Roman"/>
      <w:noProof/>
      <w:sz w:val="24"/>
      <w:szCs w:val="24"/>
    </w:rPr>
  </w:style>
  <w:style w:type="paragraph" w:customStyle="1" w:styleId="DarkList-Accent31">
    <w:name w:val="Dark List - Accent 31"/>
    <w:hidden/>
    <w:uiPriority w:val="99"/>
    <w:semiHidden/>
    <w:rPr>
      <w:rFonts w:cs="Times New Roman"/>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3"/>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cs="Arial"/>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cs="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s="Arial"/>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s="Arial"/>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s="Arial"/>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s="Arial"/>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s="Arial"/>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s="Arial"/>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s="Arial"/>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s="Arial"/>
      <w:color w:val="000000"/>
      <w:sz w:val="20"/>
      <w:szCs w:val="20"/>
    </w:rPr>
    <w:tblPr/>
    <w:tcPr>
      <w:shd w:val="clear" w:color="auto" w:fill="E6E6E6"/>
    </w:tcPr>
  </w:style>
  <w:style w:type="table" w:styleId="ColorfulList-Accent1">
    <w:name w:val="Colorful List Accent 1"/>
    <w:basedOn w:val="TableNormal"/>
    <w:uiPriority w:val="99"/>
    <w:semiHidden/>
    <w:rPr>
      <w:rFonts w:eastAsia="MS Mincho" w:cs="Arial"/>
      <w:color w:val="000000"/>
      <w:sz w:val="20"/>
      <w:szCs w:val="20"/>
    </w:rPr>
    <w:tblPr/>
    <w:tcPr>
      <w:shd w:val="clear" w:color="auto" w:fill="EDF2F8"/>
    </w:tcPr>
  </w:style>
  <w:style w:type="table" w:styleId="ColorfulList-Accent2">
    <w:name w:val="Colorful List Accent 2"/>
    <w:basedOn w:val="TableNormal"/>
    <w:uiPriority w:val="99"/>
    <w:semiHidden/>
    <w:rPr>
      <w:rFonts w:eastAsia="MS Mincho" w:cs="Arial"/>
      <w:color w:val="000000"/>
      <w:sz w:val="20"/>
      <w:szCs w:val="20"/>
    </w:rPr>
    <w:tblPr/>
    <w:tcPr>
      <w:shd w:val="clear" w:color="auto" w:fill="F8EDED"/>
    </w:tcPr>
  </w:style>
  <w:style w:type="table" w:styleId="ColorfulList-Accent3">
    <w:name w:val="Colorful List Accent 3"/>
    <w:basedOn w:val="TableNormal"/>
    <w:uiPriority w:val="99"/>
    <w:semiHidden/>
    <w:rPr>
      <w:rFonts w:eastAsia="MS Mincho" w:cs="Arial"/>
      <w:color w:val="000000"/>
      <w:sz w:val="20"/>
      <w:szCs w:val="20"/>
    </w:rPr>
    <w:tblPr/>
    <w:tcPr>
      <w:shd w:val="clear" w:color="auto" w:fill="F5F8EE"/>
    </w:tcPr>
  </w:style>
  <w:style w:type="table" w:styleId="ColorfulList-Accent4">
    <w:name w:val="Colorful List Accent 4"/>
    <w:basedOn w:val="TableNormal"/>
    <w:uiPriority w:val="99"/>
    <w:semiHidden/>
    <w:rPr>
      <w:rFonts w:eastAsia="MS Mincho" w:cs="Arial"/>
      <w:color w:val="000000"/>
      <w:sz w:val="20"/>
      <w:szCs w:val="20"/>
    </w:rPr>
    <w:tblPr/>
    <w:tcPr>
      <w:shd w:val="clear" w:color="auto" w:fill="F2EFF6"/>
    </w:tcPr>
  </w:style>
  <w:style w:type="table" w:styleId="ColorfulList-Accent5">
    <w:name w:val="Colorful List Accent 5"/>
    <w:basedOn w:val="TableNormal"/>
    <w:uiPriority w:val="99"/>
    <w:semiHidden/>
    <w:rPr>
      <w:rFonts w:eastAsia="MS Mincho" w:cs="Arial"/>
      <w:color w:val="000000"/>
      <w:sz w:val="20"/>
      <w:szCs w:val="20"/>
    </w:rPr>
    <w:tblPr/>
    <w:tcPr>
      <w:shd w:val="clear" w:color="auto" w:fill="EDF6F9"/>
    </w:tcPr>
  </w:style>
  <w:style w:type="table" w:styleId="ColorfulList-Accent6">
    <w:name w:val="Colorful List Accent 6"/>
    <w:basedOn w:val="TableNormal"/>
    <w:uiPriority w:val="99"/>
    <w:semiHidden/>
    <w:rPr>
      <w:rFonts w:eastAsia="MS Mincho" w:cs="Arial"/>
      <w:color w:val="000000"/>
      <w:sz w:val="20"/>
      <w:szCs w:val="20"/>
    </w:rPr>
    <w:tblPr/>
    <w:tcPr>
      <w:shd w:val="clear" w:color="auto" w:fill="FEF4EC"/>
    </w:tcPr>
  </w:style>
  <w:style w:type="table" w:styleId="ColorfulShading">
    <w:name w:val="Colorful Shading"/>
    <w:basedOn w:val="TableNormal"/>
    <w:uiPriority w:val="99"/>
    <w:semiHidden/>
    <w:rPr>
      <w:rFonts w:eastAsia="MS Mincho" w:cs="Arial"/>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s="Arial"/>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s="Arial"/>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s="Arial"/>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s="Arial"/>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s="Arial"/>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s="Arial"/>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s="Arial"/>
      <w:color w:val="FFFFFF"/>
      <w:sz w:val="20"/>
      <w:szCs w:val="20"/>
    </w:rPr>
    <w:tblPr/>
    <w:tcPr>
      <w:shd w:val="clear" w:color="auto" w:fill="000000"/>
    </w:tcPr>
  </w:style>
  <w:style w:type="table" w:styleId="DarkList-Accent1">
    <w:name w:val="Dark List Accent 1"/>
    <w:basedOn w:val="TableNormal"/>
    <w:uiPriority w:val="99"/>
    <w:semiHidden/>
    <w:rPr>
      <w:rFonts w:eastAsia="MS Mincho" w:cs="Arial"/>
      <w:color w:val="FFFFFF"/>
      <w:sz w:val="20"/>
      <w:szCs w:val="20"/>
    </w:rPr>
    <w:tblPr/>
    <w:tcPr>
      <w:shd w:val="clear" w:color="auto" w:fill="4F81BD"/>
    </w:tcPr>
  </w:style>
  <w:style w:type="table" w:styleId="DarkList-Accent2">
    <w:name w:val="Dark List Accent 2"/>
    <w:basedOn w:val="TableNormal"/>
    <w:uiPriority w:val="99"/>
    <w:semiHidden/>
    <w:rPr>
      <w:rFonts w:eastAsia="MS Mincho" w:cs="Arial"/>
      <w:color w:val="FFFFFF"/>
      <w:sz w:val="20"/>
      <w:szCs w:val="20"/>
    </w:rPr>
    <w:tblPr/>
    <w:tcPr>
      <w:shd w:val="clear" w:color="auto" w:fill="C0504D"/>
    </w:tcPr>
  </w:style>
  <w:style w:type="table" w:styleId="DarkList-Accent3">
    <w:name w:val="Dark List Accent 3"/>
    <w:basedOn w:val="TableNormal"/>
    <w:uiPriority w:val="99"/>
    <w:semiHidden/>
    <w:rPr>
      <w:rFonts w:eastAsia="MS Mincho" w:cs="Arial"/>
      <w:color w:val="FFFFFF"/>
      <w:sz w:val="20"/>
      <w:szCs w:val="20"/>
    </w:rPr>
    <w:tblPr/>
    <w:tcPr>
      <w:shd w:val="clear" w:color="auto" w:fill="9BBB59"/>
    </w:tcPr>
  </w:style>
  <w:style w:type="table" w:styleId="DarkList-Accent4">
    <w:name w:val="Dark List Accent 4"/>
    <w:basedOn w:val="TableNormal"/>
    <w:uiPriority w:val="99"/>
    <w:semiHidden/>
    <w:rPr>
      <w:rFonts w:eastAsia="MS Mincho" w:cs="Arial"/>
      <w:color w:val="FFFFFF"/>
      <w:sz w:val="20"/>
      <w:szCs w:val="20"/>
    </w:rPr>
    <w:tblPr/>
    <w:tcPr>
      <w:shd w:val="clear" w:color="auto" w:fill="8064A2"/>
    </w:tcPr>
  </w:style>
  <w:style w:type="table" w:styleId="DarkList-Accent5">
    <w:name w:val="Dark List Accent 5"/>
    <w:basedOn w:val="TableNormal"/>
    <w:uiPriority w:val="99"/>
    <w:semiHidden/>
    <w:rPr>
      <w:rFonts w:eastAsia="MS Mincho" w:cs="Arial"/>
      <w:color w:val="FFFFFF"/>
      <w:sz w:val="20"/>
      <w:szCs w:val="20"/>
    </w:rPr>
    <w:tblPr/>
    <w:tcPr>
      <w:shd w:val="clear" w:color="auto" w:fill="4BACC6"/>
    </w:tcPr>
  </w:style>
  <w:style w:type="table" w:styleId="DarkList-Accent6">
    <w:name w:val="Dark List Accent 6"/>
    <w:basedOn w:val="TableNormal"/>
    <w:uiPriority w:val="99"/>
    <w:semiHidden/>
    <w:rPr>
      <w:rFonts w:eastAsia="MS Mincho" w:cs="Arial"/>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rFonts w:ascii="Segoe UI" w:hAnsi="Segoe UI" w:cs="Segoe UI"/>
      <w:sz w:val="16"/>
      <w:szCs w:val="16"/>
    </w:rPr>
  </w:style>
  <w:style w:type="character" w:customStyle="1" w:styleId="DocumentMapChar">
    <w:name w:val="Document Map Char"/>
    <w:basedOn w:val="DefaultParagraphFont"/>
    <w:link w:val="DocumentMap"/>
    <w:uiPriority w:val="99"/>
    <w:semiHidden/>
    <w:locked/>
    <w:rPr>
      <w:rFonts w:ascii="Segoe UI" w:eastAsia="Times New Roman" w:hAnsi="Segoe UI" w:cs="Segoe UI"/>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cs="Arial"/>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cs="Arial"/>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cs="Arial"/>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cs="Arial"/>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cs="Arial"/>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cs="Arial"/>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cs="Arial"/>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cs="Arial"/>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cs="Arial"/>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cs="Arial"/>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cs="Arial"/>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cs="Arial"/>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cs="Arial"/>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cs="Arial"/>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aliases w:val="Message Header Char1"/>
    <w:basedOn w:val="DefaultParagraphFont"/>
    <w:link w:val="MessageHeader"/>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cs="Arial"/>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cs="Arial"/>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cs="Arial"/>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cs="Arial"/>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cs="Arial"/>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cs="Arial"/>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cs="Arial"/>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cs="Arial"/>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cs="Arial"/>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cs="Arial"/>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cs="Arial"/>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cs="Arial"/>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cs="Arial"/>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cs="Arial"/>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s="Arial"/>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s="Arial"/>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s="Arial"/>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s="Arial"/>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s="Arial"/>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s="Arial"/>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s="Arial"/>
      <w:color w:val="E36C0A"/>
      <w:sz w:val="20"/>
      <w:szCs w:val="20"/>
    </w:rPr>
    <w:tblPr>
      <w:tblBorders>
        <w:top w:val="single" w:sz="8" w:space="0" w:color="F79646"/>
        <w:bottom w:val="single" w:sz="8" w:space="0" w:color="F79646"/>
      </w:tblBorders>
    </w:tblPr>
  </w:style>
  <w:style w:type="character" w:styleId="LineNumber">
    <w:name w:val="line number"/>
    <w:aliases w:val="Body Text Char1"/>
    <w:basedOn w:val="DefaultParagraphFont"/>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cs="Arial"/>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cs="Arial"/>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cs="Arial"/>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cs="Arial"/>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cs="Arial"/>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cs="Arial"/>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cs="Arial"/>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cs="Arial"/>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cs="Arial"/>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cs="Arial"/>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cs="Arial"/>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cs="Arial"/>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cs="Arial"/>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cs="Arial"/>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s="Arial"/>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s="Arial"/>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s="Arial"/>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s="Arial"/>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s="Arial"/>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s="Arial"/>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s="Arial"/>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s="Arial"/>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s="Arial"/>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s="Arial"/>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s="Arial"/>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s="Arial"/>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s="Arial"/>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s="Arial"/>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s="Arial"/>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s="Arial"/>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s="Arial"/>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s="Arial"/>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s="Arial"/>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s="Arial"/>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s="Arial"/>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cs="Arial"/>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cs="Arial"/>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cs="Arial"/>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cs="Arial"/>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cs="Arial"/>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cs="Arial"/>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cs="Arial"/>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s="Arial"/>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s="Arial"/>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s="Arial"/>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s="Arial"/>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s="Arial"/>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s="Arial"/>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s="Arial"/>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cs="Arial"/>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cs="Arial"/>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cs="Arial"/>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cs="Arial"/>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cs="Arial"/>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cs="Arial"/>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cs="Arial"/>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cs="Arial"/>
      <w:sz w:val="20"/>
      <w:szCs w:val="20"/>
    </w:rPr>
    <w:tblPr>
      <w:tblBorders>
        <w:top w:val="single" w:sz="18" w:space="0" w:color="auto"/>
        <w:bottom w:val="single" w:sz="18" w:space="0" w:color="auto"/>
      </w:tblBorders>
    </w:tblPr>
  </w:style>
  <w:style w:type="character" w:customStyle="1" w:styleId="Mention1">
    <w:name w:val="Mention1"/>
    <w:basedOn w:val="DefaultParagraphFont"/>
    <w:uiPriority w:val="99"/>
    <w:semiHidden/>
    <w:rPr>
      <w:rFonts w:cs="Times New Roman"/>
      <w:color w:val="2B579A"/>
      <w:shd w:val="clear" w:color="auto" w:fill="E1DFDD"/>
      <w:lang w:val="en-GB"/>
    </w:rPr>
  </w:style>
  <w:style w:type="paragraph" w:styleId="MessageHeader">
    <w:name w:val="Message Header"/>
    <w:basedOn w:val="Normal"/>
    <w:link w:val="HTMLKeyboard"/>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cs="Arial"/>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cs="Arial"/>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cs="Arial"/>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cs="Arial"/>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PlaceholderText"/>
    <w:uiPriority w:val="99"/>
    <w:semiHidden/>
    <w:pPr>
      <w:ind w:left="4252"/>
    </w:pPr>
  </w:style>
  <w:style w:type="character" w:customStyle="1" w:styleId="SignatureChar">
    <w:name w:val="Signature Char"/>
    <w:basedOn w:val="DefaultParagraphFont"/>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trong">
    <w:name w:val="Strong"/>
    <w:basedOn w:val="DefaultParagraphFont"/>
    <w:uiPriority w:val="99"/>
    <w:qFormat/>
    <w:rPr>
      <w:rFonts w:cs="Times New Roman"/>
      <w:b/>
      <w:bCs/>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cs="Arial"/>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cs="Arial"/>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s="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cs="Arial"/>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cs="Arial"/>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cs="Arial"/>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cs="Arial"/>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cs="Arial"/>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cs="Arial"/>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cs="Arial"/>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Default">
    <w:name w:val="Default"/>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before="160" w:line="288" w:lineRule="auto"/>
    </w:pPr>
    <w:rPr>
      <w:rFonts w:cs="Times New Roman"/>
      <w:color w:val="000000"/>
      <w:sz w:val="24"/>
      <w:szCs w:val="24"/>
      <w:lang w:val="en-CA"/>
    </w:rPr>
  </w:style>
  <w:style w:type="paragraph" w:customStyle="1" w:styleId="paragraph">
    <w:name w:val="paragraph"/>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CA"/>
    </w:rPr>
  </w:style>
  <w:style w:type="character" w:customStyle="1" w:styleId="normaltextrun">
    <w:name w:val="normaltextrun"/>
    <w:basedOn w:val="DefaultParagraphFont"/>
    <w:uiPriority w:val="99"/>
    <w:rPr>
      <w:rFonts w:cs="Times New Roman"/>
    </w:rPr>
  </w:style>
  <w:style w:type="character" w:customStyle="1" w:styleId="scxw17032077">
    <w:name w:val="scxw17032077"/>
    <w:basedOn w:val="DefaultParagraphFont"/>
    <w:uiPriority w:val="99"/>
    <w:rPr>
      <w:rFonts w:cs="Times New Roman"/>
    </w:rPr>
  </w:style>
  <w:style w:type="character" w:customStyle="1" w:styleId="eop">
    <w:name w:val="eop"/>
    <w:basedOn w:val="DefaultParagraphFont"/>
    <w:uiPriority w:val="99"/>
    <w:rPr>
      <w:rFonts w:cs="Times New Roman"/>
    </w:rPr>
  </w:style>
  <w:style w:type="character" w:customStyle="1" w:styleId="superscript">
    <w:name w:val="superscript"/>
    <w:basedOn w:val="DefaultParagraphFont"/>
    <w:uiPriority w:val="99"/>
    <w:rPr>
      <w:rFonts w:cs="Times New Roman"/>
    </w:rPr>
  </w:style>
  <w:style w:type="character" w:customStyle="1" w:styleId="FootnoteTextChar1">
    <w:name w:val="Footnote Text Char1"/>
    <w:link w:val="FootnoteText"/>
    <w:uiPriority w:val="99"/>
    <w:semiHidden/>
    <w:locked/>
    <w:rPr>
      <w:rFonts w:ascii="Times New Roman" w:eastAsia="SimSun" w:hAnsi="Times New Roman"/>
      <w:sz w:val="22"/>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style21">
    <w:name w:val="style21"/>
    <w:basedOn w:val="DefaultParagraphFont"/>
    <w:uiPriority w:val="99"/>
    <w:rPr>
      <w:rFonts w:cs="Times New Roman"/>
      <w:color w:val="000080"/>
      <w:sz w:val="24"/>
      <w:szCs w:val="24"/>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ImportedStyle5">
    <w:name w:val="Imported Style 5"/>
    <w:rsid w:val="003665FC"/>
    <w:pPr>
      <w:numPr>
        <w:numId w:val="10"/>
      </w:numPr>
    </w:pPr>
  </w:style>
  <w:style w:type="numbering" w:customStyle="1" w:styleId="ImportedStyle2">
    <w:name w:val="Imported Style 2"/>
    <w:rsid w:val="003665FC"/>
    <w:pPr>
      <w:numPr>
        <w:numId w:val="9"/>
      </w:numPr>
    </w:pPr>
  </w:style>
  <w:style w:type="numbering" w:customStyle="1" w:styleId="ListCBD">
    <w:name w:val="ListCBD"/>
    <w:rsid w:val="003665FC"/>
    <w:pPr>
      <w:numPr>
        <w:numId w:val="6"/>
      </w:numPr>
    </w:pPr>
  </w:style>
  <w:style w:type="numbering" w:customStyle="1" w:styleId="ImportedStyle6">
    <w:name w:val="Imported Style 6"/>
    <w:rsid w:val="003665FC"/>
    <w:pPr>
      <w:numPr>
        <w:numId w:val="11"/>
      </w:numPr>
    </w:pPr>
  </w:style>
  <w:style w:type="numbering" w:customStyle="1" w:styleId="CBDHeadings">
    <w:name w:val="CBD_Headings"/>
    <w:rsid w:val="003665FC"/>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1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uments/CBD/CP/MOP/12/4" TargetMode="External"/><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COP/17/3"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image" Target="media/image5.png"/><Relationship Id="rId55"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uments/CBD/CP/MOP/12/5" TargetMode="External"/><Relationship Id="rId29" Type="http://schemas.openxmlformats.org/officeDocument/2006/relationships/hyperlink" Target="https://www.cbd.int/documents/CBD/NP/MOP/6/4" TargetMode="External"/><Relationship Id="rId11" Type="http://schemas.openxmlformats.org/officeDocument/2006/relationships/image" Target="media/image2.png"/><Relationship Id="rId24" Type="http://schemas.openxmlformats.org/officeDocument/2006/relationships/hyperlink" Target="https://www.cbd.int/documents/CBD/COP/17/4" TargetMode="External"/><Relationship Id="rId32" Type="http://schemas.openxmlformats.org/officeDocument/2006/relationships/hyperlink" Target="https://www.cbd.int/documents/CBD/CP/MOP/12/5/ADD1" TargetMode="External"/><Relationship Id="rId37" Type="http://schemas.openxmlformats.org/officeDocument/2006/relationships/hyperlink" Target="https://www.cbd.int/documents/CBD/SBI/7/15/ADD1" TargetMode="External"/><Relationship Id="rId40" Type="http://schemas.openxmlformats.org/officeDocument/2006/relationships/hyperlink" Target="https://www.cbd.int/documents/CBD/CP/MOP/12/4" TargetMode="External"/><Relationship Id="rId45" Type="http://schemas.openxmlformats.org/officeDocument/2006/relationships/hyperlink" Target="https://www.cbd.int/decisions/cop/?m=cop-16" TargetMode="External"/><Relationship Id="rId53" Type="http://schemas.openxmlformats.org/officeDocument/2006/relationships/hyperlink" Target="https://www.cbd.int/documents/CBD/NP/MOP/6/5" TargetMode="External"/><Relationship Id="rId58" Type="http://schemas.openxmlformats.org/officeDocument/2006/relationships/footer" Target="footer2.xm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https://www.cbd.int/documents/CBD/CP/MOP/12/5" TargetMode="External"/><Relationship Id="rId14" Type="http://schemas.openxmlformats.org/officeDocument/2006/relationships/hyperlink" Target="https://www.cbd.int/documents/CBD/NP/MOP/6/4" TargetMode="External"/><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3" TargetMode="External"/><Relationship Id="rId30" Type="http://schemas.openxmlformats.org/officeDocument/2006/relationships/hyperlink" Target="https://www.cbd.int/documents/CBD/COP/17/4/ADD1"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ecisions/cop/?m=cop-16" TargetMode="External"/><Relationship Id="rId5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www.cbd.int/documents/CBD/COP/17/4"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uments/CBD/NP/MOP/6/5"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NP/MOP/6/5/ADD1" TargetMode="External"/><Relationship Id="rId38" Type="http://schemas.openxmlformats.org/officeDocument/2006/relationships/hyperlink" Target="https://www.cbd.int/documents/CBD/COP/17/4/ADD4" TargetMode="External"/><Relationship Id="rId46" Type="http://schemas.openxmlformats.org/officeDocument/2006/relationships/hyperlink" Target="https://www.cbd.int/decisions/?id=13708" TargetMode="External"/><Relationship Id="rId59" Type="http://schemas.openxmlformats.org/officeDocument/2006/relationships/header" Target="header3.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NP/MOP/6/4" TargetMode="External"/><Relationship Id="rId54" Type="http://schemas.openxmlformats.org/officeDocument/2006/relationships/image" Target="media/image6.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ocuments/CBD/COP/17/4"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4" TargetMode="External"/><Relationship Id="rId36" Type="http://schemas.openxmlformats.org/officeDocument/2006/relationships/hyperlink" Target="https://www.cbd.int/documents/CBD/NP/MOP/6/5/ADD1" TargetMode="External"/><Relationship Id="rId49" Type="http://schemas.openxmlformats.org/officeDocument/2006/relationships/image" Target="media/image4.png"/><Relationship Id="rId57"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hyperlink" Target="https://www.cbd.int/documents/CBD/COP/17/4/ADD2" TargetMode="External"/><Relationship Id="rId44" Type="http://schemas.openxmlformats.org/officeDocument/2006/relationships/hyperlink" Target="https://www.cbd.int/decisions/np-mop?m=np-mop-05" TargetMode="External"/><Relationship Id="rId52" Type="http://schemas.openxmlformats.org/officeDocument/2006/relationships/hyperlink" Target="https://www.cbd.int/documents/CBD/CP/MOP/12/5" TargetMode="External"/><Relationship Id="rId60"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cop?m=cop-09"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78A7C-FCE2-4F8E-94E1-FB8650D232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EC883C-9F49-4D54-9446-2D3DFFE41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C6399-AE2B-41BA-919D-D12F7FD7DF4A}">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16</TotalTime>
  <Pages>11</Pages>
  <Words>1725</Words>
  <Characters>9838</Characters>
  <Application>Microsoft Office Word</Application>
  <DocSecurity>0</DocSecurity>
  <Lines>81</Lines>
  <Paragraphs>23</Paragraphs>
  <ScaleCrop>false</ScaleCrop>
  <Company>SCBD</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information on administrative and budgetary matters</dc:title>
  <dc:subject/>
  <dc:creator>Karci Aldridge Vegi</dc:creator>
  <cp:keywords>Convention on Biological Diversity</cp:keywords>
  <dc:description/>
  <cp:lastModifiedBy>Giovanna Sabatini</cp:lastModifiedBy>
  <cp:revision>11</cp:revision>
  <cp:lastPrinted>2026-10-06T21:18:00Z</cp:lastPrinted>
  <dcterms:created xsi:type="dcterms:W3CDTF">2026-10-06T21:18:00Z</dcterms:created>
  <dcterms:modified xsi:type="dcterms:W3CDTF">2026-10-09T20:47:00Z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