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9783084" w14:textId="77777777" w:rsidTr="008A1499">
        <w:trPr>
          <w:trHeight w:val="850"/>
        </w:trPr>
        <w:tc>
          <w:tcPr>
            <w:tcW w:w="975" w:type="dxa"/>
            <w:vAlign w:val="bottom"/>
          </w:tcPr>
          <w:p w14:paraId="1630E2B1" w14:textId="77777777" w:rsidR="008A1499" w:rsidRPr="003F1A75" w:rsidRDefault="008A1499" w:rsidP="008A1499">
            <w:pPr>
              <w:pStyle w:val="AASmallLogo"/>
            </w:pPr>
            <w:r>
              <w:rPr>
                <w:noProof/>
                <w:lang w:eastAsia="ru-RU"/>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C7563F5" w14:textId="77777777" w:rsidR="008A1499" w:rsidRPr="003F1A75" w:rsidRDefault="008A1499" w:rsidP="008A1499">
            <w:pPr>
              <w:pStyle w:val="AASmallLogo"/>
            </w:pPr>
          </w:p>
        </w:tc>
        <w:tc>
          <w:tcPr>
            <w:tcW w:w="1434" w:type="dxa"/>
            <w:noWrap/>
            <w:vAlign w:val="bottom"/>
          </w:tcPr>
          <w:p w14:paraId="6E88AF07" w14:textId="690D1F41" w:rsidR="008A1499" w:rsidRPr="003F1A75" w:rsidRDefault="008A1499" w:rsidP="008A1499">
            <w:pPr>
              <w:pStyle w:val="AASmallLogo"/>
            </w:pPr>
            <w:r>
              <w:t xml:space="preserve"> </w:t>
            </w:r>
            <w:r w:rsidR="00616504">
              <w:rPr>
                <w:noProof/>
                <w:lang w:eastAsia="ru-RU"/>
              </w:rPr>
              <w:drawing>
                <wp:inline distT="0" distB="0" distL="0" distR="0" wp14:anchorId="535FCAE9" wp14:editId="5311B301">
                  <wp:extent cx="822960" cy="3841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0CAF97A8" w14:textId="77777777" w:rsidR="008A1499" w:rsidRPr="003F1A75" w:rsidRDefault="008A1499" w:rsidP="008A1499">
            <w:pPr>
              <w:pStyle w:val="AASmallLogo"/>
            </w:pPr>
          </w:p>
        </w:tc>
        <w:tc>
          <w:tcPr>
            <w:tcW w:w="8073" w:type="dxa"/>
            <w:vAlign w:val="bottom"/>
          </w:tcPr>
          <w:p w14:paraId="4759C21A" w14:textId="08AD9044" w:rsidR="008A1499" w:rsidRPr="003F1A75" w:rsidRDefault="008A1499" w:rsidP="003F1A75">
            <w:pPr>
              <w:pStyle w:val="ABSymbol"/>
            </w:pPr>
            <w:r>
              <w:rPr>
                <w:sz w:val="40"/>
              </w:rPr>
              <w:t>CBD</w:t>
            </w:r>
            <w:r>
              <w:t>/NP/MOP/6/8</w:t>
            </w:r>
          </w:p>
        </w:tc>
      </w:tr>
    </w:tbl>
    <w:p w14:paraId="72EA265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70AE2" w14:paraId="41E85CFD" w14:textId="77777777" w:rsidTr="008A1499">
        <w:trPr>
          <w:trHeight w:val="1814"/>
        </w:trPr>
        <w:tc>
          <w:tcPr>
            <w:tcW w:w="7370" w:type="dxa"/>
          </w:tcPr>
          <w:p w14:paraId="1BCD06FC" w14:textId="01ACC68E" w:rsidR="008A1499" w:rsidRPr="00F46C1A" w:rsidRDefault="008A1499" w:rsidP="008A1499">
            <w:pPr>
              <w:pStyle w:val="ACLargeLogo"/>
            </w:pPr>
            <w:r>
              <w:t xml:space="preserve"> </w:t>
            </w:r>
          </w:p>
          <w:p w14:paraId="2391BA4E" w14:textId="02096BD0" w:rsidR="008A1499" w:rsidRPr="00F46C1A" w:rsidRDefault="002063CB" w:rsidP="008A1499">
            <w:pPr>
              <w:pStyle w:val="ACLargeLogo"/>
            </w:pPr>
            <w:r>
              <w:rPr>
                <w:noProof/>
                <w:lang w:eastAsia="ru-RU"/>
              </w:rPr>
              <w:drawing>
                <wp:inline distT="0" distB="0" distL="0" distR="0" wp14:anchorId="1BBB0E43" wp14:editId="678C0785">
                  <wp:extent cx="2621280" cy="1085215"/>
                  <wp:effectExtent l="0" t="0" r="762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85215"/>
                          </a:xfrm>
                          <a:prstGeom prst="rect">
                            <a:avLst/>
                          </a:prstGeom>
                          <a:noFill/>
                        </pic:spPr>
                      </pic:pic>
                    </a:graphicData>
                  </a:graphic>
                </wp:inline>
              </w:drawing>
            </w:r>
          </w:p>
        </w:tc>
        <w:tc>
          <w:tcPr>
            <w:tcW w:w="3112" w:type="dxa"/>
          </w:tcPr>
          <w:p w14:paraId="28A50420" w14:textId="77777777" w:rsidR="008A1499" w:rsidRPr="002063CB" w:rsidRDefault="008A1499" w:rsidP="008A1499">
            <w:pPr>
              <w:pStyle w:val="AEDistrNormal"/>
              <w:rPr>
                <w:lang w:val="en-US"/>
              </w:rPr>
            </w:pPr>
            <w:r w:rsidRPr="002063CB">
              <w:rPr>
                <w:lang w:val="en-US"/>
              </w:rPr>
              <w:t xml:space="preserve">Distr.: General </w:t>
            </w:r>
          </w:p>
          <w:p w14:paraId="4D7447BF" w14:textId="77777777" w:rsidR="002063CB" w:rsidRDefault="00F46C1A" w:rsidP="002063CB">
            <w:pPr>
              <w:pStyle w:val="AEDistrNormal"/>
              <w:rPr>
                <w:lang w:val="en-US"/>
              </w:rPr>
            </w:pPr>
            <w:r w:rsidRPr="002063CB">
              <w:rPr>
                <w:lang w:val="en-US"/>
              </w:rPr>
              <w:t>21 September 2026</w:t>
            </w:r>
          </w:p>
          <w:p w14:paraId="45E6D929" w14:textId="77777777" w:rsidR="002063CB" w:rsidRDefault="008A1499" w:rsidP="002063CB">
            <w:pPr>
              <w:pStyle w:val="AEDistrNormal"/>
              <w:rPr>
                <w:lang w:val="en-US"/>
              </w:rPr>
            </w:pPr>
            <w:r w:rsidRPr="002063CB">
              <w:rPr>
                <w:lang w:val="en-US"/>
              </w:rPr>
              <w:t>Russian</w:t>
            </w:r>
          </w:p>
          <w:p w14:paraId="458D1E4E" w14:textId="4425DBFA" w:rsidR="008A1499" w:rsidRPr="002063CB" w:rsidRDefault="008A1499" w:rsidP="002063CB">
            <w:pPr>
              <w:pStyle w:val="AEDistrNormal"/>
              <w:rPr>
                <w:lang w:val="en-US"/>
              </w:rPr>
            </w:pPr>
            <w:r w:rsidRPr="002063CB">
              <w:rPr>
                <w:lang w:val="en-US"/>
              </w:rPr>
              <w:t xml:space="preserve">Original: English </w:t>
            </w:r>
          </w:p>
          <w:p w14:paraId="51D05F64" w14:textId="77777777" w:rsidR="008A1499" w:rsidRPr="002063CB" w:rsidRDefault="008A1499" w:rsidP="008A1499">
            <w:pPr>
              <w:pStyle w:val="AEDistrNormal6pt"/>
              <w:rPr>
                <w:lang w:val="en-US"/>
              </w:rPr>
            </w:pPr>
          </w:p>
        </w:tc>
      </w:tr>
    </w:tbl>
    <w:p w14:paraId="0A4431B3" w14:textId="77777777" w:rsidR="008A1499" w:rsidRPr="002063CB"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F0C7340" w14:textId="77777777" w:rsidTr="008A1499">
        <w:trPr>
          <w:trHeight w:val="57"/>
        </w:trPr>
        <w:tc>
          <w:tcPr>
            <w:tcW w:w="6094" w:type="dxa"/>
          </w:tcPr>
          <w:p w14:paraId="7533670E" w14:textId="77777777" w:rsidR="008A1499" w:rsidRPr="004459AB" w:rsidRDefault="00975047" w:rsidP="008A1499">
            <w:pPr>
              <w:pStyle w:val="AFCorN12Bold"/>
            </w:pPr>
            <w: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0058BC8" w14:textId="77777777" w:rsidR="008A1499" w:rsidRPr="004459AB" w:rsidRDefault="00975047" w:rsidP="008A1499">
            <w:pPr>
              <w:pStyle w:val="AFCorNBold"/>
            </w:pPr>
            <w:r>
              <w:t xml:space="preserve">Шестое совещание </w:t>
            </w:r>
          </w:p>
          <w:p w14:paraId="7FD04FB2" w14:textId="77777777" w:rsidR="008A1499" w:rsidRPr="004459AB" w:rsidRDefault="00975047" w:rsidP="008A1499">
            <w:pPr>
              <w:pStyle w:val="AFCorNNormal"/>
            </w:pPr>
            <w:r>
              <w:t>Ереван, 19–30 октября 2026 года</w:t>
            </w:r>
          </w:p>
          <w:p w14:paraId="758E49E9" w14:textId="58C4432C" w:rsidR="008A1499" w:rsidRPr="004459AB" w:rsidRDefault="008A1499" w:rsidP="008A1499">
            <w:pPr>
              <w:pStyle w:val="AFCorNNormal"/>
            </w:pPr>
            <w:r>
              <w:t>Пункт 10 предварительной повестки</w:t>
            </w:r>
            <w:r>
              <w:rPr>
                <w:rStyle w:val="FootnoteReference"/>
              </w:rPr>
              <w:footnoteReference w:customMarkFollows="1" w:id="1"/>
              <w:t>*</w:t>
            </w:r>
            <w:r>
              <w:t xml:space="preserve"> </w:t>
            </w:r>
          </w:p>
          <w:p w14:paraId="6EB65F5C" w14:textId="25A2B313" w:rsidR="008A1499" w:rsidRPr="004459AB" w:rsidRDefault="004459AB" w:rsidP="004459AB">
            <w:pPr>
              <w:pStyle w:val="AFCorNBold"/>
            </w:pPr>
            <w:r>
              <w:t>Механизм финансирования и финансовые ресурсы</w:t>
            </w:r>
          </w:p>
        </w:tc>
        <w:tc>
          <w:tcPr>
            <w:tcW w:w="4388" w:type="dxa"/>
          </w:tcPr>
          <w:p w14:paraId="65754607" w14:textId="77777777" w:rsidR="008A1499" w:rsidRPr="003F1A75" w:rsidRDefault="008A1499" w:rsidP="008A1499">
            <w:pPr>
              <w:pStyle w:val="CBDNormal"/>
              <w:jc w:val="left"/>
            </w:pPr>
          </w:p>
        </w:tc>
      </w:tr>
    </w:tbl>
    <w:p w14:paraId="7BAE4FFD" w14:textId="59206E6F" w:rsidR="00C9161D" w:rsidRPr="00B76CBD" w:rsidRDefault="00000000" w:rsidP="00A111D1">
      <w:pPr>
        <w:pStyle w:val="CBDTitle"/>
        <w:rPr>
          <w:caps/>
        </w:rPr>
      </w:pPr>
      <w:sdt>
        <w:sdt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Content>
          <w:r w:rsidR="00B76CBD" w:rsidRPr="00B76CBD">
            <w:t>Механизм финансирования и финансовые ресурсы</w:t>
          </w:r>
        </w:sdtContent>
      </w:sdt>
      <w:r w:rsidR="00F254F6" w:rsidRPr="00B76CBD">
        <w:rPr>
          <w:caps/>
        </w:rPr>
        <w:t xml:space="preserve"> </w:t>
      </w:r>
    </w:p>
    <w:p w14:paraId="693F92C5" w14:textId="77777777" w:rsidR="00F6586C" w:rsidRPr="002063CB" w:rsidRDefault="0030169D" w:rsidP="00A111D1">
      <w:pPr>
        <w:pStyle w:val="CBDSubTitle"/>
        <w:rPr>
          <w:lang w:val="en-US"/>
        </w:rPr>
      </w:pPr>
      <w:r>
        <w:t>Записка</w:t>
      </w:r>
      <w:r w:rsidRPr="002063CB">
        <w:rPr>
          <w:lang w:val="en-US"/>
        </w:rPr>
        <w:t xml:space="preserve"> </w:t>
      </w:r>
      <w:r>
        <w:t>секретариата</w:t>
      </w:r>
    </w:p>
    <w:p w14:paraId="46EE8521" w14:textId="31920F7F" w:rsidR="00C9161D" w:rsidRPr="003F1A75" w:rsidRDefault="00A111D1" w:rsidP="00A111D1">
      <w:pPr>
        <w:pStyle w:val="CBDH1"/>
      </w:pPr>
      <w:r>
        <w:t>I.</w:t>
      </w:r>
      <w:r>
        <w:tab/>
        <w:t>Введение</w:t>
      </w:r>
    </w:p>
    <w:p w14:paraId="26B799EB" w14:textId="0CA879BD" w:rsidR="00BC5E23" w:rsidRDefault="003F5E8B" w:rsidP="00BC5E23">
      <w:pPr>
        <w:pStyle w:val="CBDNormalNumber"/>
      </w:pPr>
      <w:r>
        <w:t>Статья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устанавливает, что механизм финансирования Конвенции о биологическом разнообразии является механизмом финансирования Протокола. С момента вступления Протокола в силу Глобальный экологический фонд (ГЭФ) оказывает имеющим на это право Сторонам финансовую поддержку в целях разработки и внедрения структур регулирования доступа к генетическим ресурсам и совместного использования выгод, институционального строительства, создания потенциала, повышения осведомленности и принятия соответствующих мер по осуществлению.</w:t>
      </w:r>
    </w:p>
    <w:p w14:paraId="35756B14" w14:textId="29093E8B" w:rsidR="00BC5E23" w:rsidRDefault="00BC5E23" w:rsidP="00BC5E23">
      <w:pPr>
        <w:pStyle w:val="CBDNormalNumber"/>
      </w:pPr>
      <w:r>
        <w:t>На своем пятом совещании Конференция Сторон, выступающая в качестве совещания Сторон Протокола, приняла решение </w:t>
      </w:r>
      <w:hyperlink r:id="rId15" w:history="1">
        <w:r>
          <w:rPr>
            <w:rStyle w:val="Hyperlink"/>
          </w:rPr>
          <w:t>NP</w:t>
        </w:r>
        <w:r w:rsidR="00BE2A99">
          <w:rPr>
            <w:rStyle w:val="Hyperlink"/>
          </w:rPr>
          <w:noBreakHyphen/>
        </w:r>
        <w:r>
          <w:rPr>
            <w:rStyle w:val="Hyperlink"/>
          </w:rPr>
          <w:t>5/2</w:t>
        </w:r>
      </w:hyperlink>
      <w:r>
        <w:t>, в котором она рекомендовала Конференции Сторон Конвенции включить рекомендации в отношении оказания поддержки осуществлению Протокола в свои руководящие указания для механизма финансирования по этому вопросу. В решении также была подчеркнута актуальность усилий по мобилизации ресурсов в рамках Куньминско</w:t>
      </w:r>
      <w:r w:rsidR="00BE2A99">
        <w:noBreakHyphen/>
      </w:r>
      <w:r>
        <w:t>Монреальской глобальной рамочной программы в области биоразнообразия, а также важность учета приоритетов в рамках Протокола в национальных планах по финансированию биоразнообразия.</w:t>
      </w:r>
    </w:p>
    <w:p w14:paraId="44EB9B81" w14:textId="52B02F06" w:rsidR="00BC5E23" w:rsidRDefault="00BC5E23" w:rsidP="00BC5E23">
      <w:pPr>
        <w:pStyle w:val="CBDNormalNumber"/>
      </w:pPr>
      <w:r>
        <w:t xml:space="preserve"> С момента проведения этого совещания произошел ряд событий, касающихся механизма финансирования, включая принятие Конференцией Сторон Конвенции решений в отношении руководящих указаний для ГЭФ и механизмов финансирования биоразнообразия, которые определили дальнейший контекст осуществления Протокола. Эти события рассматриваются в нижеследующих разделах. </w:t>
      </w:r>
    </w:p>
    <w:p w14:paraId="6D9FD083" w14:textId="3D835A34" w:rsidR="00BC5E23" w:rsidRDefault="00BC5E23" w:rsidP="00BC5E23">
      <w:pPr>
        <w:pStyle w:val="CBDNormalNumber"/>
      </w:pPr>
      <w:r>
        <w:lastRenderedPageBreak/>
        <w:t>Вопрос финансирования осуществления Протокола особенно важен в контексте активизации усилий по практической реализации задачи 13 Рамочной программы и увеличению вклада регулирования доступа к генетическим ресурсам и совместного использовани</w:t>
      </w:r>
      <w:r w:rsidR="00ED452A">
        <w:t>я</w:t>
      </w:r>
      <w:r>
        <w:t xml:space="preserve"> выгод в сохранение и устойчивое использование биоразнообразия, обеспечение совместного использования выгод на равной основе и устойчивое развитие. В то же время опыт, накопленный в ходе последних периодов пополнения целевого фонда Глобального экологического фонда, свидетельствует как о возможностях, так и о сохраняющихся проблемах, связанных с доступом к генетическим ресурсам, развитием институционального потенциала, обеспечением долгосрочной устойчивости и эффективным осуществлением мер регулирования доступа и совместного использования выгод.</w:t>
      </w:r>
    </w:p>
    <w:p w14:paraId="0AC86396" w14:textId="0662BF98" w:rsidR="00BC5E23" w:rsidRPr="00DE2D5C" w:rsidRDefault="0050720B" w:rsidP="00BC5E23">
      <w:pPr>
        <w:pStyle w:val="CBDNormalNumber"/>
      </w:pPr>
      <w:r>
        <w:t>На своих шестом и седьмом совещаниях Вспомогательный орган по осуществлению рассмотрел вопросы, касающиеся механизма финансирования, включая оценку потребностей в финансировании на период десятого пополнения целевого фонда ГЭФ («ГЭФ</w:t>
      </w:r>
      <w:r w:rsidR="00BE2A99">
        <w:noBreakHyphen/>
      </w:r>
      <w:r>
        <w:t>10»), седьмой четырехгодичный обзор эффективности механизма финансирования, руководящие указания для ГЭФ и разработку четырехлетней ориентированной на результаты структуры определения программных приоритетов в области биоразнообразия на период с июля 2030 года по июнь 2034 года. На своем шестом совещании Вспомогательный орган принял рекомендацию </w:t>
      </w:r>
      <w:hyperlink r:id="rId16" w:history="1">
        <w:r>
          <w:rPr>
            <w:rStyle w:val="Hyperlink"/>
          </w:rPr>
          <w:t>6/2</w:t>
        </w:r>
      </w:hyperlink>
      <w:r>
        <w:t>, содержащую проект решения Конференции Сторон и круг полномочий для проведения оценки потребностей в финансировании на период ГЭФ</w:t>
      </w:r>
      <w:r w:rsidR="00BE2A99">
        <w:noBreakHyphen/>
      </w:r>
      <w:r>
        <w:t>10 и седьмого четырехгодичного обзора. На своем седьмом совещании Вспомогательный орган принял рекомендацию </w:t>
      </w:r>
      <w:hyperlink r:id="rId17" w:history="1">
        <w:r>
          <w:rPr>
            <w:rStyle w:val="Hyperlink"/>
          </w:rPr>
          <w:t>7/3</w:t>
        </w:r>
      </w:hyperlink>
      <w:r>
        <w:t>, содержащую проект решения Конференции Сторон, касающийся руководящих указаний для ГЭФ и подготовки четырехлетней ориентированной на результаты структуры программных приоритетов в области биоразнообразия на период ГЭФ</w:t>
      </w:r>
      <w:r w:rsidR="00BE2A99">
        <w:noBreakHyphen/>
      </w:r>
      <w:r>
        <w:t xml:space="preserve">10. </w:t>
      </w:r>
    </w:p>
    <w:p w14:paraId="75226F1E" w14:textId="2C98F7B4" w:rsidR="00BC5E23" w:rsidRPr="00DE2D5C" w:rsidRDefault="00BC5E23" w:rsidP="00BC5E23">
      <w:pPr>
        <w:pStyle w:val="CBDNormalNumber"/>
      </w:pPr>
      <w:r>
        <w:t xml:space="preserve">В настоящей записке представлен обзор событий, касающихся механизма финансирования и финансовых ресурсов и имеющих отношение к осуществлению Протокола. В ней содержатся информация о поддержке, предоставляемой по линии ГЭФ и Фонда глобальной рамочной программы в области биоразнообразия, анализ стратегических вопросов, касающихся финансирования осуществления Протокола, и контекст для рассмотрения проектов решений для Конференции Сторон, подготовленных Вспомогательным органом по осуществлению на своих шестом и седьмом совещаниях. </w:t>
      </w:r>
    </w:p>
    <w:p w14:paraId="32726A0A" w14:textId="28D3EEC4" w:rsidR="00793D2D" w:rsidRPr="00CE5128" w:rsidRDefault="00CF75D0" w:rsidP="00793D2D">
      <w:pPr>
        <w:pStyle w:val="CBDNormalNumber"/>
      </w:pPr>
      <w:r>
        <w:t>Конференции Сторон, выступающей в качестве совещания Сторон Протокола, предлагается рассмотреть информацию, представленную в настоящей записке, доклад Совета Глобального экологического фонда 17</w:t>
      </w:r>
      <w:r w:rsidR="00BE2A99">
        <w:noBreakHyphen/>
      </w:r>
      <w:r>
        <w:t>му совещанию Конференции Сторон Конвенции</w:t>
      </w:r>
      <w:r w:rsidR="00492B06">
        <w:rPr>
          <w:rStyle w:val="FootnoteReference"/>
        </w:rPr>
        <w:footnoteReference w:id="2"/>
      </w:r>
      <w:r>
        <w:t>, выводы по итогам второй оценки и обзора эффективности Протокола</w:t>
      </w:r>
      <w:r w:rsidR="00291DBA">
        <w:rPr>
          <w:rStyle w:val="FootnoteReference"/>
        </w:rPr>
        <w:footnoteReference w:id="3"/>
      </w:r>
      <w:r>
        <w:t>, рекомендации Комитета по соблюдению в рамках Протокола</w:t>
      </w:r>
      <w:r w:rsidR="00D50DD3">
        <w:rPr>
          <w:rStyle w:val="FootnoteReference"/>
        </w:rPr>
        <w:footnoteReference w:id="4"/>
      </w:r>
      <w:r>
        <w:t xml:space="preserve"> и рекомендации </w:t>
      </w:r>
      <w:hyperlink r:id="rId18" w:history="1">
        <w:r>
          <w:rPr>
            <w:rStyle w:val="Hyperlink"/>
          </w:rPr>
          <w:t>6/2</w:t>
        </w:r>
      </w:hyperlink>
      <w:r>
        <w:t xml:space="preserve"> и </w:t>
      </w:r>
      <w:hyperlink r:id="rId19" w:history="1">
        <w:r>
          <w:rPr>
            <w:rStyle w:val="Hyperlink"/>
          </w:rPr>
          <w:t>7/3</w:t>
        </w:r>
      </w:hyperlink>
      <w:r>
        <w:t xml:space="preserve"> Вспомогательного органа, а также сопутствующую документацию при принятии соответствующего решения по вопросам, касающимся механизма финансирования и финансовых ресурсов, и при вынесении рекомендаций Конференции Сторон Конвенции в отношении дальнейших руководящих указаний механизму финансирования по вопросам доступа к генетическим ресурсам и совместного использования выгод. </w:t>
      </w:r>
    </w:p>
    <w:p w14:paraId="4A6A7CCF" w14:textId="65C2F22B" w:rsidR="007C4951" w:rsidRPr="003F1A75" w:rsidRDefault="00A111D1" w:rsidP="00A111D1">
      <w:pPr>
        <w:pStyle w:val="CBDH1"/>
      </w:pPr>
      <w:r>
        <w:t>II.</w:t>
      </w:r>
      <w:r>
        <w:tab/>
        <w:t>События, касающиеся механизма финансирования</w:t>
      </w:r>
    </w:p>
    <w:p w14:paraId="05976B72" w14:textId="58B9F51D" w:rsidR="00920B8C" w:rsidRPr="003F1A75" w:rsidRDefault="00920B8C" w:rsidP="00920B8C">
      <w:pPr>
        <w:pStyle w:val="CBDH2"/>
      </w:pPr>
      <w:r>
        <w:t>A.</w:t>
      </w:r>
      <w:r>
        <w:tab/>
        <w:t xml:space="preserve">Стратегический контекст </w:t>
      </w:r>
    </w:p>
    <w:p w14:paraId="6D5CA336" w14:textId="528A269A" w:rsidR="00AB70E1" w:rsidRDefault="00AB70E1" w:rsidP="005B1CBB">
      <w:pPr>
        <w:pStyle w:val="CBDNormalNumber"/>
      </w:pPr>
      <w:r>
        <w:t>С принятием Куньминско</w:t>
      </w:r>
      <w:r w:rsidR="00BE2A99">
        <w:noBreakHyphen/>
      </w:r>
      <w:r>
        <w:t xml:space="preserve">Монреальской глобальной рамочной программы в области биоразнообразия важность мобилизации финансовых ресурсов из всех источников в поддержку достижения целей в области биоразнообразия стала еще более очевидной. </w:t>
      </w:r>
      <w:r>
        <w:lastRenderedPageBreak/>
        <w:t>Осуществление Протокола вносит непосредственный вклад в достижение цели C и выполнение задачи 13 Рамочной программы, а также способствует сохранению и устойчивому использованию биоразнообразия, обеспечению совместного использования выгод на равной основе, социальной справедливости, инновациям и устойчивому развитию. Национальные планы по финансированию биоразнообразия в сочетании со стратегией мобилизации ресурсов</w:t>
      </w:r>
      <w:r w:rsidR="00C34095">
        <w:rPr>
          <w:rStyle w:val="FootnoteReference"/>
        </w:rPr>
        <w:footnoteReference w:id="5"/>
      </w:r>
      <w:r>
        <w:t xml:space="preserve"> обеспечивают важные возможности для учета приоритетов в области доступа к генетическим ресурсам и совместного использования выгод, а также потребностей в финансировании в национальных процессах планирования и осуществления.</w:t>
      </w:r>
    </w:p>
    <w:p w14:paraId="06DADC6A" w14:textId="2B805F2A" w:rsidR="007E7AAA" w:rsidRPr="00AB70E1" w:rsidRDefault="007E7AAA" w:rsidP="005B1CBB">
      <w:pPr>
        <w:pStyle w:val="CBDNormalNumber"/>
      </w:pPr>
      <w:r>
        <w:t>Активизация усилий по разработке национальных планов по финансированию биоразнообразия в рамках инициатив, осуществляемых при поддержке ГЭФ, обеспечивает Сторонам возможность более эффективно учитывать приоритеты в области доступа к генетическим ресурсам и совместного использования выгод, связанные с ними потребности в финансировании и механизмы совместного использования выгод в более широких стратегиях финансирования биоразнообразия. Такой учет может способствовать более широкому освещению вопросов доступа к генетическим ресурсам и совместного использования выгод в рамках национальных процессов планирования, а также облегчить доступ к финансированию на национальном и международном уровнях и из частных источников.</w:t>
      </w:r>
    </w:p>
    <w:p w14:paraId="16271EDB" w14:textId="370A6E1A" w:rsidR="003348AD" w:rsidRPr="003F1A75" w:rsidRDefault="00153C64" w:rsidP="003348AD">
      <w:pPr>
        <w:pStyle w:val="CBDH2"/>
      </w:pPr>
      <w:r>
        <w:t>B.</w:t>
      </w:r>
      <w:r>
        <w:tab/>
        <w:t>Целевой фонд Глобального экологического фонда и Фонд Глобальной рамочной программы в области биоразнообразия</w:t>
      </w:r>
    </w:p>
    <w:p w14:paraId="2CC966B2" w14:textId="74059304" w:rsidR="008C5D43" w:rsidRPr="008C5D43" w:rsidRDefault="00CF4C57" w:rsidP="00D57FEC">
      <w:pPr>
        <w:pStyle w:val="CBDNormalNumber"/>
      </w:pPr>
      <w:r>
        <w:t>В рамках программ в области биоразнообразия по линии целевого фонда ГЭФ в период его восьмого пополнения («ГЭФ</w:t>
      </w:r>
      <w:r w:rsidR="00BE2A99">
        <w:noBreakHyphen/>
      </w:r>
      <w:r>
        <w:t>8») продолжала оказываться значительная поддержка осуществлению Конвенции и протоколов к ней. Из 1,92 млрд долл. США, выделенных для целевой области «Биоразнообразие» на этот период, было использовано примерно 94 процента. В рамках поддержки проводились мероприятия, содействующие национальному планированию и представлению отчетности в области биоразнообразия, планированию финансирования биоразнообразия, осуществлению Конвенции и протоколов к ней, а также мероприятия по оказанию поддержки коренным народам и местным общинам. С началом функционирования Фонда Глобальной рамочной программы в области биоразнообразия появились дополнительные возможности для оказания поддержки осуществлению Нагойского протокола. В течение отчетного периода (с 1 июля 2022 года по 30 июня 2026 года) было подано и отобрано несколько заявок на предоставление по линии Фонда грантов на подготовку проектов, связанных с задачей 13. Эти инициативы направлены на укрепление национальных структур регулирования доступа к генетическим ресурсам и совместного использования выгод, институционального потенциала и механизмов совместного использования выгод, а также способствуют достижению более широких целей в области биоразнообразия.</w:t>
      </w:r>
    </w:p>
    <w:p w14:paraId="3C779EB9" w14:textId="77562F6D" w:rsidR="003D1BD7" w:rsidRPr="003F1A75" w:rsidRDefault="001D5642" w:rsidP="00193F4E">
      <w:pPr>
        <w:pStyle w:val="CBDH2"/>
        <w:jc w:val="left"/>
      </w:pPr>
      <w:r>
        <w:t>C.</w:t>
      </w:r>
      <w:r>
        <w:tab/>
        <w:t>Поддержка ратификации и осуществления Протокола, оказываемая Глобальным экологическим фондом</w:t>
      </w:r>
    </w:p>
    <w:p w14:paraId="2D7A236B" w14:textId="32499C0B" w:rsidR="005B1CBB" w:rsidRDefault="005B1CBB" w:rsidP="005B1CBB">
      <w:pPr>
        <w:pStyle w:val="CBDNormalNumber"/>
      </w:pPr>
      <w:r>
        <w:t xml:space="preserve">С момента вступления Протокола в силу ГЭФ оказывает финансовую поддержку в целях разработки и внедрения национальных структур регулирования доступа к генетическим ресурсам и совместного использования выгод, институционального строительства, развития потенциала и взаимодействия с заинтересованными сторонами, что способствует активизации осуществления Протокола на национальном уровне. </w:t>
      </w:r>
    </w:p>
    <w:p w14:paraId="39708980" w14:textId="539AA279" w:rsidR="005B1CBB" w:rsidRDefault="009D3CC8" w:rsidP="005B1CBB">
      <w:pPr>
        <w:pStyle w:val="CBDNormalNumber"/>
      </w:pPr>
      <w:r>
        <w:t>В решении </w:t>
      </w:r>
      <w:hyperlink r:id="rId20" w:history="1">
        <w:r>
          <w:rPr>
            <w:rStyle w:val="Hyperlink"/>
          </w:rPr>
          <w:t>NP</w:t>
        </w:r>
        <w:r w:rsidR="00BE2A99">
          <w:rPr>
            <w:rStyle w:val="Hyperlink"/>
          </w:rPr>
          <w:noBreakHyphen/>
        </w:r>
        <w:r>
          <w:rPr>
            <w:rStyle w:val="Hyperlink"/>
          </w:rPr>
          <w:t>5/2</w:t>
        </w:r>
      </w:hyperlink>
      <w:r>
        <w:t xml:space="preserve"> Конференция Сторон, выступающая в качестве совещания Сторон Протокола, рекомендовала Конференции Сторон Конвенции включить в свои руководящие указания для ГЭФ в отношении оказания поддержки осуществлению Протокола следующие рекомендации: укрепить финансирование, направленное на оказание поддержки Сторонам, </w:t>
      </w:r>
      <w:r>
        <w:lastRenderedPageBreak/>
        <w:t>имеющим право на получение помощи, в осуществлении Протокола; оказывать поддержку Сторонам, имеющим право на получение помощи, в осуществлении плана действий по созданию и развитию потенциала для Протокола; и продолжать оказывать поддержку Сторонам, имеющим право на получение помощи, в развитии долгосрочного институционального потенциала. Эти приоритеты отражены в программных направлениях в области биоразнообразия, утвержденных на период девятого пополнения целевого фонда ГЭФ.</w:t>
      </w:r>
    </w:p>
    <w:p w14:paraId="1B7BDF25" w14:textId="060B615A" w:rsidR="005B1CBB" w:rsidRDefault="005B1CBB" w:rsidP="005B1CBB">
      <w:pPr>
        <w:pStyle w:val="CBDNormalNumber"/>
      </w:pPr>
      <w:r>
        <w:t>В соответствии с этими приоритетами в период ГЭФ</w:t>
      </w:r>
      <w:r w:rsidR="00BE2A99">
        <w:noBreakHyphen/>
      </w:r>
      <w:r>
        <w:t>8 была оказана поддержка в выполнении задачи 13 Рамочной программы посредством инвестиций, направленных на укрепление мер регулирования доступа к генетическим ресурсам и совместного использования выгод, а также на</w:t>
      </w:r>
      <w:r w:rsidR="00BE2A99">
        <w:t>-</w:t>
      </w:r>
      <w:r>
        <w:t>содействие достижению целей Протокола. В отчетный период поступило восемь заявок на финансирование по линии целевого фонда ГЭФ, связанных с задачей 13. Все эти заявки были одобрены. По линии целевого фонда ГЭФ и Фонда Глобальной рамочной программы в области биоразнообразия 15 стран (Белиз, Бразилия, Буркина</w:t>
      </w:r>
      <w:r w:rsidR="00BE2A99">
        <w:noBreakHyphen/>
      </w:r>
      <w:r>
        <w:t>Фасо, Гондурас, Индия, Индонезия, Йемен, Камбоджа, Малайзия, Микронезия, Пакистан, Таиланд, Шри</w:t>
      </w:r>
      <w:r w:rsidR="00BE2A99">
        <w:noBreakHyphen/>
      </w:r>
      <w:r>
        <w:t>Ланка, Экваториальная Гвинея и Эсватини) получают поддержку в рамках 15 отдельных проектов, направленных на осуществление мер регулирования доступа к генетическим ресурсам и совместного использования выгод в соответствии с задачей 13, включая поддержку ратификации Протокола в Белизе, Таиланде и Шри</w:t>
      </w:r>
      <w:r w:rsidR="00BE2A99">
        <w:noBreakHyphen/>
      </w:r>
      <w:r>
        <w:t>Ланке.</w:t>
      </w:r>
    </w:p>
    <w:p w14:paraId="0EFAE545" w14:textId="6EED3DFE" w:rsidR="005B1CBB" w:rsidRDefault="005B1CBB" w:rsidP="005B1CBB">
      <w:pPr>
        <w:pStyle w:val="CBDNormalNumber"/>
      </w:pPr>
      <w:r>
        <w:t>В совокупности на эти проекты приходится примерно 57,0 млн долл. США, выделенных в период ГЭФ</w:t>
      </w:r>
      <w:r w:rsidR="00BE2A99">
        <w:noBreakHyphen/>
      </w:r>
      <w:r>
        <w:t>8. Ожидается, что в ходе их реализации будет привлечено примерно 266,3 млн долл. США в порядке софинансирования. Поддержка направлена на укрепление правовых, политических и институциональных структур регулирования доступа к генетическим ресурсам и совместного использования выгод, совершенствование систем обеспечения соблюдения и мониторинга, создание технического и институционального потенциала, а также содействие совместному использованию на справедливой и равной основе выгод от применения генетических ресурсов, в том числе с коренными народами и местными общинами в соответствующих случаях. Кроме того, осуществляемые при поддержке ГЭФ инициативы направлены на решение возникающих проблем в области осуществления, включая разработку цифровизированных систем регулирования доступа к генетическим ресурсам и совместного использования выгод, а также на учет соображений, касающихся цифровой информации о последовательностях, и тем самым способствуют эффективному осуществлению Протокола и выполнению задачи 13.</w:t>
      </w:r>
    </w:p>
    <w:p w14:paraId="3904FE68" w14:textId="50E41FE1" w:rsidR="005B1CBB" w:rsidRDefault="005B1CBB" w:rsidP="005B1CBB">
      <w:pPr>
        <w:pStyle w:val="CBDNormalNumber"/>
      </w:pPr>
      <w:r>
        <w:t xml:space="preserve">В отчетный период ГЭФ утвердил глобальный проект «Поддержка подготовки первых национальных докладов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реализуемый Программой Организации Объединенных Наций по окружающей среде. В рамках этого проекта оказывается поддержка 96 Сторонам, имеющим право на получение помощи, в выполнении их обязательств по представлению отчетности в рамках Протокола, благодаря которой по состоянию на 15 июня 2026 года свои первые национальные доклады представили 73 Стороны. Секретариат ГЭФ принял участие в режиме онлайн в четырех региональных семинарах (для Латинской Америки и Карибского бассейна — в июне 2025 года; для Африки — в октябре 2025 года; для Центральной и Восточной Европы, а также Западной и Центральной Азии — в январе 2026 года; для Азии и Тихоокеанского региона — в январе 2026 года), которые были организованы Программой Организации Объединенных Наций по окружающей среде и секретариатом Конвенции и финансировались ГЭФ как стимулирующие мероприятия по поддержке подготовки национальных докладов в рамках Нагойского протокола и Картахенского протокола по биобезопасности. Представитель секретариата ГЭФ ознакомил координаторов по протоколам с возможностями финансирования для осуществления протоколов в период </w:t>
      </w:r>
      <w:r>
        <w:lastRenderedPageBreak/>
        <w:t>ГЭФ</w:t>
      </w:r>
      <w:r w:rsidR="00BE2A99">
        <w:noBreakHyphen/>
      </w:r>
      <w:r>
        <w:t>8 и по линии Фонда Глобальной рамочной программы в области биоразнообразия, а также с перспективами на период девятого пополнения целевого фонда ГЭФ.</w:t>
      </w:r>
    </w:p>
    <w:p w14:paraId="23DD2101" w14:textId="460BDC42" w:rsidR="005B1CBB" w:rsidRDefault="005B1CBB" w:rsidP="005B1CBB">
      <w:pPr>
        <w:pStyle w:val="CBDNormalNumber"/>
      </w:pPr>
      <w:r>
        <w:t>За счет финансовой и технической поддержки, оказанной в сотрудничестве с секретариатом Конвенции, в рамках проекта был укреплен национальный потенциал в следующих областях: представление отчетности и мониторинг осуществления; выявление приоритетов и пробелов; и формирование основы для деятельности по программам и усилий по мобилизации ресурсов, связанных с доступом к генетическим ресурсам и совместным использованием выгод, в будущем.</w:t>
      </w:r>
    </w:p>
    <w:p w14:paraId="1C94402A" w14:textId="2D1FD403" w:rsidR="000B19A2" w:rsidRDefault="00F53C3E" w:rsidP="000B19A2">
      <w:pPr>
        <w:pStyle w:val="CBDH2"/>
      </w:pPr>
      <w:r>
        <w:t>D.</w:t>
      </w:r>
      <w:r>
        <w:tab/>
        <w:t xml:space="preserve">Доступ к ресурсам и эффективность деятельности </w:t>
      </w:r>
    </w:p>
    <w:p w14:paraId="2F4E4F8A" w14:textId="02EFC996" w:rsidR="00D83C59" w:rsidRDefault="00D83C59" w:rsidP="00D83C59">
      <w:pPr>
        <w:pStyle w:val="CBDNormalNumber"/>
      </w:pPr>
      <w:r>
        <w:t xml:space="preserve">Несмотря на расширение возможностей финансирования, </w:t>
      </w:r>
      <w:r w:rsidR="00B07950">
        <w:t xml:space="preserve">имеющаяся в распоряжении ГЭФ информация, </w:t>
      </w:r>
      <w:r>
        <w:t>а также выводы, сделанные по итогам второй оценки и обзора эффективности Протокола, свидетельствуют о том, что использование имеющихся ресурсов для осуществления положений о регулировании доступа к генетическим ресурсам и совместного использования выгод по</w:t>
      </w:r>
      <w:r w:rsidR="00BE2A99">
        <w:noBreakHyphen/>
      </w:r>
      <w:r>
        <w:t xml:space="preserve">прежнему существенно различается среди Сторон, имеющих право на получение помощи. К факторам, влияющим на разработку и представление проектов, касающихся регулирования доступа к генетическим ресурсам и совместного использования выгод, относятся конкурирующие национальные приоритеты, различия в уровнях институционального потенциала, недостаточная осведомленность об имеющихся возможностях финансирования, а также проблемы, связанные с учетом приоритетов в области регулирования доступа к генетическим ресурсам и совместного использования выгод в более широких процессах планирования и инвестиционных программах в сфере биоразнообразия. </w:t>
      </w:r>
    </w:p>
    <w:p w14:paraId="565312F7" w14:textId="4315A07B" w:rsidR="00D83C59" w:rsidRDefault="00D83C59" w:rsidP="00D83C59">
      <w:pPr>
        <w:pStyle w:val="CBDNormalNumber"/>
      </w:pPr>
      <w:r>
        <w:t>Постоянные усилия, направленные на укрепление потенциала в области разработки проектов, активизацию сотрудничества между национальными координационными центрами, оперативными координационными центрами по ГЭФ и учреждениями</w:t>
      </w:r>
      <w:r w:rsidR="00BE2A99">
        <w:noBreakHyphen/>
      </w:r>
      <w:r>
        <w:t>исполнителями, а также на обеспечение более полного учета целей, касающихся доступа к генетическим ресурсам и совместного использования выгод, в национальных планах финансирования биоразнообразия, могут способствовать более эффективному использованию имеющихся ресурсов и улучшению результатов осуществления.</w:t>
      </w:r>
    </w:p>
    <w:p w14:paraId="106AC0F3" w14:textId="0B011E5D" w:rsidR="009A4060" w:rsidRDefault="009A4060" w:rsidP="00D83C59">
      <w:pPr>
        <w:pStyle w:val="CBDNormalNumber"/>
      </w:pPr>
      <w:r>
        <w:t>Информация, содержащаяся в докладе Совета Глобального экологического фонда 17</w:t>
      </w:r>
      <w:r w:rsidR="00BE2A99">
        <w:noBreakHyphen/>
      </w:r>
      <w:r>
        <w:t>му совещанию Конференции Сторон</w:t>
      </w:r>
      <w:r w:rsidR="00F309B7">
        <w:rPr>
          <w:rStyle w:val="FootnoteReference"/>
        </w:rPr>
        <w:footnoteReference w:id="6"/>
      </w:r>
      <w:r>
        <w:t>, свидетельствует о том, что, несмотря на наличие возможностей для осуществления Протокола в рамках специальных программ, спрос на финансирование по</w:t>
      </w:r>
      <w:r w:rsidR="00BE2A99">
        <w:noBreakHyphen/>
      </w:r>
      <w:r>
        <w:t>прежнему является неравномерным в разных регионах и среди Сторон, имеющих право на получение помощи. Кроме того, выводы по итогам второй оценки и обзора свидетельствуют о сохраняющихся потребностях в таких областях, как институциональный потенциал, правовое осуществление, обеспечение функционирования контрольных пунктов, системы мониторинга, механизмы совместного использования выгод, а также вовлечение коренных народов и местных общин. Эти выводы могут служить ценным подспорьем при рассмотрении вопроса о необходимости предоставления дополнительных руководящих указаний для механизма финансирования.</w:t>
      </w:r>
    </w:p>
    <w:p w14:paraId="2DE3F16E" w14:textId="0EB2581F" w:rsidR="004C34A0" w:rsidRDefault="00394F51" w:rsidP="00B0304C">
      <w:pPr>
        <w:pStyle w:val="CBDH1"/>
      </w:pPr>
      <w:r>
        <w:lastRenderedPageBreak/>
        <w:t>III.</w:t>
      </w:r>
      <w:r>
        <w:tab/>
        <w:t>Подготовка к десятому периоду пополнения целевого фонда Глобального экологического фонда и будущие приоритеты в области финансирования биоразнообразия</w:t>
      </w:r>
    </w:p>
    <w:p w14:paraId="518B9F48" w14:textId="1037498D" w:rsidR="00266628" w:rsidRPr="003F1A75" w:rsidRDefault="005A3D4C" w:rsidP="00506EF9">
      <w:pPr>
        <w:pStyle w:val="CBDH2"/>
        <w:jc w:val="left"/>
      </w:pPr>
      <w:r>
        <w:t>A.</w:t>
      </w:r>
      <w:r>
        <w:tab/>
        <w:t>Оценка потребностей в финансировании на период десятого пополнения целевого фонда Глобального экологического фонда</w:t>
      </w:r>
    </w:p>
    <w:p w14:paraId="7E3D396A" w14:textId="47E5FD9E" w:rsidR="00F62BFC" w:rsidRDefault="00F62BFC" w:rsidP="0083754F">
      <w:pPr>
        <w:pStyle w:val="CBDNormalNumber"/>
      </w:pPr>
      <w:r>
        <w:t>Подготовка к десятому циклу пополнения ГЭФ, охватывающему период с июля 2030 года по июнь 2034 года, предоставляет Сторонам важную возможность определить потребности в финансировании, связанные с осуществлением Протокола, и представить информацию о них. Вспомогательный орган по осуществлению включил в рекомендацию </w:t>
      </w:r>
      <w:hyperlink r:id="rId21" w:history="1">
        <w:r>
          <w:rPr>
            <w:rStyle w:val="Hyperlink"/>
          </w:rPr>
          <w:t>6/2</w:t>
        </w:r>
      </w:hyperlink>
      <w:r>
        <w:t xml:space="preserve"> проект круга полномочий для проведения полной оценки объема средств, необходимых для оказания содействия Сторонам из числа развивающихся стран, в частности наименее развитым странам и малым островным развивающимся государствам, а также Сторонам с переходной экономикой в выполнении их обязательств в рамках Конвенции и протоколов к ней в период ГЭФ</w:t>
      </w:r>
      <w:r w:rsidR="00BE2A99">
        <w:noBreakHyphen/>
      </w:r>
      <w:r>
        <w:t>10.</w:t>
      </w:r>
    </w:p>
    <w:p w14:paraId="495D361B" w14:textId="474597D7" w:rsidR="0083754F" w:rsidRDefault="00F64246" w:rsidP="0083754F">
      <w:pPr>
        <w:pStyle w:val="CBDNormalNumber"/>
      </w:pPr>
      <w:r>
        <w:t>В контексте Нагойского протокола оценка потребностей в финансировании станет важной возможностью для обеспечения того, чтобы потребности в средствах, связанные с регулированием доступа к генетическим ресурсам и совместн</w:t>
      </w:r>
      <w:r w:rsidR="00B4395D">
        <w:t>ого</w:t>
      </w:r>
      <w:r>
        <w:t xml:space="preserve"> использовани</w:t>
      </w:r>
      <w:r w:rsidR="00B4395D">
        <w:t>я</w:t>
      </w:r>
      <w:r>
        <w:t xml:space="preserve"> выгод, были надлежащим образом учтены в будущих обсуждениях по вопросам программной деятельности и пополнения ресурсов. Вероятнее всего, дальнейшая поддержка потребуется в таких областях, как внедрение и обеспечение функционирования национальных структур регулирования доступа к генетическим ресурсам и совместного использования выгод, институциональное строительство, меры по обеспечению соблюдения и мониторингу, информационные системы, взаимодействие с заинтересованными сторонами, мероприятия по созданию потенциала, осуществление плана действий по созданию и развитию потенциала, а также оказание поддержки коренным народам и местным общинам.</w:t>
      </w:r>
    </w:p>
    <w:p w14:paraId="29DB0BE1" w14:textId="6326C3D5" w:rsidR="0083754F" w:rsidRDefault="005F34A3" w:rsidP="0083754F">
      <w:pPr>
        <w:pStyle w:val="CBDNormalNumber"/>
      </w:pPr>
      <w:r>
        <w:t>Опыт, накопленный в ходе последних циклов пополнения ресурсов, а также информация, полученная в ходе второй оценки и обзора эффективности Протокола, свидетельствуют о том, что проблемы, связанные с институциональным потенциалом, осведомленностью, подготовкой проектов, обеспечением функционирования контрольных пунктов, механизмами совместного использования выгод, системами мониторинга и долгосрочной устойчивостью усилий по осуществлению, по</w:t>
      </w:r>
      <w:r w:rsidR="00BE2A99">
        <w:noBreakHyphen/>
      </w:r>
      <w:r>
        <w:t>прежнему существуют. Стороны могли бы опираться на этот опыт и информацию при определении потребностей в ресурсах и приоритетов в ходе оценки потребностей в финансировании.</w:t>
      </w:r>
    </w:p>
    <w:p w14:paraId="27558BA3" w14:textId="5103507A" w:rsidR="0083754F" w:rsidRPr="00D628A3" w:rsidRDefault="009553B7" w:rsidP="002A5F84">
      <w:pPr>
        <w:pStyle w:val="CBDNormalNumber"/>
      </w:pPr>
      <w:r>
        <w:t xml:space="preserve">Стороны, возможно, пожелают внести свой вклад в проведение этой оценки путем предоставления информации об опыте осуществления на национальном уровне, потребностях в потенциале, пробелах в финансировании, извлеченных уроках и новых приоритетах в области регулирования доступа к генетическим ресурсам и совместного использования выгод. Высокий уровень участия Сторон поможет обеспечить, чтобы оценка должным образом отражала разнообразие условий осуществления и будущие потребности в финансировании в рамках Протокола. </w:t>
      </w:r>
    </w:p>
    <w:p w14:paraId="699D2A99" w14:textId="07332679" w:rsidR="008E0D9E" w:rsidRDefault="004106B7" w:rsidP="00B0304C">
      <w:pPr>
        <w:pStyle w:val="CBDH2"/>
      </w:pPr>
      <w:r>
        <w:t>B.</w:t>
      </w:r>
      <w:r>
        <w:tab/>
        <w:t xml:space="preserve">Определение программных приоритетов в области финансирования биоразнообразия в рамках десятого периода пополнения целевого фонда Глобального экологического фонда </w:t>
      </w:r>
    </w:p>
    <w:p w14:paraId="64A855D1" w14:textId="193865C1" w:rsidR="002A5F84" w:rsidRDefault="008B6FF4" w:rsidP="003B637D">
      <w:pPr>
        <w:pStyle w:val="CBDNormalNumber"/>
      </w:pPr>
      <w:r>
        <w:t>В рекомендации </w:t>
      </w:r>
      <w:hyperlink r:id="rId22" w:history="1">
        <w:r>
          <w:rPr>
            <w:rStyle w:val="Hyperlink"/>
          </w:rPr>
          <w:t>7/3</w:t>
        </w:r>
      </w:hyperlink>
      <w:r>
        <w:t xml:space="preserve"> Вспомогательный орган по осуществлению поручил Исполнительному секретарю в консультации с секретариатом ГЭФ подготовить проект четырехлетней ориентированной на результаты структуры программных приоритетов в области биоразнообразия Конвенции и протоколов к ней, связанных с использованием ресурсов ГЭФ в целях сохранения биоразнообразия на период с июля 2030 года по июнь </w:t>
      </w:r>
      <w:r>
        <w:lastRenderedPageBreak/>
        <w:t>2034 года. Подготовка данной структуры может способствовать тому, чтобы будущая программная деятельность ГЭФ и впредь содействовала осуществлению Нагойского протокола в соответствии с целями Конвенции и Куньминско</w:t>
      </w:r>
      <w:r w:rsidR="00BE2A99">
        <w:noBreakHyphen/>
      </w:r>
      <w:r>
        <w:t xml:space="preserve">Монреальской глобальной рамочной программы в области биоразнообразия, в частности с ее целью C и задачей 13, касающимися совместного использования на справедливой и равной основе выгод от применения генетических ресурсов, а также связанных с ними традиционных знаний и цифровой информации о последовательностях в соответствующих случаях. </w:t>
      </w:r>
    </w:p>
    <w:p w14:paraId="465221BF" w14:textId="0EDD70B9" w:rsidR="003B637D" w:rsidRPr="003B637D" w:rsidRDefault="004258FB" w:rsidP="00F91F4D">
      <w:pPr>
        <w:pStyle w:val="CBDNormalNumber"/>
      </w:pPr>
      <w:r>
        <w:t xml:space="preserve">В ходе обсуждений на седьмом совещании Вспомогательного органа была подчеркнута важность обеспечения того, чтобы процесс определения программных приоритетов был прозрачным, инклюзивным и осуществлялся по инициативе стран. </w:t>
      </w:r>
      <w:r w:rsidR="00F91F4D" w:rsidRPr="00F91F4D">
        <w:t>Таким образом, разработка четырехлетней ориентированной на результаты структуры предоставляет Сторонам возможность более четко сформулировать приоритетные потребности и проблемы в осуществлении, касающиеся регулирования доступа к генетическим ресурсам и совместного использования выгод, в том числе в плане получения доступа к имеющимся ресурсам, дальнейшего развития потенциала, содействия институциональной устойчивости, обеспечения эффективного участия коренных народов и местных общин в соответствующих инициативах, а также учета вопросов регулирования доступа к генетическим ресурсам и совместного использования выгод в национальных стратегиях по сохранению биоразнообразия и процессах планирования финансирования биоразнообразия.</w:t>
      </w:r>
    </w:p>
    <w:p w14:paraId="025EDB33" w14:textId="19488C3F" w:rsidR="00BB389A" w:rsidRPr="003F1A75" w:rsidRDefault="00C65E7F" w:rsidP="00BB389A">
      <w:pPr>
        <w:pStyle w:val="CBDH2"/>
      </w:pPr>
      <w:r>
        <w:t>C.</w:t>
      </w:r>
      <w:r>
        <w:tab/>
        <w:t>Седьмой четырехгодичный обзор эффективности механизма финансирования</w:t>
      </w:r>
    </w:p>
    <w:p w14:paraId="730594EC" w14:textId="4F453115" w:rsidR="00796B0A" w:rsidRDefault="003E568F" w:rsidP="003E568F">
      <w:pPr>
        <w:pStyle w:val="CBDNormalNumber"/>
      </w:pPr>
      <w:r>
        <w:t>Седьмой четырехгодичный обзор эффективности механизма финансирования, проект круга полномочий для проведения которого включен в рекомендацию </w:t>
      </w:r>
      <w:hyperlink r:id="rId23" w:history="1">
        <w:r>
          <w:rPr>
            <w:rStyle w:val="Hyperlink"/>
          </w:rPr>
          <w:t>6/2</w:t>
        </w:r>
      </w:hyperlink>
      <w:r>
        <w:t xml:space="preserve"> Вспомогательного органа, предоставит возможность оценить, в какой степени механизм финансирования соответствует меняющимся потребностям и приоритетам в рамках Конвенции и протоколов к ней.</w:t>
      </w:r>
    </w:p>
    <w:p w14:paraId="26DAE2ED" w14:textId="3D7D3294" w:rsidR="003E568F" w:rsidRDefault="00381CFA" w:rsidP="003E568F">
      <w:pPr>
        <w:pStyle w:val="CBDNormalNumber"/>
      </w:pPr>
      <w:r>
        <w:t>Для Сторон Нагойского протокола обзор может стать источником ценной информации по таким вопросам, как доступность ресурсов, учет национальных приоритетов, эффективность процессов разработки и реализации проектов, устойчивость институционального потенциала, а также результативность поддержки, оказываемой в целях осуществления мер регулирования доступа к генетическим ресурсам и совместного использования выгод на равной основе.</w:t>
      </w:r>
    </w:p>
    <w:p w14:paraId="5FC7E091" w14:textId="2CAADE28" w:rsidR="003E568F" w:rsidRDefault="00E81DEF" w:rsidP="003E568F">
      <w:pPr>
        <w:pStyle w:val="CBDNormalNumber"/>
      </w:pPr>
      <w:r>
        <w:t xml:space="preserve">Стороны, возможно, пожелают предоставить информацию и поделиться опытом, имеющими отношение к данному обзору, включая извлеченные уроки, касающиеся использования имеющихся ресурсов и факторов, влияющих на осуществление Протокола. Такая информация могла бы стать подспорьем при выявлении возможностей для повышения эффективности, доступности и оперативности будущей поддержки, предоставляемой в рамках механизма финансирования. </w:t>
      </w:r>
    </w:p>
    <w:p w14:paraId="31532977" w14:textId="7B97A1A8" w:rsidR="003D3F13" w:rsidRPr="003F1A75" w:rsidRDefault="00C65E7F" w:rsidP="003D3F13">
      <w:pPr>
        <w:pStyle w:val="CBDH2"/>
      </w:pPr>
      <w:r>
        <w:t>D.</w:t>
      </w:r>
      <w:r>
        <w:tab/>
        <w:t xml:space="preserve">Выводы по итогам второй оценки и обзора </w:t>
      </w:r>
    </w:p>
    <w:p w14:paraId="50D7EE09" w14:textId="5ADD1048" w:rsidR="00135539" w:rsidRDefault="00363EA3" w:rsidP="000175BC">
      <w:pPr>
        <w:pStyle w:val="CBDNormalNumber"/>
      </w:pPr>
      <w:r>
        <w:t xml:space="preserve">Проведение второй оценки и обзора эффективности Протокола позволило выявить сохраняющиеся проблемы, касающиеся доступа к финансовым ресурсам, институционального потенциала и осуществления мер регулирования доступа к генетическим ресурсам и совместного использования выгод. </w:t>
      </w:r>
      <w:r w:rsidR="000175BC" w:rsidRPr="000175BC">
        <w:t>В обзоре освещаются возможности для более активной мобилизации, расширения доступа к имеющимся источникам финансирования и укрепления поддержки в области осуществления, в частности для Сторон из числа развивающихся стран, наименее развитых стран, малых островных развивающихся государств и Сторон с переходной экономикой.</w:t>
      </w:r>
    </w:p>
    <w:p w14:paraId="0CBA54F3" w14:textId="5EC30AC4" w:rsidR="004A1F7A" w:rsidRDefault="004A1F7A" w:rsidP="00135539">
      <w:pPr>
        <w:pStyle w:val="CBDNormalNumber"/>
      </w:pPr>
      <w:r>
        <w:t xml:space="preserve">В ходе рассмотрения выводов по итогам второй оценки и обзора Комитет по соблюдению в рамках Протокола и Неофициальный консультативный комитет по созданию </w:t>
      </w:r>
      <w:r>
        <w:lastRenderedPageBreak/>
        <w:t>потенциала для осуществления Протокола проанализировали информацию, содержащуюся в рабочих документах седьмого совещания Вспомогательного органа по осуществлению, а также в информационных документах </w:t>
      </w:r>
      <w:hyperlink r:id="rId24" w:history="1">
        <w:r>
          <w:rPr>
            <w:rStyle w:val="Hyperlink"/>
          </w:rPr>
          <w:t>CBD/SBI/7/INF/6</w:t>
        </w:r>
      </w:hyperlink>
      <w:r>
        <w:t xml:space="preserve"> и </w:t>
      </w:r>
      <w:hyperlink r:id="rId25" w:history="1">
        <w:r>
          <w:rPr>
            <w:rStyle w:val="Hyperlink"/>
          </w:rPr>
          <w:t>CBD/SBI/7/INF/7</w:t>
        </w:r>
      </w:hyperlink>
      <w:r>
        <w:t xml:space="preserve">. </w:t>
      </w:r>
    </w:p>
    <w:p w14:paraId="0380EC86" w14:textId="271230DE" w:rsidR="00135539" w:rsidRDefault="00833E83" w:rsidP="00135539">
      <w:pPr>
        <w:pStyle w:val="CBDNormalNumber"/>
      </w:pPr>
      <w:r>
        <w:t>Стороны могут ознакомиться с дополнительной информацией, содержащейся в документах, подготовленных для рассмотрения Вспомогательным органом по осуществлению на его седьмом совещании, включая доклад о второй оценке и обзоре</w:t>
      </w:r>
      <w:r w:rsidR="00FC4397">
        <w:rPr>
          <w:rStyle w:val="FootnoteReference"/>
        </w:rPr>
        <w:footnoteReference w:id="7"/>
      </w:r>
      <w:r>
        <w:t>, а также соответствующий анализ потребностей, связанных с осуществлением, и потребностей в ресурсах</w:t>
      </w:r>
      <w:r w:rsidR="00FC4397">
        <w:rPr>
          <w:rStyle w:val="FootnoteReference"/>
        </w:rPr>
        <w:footnoteReference w:id="8"/>
      </w:r>
      <w:r>
        <w:t>.</w:t>
      </w:r>
    </w:p>
    <w:p w14:paraId="10F37862" w14:textId="7FE977DB" w:rsidR="00E5576F" w:rsidRDefault="00E5576F" w:rsidP="00E5576F">
      <w:pPr>
        <w:pStyle w:val="CBDH1"/>
      </w:pPr>
      <w:r>
        <w:t>IV.</w:t>
      </w:r>
      <w:r>
        <w:tab/>
        <w:t>Соображения относительно будущей работы</w:t>
      </w:r>
    </w:p>
    <w:p w14:paraId="4B3BF140" w14:textId="71127F52" w:rsidR="009256F4" w:rsidRDefault="009256F4" w:rsidP="009256F4">
      <w:pPr>
        <w:pStyle w:val="CBDNormalNumber"/>
      </w:pPr>
      <w:r>
        <w:t>Ожидается, что подготовка к ГЭФ</w:t>
      </w:r>
      <w:r w:rsidR="00BE2A99">
        <w:noBreakHyphen/>
      </w:r>
      <w:r>
        <w:t>10 начнется в ходе девятого цикла пополнения и предоставит Сторонам возможность оценить будущие потребности в финансировании, связанные с осуществлением Протокола и выполнением задачи 13 Куньминско</w:t>
      </w:r>
      <w:r w:rsidR="00BE2A99">
        <w:noBreakHyphen/>
      </w:r>
      <w:r>
        <w:t>Монреальской глобальной рамочной программы в области биоразнообразия.</w:t>
      </w:r>
    </w:p>
    <w:p w14:paraId="320B7010" w14:textId="3FA0B374" w:rsidR="004861C7" w:rsidRDefault="009256F4" w:rsidP="00CF6626">
      <w:pPr>
        <w:pStyle w:val="CBDNormalNumber"/>
      </w:pPr>
      <w:r>
        <w:t xml:space="preserve">Опыт предыдущих циклов пополнения подчеркивает важность тщательной оценки потребностей в финансировании, связанных с институциональным развитием, мерами по осуществлению в области доступа к генетическим ресурсам и совместного использования выгод, системами обеспечения соблюдения и мониторинга, механизмами совместного использования выгод, системами управления информацией, созданием потенциала и оказанием поддержки коренным народам и местным общинам. Непрерывное накопление информации в рамках процессов представления национальной отчетности и опыта осуществления может помочь Сторонам обеспечить, чтобы будущие оценки более точно отражали весь спектр потребностей, связанных с осуществлением Протокола. </w:t>
      </w:r>
    </w:p>
    <w:p w14:paraId="740283CC" w14:textId="23A3EEE6" w:rsidR="001819B9" w:rsidRDefault="001819B9" w:rsidP="001819B9">
      <w:pPr>
        <w:pStyle w:val="CBDH1"/>
      </w:pPr>
      <w:r>
        <w:t>V.</w:t>
      </w:r>
      <w:r>
        <w:tab/>
        <w:t>Элементы проекта решения</w:t>
      </w:r>
    </w:p>
    <w:p w14:paraId="04FD4AD2" w14:textId="7AA2397A" w:rsidR="000D60F8" w:rsidRDefault="007C422D" w:rsidP="00193F4E">
      <w:pPr>
        <w:pStyle w:val="CBDNormalNumber"/>
        <w:keepNext/>
      </w:pPr>
      <w:r>
        <w:t>Конференция Сторон, выступающая в качестве совещания Сторон Протокола, возможно, пожелает принять элементы решения в соответствии с приводимым ниже текстом</w:t>
      </w:r>
      <w:r w:rsidR="00812D80">
        <w:rPr>
          <w:rStyle w:val="FootnoteReference"/>
        </w:rPr>
        <w:footnoteReference w:id="9"/>
      </w:r>
      <w:r>
        <w:t>:</w:t>
      </w:r>
    </w:p>
    <w:p w14:paraId="0BC27C96" w14:textId="1FEFF949" w:rsidR="003450C5" w:rsidRPr="009F5013" w:rsidRDefault="003450C5" w:rsidP="00193F4E">
      <w:pPr>
        <w:pStyle w:val="CBDNormalNumber"/>
        <w:keepNext/>
        <w:numPr>
          <w:ilvl w:val="0"/>
          <w:numId w:val="0"/>
        </w:numPr>
        <w:ind w:left="567" w:firstLine="567"/>
        <w:rPr>
          <w:i/>
          <w:iCs/>
        </w:rPr>
      </w:pPr>
      <w:r>
        <w:rPr>
          <w:i/>
        </w:rPr>
        <w:t>Конференция Сторон, выступающая в качестве совещания Сторон Нагойского протокола</w:t>
      </w:r>
      <w:r>
        <w:t>,</w:t>
      </w:r>
      <w:r>
        <w:rPr>
          <w:i/>
        </w:rPr>
        <w:t xml:space="preserve"> </w:t>
      </w:r>
    </w:p>
    <w:p w14:paraId="3F32376C" w14:textId="543B3A43" w:rsidR="003450C5" w:rsidRPr="009F5013" w:rsidRDefault="003450C5" w:rsidP="00357581">
      <w:pPr>
        <w:pStyle w:val="CBDNormalNumber"/>
        <w:numPr>
          <w:ilvl w:val="0"/>
          <w:numId w:val="0"/>
        </w:numPr>
        <w:ind w:left="567" w:firstLine="567"/>
      </w:pPr>
      <w:r>
        <w:rPr>
          <w:i/>
        </w:rPr>
        <w:t xml:space="preserve">ссылаясь </w:t>
      </w:r>
      <w:r>
        <w:t>на статью 25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006F1742">
        <w:rPr>
          <w:rStyle w:val="FootnoteReference"/>
        </w:rPr>
        <w:footnoteReference w:id="10"/>
      </w:r>
      <w:r>
        <w:t>,</w:t>
      </w:r>
    </w:p>
    <w:p w14:paraId="0484F52B" w14:textId="182BD862" w:rsidR="003450C5" w:rsidRPr="009F5013" w:rsidRDefault="003450C5" w:rsidP="00357581">
      <w:pPr>
        <w:pStyle w:val="CBDNormalNumber"/>
        <w:numPr>
          <w:ilvl w:val="0"/>
          <w:numId w:val="0"/>
        </w:numPr>
        <w:ind w:left="567" w:firstLine="567"/>
        <w:rPr>
          <w:i/>
          <w:iCs/>
        </w:rPr>
      </w:pPr>
      <w:r>
        <w:rPr>
          <w:i/>
        </w:rPr>
        <w:t xml:space="preserve">рассмотрев </w:t>
      </w:r>
      <w:r>
        <w:t>информацию о Нагойском протоколе, содержащуюся в докладе Совета Глобального экологического фонда 17</w:t>
      </w:r>
      <w:r w:rsidR="00BE2A99">
        <w:noBreakHyphen/>
      </w:r>
      <w:r>
        <w:t>му совещанию Конференции Сторон Конвенции о биологическом разнообразии</w:t>
      </w:r>
      <w:r w:rsidR="00B00E4F">
        <w:rPr>
          <w:rStyle w:val="FootnoteReference"/>
        </w:rPr>
        <w:footnoteReference w:id="11"/>
      </w:r>
      <w:r>
        <w:rPr>
          <w:vertAlign w:val="superscript"/>
        </w:rPr>
        <w:t>,</w:t>
      </w:r>
      <w:r w:rsidR="00EB4757">
        <w:rPr>
          <w:vertAlign w:val="superscript"/>
        </w:rPr>
        <w:t> </w:t>
      </w:r>
      <w:r w:rsidR="007E0D80">
        <w:rPr>
          <w:rStyle w:val="FootnoteReference"/>
        </w:rPr>
        <w:footnoteReference w:id="12"/>
      </w:r>
      <w:r>
        <w:t>,</w:t>
      </w:r>
    </w:p>
    <w:p w14:paraId="7BBE184F" w14:textId="7A586ED9" w:rsidR="003450C5" w:rsidRPr="009F5013" w:rsidRDefault="00357581" w:rsidP="00357581">
      <w:pPr>
        <w:pStyle w:val="CBDsubpara-item"/>
        <w:ind w:left="567" w:firstLine="564"/>
        <w:jc w:val="both"/>
      </w:pPr>
      <w:r>
        <w:t>1.</w:t>
      </w:r>
      <w:r>
        <w:tab/>
      </w:r>
      <w:r>
        <w:rPr>
          <w:i/>
        </w:rPr>
        <w:t>приветствует</w:t>
      </w:r>
      <w:r>
        <w:t xml:space="preserve"> девятое пополнение целевого фонда Глобального экологического фонда и его программные направления, а также поддержку, предоставляемую благодаря этому Сторонам для осуществления Нагойского протокола, и выражает свою признательность странам, внесшим вклад в его пополнение;</w:t>
      </w:r>
    </w:p>
    <w:p w14:paraId="46B7768D" w14:textId="6E38C8CC" w:rsidR="003450C5" w:rsidRPr="009F5013" w:rsidRDefault="00357581" w:rsidP="00357581">
      <w:pPr>
        <w:pStyle w:val="CBDsubpara-item"/>
        <w:ind w:left="567" w:firstLine="564"/>
        <w:jc w:val="both"/>
      </w:pPr>
      <w:r>
        <w:lastRenderedPageBreak/>
        <w:t>2.</w:t>
      </w:r>
      <w:r>
        <w:tab/>
      </w:r>
      <w:r>
        <w:rPr>
          <w:i/>
        </w:rPr>
        <w:t xml:space="preserve">также приветствует </w:t>
      </w:r>
      <w:r>
        <w:t>доклад Совета Глобального экологического фонда 17</w:t>
      </w:r>
      <w:r w:rsidR="00BE2A99">
        <w:noBreakHyphen/>
      </w:r>
      <w:r>
        <w:t>му совещанию Конференции Сторон Конвенции о биологическом разнообразии;</w:t>
      </w:r>
    </w:p>
    <w:p w14:paraId="074BCFC6" w14:textId="7A334717" w:rsidR="003450C5" w:rsidRPr="009F5013" w:rsidRDefault="00357581" w:rsidP="00357581">
      <w:pPr>
        <w:pStyle w:val="CBDsubpara-item"/>
        <w:ind w:left="567" w:firstLine="564"/>
        <w:jc w:val="both"/>
      </w:pPr>
      <w:r>
        <w:t>3.</w:t>
      </w:r>
      <w:r>
        <w:tab/>
      </w:r>
      <w:r>
        <w:rPr>
          <w:i/>
        </w:rPr>
        <w:t xml:space="preserve">с признательностью приветствует </w:t>
      </w:r>
      <w:r>
        <w:t>меры, принятые Глобальным экологическим фондом для укрепления механизма финансирования в отношении Нагойского протокола;</w:t>
      </w:r>
    </w:p>
    <w:p w14:paraId="234E80C5" w14:textId="1F68A5BA" w:rsidR="006308CC" w:rsidRPr="006308CC" w:rsidRDefault="00357581" w:rsidP="00357581">
      <w:pPr>
        <w:pStyle w:val="CBDsubpara-item"/>
        <w:ind w:left="567" w:firstLine="564"/>
        <w:jc w:val="both"/>
      </w:pPr>
      <w:r>
        <w:t>4.</w:t>
      </w:r>
      <w:r>
        <w:tab/>
      </w:r>
      <w:r>
        <w:rPr>
          <w:i/>
        </w:rPr>
        <w:t>с удовлетворением отмечает,</w:t>
      </w:r>
      <w:r>
        <w:t xml:space="preserve"> что программные направления на девятый период пополнения целевого фонда Глобального экологического фонда отражают все элементы четырехлетней ориентированной на результаты структуры программных приоритетов в области биоразнообразия Конвенции о биологическом разнообразии и протоколов к ней, принятой Конференцией Сторон на ее 16</w:t>
      </w:r>
      <w:r w:rsidR="00BE2A99">
        <w:noBreakHyphen/>
      </w:r>
      <w:r>
        <w:t>м совещании</w:t>
      </w:r>
      <w:r w:rsidR="00EF1F7C">
        <w:rPr>
          <w:rStyle w:val="FootnoteReference"/>
          <w:lang w:eastAsia="en-GB"/>
        </w:rPr>
        <w:footnoteReference w:id="13"/>
      </w:r>
      <w:r>
        <w:t>, и, таким образом, свидетельствуют об эффективном реагировании на руководящие указания Конференции Сторон;</w:t>
      </w:r>
    </w:p>
    <w:p w14:paraId="52F095D6" w14:textId="64D04D23" w:rsidR="003D3477" w:rsidRDefault="00904B55" w:rsidP="007F7B03">
      <w:pPr>
        <w:pStyle w:val="CBDsubpara-item"/>
        <w:ind w:left="567" w:firstLine="564"/>
        <w:jc w:val="both"/>
      </w:pPr>
      <w:r>
        <w:t>5.</w:t>
      </w:r>
      <w:r>
        <w:tab/>
      </w:r>
      <w:r>
        <w:rPr>
          <w:i/>
        </w:rPr>
        <w:t>признает</w:t>
      </w:r>
      <w:r>
        <w:t xml:space="preserve"> важность своевременного предоставления финансовых ресурсов для подготовки национальных докладов по Нагойскому протоколу;</w:t>
      </w:r>
    </w:p>
    <w:p w14:paraId="2281DC98" w14:textId="08533097" w:rsidR="0011314D" w:rsidRDefault="00904B55" w:rsidP="0011314D">
      <w:pPr>
        <w:pStyle w:val="CBDsubpara-item"/>
        <w:ind w:left="567" w:firstLine="564"/>
        <w:jc w:val="both"/>
      </w:pPr>
      <w:r>
        <w:t>6.</w:t>
      </w:r>
      <w:r>
        <w:tab/>
      </w:r>
      <w:r>
        <w:rPr>
          <w:i/>
        </w:rPr>
        <w:t>призывает</w:t>
      </w:r>
      <w:r>
        <w:t xml:space="preserve"> прилагать усилия по содействию заблаговременной разработке проектов и созданию механизмов их осуществления в целях оказания поддержки подготовке и представлению вторых национальных докладов по Нагойскому протоколу;</w:t>
      </w:r>
    </w:p>
    <w:p w14:paraId="1944DF87" w14:textId="021C41C1" w:rsidR="0011314D" w:rsidRPr="006308CC" w:rsidRDefault="00904B55" w:rsidP="0011314D">
      <w:pPr>
        <w:pStyle w:val="CBDsubpara-item"/>
        <w:ind w:left="567" w:firstLine="564"/>
        <w:jc w:val="both"/>
      </w:pPr>
      <w:r>
        <w:t>7.</w:t>
      </w:r>
      <w:r>
        <w:tab/>
      </w:r>
      <w:r>
        <w:rPr>
          <w:i/>
        </w:rPr>
        <w:t xml:space="preserve">рекомендует </w:t>
      </w:r>
      <w:r>
        <w:t>Конференции Сторон Конвенции о биологическом разнообразии в полной мере учитывать Нагойский протокол в круге полномочий, который будет утвержден для проведения седьмого четырехгодичного обзора эффективности механизма финансирования в рамках Конвенции;</w:t>
      </w:r>
    </w:p>
    <w:p w14:paraId="023FFDD0" w14:textId="258A43C2" w:rsidR="0011314D" w:rsidRDefault="00904B55" w:rsidP="0011314D">
      <w:pPr>
        <w:pStyle w:val="CBDsubpara-item"/>
        <w:ind w:left="567" w:firstLine="564"/>
        <w:jc w:val="both"/>
        <w:rPr>
          <w:i/>
          <w:iCs/>
        </w:rPr>
      </w:pPr>
      <w:r>
        <w:t>8.</w:t>
      </w:r>
      <w:r>
        <w:tab/>
      </w:r>
      <w:r>
        <w:rPr>
          <w:i/>
        </w:rPr>
        <w:t xml:space="preserve">предлагает </w:t>
      </w:r>
      <w:r>
        <w:t>Сторонам Нагойского протокола внести свой вклад в проведение седьмого четырехгодичного обзора эффективности механизма финансирования и принять в нем участие.</w:t>
      </w:r>
    </w:p>
    <w:p w14:paraId="19220E6C" w14:textId="77777777" w:rsidR="00A111D1" w:rsidRPr="003F1A75" w:rsidRDefault="00A111D1" w:rsidP="0038523E">
      <w:pPr>
        <w:pStyle w:val="Para1"/>
        <w:numPr>
          <w:ilvl w:val="0"/>
          <w:numId w:val="0"/>
        </w:numPr>
        <w:jc w:val="center"/>
      </w:pPr>
      <w:r>
        <w:t>__________</w:t>
      </w:r>
    </w:p>
    <w:sectPr w:rsidR="00A111D1" w:rsidRPr="003F1A75"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8AF74" w14:textId="77777777" w:rsidR="00767AF1" w:rsidRPr="003F1A75" w:rsidRDefault="00767AF1" w:rsidP="00CF1848">
      <w:r w:rsidRPr="003F1A75">
        <w:separator/>
      </w:r>
    </w:p>
  </w:endnote>
  <w:endnote w:type="continuationSeparator" w:id="0">
    <w:p w14:paraId="44A05586" w14:textId="77777777" w:rsidR="00767AF1" w:rsidRPr="003F1A75" w:rsidRDefault="00767AF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C47AC26" w14:textId="77777777" w:rsidR="00D75CA6" w:rsidRPr="003F1A75" w:rsidRDefault="00D75CA6" w:rsidP="007E5F31">
            <w:pPr>
              <w:pStyle w:val="Footer"/>
              <w:jc w:val="left"/>
            </w:pPr>
            <w:r w:rsidRPr="00125EBC">
              <w:fldChar w:fldCharType="begin"/>
            </w:r>
            <w:r w:rsidRPr="00125EBC">
              <w:instrText xml:space="preserve"> PAGE </w:instrText>
            </w:r>
            <w:r w:rsidRPr="00125EBC">
              <w:fldChar w:fldCharType="separate"/>
            </w:r>
            <w:r w:rsidR="000175BC">
              <w:rPr>
                <w:noProof/>
              </w:rPr>
              <w:t>8</w:t>
            </w:r>
            <w:r w:rsidRPr="00125EBC">
              <w:fldChar w:fldCharType="end"/>
            </w:r>
            <w:r>
              <w:t>/</w:t>
            </w:r>
            <w:fldSimple w:instr=" NUMPAGES  ">
              <w:r w:rsidR="000175BC">
                <w:rPr>
                  <w:noProof/>
                </w:rPr>
                <w:t>9</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CFDE4BB" w14:textId="77777777" w:rsidR="00D75CA6" w:rsidRPr="003F1A75" w:rsidRDefault="00D75CA6" w:rsidP="007E5F31">
        <w:pPr>
          <w:pStyle w:val="Footer"/>
          <w:jc w:val="right"/>
        </w:pPr>
        <w:r w:rsidRPr="00125EBC">
          <w:fldChar w:fldCharType="begin"/>
        </w:r>
        <w:r w:rsidRPr="00125EBC">
          <w:instrText xml:space="preserve"> PAGE </w:instrText>
        </w:r>
        <w:r w:rsidRPr="00125EBC">
          <w:fldChar w:fldCharType="separate"/>
        </w:r>
        <w:r w:rsidR="000175BC">
          <w:rPr>
            <w:noProof/>
          </w:rPr>
          <w:t>7</w:t>
        </w:r>
        <w:r w:rsidRPr="00125EBC">
          <w:fldChar w:fldCharType="end"/>
        </w:r>
        <w:r>
          <w:t>/</w:t>
        </w:r>
        <w:fldSimple w:instr=" NUMPAGES  ">
          <w:r w:rsidR="000175BC">
            <w:rPr>
              <w:noProof/>
            </w:rPr>
            <w:t>9</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68CE4" w14:textId="77777777" w:rsidR="00767AF1" w:rsidRPr="003F1A75" w:rsidRDefault="00767AF1" w:rsidP="00CF1848">
      <w:r w:rsidRPr="003F1A75">
        <w:separator/>
      </w:r>
    </w:p>
  </w:footnote>
  <w:footnote w:type="continuationSeparator" w:id="0">
    <w:p w14:paraId="1CB7AD96" w14:textId="77777777" w:rsidR="00767AF1" w:rsidRPr="003F1A75" w:rsidRDefault="00767AF1" w:rsidP="00CF1848">
      <w:r w:rsidRPr="003F1A75">
        <w:continuationSeparator/>
      </w:r>
    </w:p>
  </w:footnote>
  <w:footnote w:id="1">
    <w:p w14:paraId="34F5CC89" w14:textId="77777777" w:rsidR="008A1499" w:rsidRPr="002063CB" w:rsidRDefault="008A1499">
      <w:pPr>
        <w:pStyle w:val="FootnoteText"/>
        <w:rPr>
          <w:lang w:val="en-US"/>
        </w:rPr>
      </w:pPr>
      <w:r w:rsidRPr="002063CB">
        <w:rPr>
          <w:rStyle w:val="FootnoteReference"/>
          <w:lang w:val="en-US"/>
        </w:rPr>
        <w:t>*</w:t>
      </w:r>
      <w:r w:rsidRPr="002063CB">
        <w:rPr>
          <w:lang w:val="en-US"/>
        </w:rPr>
        <w:t xml:space="preserve"> </w:t>
      </w:r>
      <w:hyperlink r:id="rId1" w:history="1">
        <w:r w:rsidRPr="002063CB">
          <w:rPr>
            <w:rStyle w:val="Hyperlink"/>
            <w:lang w:val="en-US"/>
          </w:rPr>
          <w:t>CBD/NP/MOP/6/1</w:t>
        </w:r>
      </w:hyperlink>
      <w:r w:rsidRPr="002063CB">
        <w:rPr>
          <w:lang w:val="en-US"/>
        </w:rPr>
        <w:t>.</w:t>
      </w:r>
    </w:p>
  </w:footnote>
  <w:footnote w:id="2">
    <w:p w14:paraId="7410E60E" w14:textId="1003833F" w:rsidR="00492B06" w:rsidRPr="002063CB" w:rsidRDefault="00492B06">
      <w:pPr>
        <w:pStyle w:val="FootnoteText"/>
        <w:rPr>
          <w:lang w:val="en-US"/>
        </w:rPr>
      </w:pPr>
      <w:r>
        <w:rPr>
          <w:rStyle w:val="FootnoteReference"/>
        </w:rPr>
        <w:footnoteRef/>
      </w:r>
      <w:r w:rsidRPr="002063CB">
        <w:rPr>
          <w:lang w:val="en-US"/>
        </w:rPr>
        <w:t xml:space="preserve"> </w:t>
      </w:r>
      <w:hyperlink r:id="rId2" w:history="1">
        <w:r w:rsidRPr="002063CB">
          <w:rPr>
            <w:rStyle w:val="Hyperlink"/>
            <w:lang w:val="en-US"/>
          </w:rPr>
          <w:t>CBD/COP/17/5/Add.1</w:t>
        </w:r>
      </w:hyperlink>
      <w:r w:rsidRPr="002063CB">
        <w:rPr>
          <w:lang w:val="en-US"/>
        </w:rPr>
        <w:t>.</w:t>
      </w:r>
    </w:p>
  </w:footnote>
  <w:footnote w:id="3">
    <w:p w14:paraId="4521FE3E" w14:textId="096FE517" w:rsidR="00291DBA" w:rsidRPr="002063CB" w:rsidRDefault="00291DBA">
      <w:pPr>
        <w:pStyle w:val="FootnoteText"/>
        <w:rPr>
          <w:lang w:val="en-US"/>
        </w:rPr>
      </w:pPr>
      <w:r>
        <w:rPr>
          <w:rStyle w:val="FootnoteReference"/>
        </w:rPr>
        <w:footnoteRef/>
      </w:r>
      <w:r w:rsidRPr="002063CB">
        <w:rPr>
          <w:lang w:val="en-US"/>
        </w:rPr>
        <w:t xml:space="preserve"> </w:t>
      </w:r>
      <w:r>
        <w:t>См</w:t>
      </w:r>
      <w:r w:rsidRPr="002063CB">
        <w:rPr>
          <w:lang w:val="en-US"/>
        </w:rPr>
        <w:t xml:space="preserve">. </w:t>
      </w:r>
      <w:r w:rsidR="00523843">
        <w:fldChar w:fldCharType="begin"/>
      </w:r>
      <w:r w:rsidR="00523843" w:rsidRPr="00470AE2">
        <w:rPr>
          <w:lang w:val="en-US"/>
        </w:rPr>
        <w:instrText xml:space="preserve"> HYPERLINK "https://www.cbd.int/documents/CBD/SBI/7/7" </w:instrText>
      </w:r>
      <w:r w:rsidR="00523843">
        <w:fldChar w:fldCharType="separate"/>
      </w:r>
      <w:r w:rsidRPr="002063CB">
        <w:rPr>
          <w:rStyle w:val="Hyperlink"/>
          <w:lang w:val="en-US"/>
        </w:rPr>
        <w:t>CBD/SBI/7/7</w:t>
      </w:r>
      <w:r w:rsidR="00523843">
        <w:rPr>
          <w:rStyle w:val="Hyperlink"/>
          <w:lang w:val="en-US"/>
        </w:rPr>
        <w:fldChar w:fldCharType="end"/>
      </w:r>
      <w:r w:rsidRPr="002063CB">
        <w:rPr>
          <w:lang w:val="en-US"/>
        </w:rPr>
        <w:t>.</w:t>
      </w:r>
    </w:p>
  </w:footnote>
  <w:footnote w:id="4">
    <w:p w14:paraId="0355686C" w14:textId="64255915" w:rsidR="00D50DD3" w:rsidRPr="00470AE2" w:rsidRDefault="00D50DD3">
      <w:pPr>
        <w:pStyle w:val="FootnoteText"/>
        <w:rPr>
          <w:lang w:val="en-US"/>
        </w:rPr>
      </w:pPr>
      <w:r>
        <w:rPr>
          <w:rStyle w:val="FootnoteReference"/>
        </w:rPr>
        <w:footnoteRef/>
      </w:r>
      <w:r w:rsidRPr="00470AE2">
        <w:rPr>
          <w:lang w:val="en-US"/>
        </w:rPr>
        <w:t xml:space="preserve"> </w:t>
      </w:r>
      <w:r>
        <w:t>См</w:t>
      </w:r>
      <w:r w:rsidRPr="00470AE2">
        <w:rPr>
          <w:lang w:val="en-US"/>
        </w:rPr>
        <w:t xml:space="preserve">. </w:t>
      </w:r>
      <w:r>
        <w:fldChar w:fldCharType="begin"/>
      </w:r>
      <w:r>
        <w:instrText>HYPERLINK "https://www.cbd.int/documents/CBD/NP/MOP/6/3"</w:instrText>
      </w:r>
      <w:r>
        <w:fldChar w:fldCharType="separate"/>
      </w:r>
      <w:r w:rsidRPr="002063CB">
        <w:rPr>
          <w:rStyle w:val="Hyperlink"/>
          <w:lang w:val="en-US"/>
        </w:rPr>
        <w:t>CBD</w:t>
      </w:r>
      <w:r w:rsidRPr="00470AE2">
        <w:rPr>
          <w:rStyle w:val="Hyperlink"/>
          <w:lang w:val="en-US"/>
        </w:rPr>
        <w:t>/</w:t>
      </w:r>
      <w:r w:rsidRPr="002063CB">
        <w:rPr>
          <w:rStyle w:val="Hyperlink"/>
          <w:lang w:val="en-US"/>
        </w:rPr>
        <w:t>NP</w:t>
      </w:r>
      <w:r w:rsidRPr="00470AE2">
        <w:rPr>
          <w:rStyle w:val="Hyperlink"/>
          <w:lang w:val="en-US"/>
        </w:rPr>
        <w:t>/</w:t>
      </w:r>
      <w:r w:rsidRPr="002063CB">
        <w:rPr>
          <w:rStyle w:val="Hyperlink"/>
          <w:lang w:val="en-US"/>
        </w:rPr>
        <w:t>MOP</w:t>
      </w:r>
      <w:r w:rsidRPr="00470AE2">
        <w:rPr>
          <w:rStyle w:val="Hyperlink"/>
          <w:lang w:val="en-US"/>
        </w:rPr>
        <w:t>/6/3</w:t>
      </w:r>
      <w:r>
        <w:fldChar w:fldCharType="end"/>
      </w:r>
      <w:r w:rsidRPr="00470AE2">
        <w:rPr>
          <w:lang w:val="en-US"/>
        </w:rPr>
        <w:t xml:space="preserve">, </w:t>
      </w:r>
      <w:r>
        <w:t>приложение</w:t>
      </w:r>
      <w:r w:rsidRPr="00470AE2">
        <w:rPr>
          <w:lang w:val="en-US"/>
        </w:rPr>
        <w:t xml:space="preserve"> </w:t>
      </w:r>
      <w:r w:rsidRPr="002063CB">
        <w:rPr>
          <w:lang w:val="en-US"/>
        </w:rPr>
        <w:t>I</w:t>
      </w:r>
      <w:r w:rsidRPr="00470AE2">
        <w:rPr>
          <w:lang w:val="en-US"/>
        </w:rPr>
        <w:t>.</w:t>
      </w:r>
    </w:p>
  </w:footnote>
  <w:footnote w:id="5">
    <w:p w14:paraId="0E23C81E" w14:textId="02359DB6" w:rsidR="00C34095" w:rsidRDefault="00C34095">
      <w:pPr>
        <w:pStyle w:val="FootnoteText"/>
      </w:pPr>
      <w:r>
        <w:rPr>
          <w:rStyle w:val="FootnoteReference"/>
        </w:rPr>
        <w:footnoteRef/>
      </w:r>
      <w:r>
        <w:t xml:space="preserve"> </w:t>
      </w:r>
      <w:r>
        <w:t xml:space="preserve">Решение </w:t>
      </w:r>
      <w:hyperlink r:id="rId3" w:history="1">
        <w:r>
          <w:rPr>
            <w:rStyle w:val="Hyperlink"/>
          </w:rPr>
          <w:t>16/34</w:t>
        </w:r>
      </w:hyperlink>
      <w:r>
        <w:t>, приложение I.</w:t>
      </w:r>
    </w:p>
  </w:footnote>
  <w:footnote w:id="6">
    <w:p w14:paraId="44F6988C" w14:textId="705D40B0" w:rsidR="00F309B7" w:rsidRPr="00470AE2" w:rsidRDefault="00F309B7">
      <w:pPr>
        <w:pStyle w:val="FootnoteText"/>
      </w:pPr>
      <w:r>
        <w:rPr>
          <w:rStyle w:val="FootnoteReference"/>
        </w:rPr>
        <w:footnoteRef/>
      </w:r>
      <w:r w:rsidRPr="00470AE2">
        <w:t xml:space="preserve"> </w:t>
      </w:r>
      <w:hyperlink r:id="rId4" w:history="1">
        <w:r w:rsidRPr="00F309B7">
          <w:rPr>
            <w:rStyle w:val="Hyperlink"/>
            <w:lang w:val="en-US"/>
          </w:rPr>
          <w:t>CBD</w:t>
        </w:r>
        <w:r w:rsidRPr="00470AE2">
          <w:rPr>
            <w:rStyle w:val="Hyperlink"/>
          </w:rPr>
          <w:t>/</w:t>
        </w:r>
        <w:r w:rsidRPr="00F309B7">
          <w:rPr>
            <w:rStyle w:val="Hyperlink"/>
            <w:lang w:val="en-US"/>
          </w:rPr>
          <w:t>CO</w:t>
        </w:r>
        <w:r w:rsidRPr="00470AE2">
          <w:rPr>
            <w:rStyle w:val="Hyperlink"/>
          </w:rPr>
          <w:t>/17/5/</w:t>
        </w:r>
        <w:r w:rsidRPr="00F309B7">
          <w:rPr>
            <w:rStyle w:val="Hyperlink"/>
            <w:lang w:val="en-US"/>
          </w:rPr>
          <w:t>Add</w:t>
        </w:r>
        <w:r w:rsidRPr="00470AE2">
          <w:rPr>
            <w:rStyle w:val="Hyperlink"/>
          </w:rPr>
          <w:t>.1</w:t>
        </w:r>
      </w:hyperlink>
      <w:r w:rsidR="0005445F" w:rsidRPr="00470AE2">
        <w:t>.</w:t>
      </w:r>
    </w:p>
  </w:footnote>
  <w:footnote w:id="7">
    <w:p w14:paraId="40FC0048" w14:textId="2CC7E653" w:rsidR="00FC4397" w:rsidRPr="007E5F31" w:rsidRDefault="00FC4397" w:rsidP="00FC4397">
      <w:pPr>
        <w:pStyle w:val="FootnoteText"/>
      </w:pPr>
      <w:r>
        <w:rPr>
          <w:rStyle w:val="FootnoteReference"/>
        </w:rPr>
        <w:footnoteRef/>
      </w:r>
      <w:r w:rsidRPr="007E5F31">
        <w:t xml:space="preserve"> </w:t>
      </w:r>
      <w:hyperlink r:id="rId5" w:history="1">
        <w:r w:rsidRPr="002063CB">
          <w:rPr>
            <w:rStyle w:val="Hyperlink"/>
            <w:lang w:val="en-US"/>
          </w:rPr>
          <w:t>CBD</w:t>
        </w:r>
        <w:r w:rsidRPr="007E5F31">
          <w:rPr>
            <w:rStyle w:val="Hyperlink"/>
          </w:rPr>
          <w:t>/</w:t>
        </w:r>
        <w:r w:rsidRPr="002063CB">
          <w:rPr>
            <w:rStyle w:val="Hyperlink"/>
            <w:lang w:val="en-US"/>
          </w:rPr>
          <w:t>SBI</w:t>
        </w:r>
        <w:r w:rsidRPr="007E5F31">
          <w:rPr>
            <w:rStyle w:val="Hyperlink"/>
          </w:rPr>
          <w:t>/7/7</w:t>
        </w:r>
      </w:hyperlink>
      <w:r w:rsidRPr="007E5F31">
        <w:t>.</w:t>
      </w:r>
    </w:p>
  </w:footnote>
  <w:footnote w:id="8">
    <w:p w14:paraId="53920C66" w14:textId="045E20A9" w:rsidR="00FC4397" w:rsidRPr="007E5F31" w:rsidRDefault="00FC4397">
      <w:pPr>
        <w:pStyle w:val="FootnoteText"/>
      </w:pPr>
      <w:r>
        <w:rPr>
          <w:rStyle w:val="FootnoteReference"/>
        </w:rPr>
        <w:footnoteRef/>
      </w:r>
      <w:r w:rsidRPr="007E5F31">
        <w:t xml:space="preserve"> </w:t>
      </w:r>
      <w:hyperlink r:id="rId6" w:history="1">
        <w:r w:rsidRPr="002063CB">
          <w:rPr>
            <w:rStyle w:val="Hyperlink"/>
            <w:lang w:val="en-US"/>
          </w:rPr>
          <w:t>CBD</w:t>
        </w:r>
        <w:r w:rsidRPr="007E5F31">
          <w:rPr>
            <w:rStyle w:val="Hyperlink"/>
          </w:rPr>
          <w:t>/</w:t>
        </w:r>
        <w:proofErr w:type="gramStart"/>
        <w:r w:rsidRPr="002063CB">
          <w:rPr>
            <w:rStyle w:val="Hyperlink"/>
            <w:lang w:val="en-US"/>
          </w:rPr>
          <w:t>SBI</w:t>
        </w:r>
        <w:r w:rsidRPr="007E5F31">
          <w:rPr>
            <w:rStyle w:val="Hyperlink"/>
          </w:rPr>
          <w:t>/7</w:t>
        </w:r>
        <w:proofErr w:type="gramEnd"/>
        <w:r w:rsidRPr="007E5F31">
          <w:rPr>
            <w:rStyle w:val="Hyperlink"/>
          </w:rPr>
          <w:t>/7/</w:t>
        </w:r>
        <w:r w:rsidRPr="002063CB">
          <w:rPr>
            <w:rStyle w:val="Hyperlink"/>
            <w:lang w:val="en-US"/>
          </w:rPr>
          <w:t>Add</w:t>
        </w:r>
        <w:r w:rsidRPr="007E5F31">
          <w:rPr>
            <w:rStyle w:val="Hyperlink"/>
          </w:rPr>
          <w:t>.1</w:t>
        </w:r>
      </w:hyperlink>
      <w:r w:rsidRPr="007E5F31">
        <w:t>.</w:t>
      </w:r>
    </w:p>
  </w:footnote>
  <w:footnote w:id="9">
    <w:p w14:paraId="33CEC8B6" w14:textId="29325869" w:rsidR="00812D80" w:rsidRDefault="00812D80">
      <w:pPr>
        <w:pStyle w:val="FootnoteText"/>
      </w:pPr>
      <w:r>
        <w:rPr>
          <w:rStyle w:val="FootnoteReference"/>
        </w:rPr>
        <w:footnoteRef/>
      </w:r>
      <w:r>
        <w:t xml:space="preserve"> </w:t>
      </w:r>
      <w:r>
        <w:t>Настоящие элементы будут объединены с элементами, содержащимися в рекомендации </w:t>
      </w:r>
      <w:hyperlink r:id="rId7" w:history="1">
        <w:r>
          <w:rPr>
            <w:rStyle w:val="Hyperlink"/>
          </w:rPr>
          <w:t>7/6 C</w:t>
        </w:r>
      </w:hyperlink>
      <w:r>
        <w:t xml:space="preserve"> Вспомогательного органа по осуществлению, в единый проект решения. </w:t>
      </w:r>
    </w:p>
  </w:footnote>
  <w:footnote w:id="10">
    <w:p w14:paraId="2B6C8B20" w14:textId="4E933C60" w:rsidR="006F1742" w:rsidRDefault="006F1742">
      <w:pPr>
        <w:pStyle w:val="FootnoteText"/>
      </w:pPr>
      <w:r>
        <w:rPr>
          <w:rStyle w:val="FootnoteReference"/>
        </w:rPr>
        <w:footnoteRef/>
      </w:r>
      <w:r>
        <w:t xml:space="preserve"> </w:t>
      </w:r>
      <w:r>
        <w:t xml:space="preserve">Сборник </w:t>
      </w:r>
      <w:r>
        <w:t>договоров Организации Объединенных Наций, том 3008, № 30619.</w:t>
      </w:r>
    </w:p>
  </w:footnote>
  <w:footnote w:id="11">
    <w:p w14:paraId="2B1885BF" w14:textId="47D1E467" w:rsidR="00B00E4F" w:rsidRDefault="00B00E4F">
      <w:pPr>
        <w:pStyle w:val="FootnoteText"/>
      </w:pPr>
      <w:r>
        <w:rPr>
          <w:rStyle w:val="FootnoteReference"/>
        </w:rPr>
        <w:footnoteRef/>
      </w:r>
      <w:r>
        <w:t xml:space="preserve"> </w:t>
      </w:r>
      <w:r>
        <w:t xml:space="preserve">Там </w:t>
      </w:r>
      <w:r>
        <w:t>же, том 1760, № 30619.</w:t>
      </w:r>
    </w:p>
  </w:footnote>
  <w:footnote w:id="12">
    <w:p w14:paraId="65A09941" w14:textId="098A14A2" w:rsidR="007E0D80" w:rsidRDefault="007E0D80">
      <w:pPr>
        <w:pStyle w:val="FootnoteText"/>
      </w:pPr>
      <w:r>
        <w:rPr>
          <w:rStyle w:val="FootnoteReference"/>
        </w:rPr>
        <w:footnoteRef/>
      </w:r>
      <w:r>
        <w:t xml:space="preserve"> </w:t>
      </w:r>
      <w:hyperlink r:id="rId8" w:history="1">
        <w:r>
          <w:rPr>
            <w:rStyle w:val="Hyperlink"/>
          </w:rPr>
          <w:t>CBD/COP/17/5/Add.1</w:t>
        </w:r>
      </w:hyperlink>
      <w:r>
        <w:t>.</w:t>
      </w:r>
    </w:p>
  </w:footnote>
  <w:footnote w:id="13">
    <w:p w14:paraId="601FC756" w14:textId="4355BD91" w:rsidR="00EF1F7C" w:rsidRDefault="00EF1F7C">
      <w:pPr>
        <w:pStyle w:val="FootnoteText"/>
      </w:pPr>
      <w:r>
        <w:rPr>
          <w:rStyle w:val="FootnoteReference"/>
        </w:rPr>
        <w:footnoteRef/>
      </w:r>
      <w:r>
        <w:t xml:space="preserve"> </w:t>
      </w:r>
      <w:r>
        <w:t xml:space="preserve">Решение </w:t>
      </w:r>
      <w:hyperlink r:id="rId9" w:history="1">
        <w:r>
          <w:rPr>
            <w:rStyle w:val="Hyperlink"/>
          </w:rPr>
          <w:t>16/33</w:t>
        </w:r>
      </w:hyperlink>
      <w:r>
        <w:t>, приложение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975047">
          <w:rPr>
            <w:szCs w:val="20"/>
          </w:rPr>
          <w:t>CBD/NP/MOP/6/</w:t>
        </w:r>
      </w:sdtContent>
    </w:sdt>
    <w:r w:rsidR="00F254F6">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000000"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3769D9">
          <w:t>CBD/NP/MOP/6/</w:t>
        </w:r>
      </w:sdtContent>
    </w:sdt>
    <w:r w:rsidR="00F254F6">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8835232">
    <w:abstractNumId w:val="3"/>
  </w:num>
  <w:num w:numId="2" w16cid:durableId="1331713063">
    <w:abstractNumId w:val="1"/>
  </w:num>
  <w:num w:numId="3" w16cid:durableId="926423727">
    <w:abstractNumId w:val="8"/>
  </w:num>
  <w:num w:numId="4" w16cid:durableId="699548342">
    <w:abstractNumId w:val="9"/>
  </w:num>
  <w:num w:numId="5" w16cid:durableId="1921792095">
    <w:abstractNumId w:val="2"/>
  </w:num>
  <w:num w:numId="6" w16cid:durableId="1416440688">
    <w:abstractNumId w:val="7"/>
  </w:num>
  <w:num w:numId="7" w16cid:durableId="175920826">
    <w:abstractNumId w:val="6"/>
  </w:num>
  <w:num w:numId="8" w16cid:durableId="2985369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69706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9455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76631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5508266">
    <w:abstractNumId w:val="5"/>
  </w:num>
  <w:num w:numId="13" w16cid:durableId="915433796">
    <w:abstractNumId w:val="10"/>
  </w:num>
  <w:num w:numId="14" w16cid:durableId="662467989">
    <w:abstractNumId w:val="0"/>
  </w:num>
  <w:num w:numId="15" w16cid:durableId="413867588">
    <w:abstractNumId w:val="4"/>
  </w:num>
  <w:num w:numId="16" w16cid:durableId="8770102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08F1"/>
    <w:rsid w:val="000061E3"/>
    <w:rsid w:val="00007901"/>
    <w:rsid w:val="000114E0"/>
    <w:rsid w:val="0001184C"/>
    <w:rsid w:val="00011FD2"/>
    <w:rsid w:val="0001529E"/>
    <w:rsid w:val="000175BC"/>
    <w:rsid w:val="000212A5"/>
    <w:rsid w:val="0002453B"/>
    <w:rsid w:val="0002549F"/>
    <w:rsid w:val="00025A55"/>
    <w:rsid w:val="00031962"/>
    <w:rsid w:val="000364A2"/>
    <w:rsid w:val="00043871"/>
    <w:rsid w:val="000506BD"/>
    <w:rsid w:val="0005445F"/>
    <w:rsid w:val="00060474"/>
    <w:rsid w:val="00060DB6"/>
    <w:rsid w:val="00070CC9"/>
    <w:rsid w:val="0007171B"/>
    <w:rsid w:val="00071FCC"/>
    <w:rsid w:val="00075DD6"/>
    <w:rsid w:val="0007708B"/>
    <w:rsid w:val="00081E3F"/>
    <w:rsid w:val="00082572"/>
    <w:rsid w:val="000831BF"/>
    <w:rsid w:val="00085FA7"/>
    <w:rsid w:val="000862AB"/>
    <w:rsid w:val="00090DDD"/>
    <w:rsid w:val="0009445B"/>
    <w:rsid w:val="0009683A"/>
    <w:rsid w:val="000A0111"/>
    <w:rsid w:val="000A3070"/>
    <w:rsid w:val="000A78DD"/>
    <w:rsid w:val="000B0456"/>
    <w:rsid w:val="000B19A2"/>
    <w:rsid w:val="000D0F68"/>
    <w:rsid w:val="000D1516"/>
    <w:rsid w:val="000D3427"/>
    <w:rsid w:val="000D60F8"/>
    <w:rsid w:val="000D7EE6"/>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23A5"/>
    <w:rsid w:val="00153C64"/>
    <w:rsid w:val="00160C83"/>
    <w:rsid w:val="00164E93"/>
    <w:rsid w:val="00172AF6"/>
    <w:rsid w:val="00173138"/>
    <w:rsid w:val="00176CEE"/>
    <w:rsid w:val="001775CD"/>
    <w:rsid w:val="001777B5"/>
    <w:rsid w:val="001819B9"/>
    <w:rsid w:val="00184E79"/>
    <w:rsid w:val="0018535A"/>
    <w:rsid w:val="0018670F"/>
    <w:rsid w:val="00186DD8"/>
    <w:rsid w:val="00191714"/>
    <w:rsid w:val="00191D0C"/>
    <w:rsid w:val="00192C30"/>
    <w:rsid w:val="00193F4E"/>
    <w:rsid w:val="0019567D"/>
    <w:rsid w:val="001958C5"/>
    <w:rsid w:val="001A35EC"/>
    <w:rsid w:val="001A4EF5"/>
    <w:rsid w:val="001A5981"/>
    <w:rsid w:val="001B13FE"/>
    <w:rsid w:val="001B49B5"/>
    <w:rsid w:val="001D4216"/>
    <w:rsid w:val="001D5642"/>
    <w:rsid w:val="001D5AEB"/>
    <w:rsid w:val="001F719D"/>
    <w:rsid w:val="0020337A"/>
    <w:rsid w:val="002063CB"/>
    <w:rsid w:val="00212601"/>
    <w:rsid w:val="0022388D"/>
    <w:rsid w:val="00227D0F"/>
    <w:rsid w:val="0023378D"/>
    <w:rsid w:val="0023569D"/>
    <w:rsid w:val="002356DD"/>
    <w:rsid w:val="002357E1"/>
    <w:rsid w:val="002413E3"/>
    <w:rsid w:val="00241FDB"/>
    <w:rsid w:val="00245126"/>
    <w:rsid w:val="0024754F"/>
    <w:rsid w:val="00251E72"/>
    <w:rsid w:val="00252310"/>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D3ADF"/>
    <w:rsid w:val="002D57BB"/>
    <w:rsid w:val="002D5E98"/>
    <w:rsid w:val="002D6FCD"/>
    <w:rsid w:val="002E60F8"/>
    <w:rsid w:val="002F1F93"/>
    <w:rsid w:val="002F459C"/>
    <w:rsid w:val="002F500C"/>
    <w:rsid w:val="002F504C"/>
    <w:rsid w:val="002F60BA"/>
    <w:rsid w:val="003008FE"/>
    <w:rsid w:val="00301239"/>
    <w:rsid w:val="0030169D"/>
    <w:rsid w:val="00301A85"/>
    <w:rsid w:val="00301CE2"/>
    <w:rsid w:val="003060EB"/>
    <w:rsid w:val="00312CCD"/>
    <w:rsid w:val="003153EB"/>
    <w:rsid w:val="0032136E"/>
    <w:rsid w:val="00321985"/>
    <w:rsid w:val="0032750B"/>
    <w:rsid w:val="003308FE"/>
    <w:rsid w:val="003348AD"/>
    <w:rsid w:val="003406C2"/>
    <w:rsid w:val="003450C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A3A35"/>
    <w:rsid w:val="003A5B77"/>
    <w:rsid w:val="003A5E8B"/>
    <w:rsid w:val="003A76B1"/>
    <w:rsid w:val="003B637D"/>
    <w:rsid w:val="003B660B"/>
    <w:rsid w:val="003B6FD9"/>
    <w:rsid w:val="003C024E"/>
    <w:rsid w:val="003C0786"/>
    <w:rsid w:val="003C2796"/>
    <w:rsid w:val="003C358E"/>
    <w:rsid w:val="003C4946"/>
    <w:rsid w:val="003C69FE"/>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7A15"/>
    <w:rsid w:val="00467F9C"/>
    <w:rsid w:val="004704A4"/>
    <w:rsid w:val="00470AE2"/>
    <w:rsid w:val="004754E2"/>
    <w:rsid w:val="00480C33"/>
    <w:rsid w:val="004858A0"/>
    <w:rsid w:val="00486107"/>
    <w:rsid w:val="004861C7"/>
    <w:rsid w:val="00492A5A"/>
    <w:rsid w:val="00492B06"/>
    <w:rsid w:val="00493A8E"/>
    <w:rsid w:val="004A1F7A"/>
    <w:rsid w:val="004B1C0C"/>
    <w:rsid w:val="004B1CFA"/>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3843"/>
    <w:rsid w:val="00524093"/>
    <w:rsid w:val="005264FE"/>
    <w:rsid w:val="00534681"/>
    <w:rsid w:val="0053482B"/>
    <w:rsid w:val="00535231"/>
    <w:rsid w:val="00537E1A"/>
    <w:rsid w:val="005406E1"/>
    <w:rsid w:val="00544CCB"/>
    <w:rsid w:val="0054724F"/>
    <w:rsid w:val="005509D6"/>
    <w:rsid w:val="00554D86"/>
    <w:rsid w:val="00556EBD"/>
    <w:rsid w:val="0056068E"/>
    <w:rsid w:val="00562BF8"/>
    <w:rsid w:val="00563442"/>
    <w:rsid w:val="0056348E"/>
    <w:rsid w:val="00564B61"/>
    <w:rsid w:val="00565027"/>
    <w:rsid w:val="00565B42"/>
    <w:rsid w:val="005746CC"/>
    <w:rsid w:val="0059143F"/>
    <w:rsid w:val="00592481"/>
    <w:rsid w:val="00592C4B"/>
    <w:rsid w:val="005934B0"/>
    <w:rsid w:val="005A05F4"/>
    <w:rsid w:val="005A3D4C"/>
    <w:rsid w:val="005A51AA"/>
    <w:rsid w:val="005B0F16"/>
    <w:rsid w:val="005B1CBB"/>
    <w:rsid w:val="005B35E2"/>
    <w:rsid w:val="005B399F"/>
    <w:rsid w:val="005B4644"/>
    <w:rsid w:val="005B537E"/>
    <w:rsid w:val="005C4CE6"/>
    <w:rsid w:val="005D05BA"/>
    <w:rsid w:val="005F34A3"/>
    <w:rsid w:val="0060533C"/>
    <w:rsid w:val="00606FE8"/>
    <w:rsid w:val="00607211"/>
    <w:rsid w:val="00611187"/>
    <w:rsid w:val="006122BA"/>
    <w:rsid w:val="00616504"/>
    <w:rsid w:val="00620147"/>
    <w:rsid w:val="0062094D"/>
    <w:rsid w:val="00621634"/>
    <w:rsid w:val="00624C00"/>
    <w:rsid w:val="00630526"/>
    <w:rsid w:val="006308CC"/>
    <w:rsid w:val="0063661B"/>
    <w:rsid w:val="00637787"/>
    <w:rsid w:val="0064150D"/>
    <w:rsid w:val="006478BF"/>
    <w:rsid w:val="00671D3F"/>
    <w:rsid w:val="00680BF3"/>
    <w:rsid w:val="00682908"/>
    <w:rsid w:val="006876A4"/>
    <w:rsid w:val="00696491"/>
    <w:rsid w:val="006A1061"/>
    <w:rsid w:val="006A125F"/>
    <w:rsid w:val="006A73C1"/>
    <w:rsid w:val="006B2290"/>
    <w:rsid w:val="006B344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A21"/>
    <w:rsid w:val="006F3E78"/>
    <w:rsid w:val="006F5F1B"/>
    <w:rsid w:val="006F6EF1"/>
    <w:rsid w:val="00705D1D"/>
    <w:rsid w:val="00713D1F"/>
    <w:rsid w:val="007156A9"/>
    <w:rsid w:val="007177A6"/>
    <w:rsid w:val="00717D88"/>
    <w:rsid w:val="00720E54"/>
    <w:rsid w:val="00720F67"/>
    <w:rsid w:val="00722F6F"/>
    <w:rsid w:val="00725174"/>
    <w:rsid w:val="00726A43"/>
    <w:rsid w:val="007271C9"/>
    <w:rsid w:val="0073049E"/>
    <w:rsid w:val="00730654"/>
    <w:rsid w:val="00730820"/>
    <w:rsid w:val="007308F1"/>
    <w:rsid w:val="00735206"/>
    <w:rsid w:val="00736197"/>
    <w:rsid w:val="0073740D"/>
    <w:rsid w:val="00742B2E"/>
    <w:rsid w:val="00743D17"/>
    <w:rsid w:val="00744FB3"/>
    <w:rsid w:val="007515C9"/>
    <w:rsid w:val="00754FF2"/>
    <w:rsid w:val="007611DD"/>
    <w:rsid w:val="00767444"/>
    <w:rsid w:val="00767AF1"/>
    <w:rsid w:val="00771DB5"/>
    <w:rsid w:val="00777314"/>
    <w:rsid w:val="00777BBA"/>
    <w:rsid w:val="00786056"/>
    <w:rsid w:val="00790AB7"/>
    <w:rsid w:val="00793840"/>
    <w:rsid w:val="00793D2D"/>
    <w:rsid w:val="007942D3"/>
    <w:rsid w:val="00796B0A"/>
    <w:rsid w:val="007A15E6"/>
    <w:rsid w:val="007A48ED"/>
    <w:rsid w:val="007A7095"/>
    <w:rsid w:val="007A7BF4"/>
    <w:rsid w:val="007B16D2"/>
    <w:rsid w:val="007B2099"/>
    <w:rsid w:val="007B34EF"/>
    <w:rsid w:val="007B6C09"/>
    <w:rsid w:val="007B6DC5"/>
    <w:rsid w:val="007B7741"/>
    <w:rsid w:val="007B78ED"/>
    <w:rsid w:val="007C422D"/>
    <w:rsid w:val="007C4951"/>
    <w:rsid w:val="007E09DA"/>
    <w:rsid w:val="007E0D80"/>
    <w:rsid w:val="007E0F8A"/>
    <w:rsid w:val="007E5F31"/>
    <w:rsid w:val="007E6561"/>
    <w:rsid w:val="007E677E"/>
    <w:rsid w:val="007E7AAA"/>
    <w:rsid w:val="007F2D45"/>
    <w:rsid w:val="007F5063"/>
    <w:rsid w:val="007F56C5"/>
    <w:rsid w:val="007F593E"/>
    <w:rsid w:val="007F5A6F"/>
    <w:rsid w:val="007F718D"/>
    <w:rsid w:val="007F7B03"/>
    <w:rsid w:val="00801FAD"/>
    <w:rsid w:val="0081149E"/>
    <w:rsid w:val="00811B6D"/>
    <w:rsid w:val="00812D80"/>
    <w:rsid w:val="008178B6"/>
    <w:rsid w:val="008277BC"/>
    <w:rsid w:val="00831041"/>
    <w:rsid w:val="008332F8"/>
    <w:rsid w:val="00833E83"/>
    <w:rsid w:val="0083754F"/>
    <w:rsid w:val="00840988"/>
    <w:rsid w:val="008453C4"/>
    <w:rsid w:val="00865B74"/>
    <w:rsid w:val="00866063"/>
    <w:rsid w:val="00873414"/>
    <w:rsid w:val="008825C3"/>
    <w:rsid w:val="008919B3"/>
    <w:rsid w:val="00893286"/>
    <w:rsid w:val="00893EF3"/>
    <w:rsid w:val="008955F0"/>
    <w:rsid w:val="008974F0"/>
    <w:rsid w:val="008A02C2"/>
    <w:rsid w:val="008A1499"/>
    <w:rsid w:val="008A4CB7"/>
    <w:rsid w:val="008B012A"/>
    <w:rsid w:val="008B100D"/>
    <w:rsid w:val="008B6D23"/>
    <w:rsid w:val="008B6FF4"/>
    <w:rsid w:val="008C49D0"/>
    <w:rsid w:val="008C5D43"/>
    <w:rsid w:val="008D0525"/>
    <w:rsid w:val="008D24D0"/>
    <w:rsid w:val="008D4DCA"/>
    <w:rsid w:val="008D685B"/>
    <w:rsid w:val="008E0D9E"/>
    <w:rsid w:val="008E3656"/>
    <w:rsid w:val="008E70A6"/>
    <w:rsid w:val="008F113C"/>
    <w:rsid w:val="008F4747"/>
    <w:rsid w:val="008F68FF"/>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6066D"/>
    <w:rsid w:val="0096107D"/>
    <w:rsid w:val="00961830"/>
    <w:rsid w:val="00966424"/>
    <w:rsid w:val="00973BC5"/>
    <w:rsid w:val="00975047"/>
    <w:rsid w:val="00976363"/>
    <w:rsid w:val="009930FC"/>
    <w:rsid w:val="0099548F"/>
    <w:rsid w:val="009A4060"/>
    <w:rsid w:val="009A4172"/>
    <w:rsid w:val="009A7AC5"/>
    <w:rsid w:val="009C1396"/>
    <w:rsid w:val="009C1884"/>
    <w:rsid w:val="009C2DE6"/>
    <w:rsid w:val="009C7231"/>
    <w:rsid w:val="009D1814"/>
    <w:rsid w:val="009D2EBA"/>
    <w:rsid w:val="009D3CC8"/>
    <w:rsid w:val="009D7CB2"/>
    <w:rsid w:val="009E0A24"/>
    <w:rsid w:val="009E38AD"/>
    <w:rsid w:val="009E51BE"/>
    <w:rsid w:val="009F2871"/>
    <w:rsid w:val="009F3E0F"/>
    <w:rsid w:val="009F41DF"/>
    <w:rsid w:val="009F4D1C"/>
    <w:rsid w:val="009F7499"/>
    <w:rsid w:val="009F76B6"/>
    <w:rsid w:val="00A10CC6"/>
    <w:rsid w:val="00A111D1"/>
    <w:rsid w:val="00A161C3"/>
    <w:rsid w:val="00A338B7"/>
    <w:rsid w:val="00A34967"/>
    <w:rsid w:val="00A4241F"/>
    <w:rsid w:val="00A42C71"/>
    <w:rsid w:val="00A44713"/>
    <w:rsid w:val="00A45A4A"/>
    <w:rsid w:val="00A51CAD"/>
    <w:rsid w:val="00A6556C"/>
    <w:rsid w:val="00A71247"/>
    <w:rsid w:val="00A749B9"/>
    <w:rsid w:val="00A7650C"/>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D2EBC"/>
    <w:rsid w:val="00AD38EF"/>
    <w:rsid w:val="00AD4E3A"/>
    <w:rsid w:val="00AD5178"/>
    <w:rsid w:val="00AD7123"/>
    <w:rsid w:val="00AE35D7"/>
    <w:rsid w:val="00AE4D50"/>
    <w:rsid w:val="00AE677C"/>
    <w:rsid w:val="00AF42DE"/>
    <w:rsid w:val="00AF58A5"/>
    <w:rsid w:val="00B00E4F"/>
    <w:rsid w:val="00B0304C"/>
    <w:rsid w:val="00B07950"/>
    <w:rsid w:val="00B123FC"/>
    <w:rsid w:val="00B1394F"/>
    <w:rsid w:val="00B16CBA"/>
    <w:rsid w:val="00B24C30"/>
    <w:rsid w:val="00B30F78"/>
    <w:rsid w:val="00B3369F"/>
    <w:rsid w:val="00B34FAD"/>
    <w:rsid w:val="00B415D3"/>
    <w:rsid w:val="00B4395D"/>
    <w:rsid w:val="00B464BE"/>
    <w:rsid w:val="00B5178E"/>
    <w:rsid w:val="00B51FC6"/>
    <w:rsid w:val="00B56124"/>
    <w:rsid w:val="00B66512"/>
    <w:rsid w:val="00B76622"/>
    <w:rsid w:val="00B76CBD"/>
    <w:rsid w:val="00B944AC"/>
    <w:rsid w:val="00B94E6C"/>
    <w:rsid w:val="00B950F2"/>
    <w:rsid w:val="00B963D5"/>
    <w:rsid w:val="00B96F86"/>
    <w:rsid w:val="00BA245E"/>
    <w:rsid w:val="00BA4ADE"/>
    <w:rsid w:val="00BA6185"/>
    <w:rsid w:val="00BA6D66"/>
    <w:rsid w:val="00BB2BC6"/>
    <w:rsid w:val="00BB389A"/>
    <w:rsid w:val="00BB4606"/>
    <w:rsid w:val="00BC5E23"/>
    <w:rsid w:val="00BD290E"/>
    <w:rsid w:val="00BD2D5E"/>
    <w:rsid w:val="00BD6854"/>
    <w:rsid w:val="00BE00CF"/>
    <w:rsid w:val="00BE0A01"/>
    <w:rsid w:val="00BE122E"/>
    <w:rsid w:val="00BE2A99"/>
    <w:rsid w:val="00BF5AB9"/>
    <w:rsid w:val="00C05132"/>
    <w:rsid w:val="00C15A0D"/>
    <w:rsid w:val="00C22127"/>
    <w:rsid w:val="00C23D2F"/>
    <w:rsid w:val="00C24A00"/>
    <w:rsid w:val="00C26417"/>
    <w:rsid w:val="00C27590"/>
    <w:rsid w:val="00C33CC9"/>
    <w:rsid w:val="00C34095"/>
    <w:rsid w:val="00C36FF1"/>
    <w:rsid w:val="00C443BD"/>
    <w:rsid w:val="00C44E02"/>
    <w:rsid w:val="00C451C5"/>
    <w:rsid w:val="00C52F42"/>
    <w:rsid w:val="00C63541"/>
    <w:rsid w:val="00C63A19"/>
    <w:rsid w:val="00C654F1"/>
    <w:rsid w:val="00C65E7F"/>
    <w:rsid w:val="00C70BD6"/>
    <w:rsid w:val="00C76741"/>
    <w:rsid w:val="00C802DD"/>
    <w:rsid w:val="00C84656"/>
    <w:rsid w:val="00C84C44"/>
    <w:rsid w:val="00C874AD"/>
    <w:rsid w:val="00C9161D"/>
    <w:rsid w:val="00CA0C1D"/>
    <w:rsid w:val="00CB2814"/>
    <w:rsid w:val="00CC3464"/>
    <w:rsid w:val="00CC59A6"/>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4FBC"/>
    <w:rsid w:val="00DB5630"/>
    <w:rsid w:val="00DB5E0F"/>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206E"/>
    <w:rsid w:val="00E32C7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2FE5"/>
    <w:rsid w:val="00E83C24"/>
    <w:rsid w:val="00E85FCB"/>
    <w:rsid w:val="00E90A31"/>
    <w:rsid w:val="00E91E18"/>
    <w:rsid w:val="00E9318D"/>
    <w:rsid w:val="00E9326E"/>
    <w:rsid w:val="00E93F3E"/>
    <w:rsid w:val="00E945A7"/>
    <w:rsid w:val="00EA1A65"/>
    <w:rsid w:val="00EA6B93"/>
    <w:rsid w:val="00EB1BB0"/>
    <w:rsid w:val="00EB4757"/>
    <w:rsid w:val="00EC7C86"/>
    <w:rsid w:val="00ED452A"/>
    <w:rsid w:val="00ED52D7"/>
    <w:rsid w:val="00ED5545"/>
    <w:rsid w:val="00ED62B4"/>
    <w:rsid w:val="00ED7F58"/>
    <w:rsid w:val="00EE06B4"/>
    <w:rsid w:val="00EE4C2D"/>
    <w:rsid w:val="00EE5ED8"/>
    <w:rsid w:val="00EF1F7C"/>
    <w:rsid w:val="00EF248C"/>
    <w:rsid w:val="00EF7E3E"/>
    <w:rsid w:val="00F01A9B"/>
    <w:rsid w:val="00F03172"/>
    <w:rsid w:val="00F063C2"/>
    <w:rsid w:val="00F15AA3"/>
    <w:rsid w:val="00F16826"/>
    <w:rsid w:val="00F254F6"/>
    <w:rsid w:val="00F262D4"/>
    <w:rsid w:val="00F309B7"/>
    <w:rsid w:val="00F379AA"/>
    <w:rsid w:val="00F42217"/>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1F4D"/>
    <w:rsid w:val="00F94774"/>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8E4740DF-7032-4D14-98CD-9A1917BA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ru-RU"/>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customStyle="1" w:styleId="SmartHyperlink1">
    <w:name w:val="Smart Hyperlink1"/>
    <w:basedOn w:val="DefaultParagraphFont"/>
    <w:uiPriority w:val="99"/>
    <w:semiHidden/>
    <w:unhideWhenUsed/>
    <w:rsid w:val="00A111D1"/>
    <w:rPr>
      <w:u w:val="dotted"/>
      <w:lang w:val="ru-RU"/>
    </w:rPr>
  </w:style>
  <w:style w:type="character" w:customStyle="1" w:styleId="SmartLink1">
    <w:name w:val="SmartLink1"/>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recommendations/sbi?m=sbi-0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recommendations/sbi?m=sbi-0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yperlink" Target="https://www.cbd.int/decisions/np-mop?m=np-mop-0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hyperlink" Target="https://www.cbd.int/recommendations/sbi?m=sbi-0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recommendations/sbi/?m=sbi-07"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5/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recommendations/sbi?m=sbi-07"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ADD1" TargetMode="External"/><Relationship Id="rId5" Type="http://schemas.openxmlformats.org/officeDocument/2006/relationships/hyperlink" Target="https://www.cbd.int/documents/CBD/SBI/7/7" TargetMode="External"/><Relationship Id="rId4" Type="http://schemas.openxmlformats.org/officeDocument/2006/relationships/hyperlink" Target="https://www.cbd.int/documents/CBD/COP/17/5/ADD1"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5600"/>
    <w:rsid w:val="000D408C"/>
    <w:rsid w:val="00101544"/>
    <w:rsid w:val="00122E4B"/>
    <w:rsid w:val="00136682"/>
    <w:rsid w:val="00182102"/>
    <w:rsid w:val="002A5600"/>
    <w:rsid w:val="002B3F63"/>
    <w:rsid w:val="002B60DA"/>
    <w:rsid w:val="003A5E8B"/>
    <w:rsid w:val="003B6FD9"/>
    <w:rsid w:val="003F6C58"/>
    <w:rsid w:val="00432EDB"/>
    <w:rsid w:val="00452EEB"/>
    <w:rsid w:val="00494D35"/>
    <w:rsid w:val="004D7E2A"/>
    <w:rsid w:val="00565027"/>
    <w:rsid w:val="005C5EF4"/>
    <w:rsid w:val="006A2CE2"/>
    <w:rsid w:val="006B1B8A"/>
    <w:rsid w:val="006E33E2"/>
    <w:rsid w:val="006F72E0"/>
    <w:rsid w:val="00707D71"/>
    <w:rsid w:val="007515C9"/>
    <w:rsid w:val="0079602A"/>
    <w:rsid w:val="007F5063"/>
    <w:rsid w:val="00A51CAD"/>
    <w:rsid w:val="00B45FA5"/>
    <w:rsid w:val="00BE541E"/>
    <w:rsid w:val="00CD4492"/>
    <w:rsid w:val="00CD6CAF"/>
    <w:rsid w:val="00CF648E"/>
    <w:rsid w:val="00D07018"/>
    <w:rsid w:val="00D36CCC"/>
    <w:rsid w:val="00D94250"/>
    <w:rsid w:val="00D97E8F"/>
    <w:rsid w:val="00E035C4"/>
    <w:rsid w:val="00E14567"/>
    <w:rsid w:val="00E220D9"/>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EC6AB3-DCE9-441A-A4D3-20B5AE27816B}">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A50B7151-CFAB-424A-AA8B-51C0A7D9B3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118</TotalTime>
  <Pages>9</Pages>
  <Words>4199</Words>
  <Characters>23938</Characters>
  <Application>Microsoft Office Word</Application>
  <DocSecurity>0</DocSecurity>
  <Lines>199</Lines>
  <Paragraphs>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Механизм финансирования и финансовые ресурсы</vt:lpstr>
      <vt:lpstr>Financial mechanism and resources</vt:lpstr>
    </vt:vector>
  </TitlesOfParts>
  <Company>SCBD</Company>
  <LinksUpToDate>false</LinksUpToDate>
  <CharactersWithSpaces>28081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финансирования и финансовые ресурсы</dc:title>
  <dc:subject>CBD/NP/MOP/6/</dc:subject>
  <dc:creator>Secretariat</dc:creator>
  <cp:keywords>Convention on Biological Diversity</cp:keywords>
  <cp:lastModifiedBy>Mariko Nishi</cp:lastModifiedBy>
  <cp:revision>21</cp:revision>
  <cp:lastPrinted>2026-09-02T21:59:00Z</cp:lastPrinted>
  <dcterms:created xsi:type="dcterms:W3CDTF">2026-09-25T18:30:00Z</dcterms:created>
  <dcterms:modified xsi:type="dcterms:W3CDTF">2026-10-03T01:21:00Z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