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8" w:type="dxa"/>
        <w:tblInd w:w="-318" w:type="dxa"/>
        <w:tblLook w:val="04A0" w:firstRow="1" w:lastRow="0" w:firstColumn="1" w:lastColumn="0" w:noHBand="0" w:noVBand="1"/>
      </w:tblPr>
      <w:tblGrid>
        <w:gridCol w:w="976"/>
        <w:gridCol w:w="5141"/>
        <w:gridCol w:w="4090"/>
        <w:gridCol w:w="601"/>
      </w:tblGrid>
      <w:tr w:rsidR="009F216A" w:rsidRPr="00B0443C" w14:paraId="5DF526E7" w14:textId="77777777" w:rsidTr="00BE0091">
        <w:trPr>
          <w:trHeight w:val="709"/>
        </w:trPr>
        <w:tc>
          <w:tcPr>
            <w:tcW w:w="976" w:type="dxa"/>
            <w:tcBorders>
              <w:bottom w:val="single" w:sz="12" w:space="0" w:color="auto"/>
            </w:tcBorders>
          </w:tcPr>
          <w:p w14:paraId="120D2577" w14:textId="77777777" w:rsidR="009F216A" w:rsidRPr="00B0443C" w:rsidRDefault="009F216A" w:rsidP="00BE0091">
            <w:pPr>
              <w:rPr>
                <w:kern w:val="22"/>
                <w:lang w:val="fr-FR"/>
              </w:rPr>
            </w:pPr>
            <w:bookmarkStart w:id="0" w:name="_Hlk526272635"/>
            <w:r w:rsidRPr="00B0443C">
              <w:rPr>
                <w:noProof/>
                <w:kern w:val="22"/>
                <w:lang w:val="fr-FR" w:eastAsia="fr-CA"/>
              </w:rPr>
              <w:drawing>
                <wp:inline distT="0" distB="0" distL="0" distR="0" wp14:anchorId="0646E1E4" wp14:editId="6854A48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D62F18B" w14:textId="134C038F" w:rsidR="009F216A" w:rsidRPr="00B0443C" w:rsidRDefault="00CD653E" w:rsidP="00BE0091">
            <w:pPr>
              <w:rPr>
                <w:kern w:val="22"/>
                <w:lang w:val="fr-FR"/>
              </w:rPr>
            </w:pPr>
            <w:r w:rsidRPr="00525032">
              <w:rPr>
                <w:noProof/>
                <w:lang w:val="fr-CA" w:eastAsia="fr-CA"/>
              </w:rPr>
              <w:drawing>
                <wp:inline distT="0" distB="0" distL="0" distR="0" wp14:anchorId="66312FA8" wp14:editId="07FE39E8">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691" w:type="dxa"/>
            <w:gridSpan w:val="2"/>
            <w:tcBorders>
              <w:bottom w:val="single" w:sz="12" w:space="0" w:color="auto"/>
            </w:tcBorders>
          </w:tcPr>
          <w:p w14:paraId="77D91485" w14:textId="77777777" w:rsidR="009F216A" w:rsidRPr="00B0443C" w:rsidRDefault="009F216A" w:rsidP="00BE0091">
            <w:pPr>
              <w:jc w:val="right"/>
              <w:rPr>
                <w:rFonts w:ascii="Arial" w:hAnsi="Arial" w:cs="Arial"/>
                <w:b/>
                <w:kern w:val="22"/>
                <w:sz w:val="32"/>
                <w:szCs w:val="32"/>
                <w:lang w:val="fr-FR"/>
              </w:rPr>
            </w:pPr>
            <w:r w:rsidRPr="00B0443C">
              <w:rPr>
                <w:rFonts w:ascii="Arial" w:hAnsi="Arial" w:cs="Arial"/>
                <w:b/>
                <w:kern w:val="22"/>
                <w:sz w:val="32"/>
                <w:szCs w:val="32"/>
                <w:lang w:val="fr-FR"/>
              </w:rPr>
              <w:t>CBD</w:t>
            </w:r>
          </w:p>
        </w:tc>
      </w:tr>
      <w:tr w:rsidR="009F216A" w:rsidRPr="00B0443C" w14:paraId="57D5B365" w14:textId="77777777" w:rsidTr="00BE0091">
        <w:trPr>
          <w:gridAfter w:val="1"/>
          <w:wAfter w:w="601" w:type="dxa"/>
          <w:trHeight w:val="1815"/>
        </w:trPr>
        <w:tc>
          <w:tcPr>
            <w:tcW w:w="6117" w:type="dxa"/>
            <w:gridSpan w:val="2"/>
            <w:tcBorders>
              <w:top w:val="single" w:sz="12" w:space="0" w:color="auto"/>
              <w:bottom w:val="single" w:sz="36" w:space="0" w:color="auto"/>
            </w:tcBorders>
            <w:vAlign w:val="center"/>
          </w:tcPr>
          <w:p w14:paraId="20E25E09" w14:textId="77777777" w:rsidR="009F216A" w:rsidRPr="00B0443C" w:rsidRDefault="009F216A" w:rsidP="00BE0091">
            <w:pPr>
              <w:suppressLineNumbers/>
              <w:suppressAutoHyphens/>
              <w:kinsoku w:val="0"/>
              <w:overflowPunct w:val="0"/>
              <w:autoSpaceDE w:val="0"/>
              <w:autoSpaceDN w:val="0"/>
              <w:rPr>
                <w:szCs w:val="22"/>
                <w:lang w:val="fr-FR"/>
              </w:rPr>
            </w:pPr>
            <w:r w:rsidRPr="00B0443C">
              <w:rPr>
                <w:bCs/>
                <w:noProof/>
                <w:szCs w:val="22"/>
                <w:lang w:val="fr-FR" w:eastAsia="fr-CA"/>
              </w:rPr>
              <w:drawing>
                <wp:inline distT="0" distB="0" distL="0" distR="0" wp14:anchorId="381DBD11" wp14:editId="67EAF5C3">
                  <wp:extent cx="2857500" cy="1076325"/>
                  <wp:effectExtent l="0" t="0" r="0" b="0"/>
                  <wp:docPr id="5" name="Pictur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73E4B40" w14:textId="77777777" w:rsidR="009F216A" w:rsidRPr="00B0443C" w:rsidRDefault="009F216A" w:rsidP="00BE0091">
            <w:pPr>
              <w:suppressLineNumbers/>
              <w:suppressAutoHyphens/>
              <w:kinsoku w:val="0"/>
              <w:overflowPunct w:val="0"/>
              <w:autoSpaceDE w:val="0"/>
              <w:autoSpaceDN w:val="0"/>
              <w:ind w:left="1354"/>
              <w:rPr>
                <w:szCs w:val="22"/>
                <w:lang w:val="fr-FR"/>
              </w:rPr>
            </w:pPr>
            <w:r w:rsidRPr="00B0443C">
              <w:rPr>
                <w:szCs w:val="22"/>
                <w:lang w:val="fr-FR"/>
              </w:rPr>
              <w:t>Distr.</w:t>
            </w:r>
          </w:p>
          <w:p w14:paraId="1BD990C6" w14:textId="55A56305" w:rsidR="009F216A" w:rsidRPr="00B0443C" w:rsidRDefault="00000000" w:rsidP="00BE0091">
            <w:pPr>
              <w:suppressLineNumbers/>
              <w:suppressAutoHyphens/>
              <w:kinsoku w:val="0"/>
              <w:overflowPunct w:val="0"/>
              <w:autoSpaceDE w:val="0"/>
              <w:autoSpaceDN w:val="0"/>
              <w:ind w:left="1354"/>
              <w:rPr>
                <w:szCs w:val="22"/>
                <w:lang w:val="fr-FR"/>
              </w:rPr>
            </w:pPr>
            <w:sdt>
              <w:sdtPr>
                <w:rPr>
                  <w:rFonts w:eastAsia="Malgun Gothic" w:cs="Times New Roman"/>
                  <w:snapToGrid w:val="0"/>
                  <w:kern w:val="22"/>
                  <w:szCs w:val="22"/>
                  <w:lang w:val="fr-FR"/>
                </w:rPr>
                <w:alias w:val="Status"/>
                <w:tag w:val=""/>
                <w:id w:val="307985777"/>
                <w:placeholder>
                  <w:docPart w:val="73915236FEF74CF3B02ABE95C030FF82"/>
                </w:placeholder>
                <w:dataBinding w:prefixMappings="xmlns:ns0='http://purl.org/dc/elements/1.1/' xmlns:ns1='http://schemas.openxmlformats.org/package/2006/metadata/core-properties' " w:xpath="/ns1:coreProperties[1]/ns1:contentStatus[1]" w:storeItemID="{6C3C8BC8-F283-45AE-878A-BAB7291924A1}"/>
                <w:text/>
              </w:sdtPr>
              <w:sdtContent>
                <w:r w:rsidR="009F216A" w:rsidRPr="00B0443C">
                  <w:rPr>
                    <w:rFonts w:eastAsia="Malgun Gothic" w:cs="Times New Roman"/>
                    <w:snapToGrid w:val="0"/>
                    <w:kern w:val="22"/>
                    <w:szCs w:val="22"/>
                    <w:lang w:val="fr-FR"/>
                  </w:rPr>
                  <w:t>GÉNÉRALE</w:t>
                </w:r>
              </w:sdtContent>
            </w:sdt>
          </w:p>
          <w:p w14:paraId="0493AA17" w14:textId="77777777" w:rsidR="009F216A" w:rsidRPr="00B0443C" w:rsidRDefault="009F216A" w:rsidP="00BE0091">
            <w:pPr>
              <w:suppressLineNumbers/>
              <w:suppressAutoHyphens/>
              <w:kinsoku w:val="0"/>
              <w:overflowPunct w:val="0"/>
              <w:autoSpaceDE w:val="0"/>
              <w:autoSpaceDN w:val="0"/>
              <w:ind w:left="1354"/>
              <w:rPr>
                <w:szCs w:val="22"/>
                <w:lang w:val="fr-FR"/>
              </w:rPr>
            </w:pPr>
          </w:p>
          <w:p w14:paraId="2FF0E3A3" w14:textId="77777777" w:rsidR="009F216A" w:rsidRPr="00B0443C" w:rsidRDefault="00000000" w:rsidP="00BE0091">
            <w:pPr>
              <w:suppressLineNumbers/>
              <w:suppressAutoHyphens/>
              <w:kinsoku w:val="0"/>
              <w:overflowPunct w:val="0"/>
              <w:autoSpaceDE w:val="0"/>
              <w:autoSpaceDN w:val="0"/>
              <w:ind w:left="1354"/>
              <w:rPr>
                <w:szCs w:val="22"/>
                <w:lang w:val="fr-FR"/>
              </w:rPr>
            </w:pPr>
            <w:sdt>
              <w:sdtPr>
                <w:rPr>
                  <w:bCs/>
                  <w:szCs w:val="22"/>
                  <w:lang w:val="fr-FR"/>
                </w:rPr>
                <w:alias w:val="Subject"/>
                <w:tag w:val=""/>
                <w:id w:val="686406857"/>
                <w:placeholder>
                  <w:docPart w:val="1C5CA8857CE34D92B5C3E9D7662F81FD"/>
                </w:placeholder>
                <w:dataBinding w:prefixMappings="xmlns:ns0='http://purl.org/dc/elements/1.1/' xmlns:ns1='http://schemas.openxmlformats.org/package/2006/metadata/core-properties' " w:xpath="/ns1:coreProperties[1]/ns0:subject[1]" w:storeItemID="{6C3C8BC8-F283-45AE-878A-BAB7291924A1}"/>
                <w:text/>
              </w:sdtPr>
              <w:sdtContent>
                <w:r w:rsidR="009F216A" w:rsidRPr="00B0443C">
                  <w:rPr>
                    <w:bCs/>
                    <w:szCs w:val="22"/>
                    <w:lang w:val="fr-FR"/>
                  </w:rPr>
                  <w:t>CBD/NP/MOP/4/5</w:t>
                </w:r>
              </w:sdtContent>
            </w:sdt>
          </w:p>
          <w:p w14:paraId="4759AF4B" w14:textId="77777777" w:rsidR="009F216A" w:rsidRPr="00B0443C" w:rsidRDefault="009F216A" w:rsidP="00BE0091">
            <w:pPr>
              <w:suppressLineNumbers/>
              <w:suppressAutoHyphens/>
              <w:kinsoku w:val="0"/>
              <w:overflowPunct w:val="0"/>
              <w:autoSpaceDE w:val="0"/>
              <w:autoSpaceDN w:val="0"/>
              <w:ind w:left="1354"/>
              <w:rPr>
                <w:szCs w:val="22"/>
                <w:lang w:val="fr-FR"/>
              </w:rPr>
            </w:pPr>
            <w:r w:rsidRPr="00B0443C">
              <w:rPr>
                <w:szCs w:val="22"/>
                <w:lang w:val="fr-FR"/>
              </w:rPr>
              <w:t>21 octobre 2022</w:t>
            </w:r>
          </w:p>
          <w:p w14:paraId="56A6AA3C" w14:textId="77777777" w:rsidR="009F216A" w:rsidRPr="00B0443C" w:rsidRDefault="009F216A" w:rsidP="00BE0091">
            <w:pPr>
              <w:suppressLineNumbers/>
              <w:suppressAutoHyphens/>
              <w:kinsoku w:val="0"/>
              <w:overflowPunct w:val="0"/>
              <w:autoSpaceDE w:val="0"/>
              <w:autoSpaceDN w:val="0"/>
              <w:ind w:left="1354"/>
              <w:rPr>
                <w:szCs w:val="22"/>
                <w:lang w:val="fr-FR"/>
              </w:rPr>
            </w:pPr>
          </w:p>
          <w:p w14:paraId="52DD9F68" w14:textId="77777777" w:rsidR="009F216A" w:rsidRPr="00B0443C" w:rsidRDefault="009F216A" w:rsidP="00BE0091">
            <w:pPr>
              <w:suppressLineNumbers/>
              <w:suppressAutoHyphens/>
              <w:kinsoku w:val="0"/>
              <w:overflowPunct w:val="0"/>
              <w:autoSpaceDE w:val="0"/>
              <w:autoSpaceDN w:val="0"/>
              <w:ind w:left="1354"/>
              <w:rPr>
                <w:szCs w:val="22"/>
                <w:lang w:val="fr-FR"/>
              </w:rPr>
            </w:pPr>
            <w:r w:rsidRPr="00B0443C">
              <w:rPr>
                <w:szCs w:val="22"/>
                <w:lang w:val="fr-FR"/>
              </w:rPr>
              <w:t>FRANÇAIS</w:t>
            </w:r>
          </w:p>
          <w:p w14:paraId="1B3929EE" w14:textId="6C61E081" w:rsidR="009F216A" w:rsidRPr="00B0443C" w:rsidRDefault="000A2323" w:rsidP="00BE0091">
            <w:pPr>
              <w:suppressLineNumbers/>
              <w:suppressAutoHyphens/>
              <w:kinsoku w:val="0"/>
              <w:overflowPunct w:val="0"/>
              <w:autoSpaceDE w:val="0"/>
              <w:autoSpaceDN w:val="0"/>
              <w:ind w:left="1354"/>
              <w:rPr>
                <w:szCs w:val="22"/>
                <w:lang w:val="fr-FR"/>
              </w:rPr>
            </w:pPr>
            <w:proofErr w:type="gramStart"/>
            <w:r w:rsidRPr="00B0443C">
              <w:rPr>
                <w:szCs w:val="22"/>
                <w:lang w:val="fr-FR"/>
              </w:rPr>
              <w:t>ORIGINAL:</w:t>
            </w:r>
            <w:proofErr w:type="gramEnd"/>
            <w:r w:rsidR="009F216A" w:rsidRPr="00B0443C">
              <w:rPr>
                <w:szCs w:val="22"/>
                <w:lang w:val="fr-FR"/>
              </w:rPr>
              <w:t xml:space="preserve"> ANGLAIS</w:t>
            </w:r>
          </w:p>
          <w:p w14:paraId="7B0A5E6F" w14:textId="77777777" w:rsidR="009F216A" w:rsidRPr="00B0443C" w:rsidRDefault="009F216A" w:rsidP="00BE0091">
            <w:pPr>
              <w:suppressLineNumbers/>
              <w:suppressAutoHyphens/>
              <w:kinsoku w:val="0"/>
              <w:overflowPunct w:val="0"/>
              <w:autoSpaceDE w:val="0"/>
              <w:autoSpaceDN w:val="0"/>
              <w:jc w:val="left"/>
              <w:rPr>
                <w:szCs w:val="22"/>
                <w:lang w:val="fr-FR"/>
              </w:rPr>
            </w:pPr>
          </w:p>
        </w:tc>
      </w:tr>
    </w:tbl>
    <w:p w14:paraId="3C501943" w14:textId="77777777" w:rsidR="009F216A" w:rsidRPr="00B0443C" w:rsidRDefault="009F216A" w:rsidP="009F216A">
      <w:pPr>
        <w:suppressLineNumbers/>
        <w:tabs>
          <w:tab w:val="left" w:pos="5580"/>
        </w:tabs>
        <w:suppressAutoHyphens/>
        <w:kinsoku w:val="0"/>
        <w:overflowPunct w:val="0"/>
        <w:autoSpaceDE w:val="0"/>
        <w:autoSpaceDN w:val="0"/>
        <w:ind w:left="170" w:right="3938" w:hanging="170"/>
        <w:jc w:val="left"/>
        <w:rPr>
          <w:rFonts w:eastAsia="Batang"/>
          <w:snapToGrid w:val="0"/>
          <w:kern w:val="22"/>
          <w:lang w:val="fr-FR"/>
        </w:rPr>
      </w:pPr>
      <w:r w:rsidRPr="00B0443C">
        <w:rPr>
          <w:snapToGrid w:val="0"/>
          <w:kern w:val="22"/>
          <w:lang w:val="fr-FR"/>
        </w:rPr>
        <w:t>CONFÉRENCE DES PARTIES À LA CONVENTION SUR LA DIVERSITÉ BIOLOGIQUE SIÉGEANT EN TANT QUE RÉUNION DES PARTIES AU PROTOCOLE</w:t>
      </w:r>
      <w:r w:rsidRPr="00B0443C">
        <w:rPr>
          <w:rFonts w:eastAsia="Batang"/>
          <w:snapToGrid w:val="0"/>
          <w:kern w:val="22"/>
          <w:lang w:val="fr-FR"/>
        </w:rPr>
        <w:t xml:space="preserve"> DE NAGOYA SUR L’ACCÈS AUX RESSOURCES GÉNÉTIQUES ET LE PARTAGE JUSTE ET ÉQUITABLE DES AVANTAGES DÉCOULANT DE LEUR UTILISATION</w:t>
      </w:r>
    </w:p>
    <w:p w14:paraId="67E5E492" w14:textId="77777777" w:rsidR="009F216A" w:rsidRPr="00B0443C" w:rsidRDefault="009F216A" w:rsidP="009F216A">
      <w:pPr>
        <w:suppressLineNumbers/>
        <w:suppressAutoHyphens/>
        <w:kinsoku w:val="0"/>
        <w:overflowPunct w:val="0"/>
        <w:autoSpaceDE w:val="0"/>
        <w:autoSpaceDN w:val="0"/>
        <w:ind w:left="170" w:right="3119" w:hanging="170"/>
        <w:jc w:val="left"/>
        <w:rPr>
          <w:rFonts w:eastAsia="Batang"/>
          <w:snapToGrid w:val="0"/>
          <w:kern w:val="22"/>
          <w:lang w:val="fr-FR"/>
        </w:rPr>
      </w:pPr>
      <w:r w:rsidRPr="00B0443C">
        <w:rPr>
          <w:rFonts w:eastAsia="Batang"/>
          <w:snapToGrid w:val="0"/>
          <w:kern w:val="22"/>
          <w:lang w:val="fr-FR"/>
        </w:rPr>
        <w:t>Quatrième réunion</w:t>
      </w:r>
    </w:p>
    <w:p w14:paraId="797EAEF2" w14:textId="77777777" w:rsidR="009F216A" w:rsidRPr="00B0443C" w:rsidRDefault="009F216A" w:rsidP="009F216A">
      <w:pPr>
        <w:suppressLineNumbers/>
        <w:suppressAutoHyphens/>
        <w:kinsoku w:val="0"/>
        <w:overflowPunct w:val="0"/>
        <w:autoSpaceDE w:val="0"/>
        <w:autoSpaceDN w:val="0"/>
        <w:ind w:right="4422"/>
        <w:jc w:val="left"/>
        <w:rPr>
          <w:noProof/>
          <w:snapToGrid w:val="0"/>
          <w:kern w:val="22"/>
          <w:szCs w:val="22"/>
          <w:lang w:val="fr-FR" w:eastAsia="nb-NO"/>
        </w:rPr>
      </w:pPr>
      <w:r w:rsidRPr="00B0443C">
        <w:rPr>
          <w:noProof/>
          <w:snapToGrid w:val="0"/>
          <w:kern w:val="22"/>
          <w:szCs w:val="22"/>
          <w:lang w:val="fr-FR" w:eastAsia="nb-NO"/>
        </w:rPr>
        <w:t>Montréal (Canada) 7-19 décembre 2022</w:t>
      </w:r>
    </w:p>
    <w:p w14:paraId="0C0A6810" w14:textId="77777777" w:rsidR="009F216A" w:rsidRPr="00B0443C" w:rsidRDefault="009F216A" w:rsidP="009F216A">
      <w:pPr>
        <w:suppressLineNumbers/>
        <w:suppressAutoHyphens/>
        <w:kinsoku w:val="0"/>
        <w:overflowPunct w:val="0"/>
        <w:autoSpaceDE w:val="0"/>
        <w:autoSpaceDN w:val="0"/>
        <w:ind w:right="4422"/>
        <w:jc w:val="left"/>
        <w:rPr>
          <w:snapToGrid w:val="0"/>
          <w:kern w:val="22"/>
          <w:szCs w:val="22"/>
          <w:lang w:val="fr-FR" w:eastAsia="en-CA"/>
        </w:rPr>
      </w:pPr>
      <w:r w:rsidRPr="00B0443C">
        <w:rPr>
          <w:noProof/>
          <w:snapToGrid w:val="0"/>
          <w:kern w:val="22"/>
          <w:szCs w:val="22"/>
          <w:lang w:val="fr-FR" w:eastAsia="nb-NO"/>
        </w:rPr>
        <w:t>Point 8 de l’ordre du jour</w:t>
      </w:r>
    </w:p>
    <w:p w14:paraId="06A54A37" w14:textId="12E47DA7" w:rsidR="00FD4E03" w:rsidRPr="00B0443C" w:rsidRDefault="00B0443C" w:rsidP="00F37E96">
      <w:pPr>
        <w:pStyle w:val="Titre1"/>
        <w:tabs>
          <w:tab w:val="clear" w:pos="720"/>
        </w:tabs>
        <w:rPr>
          <w:rFonts w:cs="Times New Roman"/>
          <w:szCs w:val="22"/>
          <w:lang w:val="fr-FR"/>
        </w:rPr>
      </w:pPr>
      <w:r w:rsidRPr="00123B6E">
        <w:rPr>
          <w:rFonts w:cs="Times New Roman"/>
          <w:kern w:val="22"/>
          <w:szCs w:val="22"/>
          <w:lang w:val="fr-FR"/>
        </w:rPr>
        <w:t xml:space="preserve">RAPPORT </w:t>
      </w:r>
      <w:r w:rsidR="005E272E" w:rsidRPr="00123B6E">
        <w:rPr>
          <w:rFonts w:cs="Times New Roman"/>
          <w:kern w:val="22"/>
          <w:szCs w:val="22"/>
          <w:lang w:val="fr-FR"/>
        </w:rPr>
        <w:t xml:space="preserve">CONCERNANT LES PROGRès ACCOMPLIS DANS les </w:t>
      </w:r>
      <w:r w:rsidRPr="00123B6E">
        <w:rPr>
          <w:rFonts w:cs="Times New Roman"/>
          <w:kern w:val="22"/>
          <w:szCs w:val="22"/>
          <w:lang w:val="fr-FR"/>
        </w:rPr>
        <w:t xml:space="preserve">MESURES </w:t>
      </w:r>
      <w:r w:rsidR="00D63CF8" w:rsidRPr="00123B6E">
        <w:rPr>
          <w:rFonts w:cs="Times New Roman"/>
          <w:kern w:val="22"/>
          <w:szCs w:val="22"/>
          <w:lang w:val="fr-FR"/>
        </w:rPr>
        <w:t>d’aide</w:t>
      </w:r>
      <w:r w:rsidRPr="00123B6E">
        <w:rPr>
          <w:rFonts w:cs="Times New Roman"/>
          <w:kern w:val="22"/>
          <w:szCs w:val="22"/>
          <w:lang w:val="fr-FR"/>
        </w:rPr>
        <w:t xml:space="preserve"> AU </w:t>
      </w:r>
      <w:r w:rsidR="00D075DE">
        <w:rPr>
          <w:rFonts w:cs="Times New Roman"/>
          <w:kern w:val="22"/>
          <w:szCs w:val="22"/>
          <w:lang w:val="fr-FR"/>
        </w:rPr>
        <w:t>renforcement</w:t>
      </w:r>
      <w:r w:rsidRPr="00123B6E">
        <w:rPr>
          <w:rFonts w:cs="Times New Roman"/>
          <w:kern w:val="22"/>
          <w:szCs w:val="22"/>
          <w:lang w:val="fr-FR"/>
        </w:rPr>
        <w:t xml:space="preserve"> DES CAPACITÉS ET À LA SENSIBILISATION (ARTICLES 22 et 21)</w:t>
      </w:r>
      <w:r w:rsidR="00E3618F" w:rsidRPr="00B0443C">
        <w:rPr>
          <w:rFonts w:cs="Times New Roman"/>
          <w:kern w:val="22"/>
          <w:szCs w:val="22"/>
          <w:lang w:val="fr-FR"/>
        </w:rPr>
        <w:t xml:space="preserve"> </w:t>
      </w:r>
    </w:p>
    <w:bookmarkEnd w:id="0"/>
    <w:p w14:paraId="0E1CD5B5" w14:textId="1D0EB79C" w:rsidR="00687288" w:rsidRPr="00B0443C" w:rsidRDefault="009F216A" w:rsidP="00687288">
      <w:pPr>
        <w:pStyle w:val="Titre2"/>
        <w:rPr>
          <w:rFonts w:cs="Times New Roman"/>
          <w:b w:val="0"/>
          <w:i/>
          <w:kern w:val="22"/>
          <w:szCs w:val="22"/>
          <w:lang w:val="fr-FR"/>
        </w:rPr>
      </w:pPr>
      <w:r w:rsidRPr="00B0443C">
        <w:rPr>
          <w:rFonts w:cs="Times New Roman"/>
          <w:b w:val="0"/>
          <w:i/>
          <w:kern w:val="22"/>
          <w:szCs w:val="22"/>
          <w:lang w:val="fr-FR"/>
        </w:rPr>
        <w:t>Note de la Secrétaire exécutive</w:t>
      </w:r>
    </w:p>
    <w:p w14:paraId="033F3D4D" w14:textId="77777777" w:rsidR="00320CFC" w:rsidRPr="00B0443C" w:rsidRDefault="00F8670A" w:rsidP="00F37E96">
      <w:pPr>
        <w:pStyle w:val="Titre1"/>
        <w:spacing w:before="120"/>
        <w:ind w:left="1077" w:hanging="720"/>
        <w:rPr>
          <w:rFonts w:cs="Times New Roman"/>
          <w:szCs w:val="22"/>
          <w:lang w:val="fr-FR"/>
        </w:rPr>
      </w:pPr>
      <w:r w:rsidRPr="00B0443C">
        <w:rPr>
          <w:rFonts w:cs="Times New Roman"/>
          <w:szCs w:val="22"/>
          <w:lang w:val="fr-FR"/>
        </w:rPr>
        <w:t>I.</w:t>
      </w:r>
      <w:r w:rsidRPr="00B0443C">
        <w:rPr>
          <w:rFonts w:cs="Times New Roman"/>
          <w:szCs w:val="22"/>
          <w:lang w:val="fr-FR"/>
        </w:rPr>
        <w:tab/>
      </w:r>
      <w:r w:rsidR="00320CFC" w:rsidRPr="00B0443C">
        <w:rPr>
          <w:rFonts w:cs="Times New Roman"/>
          <w:szCs w:val="22"/>
          <w:lang w:val="fr-FR"/>
        </w:rPr>
        <w:t>INTRODUCTION</w:t>
      </w:r>
    </w:p>
    <w:p w14:paraId="1CE6D199" w14:textId="225FF59F" w:rsidR="00B0443C" w:rsidRPr="00B0443C" w:rsidRDefault="00F8670A" w:rsidP="00B0443C">
      <w:pPr>
        <w:pStyle w:val="Para1"/>
        <w:pBdr>
          <w:top w:val="nil"/>
          <w:left w:val="nil"/>
          <w:bottom w:val="nil"/>
          <w:right w:val="nil"/>
          <w:between w:val="nil"/>
          <w:bar w:val="nil"/>
        </w:pBdr>
        <w:tabs>
          <w:tab w:val="left" w:pos="720"/>
        </w:tabs>
        <w:spacing w:before="120"/>
        <w:rPr>
          <w:rFonts w:cs="Times New Roman"/>
          <w:snapToGrid/>
          <w:kern w:val="22"/>
          <w:szCs w:val="22"/>
          <w:lang w:val="fr-FR"/>
        </w:rPr>
      </w:pPr>
      <w:r w:rsidRPr="00B0443C">
        <w:rPr>
          <w:rFonts w:cs="Times New Roman"/>
          <w:snapToGrid/>
          <w:color w:val="000000"/>
          <w:kern w:val="22"/>
          <w:szCs w:val="22"/>
          <w:lang w:val="fr-FR"/>
        </w:rPr>
        <w:t>1.</w:t>
      </w:r>
      <w:r w:rsidRPr="00B0443C">
        <w:rPr>
          <w:rFonts w:cs="Times New Roman"/>
          <w:snapToGrid/>
          <w:color w:val="000000"/>
          <w:kern w:val="22"/>
          <w:szCs w:val="22"/>
          <w:lang w:val="fr-FR"/>
        </w:rPr>
        <w:tab/>
      </w:r>
      <w:r w:rsidR="00B0443C" w:rsidRPr="00B0443C">
        <w:rPr>
          <w:rFonts w:cs="Times New Roman"/>
          <w:kern w:val="22"/>
          <w:szCs w:val="22"/>
          <w:lang w:val="fr-FR"/>
        </w:rPr>
        <w:t>L'</w:t>
      </w:r>
      <w:r w:rsidR="00495556">
        <w:rPr>
          <w:rFonts w:cs="Times New Roman"/>
          <w:kern w:val="22"/>
          <w:szCs w:val="22"/>
          <w:lang w:val="fr-FR"/>
        </w:rPr>
        <w:t>a</w:t>
      </w:r>
      <w:r w:rsidR="00B0443C" w:rsidRPr="00B0443C">
        <w:rPr>
          <w:rFonts w:cs="Times New Roman"/>
          <w:kern w:val="22"/>
          <w:szCs w:val="22"/>
          <w:lang w:val="fr-FR"/>
        </w:rPr>
        <w:t xml:space="preserve">rticle 22 du Protocole de Nagoya prévoit que les Parties coopèrent au renforcement des ressources humaines et des capacités institutionnelles </w:t>
      </w:r>
      <w:r w:rsidR="00A13625">
        <w:rPr>
          <w:rFonts w:cs="Times New Roman"/>
          <w:kern w:val="22"/>
          <w:szCs w:val="22"/>
          <w:lang w:val="fr-FR"/>
        </w:rPr>
        <w:t>en vue de l’application effective du</w:t>
      </w:r>
      <w:r w:rsidR="00B0443C" w:rsidRPr="00B0443C">
        <w:rPr>
          <w:rFonts w:cs="Times New Roman"/>
          <w:kern w:val="22"/>
          <w:szCs w:val="22"/>
          <w:lang w:val="fr-FR"/>
        </w:rPr>
        <w:t xml:space="preserve"> Protocole dans les pays en développement Parties et les Parties à économie en transition. Ce faisant, les Parties sont tenues de tenir pleinement compte des besoins des pays en développement Parties et des Parties à économie en transition et de faciliter la participation des peuples autochtones et des communautés locales ainsi que des parties prenantes concernées. En outre, l'</w:t>
      </w:r>
      <w:r w:rsidR="00495556">
        <w:rPr>
          <w:rFonts w:cs="Times New Roman"/>
          <w:kern w:val="22"/>
          <w:szCs w:val="22"/>
          <w:lang w:val="fr-FR"/>
        </w:rPr>
        <w:t>article</w:t>
      </w:r>
      <w:r w:rsidR="00B0443C" w:rsidRPr="00B0443C">
        <w:rPr>
          <w:rFonts w:cs="Times New Roman"/>
          <w:kern w:val="22"/>
          <w:szCs w:val="22"/>
          <w:lang w:val="fr-FR"/>
        </w:rPr>
        <w:t xml:space="preserve"> 21 du </w:t>
      </w:r>
      <w:r w:rsidR="005E272E">
        <w:rPr>
          <w:rFonts w:cs="Times New Roman"/>
          <w:kern w:val="22"/>
          <w:szCs w:val="22"/>
          <w:lang w:val="fr-FR"/>
        </w:rPr>
        <w:t>P</w:t>
      </w:r>
      <w:r w:rsidR="00B0443C" w:rsidRPr="00B0443C">
        <w:rPr>
          <w:rFonts w:cs="Times New Roman"/>
          <w:kern w:val="22"/>
          <w:szCs w:val="22"/>
          <w:lang w:val="fr-FR"/>
        </w:rPr>
        <w:t>rotocole de Nagoya invite les parties à prendre des mesures pour sensibiliser le public à l'importance des ressources génétiques et des connaissances traditionnelles associées aux ressources génétiques, ainsi qu'aux questions connexes liées à l'accès et au partage des avantages.</w:t>
      </w:r>
    </w:p>
    <w:p w14:paraId="36FA77A0" w14:textId="3AF7B481" w:rsidR="00B0443C" w:rsidRPr="00B060CA" w:rsidRDefault="00310E67" w:rsidP="00B060CA">
      <w:pPr>
        <w:pStyle w:val="Para1"/>
        <w:pBdr>
          <w:top w:val="nil"/>
          <w:left w:val="nil"/>
          <w:bottom w:val="nil"/>
          <w:right w:val="nil"/>
          <w:between w:val="nil"/>
          <w:bar w:val="nil"/>
        </w:pBdr>
        <w:tabs>
          <w:tab w:val="left" w:pos="720"/>
        </w:tabs>
        <w:spacing w:before="120"/>
        <w:rPr>
          <w:rFonts w:cs="Times New Roman"/>
          <w:kern w:val="22"/>
          <w:szCs w:val="22"/>
          <w:lang w:val="fr-FR"/>
        </w:rPr>
      </w:pPr>
      <w:r w:rsidRPr="00B0443C">
        <w:rPr>
          <w:rFonts w:cs="Times New Roman"/>
          <w:snapToGrid/>
          <w:kern w:val="22"/>
          <w:szCs w:val="22"/>
          <w:lang w:val="fr-FR"/>
        </w:rPr>
        <w:t>2.</w:t>
      </w:r>
      <w:r w:rsidRPr="00B0443C">
        <w:rPr>
          <w:rFonts w:cs="Times New Roman"/>
          <w:snapToGrid/>
          <w:kern w:val="22"/>
          <w:szCs w:val="22"/>
          <w:lang w:val="fr-FR"/>
        </w:rPr>
        <w:tab/>
      </w:r>
      <w:r w:rsidR="00B0443C" w:rsidRPr="00B0443C">
        <w:rPr>
          <w:rFonts w:cs="Times New Roman"/>
          <w:kern w:val="22"/>
          <w:szCs w:val="22"/>
          <w:lang w:val="fr-FR"/>
        </w:rPr>
        <w:t xml:space="preserve">Dans la décision </w:t>
      </w:r>
      <w:hyperlink r:id="rId14" w:history="1">
        <w:r w:rsidR="00B0443C" w:rsidRPr="00B0443C">
          <w:rPr>
            <w:rStyle w:val="Lienhypertexte"/>
            <w:rFonts w:cs="Times New Roman"/>
            <w:kern w:val="22"/>
            <w:szCs w:val="22"/>
            <w:lang w:val="fr-FR"/>
          </w:rPr>
          <w:t>NP-1/8</w:t>
        </w:r>
      </w:hyperlink>
      <w:r w:rsidR="00B0443C" w:rsidRPr="00B0443C">
        <w:rPr>
          <w:rFonts w:cs="Times New Roman"/>
          <w:kern w:val="22"/>
          <w:szCs w:val="22"/>
          <w:lang w:val="fr-FR"/>
        </w:rPr>
        <w:t xml:space="preserve">, les Parties au Protocole de Nagoya ont adopté un cadre stratégique pour le </w:t>
      </w:r>
      <w:r w:rsidR="009A33C6">
        <w:rPr>
          <w:rFonts w:cs="Times New Roman"/>
          <w:kern w:val="22"/>
          <w:szCs w:val="22"/>
          <w:lang w:val="fr-FR"/>
        </w:rPr>
        <w:t xml:space="preserve">développement </w:t>
      </w:r>
      <w:r w:rsidR="00ED3068">
        <w:rPr>
          <w:rFonts w:cs="Times New Roman"/>
          <w:kern w:val="22"/>
          <w:szCs w:val="22"/>
          <w:lang w:val="fr-FR"/>
        </w:rPr>
        <w:t xml:space="preserve">et le renforcement </w:t>
      </w:r>
      <w:r w:rsidR="00B0443C" w:rsidRPr="00B0443C">
        <w:rPr>
          <w:rFonts w:cs="Times New Roman"/>
          <w:kern w:val="22"/>
          <w:szCs w:val="22"/>
          <w:lang w:val="fr-FR"/>
        </w:rPr>
        <w:t xml:space="preserve">des capacités </w:t>
      </w:r>
      <w:r w:rsidR="00ED3068">
        <w:rPr>
          <w:rFonts w:cs="Times New Roman"/>
          <w:kern w:val="22"/>
          <w:szCs w:val="22"/>
          <w:lang w:val="fr-FR"/>
        </w:rPr>
        <w:t>en appui à</w:t>
      </w:r>
      <w:r w:rsidR="00B0443C" w:rsidRPr="00B0443C">
        <w:rPr>
          <w:rFonts w:cs="Times New Roman"/>
          <w:kern w:val="22"/>
          <w:szCs w:val="22"/>
          <w:lang w:val="fr-FR"/>
        </w:rPr>
        <w:t xml:space="preserve"> la mise en œuvre effective du Protocole et ont créé un comité consultatif informel chargé de </w:t>
      </w:r>
      <w:r w:rsidR="005E272E">
        <w:rPr>
          <w:rFonts w:cs="Times New Roman"/>
          <w:kern w:val="22"/>
          <w:szCs w:val="22"/>
          <w:lang w:val="fr-FR"/>
        </w:rPr>
        <w:t>fournir des avis à</w:t>
      </w:r>
      <w:r w:rsidR="00B0443C" w:rsidRPr="00B0443C">
        <w:rPr>
          <w:rFonts w:cs="Times New Roman"/>
          <w:kern w:val="22"/>
          <w:szCs w:val="22"/>
          <w:lang w:val="fr-FR"/>
        </w:rPr>
        <w:t xml:space="preserve"> la Secrétaire exécutive sur les questions </w:t>
      </w:r>
      <w:r w:rsidR="005E272E">
        <w:rPr>
          <w:rFonts w:cs="Times New Roman"/>
          <w:kern w:val="22"/>
          <w:szCs w:val="22"/>
          <w:lang w:val="fr-FR"/>
        </w:rPr>
        <w:t>relatives</w:t>
      </w:r>
      <w:r w:rsidR="00B0443C" w:rsidRPr="00B0443C">
        <w:rPr>
          <w:rFonts w:cs="Times New Roman"/>
          <w:kern w:val="22"/>
          <w:szCs w:val="22"/>
          <w:lang w:val="fr-FR"/>
        </w:rPr>
        <w:t xml:space="preserve"> au cadre stratégique.</w:t>
      </w:r>
    </w:p>
    <w:p w14:paraId="4691CDC7" w14:textId="67006168" w:rsidR="00B060CA" w:rsidRPr="00B060CA" w:rsidRDefault="00F8670A" w:rsidP="00B060CA">
      <w:pPr>
        <w:pStyle w:val="Para1"/>
        <w:pBdr>
          <w:top w:val="nil"/>
          <w:left w:val="nil"/>
          <w:bottom w:val="nil"/>
          <w:right w:val="nil"/>
          <w:between w:val="nil"/>
          <w:bar w:val="nil"/>
        </w:pBdr>
        <w:tabs>
          <w:tab w:val="left" w:pos="720"/>
        </w:tabs>
        <w:spacing w:before="120"/>
        <w:rPr>
          <w:rFonts w:cs="Times New Roman"/>
          <w:kern w:val="22"/>
          <w:szCs w:val="22"/>
          <w:lang w:val="fr-FR"/>
        </w:rPr>
      </w:pPr>
      <w:r w:rsidRPr="00B060CA">
        <w:rPr>
          <w:rFonts w:cs="Times New Roman"/>
          <w:kern w:val="22"/>
          <w:szCs w:val="22"/>
          <w:lang w:val="fr-FR"/>
        </w:rPr>
        <w:t>3.</w:t>
      </w:r>
      <w:r w:rsidRPr="00B060CA">
        <w:rPr>
          <w:rFonts w:cs="Times New Roman"/>
          <w:kern w:val="22"/>
          <w:szCs w:val="22"/>
          <w:lang w:val="fr-FR"/>
        </w:rPr>
        <w:tab/>
      </w:r>
      <w:r w:rsidR="005E272E" w:rsidRPr="00B060CA">
        <w:rPr>
          <w:rFonts w:cs="Times New Roman"/>
          <w:kern w:val="22"/>
          <w:szCs w:val="22"/>
          <w:lang w:val="fr-FR"/>
        </w:rPr>
        <w:t>Dans la décisio</w:t>
      </w:r>
      <w:r w:rsidR="005E272E">
        <w:rPr>
          <w:rFonts w:cs="Times New Roman"/>
          <w:snapToGrid/>
          <w:kern w:val="22"/>
          <w:szCs w:val="22"/>
          <w:lang w:val="fr-FR"/>
        </w:rPr>
        <w:t>n</w:t>
      </w:r>
      <w:r w:rsidR="00E60C87" w:rsidRPr="00B0443C">
        <w:rPr>
          <w:rFonts w:cs="Times New Roman"/>
          <w:snapToGrid/>
          <w:kern w:val="22"/>
          <w:szCs w:val="22"/>
          <w:lang w:val="fr-FR"/>
        </w:rPr>
        <w:t xml:space="preserve"> </w:t>
      </w:r>
      <w:hyperlink r:id="rId15" w:history="1">
        <w:r w:rsidR="00E60C87" w:rsidRPr="00B0443C">
          <w:rPr>
            <w:rStyle w:val="Lienhypertexte"/>
            <w:rFonts w:cs="Times New Roman"/>
            <w:snapToGrid/>
            <w:kern w:val="22"/>
            <w:szCs w:val="22"/>
            <w:lang w:val="fr-FR"/>
          </w:rPr>
          <w:t>NP-</w:t>
        </w:r>
        <w:r w:rsidR="00310E67" w:rsidRPr="00B0443C">
          <w:rPr>
            <w:rStyle w:val="Lienhypertexte"/>
            <w:rFonts w:cs="Times New Roman"/>
            <w:snapToGrid/>
            <w:kern w:val="22"/>
            <w:szCs w:val="22"/>
            <w:lang w:val="fr-FR"/>
          </w:rPr>
          <w:t>3</w:t>
        </w:r>
        <w:r w:rsidR="00E60C87" w:rsidRPr="00B0443C">
          <w:rPr>
            <w:rStyle w:val="Lienhypertexte"/>
            <w:rFonts w:cs="Times New Roman"/>
            <w:snapToGrid/>
            <w:kern w:val="22"/>
            <w:szCs w:val="22"/>
            <w:lang w:val="fr-FR"/>
          </w:rPr>
          <w:t>/</w:t>
        </w:r>
        <w:r w:rsidR="00310E67" w:rsidRPr="00B0443C">
          <w:rPr>
            <w:rStyle w:val="Lienhypertexte"/>
            <w:rFonts w:cs="Times New Roman"/>
            <w:snapToGrid/>
            <w:kern w:val="22"/>
            <w:szCs w:val="22"/>
            <w:lang w:val="fr-FR"/>
          </w:rPr>
          <w:t>5</w:t>
        </w:r>
      </w:hyperlink>
      <w:r w:rsidR="00E60C87" w:rsidRPr="00B0443C">
        <w:rPr>
          <w:rFonts w:cs="Times New Roman"/>
          <w:snapToGrid/>
          <w:kern w:val="22"/>
          <w:szCs w:val="22"/>
          <w:lang w:val="fr-FR"/>
        </w:rPr>
        <w:t xml:space="preserve">, </w:t>
      </w:r>
      <w:r w:rsidR="00B060CA" w:rsidRPr="00B060CA">
        <w:rPr>
          <w:rFonts w:cs="Times New Roman"/>
          <w:kern w:val="22"/>
          <w:szCs w:val="22"/>
          <w:lang w:val="fr-FR"/>
        </w:rPr>
        <w:t xml:space="preserve">les Parties ont décidé d'évaluer le cadre stratégique pour </w:t>
      </w:r>
      <w:r w:rsidR="003D2DA2">
        <w:rPr>
          <w:rFonts w:cs="Times New Roman"/>
          <w:kern w:val="22"/>
          <w:szCs w:val="22"/>
          <w:lang w:val="fr-FR"/>
        </w:rPr>
        <w:t>le développement</w:t>
      </w:r>
      <w:r w:rsidR="00B060CA" w:rsidRPr="00B060CA">
        <w:rPr>
          <w:rFonts w:cs="Times New Roman"/>
          <w:kern w:val="22"/>
          <w:szCs w:val="22"/>
          <w:lang w:val="fr-FR"/>
        </w:rPr>
        <w:t xml:space="preserve"> et le renforcement des capacités </w:t>
      </w:r>
      <w:r w:rsidR="00DE1D9C">
        <w:rPr>
          <w:rFonts w:cs="Times New Roman"/>
          <w:kern w:val="22"/>
          <w:szCs w:val="22"/>
          <w:lang w:val="fr-FR"/>
        </w:rPr>
        <w:t>en appui à</w:t>
      </w:r>
      <w:r w:rsidR="00B060CA" w:rsidRPr="00B060CA">
        <w:rPr>
          <w:rFonts w:cs="Times New Roman"/>
          <w:kern w:val="22"/>
          <w:szCs w:val="22"/>
          <w:lang w:val="fr-FR"/>
        </w:rPr>
        <w:t xml:space="preserve"> </w:t>
      </w:r>
      <w:r w:rsidR="00403BAD">
        <w:rPr>
          <w:rFonts w:cs="Times New Roman"/>
          <w:kern w:val="22"/>
          <w:szCs w:val="22"/>
          <w:lang w:val="fr-FR"/>
        </w:rPr>
        <w:t>l’application</w:t>
      </w:r>
      <w:r w:rsidR="00B060CA" w:rsidRPr="00B060CA">
        <w:rPr>
          <w:rFonts w:cs="Times New Roman"/>
          <w:kern w:val="22"/>
          <w:szCs w:val="22"/>
          <w:lang w:val="fr-FR"/>
        </w:rPr>
        <w:t xml:space="preserve"> effective du Protocole de Nagoya et ont prié la Secrétaire exécutive de procéder à cette évaluation et de soumettre son rapport à l'examen de l'Organe subsidiaire chargé de l'application lors de sa troisième réunion. Les Parties ont également demandé au Comité consultatif informel sur le renforcement des capacités de fournir des avis sur l'évaluation en examinant les résultats préliminaires et en fournissant des informations supplémentaires et des recommandations.</w:t>
      </w:r>
    </w:p>
    <w:p w14:paraId="5C9E08D4" w14:textId="77777777" w:rsidR="00B060CA" w:rsidRPr="00B060CA" w:rsidRDefault="009D32BA" w:rsidP="00131692">
      <w:pPr>
        <w:pStyle w:val="Para1"/>
        <w:pBdr>
          <w:top w:val="nil"/>
          <w:left w:val="nil"/>
          <w:bottom w:val="nil"/>
          <w:right w:val="nil"/>
          <w:between w:val="nil"/>
          <w:bar w:val="nil"/>
        </w:pBdr>
        <w:tabs>
          <w:tab w:val="left" w:pos="720"/>
        </w:tabs>
        <w:spacing w:before="120"/>
        <w:rPr>
          <w:rFonts w:cs="Times New Roman"/>
          <w:kern w:val="22"/>
          <w:szCs w:val="22"/>
          <w:lang w:val="fr-FR"/>
        </w:rPr>
      </w:pPr>
      <w:r w:rsidRPr="00B0443C">
        <w:rPr>
          <w:rFonts w:cs="Times New Roman"/>
          <w:snapToGrid/>
          <w:kern w:val="22"/>
          <w:szCs w:val="22"/>
          <w:lang w:val="fr-FR"/>
        </w:rPr>
        <w:t>4.</w:t>
      </w:r>
      <w:r w:rsidRPr="00B0443C">
        <w:rPr>
          <w:rFonts w:cs="Times New Roman"/>
          <w:snapToGrid/>
          <w:kern w:val="22"/>
          <w:szCs w:val="22"/>
          <w:lang w:val="fr-FR"/>
        </w:rPr>
        <w:tab/>
      </w:r>
      <w:r w:rsidR="00B060CA" w:rsidRPr="00B060CA">
        <w:rPr>
          <w:rFonts w:cs="Times New Roman"/>
          <w:kern w:val="22"/>
          <w:szCs w:val="22"/>
          <w:lang w:val="fr-FR"/>
        </w:rPr>
        <w:t xml:space="preserve">Conformément à cette décision, l'Organe subsidiaire chargé de l'application a examiné l'évaluation du cadre stratégique et a adopté la recommandation SBI-3/9, contenant un projet de décision à soumettre à </w:t>
      </w:r>
      <w:r w:rsidR="00B060CA" w:rsidRPr="00B060CA">
        <w:rPr>
          <w:rFonts w:cs="Times New Roman"/>
          <w:kern w:val="22"/>
          <w:szCs w:val="22"/>
          <w:lang w:val="fr-FR"/>
        </w:rPr>
        <w:lastRenderedPageBreak/>
        <w:t>la Conférence des Parties siégeant en tant que réunion des Parties au Protocole au titre de ce point de l'ordre du jour.</w:t>
      </w:r>
    </w:p>
    <w:p w14:paraId="76701C13" w14:textId="4E211C9E" w:rsidR="00131692" w:rsidRDefault="00C96428" w:rsidP="00131692">
      <w:pPr>
        <w:pStyle w:val="Para1"/>
        <w:pBdr>
          <w:top w:val="nil"/>
          <w:left w:val="nil"/>
          <w:bottom w:val="nil"/>
          <w:right w:val="nil"/>
          <w:between w:val="nil"/>
          <w:bar w:val="nil"/>
        </w:pBdr>
        <w:tabs>
          <w:tab w:val="left" w:pos="720"/>
        </w:tabs>
        <w:spacing w:before="120"/>
        <w:rPr>
          <w:rFonts w:cs="Times New Roman"/>
          <w:kern w:val="22"/>
          <w:szCs w:val="22"/>
          <w:lang w:val="fr-FR"/>
        </w:rPr>
      </w:pPr>
      <w:r w:rsidRPr="00131692">
        <w:rPr>
          <w:rFonts w:cs="Times New Roman"/>
          <w:kern w:val="22"/>
          <w:szCs w:val="22"/>
          <w:lang w:val="fr-FR"/>
        </w:rPr>
        <w:t>5</w:t>
      </w:r>
      <w:r w:rsidR="00F8670A" w:rsidRPr="00131692">
        <w:rPr>
          <w:rFonts w:cs="Times New Roman"/>
          <w:kern w:val="22"/>
          <w:szCs w:val="22"/>
          <w:lang w:val="fr-FR"/>
        </w:rPr>
        <w:t>.</w:t>
      </w:r>
      <w:r w:rsidR="002F3707" w:rsidRPr="00131692">
        <w:rPr>
          <w:rFonts w:cs="Times New Roman"/>
          <w:kern w:val="22"/>
          <w:szCs w:val="22"/>
          <w:lang w:val="fr-FR"/>
        </w:rPr>
        <w:tab/>
      </w:r>
      <w:r w:rsidR="00200323" w:rsidRPr="00131692">
        <w:rPr>
          <w:rFonts w:cs="Times New Roman"/>
          <w:kern w:val="22"/>
          <w:szCs w:val="22"/>
          <w:lang w:val="fr-FR"/>
        </w:rPr>
        <w:t>Dans la</w:t>
      </w:r>
      <w:r w:rsidR="00200323">
        <w:rPr>
          <w:rFonts w:cs="Times New Roman"/>
          <w:color w:val="000000"/>
          <w:kern w:val="22"/>
          <w:szCs w:val="22"/>
          <w:lang w:val="fr-FR"/>
        </w:rPr>
        <w:t xml:space="preserve"> </w:t>
      </w:r>
      <w:r w:rsidR="00200323">
        <w:rPr>
          <w:rFonts w:cs="Times New Roman"/>
          <w:snapToGrid/>
          <w:kern w:val="22"/>
          <w:szCs w:val="22"/>
          <w:lang w:val="fr-FR"/>
        </w:rPr>
        <w:t>décision</w:t>
      </w:r>
      <w:r w:rsidR="00125DE5" w:rsidRPr="00B0443C">
        <w:rPr>
          <w:rFonts w:cs="Times New Roman"/>
          <w:snapToGrid/>
          <w:kern w:val="22"/>
          <w:szCs w:val="22"/>
          <w:lang w:val="fr-FR"/>
        </w:rPr>
        <w:t xml:space="preserve"> </w:t>
      </w:r>
      <w:hyperlink r:id="rId16" w:history="1">
        <w:r w:rsidR="00125DE5" w:rsidRPr="00B0443C">
          <w:rPr>
            <w:rStyle w:val="Lienhypertexte"/>
            <w:rFonts w:cs="Times New Roman"/>
            <w:snapToGrid/>
            <w:kern w:val="22"/>
            <w:szCs w:val="22"/>
            <w:lang w:val="fr-FR"/>
          </w:rPr>
          <w:t>NP-3/1</w:t>
        </w:r>
      </w:hyperlink>
      <w:r w:rsidR="00200323">
        <w:rPr>
          <w:rFonts w:cs="Times New Roman"/>
          <w:kern w:val="22"/>
          <w:szCs w:val="22"/>
          <w:lang w:val="fr-FR"/>
        </w:rPr>
        <w:t xml:space="preserve">, les Parties ont </w:t>
      </w:r>
      <w:r w:rsidR="00200323" w:rsidRPr="00200323">
        <w:rPr>
          <w:rFonts w:cs="Times New Roman"/>
          <w:kern w:val="22"/>
          <w:szCs w:val="22"/>
          <w:lang w:val="fr-FR"/>
        </w:rPr>
        <w:t>encourag</w:t>
      </w:r>
      <w:r w:rsidR="00200323">
        <w:rPr>
          <w:rFonts w:cs="Times New Roman"/>
          <w:kern w:val="22"/>
          <w:szCs w:val="22"/>
          <w:lang w:val="fr-FR"/>
        </w:rPr>
        <w:t xml:space="preserve">é </w:t>
      </w:r>
      <w:r w:rsidR="00200323" w:rsidRPr="00200323">
        <w:rPr>
          <w:rFonts w:cs="Times New Roman"/>
          <w:kern w:val="22"/>
          <w:szCs w:val="22"/>
          <w:lang w:val="fr-FR"/>
        </w:rPr>
        <w:t xml:space="preserve">une intensification des efforts </w:t>
      </w:r>
      <w:r w:rsidR="001D429E">
        <w:rPr>
          <w:rFonts w:cs="Times New Roman"/>
          <w:kern w:val="22"/>
          <w:szCs w:val="22"/>
          <w:lang w:val="fr-FR"/>
        </w:rPr>
        <w:t>visant à</w:t>
      </w:r>
      <w:r w:rsidR="00200323" w:rsidRPr="00200323">
        <w:rPr>
          <w:rFonts w:cs="Times New Roman"/>
          <w:kern w:val="22"/>
          <w:szCs w:val="22"/>
          <w:lang w:val="fr-FR"/>
        </w:rPr>
        <w:t xml:space="preserve"> créer et </w:t>
      </w:r>
      <w:r w:rsidR="0095619E">
        <w:rPr>
          <w:rFonts w:cs="Times New Roman"/>
          <w:kern w:val="22"/>
          <w:szCs w:val="22"/>
          <w:lang w:val="fr-FR"/>
        </w:rPr>
        <w:t xml:space="preserve">à </w:t>
      </w:r>
      <w:r w:rsidR="00200323" w:rsidRPr="00200323">
        <w:rPr>
          <w:rFonts w:cs="Times New Roman"/>
          <w:kern w:val="22"/>
          <w:szCs w:val="22"/>
          <w:lang w:val="fr-FR"/>
        </w:rPr>
        <w:t>renforcer les capacités en tenant compte des domaines prioritaires identifiés lors de l'évaluation et de l'examen de l'efficacité du Protocole, de la nécessité de renforcer les capacités institutionnelles, ainsi que des besoins et priorités des peuples autochtones, des communautés locales et des parties prenantes concernées.</w:t>
      </w:r>
    </w:p>
    <w:p w14:paraId="1D08AD3A" w14:textId="0C80E36F" w:rsidR="002F3707" w:rsidRPr="00B0443C" w:rsidRDefault="005D4D8E" w:rsidP="00131692">
      <w:pPr>
        <w:pStyle w:val="Para1"/>
        <w:pBdr>
          <w:top w:val="nil"/>
          <w:left w:val="nil"/>
          <w:bottom w:val="nil"/>
          <w:right w:val="nil"/>
          <w:between w:val="nil"/>
          <w:bar w:val="nil"/>
        </w:pBdr>
        <w:tabs>
          <w:tab w:val="left" w:pos="720"/>
        </w:tabs>
        <w:spacing w:before="120"/>
        <w:rPr>
          <w:rFonts w:cs="Times New Roman"/>
          <w:snapToGrid/>
          <w:color w:val="000000"/>
          <w:kern w:val="22"/>
          <w:szCs w:val="22"/>
          <w:lang w:val="fr-FR"/>
        </w:rPr>
      </w:pPr>
      <w:r w:rsidRPr="00B0443C">
        <w:rPr>
          <w:rFonts w:cs="Times New Roman"/>
          <w:snapToGrid/>
          <w:color w:val="000000"/>
          <w:kern w:val="22"/>
          <w:szCs w:val="22"/>
          <w:lang w:val="fr-FR"/>
        </w:rPr>
        <w:t>6.</w:t>
      </w:r>
      <w:r w:rsidRPr="00B0443C">
        <w:rPr>
          <w:rFonts w:cs="Times New Roman"/>
          <w:snapToGrid/>
          <w:color w:val="000000"/>
          <w:kern w:val="22"/>
          <w:szCs w:val="22"/>
          <w:lang w:val="fr-FR"/>
        </w:rPr>
        <w:tab/>
      </w:r>
      <w:r w:rsidR="00D63CF8" w:rsidRPr="00D63CF8">
        <w:rPr>
          <w:rFonts w:cs="Times New Roman"/>
          <w:snapToGrid/>
          <w:kern w:val="22"/>
          <w:szCs w:val="22"/>
          <w:lang w:val="fr-FR"/>
        </w:rPr>
        <w:t xml:space="preserve">Dans la décision NP-3/5, les Parties ont également demandé à la Secrétaire exécutive, sous réserve de la disponibilité des ressources, de continuer à entreprendre et à faciliter des activités de renforcement des capacités pour appuyer la ratification et la mise en œuvre du Protocole de Nagoya, tel qu'indiqué dans le Plan d'action à court terme (2017-2020) pour améliorer et appuyer le renforcement des capacités en appui à l'application de la Convention et de ses Protocoles, annexé à la décision </w:t>
      </w:r>
      <w:hyperlink r:id="rId17" w:history="1">
        <w:r w:rsidR="00C96428" w:rsidRPr="00B0443C">
          <w:rPr>
            <w:rStyle w:val="Lienhypertexte"/>
            <w:rFonts w:cs="Times New Roman"/>
            <w:snapToGrid/>
            <w:kern w:val="22"/>
            <w:szCs w:val="22"/>
            <w:lang w:val="fr-FR"/>
          </w:rPr>
          <w:t>NP-2/8</w:t>
        </w:r>
      </w:hyperlink>
      <w:r w:rsidR="00C96428" w:rsidRPr="00B0443C">
        <w:rPr>
          <w:rFonts w:cs="Times New Roman"/>
          <w:snapToGrid/>
          <w:color w:val="000000"/>
          <w:kern w:val="22"/>
          <w:szCs w:val="22"/>
          <w:lang w:val="fr-FR"/>
        </w:rPr>
        <w:t>.</w:t>
      </w:r>
    </w:p>
    <w:p w14:paraId="70EA3F57" w14:textId="05D3A45C" w:rsidR="007A3048" w:rsidRPr="00B0443C" w:rsidRDefault="005D4D8E" w:rsidP="001F3B84">
      <w:pPr>
        <w:pStyle w:val="Para1"/>
        <w:pBdr>
          <w:top w:val="nil"/>
          <w:left w:val="nil"/>
          <w:bottom w:val="nil"/>
          <w:right w:val="nil"/>
          <w:between w:val="nil"/>
          <w:bar w:val="nil"/>
        </w:pBdr>
        <w:tabs>
          <w:tab w:val="left" w:pos="720"/>
        </w:tabs>
        <w:spacing w:before="120"/>
        <w:rPr>
          <w:rFonts w:cs="Times New Roman"/>
          <w:snapToGrid/>
          <w:kern w:val="22"/>
          <w:szCs w:val="22"/>
          <w:lang w:val="fr-FR"/>
        </w:rPr>
      </w:pPr>
      <w:r w:rsidRPr="00B0443C">
        <w:rPr>
          <w:rFonts w:cs="Times New Roman"/>
          <w:snapToGrid/>
          <w:kern w:val="22"/>
          <w:szCs w:val="22"/>
          <w:lang w:val="fr-FR"/>
        </w:rPr>
        <w:t>7</w:t>
      </w:r>
      <w:r w:rsidR="007A3048" w:rsidRPr="00B0443C">
        <w:rPr>
          <w:rFonts w:cs="Times New Roman"/>
          <w:snapToGrid/>
          <w:kern w:val="22"/>
          <w:szCs w:val="22"/>
          <w:lang w:val="fr-FR"/>
        </w:rPr>
        <w:t>.</w:t>
      </w:r>
      <w:r w:rsidR="007A3048" w:rsidRPr="00B0443C">
        <w:rPr>
          <w:rFonts w:cs="Times New Roman"/>
          <w:snapToGrid/>
          <w:kern w:val="22"/>
          <w:szCs w:val="22"/>
          <w:lang w:val="fr-FR"/>
        </w:rPr>
        <w:tab/>
      </w:r>
      <w:r w:rsidR="00D63CF8">
        <w:rPr>
          <w:snapToGrid/>
          <w:kern w:val="22"/>
          <w:szCs w:val="22"/>
          <w:lang w:val="fr-FR"/>
        </w:rPr>
        <w:t>Dans la décision</w:t>
      </w:r>
      <w:r w:rsidR="007A3048" w:rsidRPr="00B0443C">
        <w:rPr>
          <w:snapToGrid/>
          <w:kern w:val="22"/>
          <w:szCs w:val="22"/>
          <w:lang w:val="fr-FR"/>
        </w:rPr>
        <w:t xml:space="preserve"> </w:t>
      </w:r>
      <w:hyperlink r:id="rId18" w:history="1">
        <w:r w:rsidR="007A3048" w:rsidRPr="00B0443C">
          <w:rPr>
            <w:rStyle w:val="Lienhypertexte"/>
            <w:lang w:val="fr-FR"/>
          </w:rPr>
          <w:t>NP</w:t>
        </w:r>
        <w:r w:rsidR="00530839" w:rsidRPr="00B0443C">
          <w:rPr>
            <w:rStyle w:val="Lienhypertexte"/>
            <w:lang w:val="fr-FR"/>
          </w:rPr>
          <w:t>-</w:t>
        </w:r>
        <w:r w:rsidR="007A3048" w:rsidRPr="00B0443C">
          <w:rPr>
            <w:rStyle w:val="Lienhypertexte"/>
            <w:lang w:val="fr-FR"/>
          </w:rPr>
          <w:t>1/9</w:t>
        </w:r>
      </w:hyperlink>
      <w:r w:rsidR="007A3048" w:rsidRPr="00B0443C">
        <w:rPr>
          <w:snapToGrid/>
          <w:kern w:val="22"/>
          <w:szCs w:val="22"/>
          <w:lang w:val="fr-FR"/>
        </w:rPr>
        <w:t xml:space="preserve">, </w:t>
      </w:r>
      <w:r w:rsidR="001F3B84" w:rsidRPr="001F3B84">
        <w:rPr>
          <w:kern w:val="22"/>
          <w:szCs w:val="22"/>
          <w:lang w:val="fr-FR"/>
        </w:rPr>
        <w:t>la Conférence des Parties siégeant en tant que réunion des Parties au Protocole de Nagoya a adopté une stratégie de sensibilisation qui vise à procurer une approche systématique et cohérente pour aider les Parties à appliquer l'</w:t>
      </w:r>
      <w:r w:rsidR="00495556">
        <w:rPr>
          <w:kern w:val="22"/>
          <w:szCs w:val="22"/>
          <w:lang w:val="fr-FR"/>
        </w:rPr>
        <w:t>article</w:t>
      </w:r>
      <w:r w:rsidR="001F3B84" w:rsidRPr="001F3B84">
        <w:rPr>
          <w:kern w:val="22"/>
          <w:szCs w:val="22"/>
          <w:lang w:val="fr-FR"/>
        </w:rPr>
        <w:t xml:space="preserve"> 21. Elle a reconnu la nécessité de lier les activités liées à l'</w:t>
      </w:r>
      <w:r w:rsidR="00495556">
        <w:rPr>
          <w:kern w:val="22"/>
          <w:szCs w:val="22"/>
          <w:lang w:val="fr-FR"/>
        </w:rPr>
        <w:t>article</w:t>
      </w:r>
      <w:r w:rsidR="001F3B84" w:rsidRPr="001F3B84">
        <w:rPr>
          <w:kern w:val="22"/>
          <w:szCs w:val="22"/>
          <w:lang w:val="fr-FR"/>
        </w:rPr>
        <w:t xml:space="preserve"> 21 à d'autres activités de développement des capacités dans le cadre du Protocole de Nagoya et du programme de travail sur la communication, l'éducation et la sensibilisation du </w:t>
      </w:r>
      <w:r w:rsidR="001F3B84" w:rsidRPr="001F3B84">
        <w:rPr>
          <w:rFonts w:cs="Times New Roman"/>
          <w:snapToGrid/>
          <w:kern w:val="22"/>
          <w:szCs w:val="22"/>
          <w:lang w:val="fr-FR"/>
        </w:rPr>
        <w:t>public (</w:t>
      </w:r>
      <w:r w:rsidR="00D02C04">
        <w:rPr>
          <w:rFonts w:cs="Times New Roman"/>
          <w:snapToGrid/>
          <w:kern w:val="22"/>
          <w:szCs w:val="22"/>
          <w:lang w:val="fr-FR"/>
        </w:rPr>
        <w:t>CEPA</w:t>
      </w:r>
      <w:r w:rsidR="001F3B84" w:rsidRPr="001F3B84">
        <w:rPr>
          <w:rFonts w:cs="Times New Roman"/>
          <w:snapToGrid/>
          <w:kern w:val="22"/>
          <w:szCs w:val="22"/>
          <w:lang w:val="fr-FR"/>
        </w:rPr>
        <w:t>), ainsi qu'à d'autres initiatives de vulgarisation de la Convention sur la diversité biologique.</w:t>
      </w:r>
    </w:p>
    <w:p w14:paraId="03C4C657" w14:textId="5F30D13E" w:rsidR="00AD3A44" w:rsidRPr="0031021C" w:rsidRDefault="005D4D8E" w:rsidP="0031021C">
      <w:pPr>
        <w:pStyle w:val="Para1"/>
        <w:pBdr>
          <w:top w:val="nil"/>
          <w:left w:val="nil"/>
          <w:bottom w:val="nil"/>
          <w:right w:val="nil"/>
          <w:between w:val="nil"/>
          <w:bar w:val="nil"/>
        </w:pBdr>
        <w:tabs>
          <w:tab w:val="left" w:pos="720"/>
        </w:tabs>
        <w:spacing w:before="120"/>
        <w:rPr>
          <w:rFonts w:cs="Times New Roman"/>
          <w:snapToGrid/>
          <w:kern w:val="22"/>
          <w:szCs w:val="22"/>
          <w:lang w:val="fr-FR"/>
        </w:rPr>
      </w:pPr>
      <w:r w:rsidRPr="001F3B84">
        <w:rPr>
          <w:rFonts w:cs="Times New Roman"/>
          <w:snapToGrid/>
          <w:kern w:val="22"/>
          <w:szCs w:val="22"/>
          <w:lang w:val="fr-FR"/>
        </w:rPr>
        <w:t>8</w:t>
      </w:r>
      <w:r w:rsidR="008F4B48" w:rsidRPr="001F3B84">
        <w:rPr>
          <w:rFonts w:cs="Times New Roman"/>
          <w:snapToGrid/>
          <w:kern w:val="22"/>
          <w:szCs w:val="22"/>
          <w:lang w:val="fr-FR"/>
        </w:rPr>
        <w:t>.</w:t>
      </w:r>
      <w:r w:rsidR="008F4B48" w:rsidRPr="001F3B84">
        <w:rPr>
          <w:rFonts w:cs="Times New Roman"/>
          <w:snapToGrid/>
          <w:kern w:val="22"/>
          <w:szCs w:val="22"/>
          <w:lang w:val="fr-FR"/>
        </w:rPr>
        <w:tab/>
      </w:r>
      <w:r w:rsidR="00AD3A44" w:rsidRPr="00CD653E">
        <w:rPr>
          <w:rFonts w:cs="Times New Roman"/>
          <w:kern w:val="22"/>
          <w:szCs w:val="22"/>
          <w:lang w:val="fr-CA"/>
        </w:rPr>
        <w:t xml:space="preserve">La </w:t>
      </w:r>
      <w:r w:rsidR="00447185" w:rsidRPr="00CD653E">
        <w:rPr>
          <w:rFonts w:cs="Times New Roman"/>
          <w:kern w:val="22"/>
          <w:szCs w:val="22"/>
          <w:lang w:val="fr-CA"/>
        </w:rPr>
        <w:t>décision</w:t>
      </w:r>
      <w:r w:rsidR="001F3B84" w:rsidRPr="00CD653E">
        <w:rPr>
          <w:rFonts w:cs="Times New Roman"/>
          <w:kern w:val="22"/>
          <w:szCs w:val="22"/>
          <w:lang w:val="fr-CA"/>
        </w:rPr>
        <w:t xml:space="preserve"> </w:t>
      </w:r>
      <w:hyperlink r:id="rId19" w:history="1">
        <w:r w:rsidR="001F3B84" w:rsidRPr="00CD653E">
          <w:rPr>
            <w:rStyle w:val="Lienhypertexte"/>
            <w:rFonts w:cs="Times New Roman"/>
            <w:kern w:val="22"/>
            <w:szCs w:val="22"/>
            <w:lang w:val="fr-CA"/>
          </w:rPr>
          <w:t>NP-3/6</w:t>
        </w:r>
      </w:hyperlink>
      <w:r w:rsidR="00030368" w:rsidRPr="001F3B84">
        <w:rPr>
          <w:rFonts w:cs="Times New Roman"/>
          <w:snapToGrid/>
          <w:kern w:val="22"/>
          <w:szCs w:val="22"/>
          <w:lang w:val="fr-FR"/>
        </w:rPr>
        <w:t xml:space="preserve"> </w:t>
      </w:r>
      <w:r w:rsidR="00AD3A44" w:rsidRPr="00AD3A44">
        <w:rPr>
          <w:rFonts w:cs="Times New Roman"/>
          <w:kern w:val="22"/>
          <w:szCs w:val="22"/>
          <w:lang w:val="fr-FR"/>
        </w:rPr>
        <w:t xml:space="preserve">a appelé les Parties, les États non Parties, les organisations compétentes et les autres acteurs </w:t>
      </w:r>
      <w:r w:rsidR="00AD3A44">
        <w:rPr>
          <w:rFonts w:cs="Times New Roman"/>
          <w:kern w:val="22"/>
          <w:szCs w:val="22"/>
          <w:lang w:val="fr-FR"/>
        </w:rPr>
        <w:t xml:space="preserve">concernés </w:t>
      </w:r>
      <w:r w:rsidR="00AD3A44" w:rsidRPr="00AD3A44">
        <w:rPr>
          <w:rFonts w:cs="Times New Roman"/>
          <w:kern w:val="22"/>
          <w:szCs w:val="22"/>
          <w:lang w:val="fr-FR"/>
        </w:rPr>
        <w:t>à continuer d'entreprendre des activités de sensibilisation et a demandé à la Secrétaire exécutive de continuer à chercher à obtenir des retours d'information des Parties, des États non Parties et des autres acteurs concernés sur la boîte à outils sur la sensibilisation en matière d'accès et de partage des avantages élaborée par le Secrétariat et de fournir une mise à jour sur la mise en œuvre de la stratégie de sensibilisation pour examen par la Conférence des Parties siégeant en tant que réunion des Parties au Protocole de Nagoya à sa quatrième réunion</w:t>
      </w:r>
    </w:p>
    <w:p w14:paraId="6B3D2952" w14:textId="52D2B9FF" w:rsidR="00B75F96" w:rsidRPr="0031021C" w:rsidRDefault="005D4D8E" w:rsidP="0031021C">
      <w:pPr>
        <w:pStyle w:val="Para1"/>
        <w:pBdr>
          <w:top w:val="nil"/>
          <w:left w:val="nil"/>
          <w:bottom w:val="nil"/>
          <w:right w:val="nil"/>
          <w:between w:val="nil"/>
          <w:bar w:val="nil"/>
        </w:pBdr>
        <w:tabs>
          <w:tab w:val="left" w:pos="720"/>
        </w:tabs>
        <w:spacing w:before="120"/>
        <w:rPr>
          <w:rFonts w:cs="Times New Roman"/>
          <w:kern w:val="22"/>
          <w:szCs w:val="22"/>
          <w:lang w:val="fr-FR"/>
        </w:rPr>
      </w:pPr>
      <w:r w:rsidRPr="0031021C">
        <w:rPr>
          <w:rFonts w:cs="Times New Roman"/>
          <w:snapToGrid/>
          <w:kern w:val="22"/>
          <w:szCs w:val="22"/>
          <w:lang w:val="fr-FR"/>
        </w:rPr>
        <w:t>9</w:t>
      </w:r>
      <w:r w:rsidR="00F8670A" w:rsidRPr="0031021C">
        <w:rPr>
          <w:rFonts w:cs="Times New Roman"/>
          <w:snapToGrid/>
          <w:kern w:val="22"/>
          <w:szCs w:val="22"/>
          <w:lang w:val="fr-FR"/>
        </w:rPr>
        <w:t>.</w:t>
      </w:r>
      <w:r w:rsidR="00F8670A" w:rsidRPr="0031021C">
        <w:rPr>
          <w:rFonts w:cs="Times New Roman"/>
          <w:snapToGrid/>
          <w:kern w:val="22"/>
          <w:szCs w:val="22"/>
          <w:lang w:val="fr-FR"/>
        </w:rPr>
        <w:tab/>
      </w:r>
      <w:r w:rsidR="0031021C" w:rsidRPr="0031021C">
        <w:rPr>
          <w:rFonts w:cs="Times New Roman"/>
          <w:snapToGrid/>
          <w:kern w:val="22"/>
          <w:szCs w:val="22"/>
          <w:lang w:val="fr-FR"/>
        </w:rPr>
        <w:t>Enfin, à sa quatorzième réunion</w:t>
      </w:r>
      <w:r w:rsidR="00B861A2" w:rsidRPr="00B0443C">
        <w:rPr>
          <w:rFonts w:cs="Times New Roman"/>
          <w:snapToGrid/>
          <w:kern w:val="22"/>
          <w:szCs w:val="22"/>
          <w:lang w:val="fr-FR"/>
        </w:rPr>
        <w:t xml:space="preserve"> (</w:t>
      </w:r>
      <w:r w:rsidR="0031021C" w:rsidRPr="0031021C">
        <w:rPr>
          <w:rFonts w:cs="Times New Roman"/>
          <w:snapToGrid/>
          <w:kern w:val="22"/>
          <w:szCs w:val="22"/>
          <w:lang w:val="fr-FR"/>
        </w:rPr>
        <w:t>décision</w:t>
      </w:r>
      <w:r w:rsidR="009B6BFB" w:rsidRPr="00B0443C">
        <w:rPr>
          <w:rFonts w:cs="Times New Roman"/>
          <w:snapToGrid/>
          <w:kern w:val="22"/>
          <w:szCs w:val="22"/>
          <w:lang w:val="fr-FR"/>
        </w:rPr>
        <w:t xml:space="preserve"> </w:t>
      </w:r>
      <w:hyperlink r:id="rId20" w:history="1">
        <w:r w:rsidR="009B6BFB" w:rsidRPr="0031021C">
          <w:rPr>
            <w:lang w:val="fr-FR"/>
          </w:rPr>
          <w:t>14/24</w:t>
        </w:r>
      </w:hyperlink>
      <w:r w:rsidR="00B861A2" w:rsidRPr="00B0443C">
        <w:rPr>
          <w:rFonts w:cs="Times New Roman"/>
          <w:snapToGrid/>
          <w:kern w:val="22"/>
          <w:szCs w:val="22"/>
          <w:lang w:val="fr-FR"/>
        </w:rPr>
        <w:t xml:space="preserve">), </w:t>
      </w:r>
      <w:bookmarkStart w:id="1" w:name="_Hlk89085964"/>
      <w:r w:rsidR="0031021C" w:rsidRPr="0031021C">
        <w:rPr>
          <w:rFonts w:cs="Times New Roman"/>
          <w:snapToGrid/>
          <w:kern w:val="22"/>
          <w:szCs w:val="22"/>
          <w:lang w:val="fr-FR"/>
        </w:rPr>
        <w:t>la</w:t>
      </w:r>
      <w:r w:rsidR="0031021C" w:rsidRPr="0031021C">
        <w:rPr>
          <w:rFonts w:cs="Times New Roman"/>
          <w:kern w:val="22"/>
          <w:szCs w:val="22"/>
          <w:lang w:val="fr-FR"/>
        </w:rPr>
        <w:t xml:space="preserve"> Conférence des Parties a prié la Secrétaire exécutive de soumettre un projet de cadre stratégique à long terme pour le renforcement des capacités aligné sur le projet de Cadre mondial de la biodiversité pour l'après-2020 et le Programme de développement durable à l'horizon 2030, pour examen par l'Organe subsidiaire de mise en œuvre à sa troisième réunion, et pour examen ultérieur par la Conférence des Parties à sa quinzième réunion. Conformément à cette décision, l'Organe subsidiaire chargé de l'application a examiné le projet de cadre stratégique à long terme pour le renforcement des capacités et le développement à l'appui de l'application du Cadre mondial de la biodiversité pour l'après-2020 et a adopté la recommandation </w:t>
      </w:r>
      <w:hyperlink r:id="rId21" w:history="1">
        <w:r w:rsidR="00371C5B" w:rsidRPr="00B0443C">
          <w:rPr>
            <w:rStyle w:val="Lienhypertexte"/>
            <w:rFonts w:cs="Times New Roman"/>
            <w:kern w:val="22"/>
            <w:szCs w:val="22"/>
            <w:lang w:val="fr-FR"/>
          </w:rPr>
          <w:t>3/8</w:t>
        </w:r>
        <w:bookmarkEnd w:id="1"/>
      </w:hyperlink>
      <w:r w:rsidR="000B225F" w:rsidRPr="00B0443C">
        <w:rPr>
          <w:rFonts w:cs="Times New Roman"/>
          <w:kern w:val="22"/>
          <w:szCs w:val="22"/>
          <w:lang w:val="fr-FR"/>
        </w:rPr>
        <w:t>.</w:t>
      </w:r>
    </w:p>
    <w:p w14:paraId="2C9A9CB7" w14:textId="7B7756EE" w:rsidR="0031021C" w:rsidRPr="0031021C" w:rsidRDefault="002C6370" w:rsidP="0031021C">
      <w:pPr>
        <w:pStyle w:val="Para1"/>
        <w:pBdr>
          <w:top w:val="nil"/>
          <w:left w:val="nil"/>
          <w:bottom w:val="nil"/>
          <w:right w:val="nil"/>
          <w:between w:val="nil"/>
          <w:bar w:val="nil"/>
        </w:pBdr>
        <w:tabs>
          <w:tab w:val="left" w:pos="720"/>
        </w:tabs>
        <w:spacing w:before="120"/>
        <w:rPr>
          <w:rFonts w:cs="Times New Roman"/>
          <w:kern w:val="22"/>
          <w:szCs w:val="22"/>
          <w:lang w:val="fr-FR"/>
        </w:rPr>
      </w:pPr>
      <w:r w:rsidRPr="00B0443C">
        <w:rPr>
          <w:rFonts w:cs="Times New Roman"/>
          <w:color w:val="000000"/>
          <w:kern w:val="22"/>
          <w:szCs w:val="22"/>
          <w:lang w:val="fr-FR"/>
        </w:rPr>
        <w:t>10</w:t>
      </w:r>
      <w:r w:rsidR="00F8670A" w:rsidRPr="00B0443C">
        <w:rPr>
          <w:rFonts w:cs="Times New Roman"/>
          <w:color w:val="000000"/>
          <w:kern w:val="22"/>
          <w:szCs w:val="22"/>
          <w:lang w:val="fr-FR"/>
        </w:rPr>
        <w:t>.</w:t>
      </w:r>
      <w:r w:rsidR="00F8670A" w:rsidRPr="00B0443C">
        <w:rPr>
          <w:rFonts w:cs="Times New Roman"/>
          <w:color w:val="000000"/>
          <w:kern w:val="22"/>
          <w:szCs w:val="22"/>
          <w:lang w:val="fr-FR"/>
        </w:rPr>
        <w:tab/>
      </w:r>
      <w:r w:rsidR="0031021C" w:rsidRPr="0031021C">
        <w:rPr>
          <w:rFonts w:cs="Times New Roman"/>
          <w:kern w:val="22"/>
          <w:szCs w:val="22"/>
          <w:lang w:val="fr-FR"/>
        </w:rPr>
        <w:t xml:space="preserve">Dans ce contexte, la section II décrit les activités </w:t>
      </w:r>
      <w:r w:rsidR="004150FA">
        <w:rPr>
          <w:rFonts w:cs="Times New Roman"/>
          <w:kern w:val="22"/>
          <w:szCs w:val="22"/>
          <w:lang w:val="fr-FR"/>
        </w:rPr>
        <w:t>d’</w:t>
      </w:r>
      <w:r w:rsidR="0031021C" w:rsidRPr="0031021C">
        <w:rPr>
          <w:rFonts w:cs="Times New Roman"/>
          <w:kern w:val="22"/>
          <w:szCs w:val="22"/>
          <w:lang w:val="fr-FR"/>
        </w:rPr>
        <w:t xml:space="preserve">intersession entreprises par le Secrétariat au cours de la période 2019-2022 pour améliorer et soutenir le renforcement des capacités et la sensibilisation à l'application du Protocole de Nagoya. La section III fournit un aperçu actualisé des initiatives de </w:t>
      </w:r>
      <w:r w:rsidR="003D2DA2">
        <w:rPr>
          <w:rFonts w:cs="Times New Roman"/>
          <w:kern w:val="22"/>
          <w:szCs w:val="22"/>
          <w:lang w:val="fr-FR"/>
        </w:rPr>
        <w:t>développement</w:t>
      </w:r>
      <w:r w:rsidR="0031021C" w:rsidRPr="0031021C">
        <w:rPr>
          <w:rFonts w:cs="Times New Roman"/>
          <w:kern w:val="22"/>
          <w:szCs w:val="22"/>
          <w:lang w:val="fr-FR"/>
        </w:rPr>
        <w:t xml:space="preserve"> et de renforcement des capacités et des ressources en appui à l'application du Protocole de Nagoya. La section IV met en évidence le travail entrepris par le Comité consultatif informel pour soutenir l'évaluation du cadre stratégique pour </w:t>
      </w:r>
      <w:r w:rsidR="00D43DBB">
        <w:rPr>
          <w:rFonts w:cs="Times New Roman"/>
          <w:kern w:val="22"/>
          <w:szCs w:val="22"/>
          <w:lang w:val="fr-FR"/>
        </w:rPr>
        <w:t xml:space="preserve">la création et le renforcement </w:t>
      </w:r>
      <w:r w:rsidR="0031021C" w:rsidRPr="0031021C">
        <w:rPr>
          <w:rFonts w:cs="Times New Roman"/>
          <w:kern w:val="22"/>
          <w:szCs w:val="22"/>
          <w:lang w:val="fr-FR"/>
        </w:rPr>
        <w:t>de</w:t>
      </w:r>
      <w:r w:rsidR="00D43DBB">
        <w:rPr>
          <w:rFonts w:cs="Times New Roman"/>
          <w:kern w:val="22"/>
          <w:szCs w:val="22"/>
          <w:lang w:val="fr-FR"/>
        </w:rPr>
        <w:t>s</w:t>
      </w:r>
      <w:r w:rsidR="0031021C" w:rsidRPr="0031021C">
        <w:rPr>
          <w:rFonts w:cs="Times New Roman"/>
          <w:kern w:val="22"/>
          <w:szCs w:val="22"/>
          <w:lang w:val="fr-FR"/>
        </w:rPr>
        <w:t xml:space="preserve"> capacités </w:t>
      </w:r>
      <w:r w:rsidR="00A578EA">
        <w:rPr>
          <w:rFonts w:cs="Times New Roman"/>
          <w:kern w:val="22"/>
          <w:szCs w:val="22"/>
          <w:lang w:val="fr-FR"/>
        </w:rPr>
        <w:t xml:space="preserve">en </w:t>
      </w:r>
      <w:r w:rsidR="0031021C" w:rsidRPr="0031021C">
        <w:rPr>
          <w:rFonts w:cs="Times New Roman"/>
          <w:kern w:val="22"/>
          <w:szCs w:val="22"/>
          <w:lang w:val="fr-FR"/>
        </w:rPr>
        <w:t xml:space="preserve">appui </w:t>
      </w:r>
      <w:r w:rsidR="00A578EA">
        <w:rPr>
          <w:rFonts w:cs="Times New Roman"/>
          <w:kern w:val="22"/>
          <w:szCs w:val="22"/>
          <w:lang w:val="fr-FR"/>
        </w:rPr>
        <w:t xml:space="preserve">à l’application </w:t>
      </w:r>
      <w:r w:rsidR="0031021C" w:rsidRPr="0031021C">
        <w:rPr>
          <w:rFonts w:cs="Times New Roman"/>
          <w:kern w:val="22"/>
          <w:szCs w:val="22"/>
          <w:lang w:val="fr-FR"/>
        </w:rPr>
        <w:t xml:space="preserve">effective du Protocole de Nagoya. La section V résume des commentaires reçus </w:t>
      </w:r>
      <w:r w:rsidR="00405B50">
        <w:rPr>
          <w:rFonts w:cs="Times New Roman"/>
          <w:kern w:val="22"/>
          <w:szCs w:val="22"/>
          <w:lang w:val="fr-FR"/>
        </w:rPr>
        <w:t>concernant</w:t>
      </w:r>
      <w:r w:rsidR="0031021C" w:rsidRPr="0031021C">
        <w:rPr>
          <w:rFonts w:cs="Times New Roman"/>
          <w:kern w:val="22"/>
          <w:szCs w:val="22"/>
          <w:lang w:val="fr-FR"/>
        </w:rPr>
        <w:t xml:space="preserve"> la boîte à outils sur la sensibilisation en matière d'accès et de partage des avantages élaborée par le </w:t>
      </w:r>
      <w:r w:rsidR="00CE3662">
        <w:rPr>
          <w:rFonts w:cs="Times New Roman"/>
          <w:kern w:val="22"/>
          <w:szCs w:val="22"/>
          <w:lang w:val="fr-FR"/>
        </w:rPr>
        <w:t>S</w:t>
      </w:r>
      <w:r w:rsidR="0031021C" w:rsidRPr="0031021C">
        <w:rPr>
          <w:rFonts w:cs="Times New Roman"/>
          <w:kern w:val="22"/>
          <w:szCs w:val="22"/>
          <w:lang w:val="fr-FR"/>
        </w:rPr>
        <w:t>ecrétariat et une mise à jour des actions entreprises par les Parties et les parties prenantes concernées pour mettre en œuvre la stratégie de sensibilisation. Enfin, la section VI contient des éléments de projet de décision pour examen par la Conférence des Parties siégeant en tant que réunion des Parties au Protocole lors de sa quatrième réunion.</w:t>
      </w:r>
    </w:p>
    <w:p w14:paraId="1CC66585" w14:textId="38616DA1" w:rsidR="003E2C54" w:rsidRPr="00B0443C" w:rsidRDefault="00F8670A" w:rsidP="00010EB1">
      <w:pPr>
        <w:pStyle w:val="Titre1"/>
        <w:tabs>
          <w:tab w:val="clear" w:pos="720"/>
        </w:tabs>
        <w:spacing w:before="120"/>
        <w:ind w:left="1276" w:right="429" w:hanging="720"/>
        <w:jc w:val="left"/>
        <w:rPr>
          <w:rFonts w:cs="Times New Roman"/>
          <w:kern w:val="22"/>
          <w:lang w:val="fr-FR"/>
        </w:rPr>
      </w:pPr>
      <w:r w:rsidRPr="00B0443C">
        <w:rPr>
          <w:rFonts w:cs="Times New Roman"/>
          <w:kern w:val="22"/>
          <w:lang w:val="fr-FR"/>
        </w:rPr>
        <w:lastRenderedPageBreak/>
        <w:t>II.</w:t>
      </w:r>
      <w:r w:rsidRPr="00B0443C">
        <w:rPr>
          <w:rFonts w:cs="Times New Roman"/>
          <w:kern w:val="22"/>
          <w:szCs w:val="22"/>
          <w:lang w:val="fr-FR"/>
        </w:rPr>
        <w:tab/>
      </w:r>
      <w:r w:rsidR="003575C4" w:rsidRPr="003575C4">
        <w:rPr>
          <w:rFonts w:cs="Times New Roman"/>
          <w:kern w:val="22"/>
          <w:lang w:val="fr-FR"/>
        </w:rPr>
        <w:t>VUE D'ENSEMBLE DES ACTIVITÉS INTERSESSION</w:t>
      </w:r>
      <w:r w:rsidR="00601955">
        <w:rPr>
          <w:rFonts w:cs="Times New Roman"/>
          <w:kern w:val="22"/>
          <w:lang w:val="fr-FR"/>
        </w:rPr>
        <w:t>s</w:t>
      </w:r>
      <w:r w:rsidR="003575C4" w:rsidRPr="003575C4">
        <w:rPr>
          <w:rFonts w:cs="Times New Roman"/>
          <w:kern w:val="22"/>
          <w:lang w:val="fr-FR"/>
        </w:rPr>
        <w:t xml:space="preserve"> ENTREPRISES PAR LE SECRÉTARIAT</w:t>
      </w:r>
    </w:p>
    <w:p w14:paraId="7DBFFBCC" w14:textId="1959E35C" w:rsidR="00191E1D" w:rsidRPr="00191E1D" w:rsidRDefault="002C6370" w:rsidP="00191E1D">
      <w:pPr>
        <w:rPr>
          <w:rFonts w:cs="Times New Roman"/>
          <w:kern w:val="22"/>
          <w:szCs w:val="18"/>
          <w:lang w:val="fr-FR"/>
        </w:rPr>
      </w:pPr>
      <w:r w:rsidRPr="00B0443C">
        <w:rPr>
          <w:rFonts w:cs="Times New Roman"/>
          <w:color w:val="000000"/>
          <w:kern w:val="22"/>
          <w:lang w:val="fr-FR"/>
        </w:rPr>
        <w:t>1</w:t>
      </w:r>
      <w:r w:rsidR="004F55BE" w:rsidRPr="00B0443C">
        <w:rPr>
          <w:rFonts w:cs="Times New Roman"/>
          <w:color w:val="000000"/>
          <w:kern w:val="22"/>
          <w:lang w:val="fr-FR"/>
        </w:rPr>
        <w:t>1</w:t>
      </w:r>
      <w:r w:rsidR="00F8670A" w:rsidRPr="00B0443C">
        <w:rPr>
          <w:rFonts w:cs="Times New Roman"/>
          <w:color w:val="000000"/>
          <w:kern w:val="22"/>
          <w:lang w:val="fr-FR"/>
        </w:rPr>
        <w:t>.</w:t>
      </w:r>
      <w:r w:rsidRPr="00B0443C">
        <w:rPr>
          <w:lang w:val="fr-FR"/>
        </w:rPr>
        <w:tab/>
      </w:r>
      <w:r w:rsidR="00191E1D" w:rsidRPr="00191E1D">
        <w:rPr>
          <w:rFonts w:cs="Times New Roman"/>
          <w:kern w:val="22"/>
          <w:szCs w:val="18"/>
          <w:lang w:val="fr-FR"/>
        </w:rPr>
        <w:t xml:space="preserve">Au cours de la période intersessions, le </w:t>
      </w:r>
      <w:r w:rsidR="00CE3662">
        <w:rPr>
          <w:rFonts w:cs="Times New Roman"/>
          <w:kern w:val="22"/>
          <w:szCs w:val="18"/>
          <w:lang w:val="fr-FR"/>
        </w:rPr>
        <w:t>S</w:t>
      </w:r>
      <w:r w:rsidR="00191E1D" w:rsidRPr="00191E1D">
        <w:rPr>
          <w:rFonts w:cs="Times New Roman"/>
          <w:kern w:val="22"/>
          <w:szCs w:val="18"/>
          <w:lang w:val="fr-FR"/>
        </w:rPr>
        <w:t xml:space="preserve">ecrétariat a mis en œuvre, facilité et soutenu plusieurs activités de </w:t>
      </w:r>
      <w:r w:rsidR="003D2DA2">
        <w:rPr>
          <w:rFonts w:cs="Times New Roman"/>
          <w:kern w:val="22"/>
          <w:szCs w:val="18"/>
          <w:lang w:val="fr-FR"/>
        </w:rPr>
        <w:t>développement</w:t>
      </w:r>
      <w:r w:rsidR="00191E1D" w:rsidRPr="00191E1D">
        <w:rPr>
          <w:rFonts w:cs="Times New Roman"/>
          <w:kern w:val="22"/>
          <w:szCs w:val="18"/>
          <w:lang w:val="fr-FR"/>
        </w:rPr>
        <w:t xml:space="preserve"> et de renforcement des capacités pour améliorer et appuyer le renforcement des capacités en appui à l'application de la Convention et de ses Protocoles contenus dans l'annexe des décisions XIII/23 et NP 2/8. Les sous-sections suivantes </w:t>
      </w:r>
      <w:r w:rsidR="00CE3662">
        <w:rPr>
          <w:rFonts w:cs="Times New Roman"/>
          <w:kern w:val="22"/>
          <w:szCs w:val="18"/>
          <w:lang w:val="fr-FR"/>
        </w:rPr>
        <w:t>offrent</w:t>
      </w:r>
      <w:r w:rsidR="00191E1D" w:rsidRPr="00191E1D">
        <w:rPr>
          <w:rFonts w:cs="Times New Roman"/>
          <w:kern w:val="22"/>
          <w:szCs w:val="18"/>
          <w:lang w:val="fr-FR"/>
        </w:rPr>
        <w:t xml:space="preserve"> un aperçu de ces activités et des ressources qui ont été développées.</w:t>
      </w:r>
    </w:p>
    <w:p w14:paraId="3902CA44" w14:textId="7BC4E5CD" w:rsidR="003E2C54" w:rsidRPr="00B0443C" w:rsidRDefault="00F8670A" w:rsidP="00F37E96">
      <w:pPr>
        <w:pStyle w:val="Titre2"/>
        <w:tabs>
          <w:tab w:val="clear" w:pos="720"/>
          <w:tab w:val="left" w:pos="426"/>
        </w:tabs>
        <w:rPr>
          <w:rFonts w:cs="Times New Roman"/>
          <w:kern w:val="22"/>
          <w:szCs w:val="22"/>
          <w:lang w:val="fr-FR"/>
        </w:rPr>
      </w:pPr>
      <w:r w:rsidRPr="00B0443C">
        <w:rPr>
          <w:rFonts w:cs="Times New Roman"/>
          <w:color w:val="000000"/>
          <w:kern w:val="22"/>
          <w:szCs w:val="22"/>
          <w:lang w:val="fr-FR"/>
        </w:rPr>
        <w:t>A.</w:t>
      </w:r>
      <w:r w:rsidRPr="00B0443C">
        <w:rPr>
          <w:rFonts w:cs="Times New Roman"/>
          <w:color w:val="000000"/>
          <w:kern w:val="22"/>
          <w:szCs w:val="22"/>
          <w:lang w:val="fr-FR"/>
        </w:rPr>
        <w:tab/>
      </w:r>
      <w:r w:rsidR="00241179" w:rsidRPr="00241179">
        <w:rPr>
          <w:rFonts w:cs="Times New Roman"/>
          <w:kern w:val="22"/>
          <w:szCs w:val="22"/>
          <w:lang w:val="fr-FR"/>
        </w:rPr>
        <w:t>Activités et ressources de renforcement des capacités et de sensibilisation</w:t>
      </w:r>
    </w:p>
    <w:p w14:paraId="4CBD6EF6" w14:textId="77AE192F" w:rsidR="00C259F9" w:rsidRPr="00B0443C" w:rsidRDefault="00F8670A" w:rsidP="00010EB1">
      <w:pPr>
        <w:pStyle w:val="Titre3"/>
        <w:rPr>
          <w:lang w:val="fr-FR"/>
        </w:rPr>
      </w:pPr>
      <w:r w:rsidRPr="00B0443C">
        <w:rPr>
          <w:color w:val="000000"/>
          <w:lang w:val="fr-FR"/>
        </w:rPr>
        <w:t>1.</w:t>
      </w:r>
      <w:r w:rsidRPr="00B0443C">
        <w:rPr>
          <w:color w:val="000000"/>
          <w:lang w:val="fr-FR"/>
        </w:rPr>
        <w:tab/>
      </w:r>
      <w:r w:rsidR="00241179" w:rsidRPr="00241179">
        <w:rPr>
          <w:lang w:val="fr-FR"/>
        </w:rPr>
        <w:t>Activités de renforcement des capacités et de sensibilisation</w:t>
      </w:r>
    </w:p>
    <w:p w14:paraId="4B7715F5" w14:textId="52C17694" w:rsidR="00D3435E" w:rsidRPr="00241179" w:rsidRDefault="00F8670A" w:rsidP="00241179">
      <w:pPr>
        <w:pStyle w:val="Para1"/>
        <w:pBdr>
          <w:top w:val="nil"/>
          <w:left w:val="nil"/>
          <w:bottom w:val="nil"/>
          <w:right w:val="nil"/>
          <w:between w:val="nil"/>
          <w:bar w:val="nil"/>
        </w:pBdr>
        <w:tabs>
          <w:tab w:val="left" w:pos="720"/>
        </w:tabs>
        <w:spacing w:before="120"/>
        <w:rPr>
          <w:rFonts w:cs="Times New Roman"/>
          <w:kern w:val="22"/>
          <w:szCs w:val="22"/>
          <w:lang w:val="fr-FR"/>
        </w:rPr>
      </w:pPr>
      <w:r w:rsidRPr="00B0443C">
        <w:rPr>
          <w:rFonts w:cs="Times New Roman"/>
          <w:color w:val="000000"/>
          <w:kern w:val="22"/>
          <w:szCs w:val="22"/>
          <w:lang w:val="fr-FR"/>
        </w:rPr>
        <w:t>1</w:t>
      </w:r>
      <w:r w:rsidR="004F55BE" w:rsidRPr="00B0443C">
        <w:rPr>
          <w:rFonts w:cs="Times New Roman"/>
          <w:color w:val="000000"/>
          <w:kern w:val="22"/>
          <w:szCs w:val="22"/>
          <w:lang w:val="fr-FR"/>
        </w:rPr>
        <w:t>2</w:t>
      </w:r>
      <w:r w:rsidRPr="00B0443C">
        <w:rPr>
          <w:rFonts w:cs="Times New Roman"/>
          <w:color w:val="000000"/>
          <w:kern w:val="22"/>
          <w:szCs w:val="22"/>
          <w:lang w:val="fr-FR"/>
        </w:rPr>
        <w:t>.</w:t>
      </w:r>
      <w:r w:rsidRPr="00B0443C">
        <w:rPr>
          <w:rFonts w:cs="Times New Roman"/>
          <w:color w:val="000000"/>
          <w:kern w:val="22"/>
          <w:szCs w:val="22"/>
          <w:lang w:val="fr-FR"/>
        </w:rPr>
        <w:tab/>
      </w:r>
      <w:r w:rsidR="00241179" w:rsidRPr="00241179">
        <w:rPr>
          <w:rFonts w:cs="Times New Roman"/>
          <w:color w:val="000000"/>
          <w:kern w:val="22"/>
          <w:szCs w:val="22"/>
          <w:lang w:val="fr-FR"/>
        </w:rPr>
        <w:t xml:space="preserve">Du 11 au 14 juin 2019, le </w:t>
      </w:r>
      <w:r w:rsidR="00981FE2">
        <w:rPr>
          <w:rFonts w:cs="Times New Roman"/>
          <w:color w:val="000000"/>
          <w:kern w:val="22"/>
          <w:szCs w:val="22"/>
          <w:lang w:val="fr-FR"/>
        </w:rPr>
        <w:t>S</w:t>
      </w:r>
      <w:r w:rsidR="00241179" w:rsidRPr="00241179">
        <w:rPr>
          <w:rFonts w:cs="Times New Roman"/>
          <w:color w:val="000000"/>
          <w:kern w:val="22"/>
          <w:szCs w:val="22"/>
          <w:lang w:val="fr-FR"/>
        </w:rPr>
        <w:t>ecrétariat de la Convention (SCBD), en collaboration avec l'Organisation Internationale de Droit du Développement (OIDD) et avec le soutien du Fonds japonais pour la biodiversité, a dispensé une formation de formateurs pour le Réseau africain francophone pour l'accès et le partage des avantages en partenariat avec le Programme des Nations Unies pour le Développement (PNUD) au Maroc, avec deux objectifs : (a) expérimenter un manuel de formateurs basé sur les cours de formation régionaux du SCBD-OIDD</w:t>
      </w:r>
      <w:r w:rsidR="00881915">
        <w:rPr>
          <w:rFonts w:cs="Times New Roman"/>
          <w:color w:val="000000"/>
          <w:kern w:val="22"/>
          <w:szCs w:val="22"/>
          <w:lang w:val="fr-FR"/>
        </w:rPr>
        <w:t> ;</w:t>
      </w:r>
      <w:r w:rsidR="00241179" w:rsidRPr="00241179">
        <w:rPr>
          <w:rFonts w:cs="Times New Roman"/>
          <w:color w:val="000000"/>
          <w:kern w:val="22"/>
          <w:szCs w:val="22"/>
          <w:lang w:val="fr-FR"/>
        </w:rPr>
        <w:t xml:space="preserve"> et (b) renforcer les capacités des participants à utiliser le kit de formation pour concevoir des activités de formation nationales sur l'APA. Un total de 22 participants (14 hommes et 8 femmes) représentant 10 pays africains francophones ont participé à la formation.</w:t>
      </w:r>
    </w:p>
    <w:p w14:paraId="352C6183" w14:textId="5DB449AF" w:rsidR="00227C42" w:rsidRPr="00B0443C" w:rsidRDefault="00A279AC" w:rsidP="00241179">
      <w:pPr>
        <w:pStyle w:val="Para1"/>
        <w:pBdr>
          <w:top w:val="nil"/>
          <w:left w:val="nil"/>
          <w:bottom w:val="nil"/>
          <w:right w:val="nil"/>
          <w:between w:val="nil"/>
          <w:bar w:val="nil"/>
        </w:pBdr>
        <w:tabs>
          <w:tab w:val="left" w:pos="720"/>
        </w:tabs>
        <w:spacing w:before="120"/>
        <w:rPr>
          <w:rFonts w:cs="Times New Roman"/>
          <w:snapToGrid/>
          <w:color w:val="000000"/>
          <w:kern w:val="22"/>
          <w:szCs w:val="22"/>
          <w:lang w:val="fr-FR"/>
        </w:rPr>
      </w:pPr>
      <w:r w:rsidRPr="00241179">
        <w:rPr>
          <w:rFonts w:cs="Times New Roman"/>
          <w:kern w:val="22"/>
          <w:szCs w:val="22"/>
          <w:lang w:val="fr-FR"/>
        </w:rPr>
        <w:t>1</w:t>
      </w:r>
      <w:r w:rsidR="004F55BE" w:rsidRPr="00241179">
        <w:rPr>
          <w:rFonts w:cs="Times New Roman"/>
          <w:kern w:val="22"/>
          <w:szCs w:val="22"/>
          <w:lang w:val="fr-FR"/>
        </w:rPr>
        <w:t>3</w:t>
      </w:r>
      <w:r w:rsidRPr="00241179">
        <w:rPr>
          <w:rFonts w:cs="Times New Roman"/>
          <w:kern w:val="22"/>
          <w:szCs w:val="22"/>
          <w:lang w:val="fr-FR"/>
        </w:rPr>
        <w:t>.</w:t>
      </w:r>
      <w:r w:rsidRPr="00241179">
        <w:rPr>
          <w:rFonts w:cs="Times New Roman"/>
          <w:kern w:val="22"/>
          <w:szCs w:val="22"/>
          <w:lang w:val="fr-FR"/>
        </w:rPr>
        <w:tab/>
      </w:r>
      <w:r w:rsidR="00241179" w:rsidRPr="00241179">
        <w:rPr>
          <w:rFonts w:cs="Times New Roman"/>
          <w:kern w:val="22"/>
          <w:szCs w:val="22"/>
          <w:lang w:val="fr-FR"/>
        </w:rPr>
        <w:t>Le Secrétariat, avec le soutien du Fonds japonais pour la biodiversi</w:t>
      </w:r>
      <w:r w:rsidR="00241179" w:rsidRPr="00241179">
        <w:rPr>
          <w:rFonts w:cs="Times New Roman"/>
          <w:color w:val="000000"/>
          <w:kern w:val="22"/>
          <w:szCs w:val="22"/>
          <w:lang w:val="fr-FR"/>
        </w:rPr>
        <w:t xml:space="preserve">té, de l'Union européenne et du gouvernement allemand, et en collaboration avec l'Initiative de renforcement des capacités </w:t>
      </w:r>
      <w:r w:rsidR="004A628D">
        <w:rPr>
          <w:rFonts w:cs="Times New Roman"/>
          <w:color w:val="000000"/>
          <w:kern w:val="22"/>
          <w:szCs w:val="22"/>
          <w:lang w:val="fr-FR"/>
        </w:rPr>
        <w:t>en matière d’</w:t>
      </w:r>
      <w:r w:rsidR="00241179" w:rsidRPr="00241179">
        <w:rPr>
          <w:rFonts w:cs="Times New Roman"/>
          <w:color w:val="000000"/>
          <w:kern w:val="22"/>
          <w:szCs w:val="22"/>
          <w:lang w:val="fr-FR"/>
        </w:rPr>
        <w:t>APA et le PNUD, a organisé un atelier à Bonn du 30 septembre au 2 octobre. L'Atelier mondial sur le renforcement des capacités en matière de suivi de l'utilisation des ressources génétiques</w:t>
      </w:r>
      <w:r w:rsidR="00C50F88">
        <w:rPr>
          <w:rStyle w:val="Appelnotedebasdep"/>
          <w:rFonts w:cs="Times New Roman"/>
          <w:color w:val="000000"/>
          <w:kern w:val="22"/>
          <w:szCs w:val="22"/>
          <w:lang w:val="fr-FR"/>
        </w:rPr>
        <w:footnoteReference w:id="2"/>
      </w:r>
      <w:r w:rsidR="00241179" w:rsidRPr="00241179">
        <w:rPr>
          <w:rFonts w:cs="Times New Roman"/>
          <w:color w:val="000000"/>
          <w:kern w:val="22"/>
          <w:szCs w:val="22"/>
          <w:lang w:val="fr-FR"/>
        </w:rPr>
        <w:t xml:space="preserve"> dans le cadre du Protocole visait à sensibiliser le public et à partager des expériences pratiques concernant le suivi de l'utilisation des ressources génétiques, et à mieux comprendre comment utiliser le Centre d'échange sur l'accès et le partage des avantages (APA). L'atelier a </w:t>
      </w:r>
      <w:r w:rsidR="00A102DD">
        <w:rPr>
          <w:rFonts w:cs="Times New Roman"/>
          <w:color w:val="000000"/>
          <w:kern w:val="22"/>
          <w:szCs w:val="22"/>
          <w:lang w:val="fr-FR"/>
        </w:rPr>
        <w:t>assuré</w:t>
      </w:r>
      <w:r w:rsidR="00241179" w:rsidRPr="00241179">
        <w:rPr>
          <w:rFonts w:cs="Times New Roman"/>
          <w:color w:val="000000"/>
          <w:kern w:val="22"/>
          <w:szCs w:val="22"/>
          <w:lang w:val="fr-FR"/>
        </w:rPr>
        <w:t xml:space="preserve"> </w:t>
      </w:r>
      <w:r w:rsidR="00A102DD">
        <w:rPr>
          <w:rFonts w:cs="Times New Roman"/>
          <w:color w:val="000000"/>
          <w:kern w:val="22"/>
          <w:szCs w:val="22"/>
          <w:lang w:val="fr-FR"/>
        </w:rPr>
        <w:t xml:space="preserve">la </w:t>
      </w:r>
      <w:r w:rsidR="00241179" w:rsidRPr="00241179">
        <w:rPr>
          <w:rFonts w:cs="Times New Roman"/>
          <w:color w:val="000000"/>
          <w:kern w:val="22"/>
          <w:szCs w:val="22"/>
          <w:lang w:val="fr-FR"/>
        </w:rPr>
        <w:t xml:space="preserve">formation </w:t>
      </w:r>
      <w:r w:rsidR="00A102DD">
        <w:rPr>
          <w:rFonts w:cs="Times New Roman"/>
          <w:color w:val="000000"/>
          <w:kern w:val="22"/>
          <w:szCs w:val="22"/>
          <w:lang w:val="fr-FR"/>
        </w:rPr>
        <w:t xml:space="preserve">de </w:t>
      </w:r>
      <w:r w:rsidR="00241179" w:rsidRPr="00241179">
        <w:rPr>
          <w:rFonts w:cs="Times New Roman"/>
          <w:color w:val="000000"/>
          <w:kern w:val="22"/>
          <w:szCs w:val="22"/>
          <w:lang w:val="fr-FR"/>
        </w:rPr>
        <w:t>68 participants représentant 54 pays différents (35 femmes et 33 hommes)</w:t>
      </w:r>
      <w:r w:rsidR="003D38FA" w:rsidRPr="00B0443C">
        <w:rPr>
          <w:rFonts w:cs="Times New Roman"/>
          <w:snapToGrid/>
          <w:color w:val="000000"/>
          <w:kern w:val="22"/>
          <w:szCs w:val="22"/>
          <w:lang w:val="fr-FR"/>
        </w:rPr>
        <w:t>.</w:t>
      </w:r>
      <w:r w:rsidR="00F86266" w:rsidRPr="00B0443C">
        <w:rPr>
          <w:rFonts w:cs="Times New Roman"/>
          <w:snapToGrid/>
          <w:color w:val="000000"/>
          <w:kern w:val="22"/>
          <w:szCs w:val="22"/>
          <w:lang w:val="fr-FR"/>
        </w:rPr>
        <w:t xml:space="preserve"> </w:t>
      </w:r>
    </w:p>
    <w:p w14:paraId="64E68339" w14:textId="21CCEFEE" w:rsidR="000536B0" w:rsidRPr="00B0443C" w:rsidRDefault="00F8670A" w:rsidP="00DD38FF">
      <w:pPr>
        <w:pStyle w:val="Para1"/>
        <w:pBdr>
          <w:top w:val="nil"/>
          <w:left w:val="nil"/>
          <w:bottom w:val="nil"/>
          <w:right w:val="nil"/>
          <w:between w:val="nil"/>
          <w:bar w:val="nil"/>
        </w:pBdr>
        <w:tabs>
          <w:tab w:val="left" w:pos="720"/>
        </w:tabs>
        <w:spacing w:before="120"/>
        <w:rPr>
          <w:rFonts w:cs="Times New Roman"/>
          <w:snapToGrid/>
          <w:color w:val="000000"/>
          <w:kern w:val="22"/>
          <w:szCs w:val="22"/>
          <w:lang w:val="fr-FR"/>
        </w:rPr>
      </w:pPr>
      <w:r w:rsidRPr="00B0443C">
        <w:rPr>
          <w:rFonts w:cs="Times New Roman"/>
          <w:snapToGrid/>
          <w:color w:val="000000"/>
          <w:kern w:val="22"/>
          <w:szCs w:val="22"/>
          <w:lang w:val="fr-FR"/>
        </w:rPr>
        <w:t>1</w:t>
      </w:r>
      <w:r w:rsidR="004F55BE" w:rsidRPr="00B0443C">
        <w:rPr>
          <w:rFonts w:cs="Times New Roman"/>
          <w:snapToGrid/>
          <w:color w:val="000000"/>
          <w:kern w:val="22"/>
          <w:szCs w:val="22"/>
          <w:lang w:val="fr-FR"/>
        </w:rPr>
        <w:t>4</w:t>
      </w:r>
      <w:r w:rsidRPr="00B0443C">
        <w:rPr>
          <w:rFonts w:cs="Times New Roman"/>
          <w:snapToGrid/>
          <w:color w:val="000000"/>
          <w:kern w:val="22"/>
          <w:szCs w:val="22"/>
          <w:lang w:val="fr-FR"/>
        </w:rPr>
        <w:t>.</w:t>
      </w:r>
      <w:r w:rsidR="00765972" w:rsidRPr="00B0443C">
        <w:rPr>
          <w:rFonts w:cs="Times New Roman"/>
          <w:snapToGrid/>
          <w:color w:val="000000"/>
          <w:kern w:val="22"/>
          <w:szCs w:val="22"/>
          <w:lang w:val="fr-FR"/>
        </w:rPr>
        <w:tab/>
      </w:r>
      <w:r w:rsidR="00887657" w:rsidRPr="00887657">
        <w:rPr>
          <w:rFonts w:cs="Times New Roman"/>
          <w:color w:val="000000"/>
          <w:kern w:val="22"/>
          <w:szCs w:val="22"/>
          <w:lang w:val="fr-FR"/>
        </w:rPr>
        <w:t>Pour célébrer le dixième anniversaire de l'adoption du Protocole de Nagoya, le Secrétariat, en collaboration avec le PNUD et avec le soutien du Fonds japonais pour la biodiversité, a lancé une campagne de communication sur le thème «</w:t>
      </w:r>
      <w:r w:rsidR="006815C0">
        <w:rPr>
          <w:rFonts w:cs="Times New Roman"/>
          <w:color w:val="000000"/>
          <w:kern w:val="22"/>
          <w:szCs w:val="22"/>
          <w:lang w:val="fr-FR"/>
        </w:rPr>
        <w:t> </w:t>
      </w:r>
      <w:r w:rsidR="00887657" w:rsidRPr="00887657">
        <w:rPr>
          <w:rFonts w:cs="Times New Roman"/>
          <w:color w:val="000000"/>
          <w:kern w:val="22"/>
          <w:szCs w:val="22"/>
          <w:lang w:val="fr-FR"/>
        </w:rPr>
        <w:t>l'APA dont nous avons tous besoin. » L'un des principaux événements de la campagne consistait en la Conférence mondiale sur l'APA qui s'est déroulée du 29 octobre au 25 novembre 2020. Les cinq sessions en ligne ont réuni des gouvernements, des peuples autochtones et des communautés locales, ainsi que des acteurs tels que des chercheurs et des représentants du monde des affaires issus de pays fournisseurs et utilisateurs, afin de partager les expériences et les enseignements tirés. Au total, 888 participants du monde entier ont assisté à la conférence en ligne.</w:t>
      </w:r>
    </w:p>
    <w:p w14:paraId="41E2EEBD" w14:textId="08EE157A" w:rsidR="000536B0" w:rsidRPr="00CC436B" w:rsidRDefault="000536B0" w:rsidP="00DD38FF">
      <w:pPr>
        <w:pStyle w:val="Para1"/>
        <w:pBdr>
          <w:top w:val="nil"/>
          <w:left w:val="nil"/>
          <w:bottom w:val="nil"/>
          <w:right w:val="nil"/>
          <w:between w:val="nil"/>
          <w:bar w:val="nil"/>
        </w:pBdr>
        <w:tabs>
          <w:tab w:val="left" w:pos="720"/>
        </w:tabs>
        <w:spacing w:before="120"/>
        <w:rPr>
          <w:rFonts w:cs="Times New Roman"/>
          <w:snapToGrid/>
          <w:color w:val="000000"/>
          <w:kern w:val="22"/>
          <w:lang w:val="fr-FR"/>
        </w:rPr>
      </w:pPr>
      <w:r w:rsidRPr="00DD38FF">
        <w:rPr>
          <w:rFonts w:cs="Times New Roman"/>
          <w:snapToGrid/>
          <w:color w:val="000000"/>
          <w:kern w:val="22"/>
          <w:szCs w:val="22"/>
          <w:lang w:val="fr-FR"/>
        </w:rPr>
        <w:t>1</w:t>
      </w:r>
      <w:r w:rsidR="004F55BE" w:rsidRPr="00DD38FF">
        <w:rPr>
          <w:rFonts w:cs="Times New Roman"/>
          <w:snapToGrid/>
          <w:color w:val="000000"/>
          <w:kern w:val="22"/>
          <w:szCs w:val="22"/>
          <w:lang w:val="fr-FR"/>
        </w:rPr>
        <w:t>5</w:t>
      </w:r>
      <w:r w:rsidRPr="00DD38FF">
        <w:rPr>
          <w:rFonts w:cs="Times New Roman"/>
          <w:snapToGrid/>
          <w:color w:val="000000"/>
          <w:kern w:val="22"/>
          <w:szCs w:val="22"/>
          <w:lang w:val="fr-FR"/>
        </w:rPr>
        <w:t>.</w:t>
      </w:r>
      <w:r w:rsidRPr="00B0443C">
        <w:rPr>
          <w:rFonts w:cs="Times New Roman"/>
          <w:snapToGrid/>
          <w:color w:val="000000"/>
          <w:kern w:val="22"/>
          <w:szCs w:val="22"/>
          <w:lang w:val="fr-FR"/>
        </w:rPr>
        <w:tab/>
      </w:r>
      <w:r w:rsidR="00CC436B" w:rsidRPr="00DD38FF">
        <w:rPr>
          <w:rFonts w:cs="Times New Roman"/>
          <w:snapToGrid/>
          <w:color w:val="000000"/>
          <w:kern w:val="22"/>
          <w:szCs w:val="22"/>
          <w:lang w:val="fr-FR"/>
        </w:rPr>
        <w:t>Une campagne de communication supplémentaire a été entreprise en 2021</w:t>
      </w:r>
      <w:r w:rsidR="00CC436B" w:rsidRPr="00CC436B">
        <w:rPr>
          <w:rFonts w:cs="Times New Roman"/>
          <w:color w:val="000000"/>
          <w:kern w:val="22"/>
          <w:lang w:val="fr-FR"/>
        </w:rPr>
        <w:t xml:space="preserve"> avec le soutien du Fonds japonais pour la biodiversité afin de sensibiliser le public à l'accès et au partage des avantages et au Protocole de Nagoya dans la perspective de la quinzième réunion de la Conférence des Parties. La campagne a consisté à publier quatre entretiens avec des parties prenantes à l'APA qui mettent en lumière les principaux défis, les réussites et les idées novatrices en matière d'APA, par le biais de récits et d'expériences réelles «</w:t>
      </w:r>
      <w:r w:rsidR="00C141B2">
        <w:rPr>
          <w:rFonts w:cs="Times New Roman"/>
          <w:color w:val="000000"/>
          <w:kern w:val="22"/>
          <w:lang w:val="fr-FR"/>
        </w:rPr>
        <w:t> de</w:t>
      </w:r>
      <w:r w:rsidR="00CC436B" w:rsidRPr="00CC436B">
        <w:rPr>
          <w:rFonts w:cs="Times New Roman"/>
          <w:color w:val="000000"/>
          <w:kern w:val="22"/>
          <w:lang w:val="fr-FR"/>
        </w:rPr>
        <w:t xml:space="preserve"> terrain</w:t>
      </w:r>
      <w:r w:rsidR="00C141B2">
        <w:rPr>
          <w:rFonts w:cs="Times New Roman"/>
          <w:color w:val="000000"/>
          <w:kern w:val="22"/>
          <w:lang w:val="fr-FR"/>
        </w:rPr>
        <w:t> </w:t>
      </w:r>
      <w:r w:rsidR="00CC436B" w:rsidRPr="00CC436B">
        <w:rPr>
          <w:rFonts w:cs="Times New Roman"/>
          <w:color w:val="000000"/>
          <w:kern w:val="22"/>
          <w:lang w:val="fr-FR"/>
        </w:rPr>
        <w:t xml:space="preserve">», qui ont été diffusés par les cinq canaux de médias sociaux du </w:t>
      </w:r>
      <w:r w:rsidR="00207E23">
        <w:rPr>
          <w:rFonts w:cs="Times New Roman"/>
          <w:color w:val="000000"/>
          <w:kern w:val="22"/>
          <w:lang w:val="fr-FR"/>
        </w:rPr>
        <w:t>S</w:t>
      </w:r>
      <w:r w:rsidR="00CC436B" w:rsidRPr="00CC436B">
        <w:rPr>
          <w:rFonts w:cs="Times New Roman"/>
          <w:color w:val="000000"/>
          <w:kern w:val="22"/>
          <w:lang w:val="fr-FR"/>
        </w:rPr>
        <w:t>ecrétariat et le Centre d'échange sur l'APA. En outre, la campagne a généré 198 publications liées à l'APA, qui ont fourni des liens vers des publications, des rapports, des événements et des nouvelles pertinents, et qui ont été marquées stratégiquement pour attirer l'attention des groupes cibles des parties prenantes à l'APA. Ce travail a donné lieu à un total de 571 380 réactions et 17 471 engagements sur les réseaux sociaux.</w:t>
      </w:r>
    </w:p>
    <w:p w14:paraId="7D0A6BCE" w14:textId="14997274" w:rsidR="00905DD7" w:rsidRPr="00AD7C29" w:rsidRDefault="00066A4A" w:rsidP="00C50F88">
      <w:pPr>
        <w:pStyle w:val="Para1"/>
        <w:pBdr>
          <w:top w:val="nil"/>
          <w:left w:val="nil"/>
          <w:bottom w:val="nil"/>
          <w:right w:val="nil"/>
          <w:between w:val="nil"/>
          <w:bar w:val="nil"/>
        </w:pBdr>
        <w:tabs>
          <w:tab w:val="left" w:pos="720"/>
        </w:tabs>
        <w:spacing w:before="120"/>
        <w:rPr>
          <w:rFonts w:cs="Times New Roman"/>
          <w:snapToGrid/>
          <w:color w:val="000000"/>
          <w:kern w:val="22"/>
          <w:lang w:val="fr-FR"/>
        </w:rPr>
      </w:pPr>
      <w:r w:rsidRPr="00B0443C">
        <w:rPr>
          <w:rFonts w:cs="Times New Roman"/>
          <w:snapToGrid/>
          <w:color w:val="000000"/>
          <w:kern w:val="22"/>
          <w:lang w:val="fr-FR"/>
        </w:rPr>
        <w:t>1</w:t>
      </w:r>
      <w:r w:rsidR="004F55BE" w:rsidRPr="00B0443C">
        <w:rPr>
          <w:rFonts w:cs="Times New Roman"/>
          <w:snapToGrid/>
          <w:color w:val="000000"/>
          <w:kern w:val="22"/>
          <w:lang w:val="fr-FR"/>
        </w:rPr>
        <w:t>6</w:t>
      </w:r>
      <w:r w:rsidRPr="00B0443C">
        <w:rPr>
          <w:rFonts w:cs="Times New Roman"/>
          <w:snapToGrid/>
          <w:color w:val="000000"/>
          <w:kern w:val="22"/>
          <w:lang w:val="fr-FR"/>
        </w:rPr>
        <w:t>.</w:t>
      </w:r>
      <w:r w:rsidRPr="00B0443C">
        <w:rPr>
          <w:rFonts w:cs="Times New Roman"/>
          <w:snapToGrid/>
          <w:color w:val="000000"/>
          <w:kern w:val="22"/>
          <w:szCs w:val="22"/>
          <w:lang w:val="fr-FR"/>
        </w:rPr>
        <w:tab/>
      </w:r>
      <w:bookmarkStart w:id="2" w:name="_Hlk86938992"/>
      <w:r w:rsidR="00AD7C29" w:rsidRPr="00AD7C29">
        <w:rPr>
          <w:rFonts w:cs="Times New Roman"/>
          <w:color w:val="000000"/>
          <w:kern w:val="22"/>
          <w:lang w:val="fr-FR"/>
        </w:rPr>
        <w:t>Avec le soutien de l'Union européenne et en collaboration avec l'</w:t>
      </w:r>
      <w:r w:rsidR="004A628D">
        <w:rPr>
          <w:rFonts w:cs="Times New Roman"/>
          <w:color w:val="000000"/>
          <w:kern w:val="22"/>
          <w:lang w:val="fr-FR"/>
        </w:rPr>
        <w:t xml:space="preserve">Initiative de </w:t>
      </w:r>
      <w:r w:rsidR="00E67A53">
        <w:rPr>
          <w:rFonts w:cs="Times New Roman"/>
          <w:color w:val="000000"/>
          <w:kern w:val="22"/>
          <w:lang w:val="fr-FR"/>
        </w:rPr>
        <w:t>renforcement</w:t>
      </w:r>
      <w:r w:rsidR="00AD7C29" w:rsidRPr="00AD7C29">
        <w:rPr>
          <w:rFonts w:cs="Times New Roman"/>
          <w:color w:val="000000"/>
          <w:kern w:val="22"/>
          <w:lang w:val="fr-FR"/>
        </w:rPr>
        <w:t xml:space="preserve"> des capacités </w:t>
      </w:r>
      <w:r w:rsidR="004A628D">
        <w:rPr>
          <w:rFonts w:cs="Times New Roman"/>
          <w:color w:val="000000"/>
          <w:kern w:val="22"/>
          <w:lang w:val="fr-FR"/>
        </w:rPr>
        <w:t>en matière d’</w:t>
      </w:r>
      <w:r w:rsidR="00AD7C29" w:rsidRPr="00AD7C29">
        <w:rPr>
          <w:rFonts w:cs="Times New Roman"/>
          <w:color w:val="000000"/>
          <w:kern w:val="22"/>
          <w:lang w:val="fr-FR"/>
        </w:rPr>
        <w:t xml:space="preserve">APA, le </w:t>
      </w:r>
      <w:r w:rsidR="00207E23">
        <w:rPr>
          <w:rFonts w:cs="Times New Roman"/>
          <w:color w:val="000000"/>
          <w:kern w:val="22"/>
          <w:lang w:val="fr-FR"/>
        </w:rPr>
        <w:t>S</w:t>
      </w:r>
      <w:r w:rsidR="00AD7C29" w:rsidRPr="00AD7C29">
        <w:rPr>
          <w:rFonts w:cs="Times New Roman"/>
          <w:color w:val="000000"/>
          <w:kern w:val="22"/>
          <w:lang w:val="fr-FR"/>
        </w:rPr>
        <w:t xml:space="preserve">ecrétariat a organisé une série de quatre webinaires sur les informations de </w:t>
      </w:r>
      <w:r w:rsidR="00AD7C29" w:rsidRPr="00AD7C29">
        <w:rPr>
          <w:rFonts w:cs="Times New Roman"/>
          <w:color w:val="000000"/>
          <w:kern w:val="22"/>
          <w:lang w:val="fr-FR"/>
        </w:rPr>
        <w:lastRenderedPageBreak/>
        <w:t>séquençage numérique (ISN) sur les ressources génétiques</w:t>
      </w:r>
      <w:r w:rsidR="00B03E30">
        <w:rPr>
          <w:rStyle w:val="Appelnotedebasdep"/>
          <w:rFonts w:cs="Times New Roman"/>
          <w:color w:val="000000"/>
          <w:kern w:val="22"/>
          <w:lang w:val="fr-FR"/>
        </w:rPr>
        <w:footnoteReference w:id="3"/>
      </w:r>
      <w:r w:rsidR="00AD7C29" w:rsidRPr="00AD7C29">
        <w:rPr>
          <w:rFonts w:cs="Times New Roman"/>
          <w:color w:val="000000"/>
          <w:kern w:val="22"/>
          <w:lang w:val="fr-FR"/>
        </w:rPr>
        <w:t xml:space="preserve"> afin de diffuser des informations et de favoriser une compréhension commune des ISN et des questions abordées dans le cadre des processus formels et informels dans le contexte de la Convention sur la diversité biologique. Le premier séminaire en ligne visait à fournir une introduction technique à l'ISN (389 participants)</w:t>
      </w:r>
      <w:r w:rsidR="00881915">
        <w:rPr>
          <w:rFonts w:cs="Times New Roman"/>
          <w:color w:val="000000"/>
          <w:kern w:val="22"/>
          <w:lang w:val="fr-FR"/>
        </w:rPr>
        <w:t> ;</w:t>
      </w:r>
      <w:r w:rsidR="00AD7C29" w:rsidRPr="00AD7C29">
        <w:rPr>
          <w:rFonts w:cs="Times New Roman"/>
          <w:color w:val="000000"/>
          <w:kern w:val="22"/>
          <w:lang w:val="fr-FR"/>
        </w:rPr>
        <w:t xml:space="preserve"> le deuxième a fourni une vue d'ensemble des résultats des processus dans le cadre de la Convention sur la diversité biologique, en mettant l'accent sur les résultats du Groupe spécial d'experts techniques sur l'information sur le séquençage numérique des ressources génétiques qui a eu lieu en mars 2020 (389 participants)</w:t>
      </w:r>
      <w:r w:rsidR="00881915">
        <w:rPr>
          <w:rFonts w:cs="Times New Roman"/>
          <w:color w:val="000000"/>
          <w:kern w:val="22"/>
          <w:lang w:val="fr-FR"/>
        </w:rPr>
        <w:t> ;</w:t>
      </w:r>
      <w:r w:rsidR="00AD7C29" w:rsidRPr="00AD7C29">
        <w:rPr>
          <w:rFonts w:cs="Times New Roman"/>
          <w:color w:val="000000"/>
          <w:kern w:val="22"/>
          <w:lang w:val="fr-FR"/>
        </w:rPr>
        <w:t xml:space="preserve"> le troisième séminaire en ligne a présenté diverses options politiques ayant émergé par le biais d'études et de processus informels (330 participants). Le quatrième et dernier webinaire a eu lieu en avril 2021 pour présenter une série de critères qui pourraient être utilisés pour examiner les diverses options stratégiques (187 participants). Cette série de webinaires a été suivie d'un forum de discussion en ligne</w:t>
      </w:r>
      <w:r w:rsidR="00A95FD9">
        <w:rPr>
          <w:rStyle w:val="Appelnotedebasdep"/>
          <w:rFonts w:cs="Times New Roman"/>
          <w:color w:val="000000"/>
          <w:kern w:val="22"/>
          <w:lang w:val="fr-FR"/>
        </w:rPr>
        <w:footnoteReference w:id="4"/>
      </w:r>
      <w:r w:rsidR="00AD7C29" w:rsidRPr="00AD7C29">
        <w:rPr>
          <w:rFonts w:cs="Times New Roman"/>
          <w:color w:val="000000"/>
          <w:kern w:val="22"/>
          <w:lang w:val="fr-FR"/>
        </w:rPr>
        <w:t xml:space="preserve">, organisé par le Secrétariat, sur les options stratégiques proposées et le cadre de critères </w:t>
      </w:r>
      <w:r w:rsidR="00AD7C29" w:rsidRPr="00C50F88">
        <w:rPr>
          <w:rFonts w:cs="Times New Roman"/>
          <w:snapToGrid/>
          <w:color w:val="000000"/>
          <w:kern w:val="22"/>
          <w:lang w:val="fr-FR"/>
        </w:rPr>
        <w:t>pour les informations de séquençage numérique sur les ressources génétiques (du 21 avril au 2 mai 2021).</w:t>
      </w:r>
    </w:p>
    <w:bookmarkEnd w:id="2"/>
    <w:p w14:paraId="0D808BC0" w14:textId="06C8AF2D" w:rsidR="00D97131" w:rsidRPr="00C50F88" w:rsidRDefault="00F8670A" w:rsidP="00C50F88">
      <w:pPr>
        <w:pStyle w:val="Para1"/>
        <w:pBdr>
          <w:top w:val="nil"/>
          <w:left w:val="nil"/>
          <w:bottom w:val="nil"/>
          <w:right w:val="nil"/>
          <w:between w:val="nil"/>
          <w:bar w:val="nil"/>
        </w:pBdr>
        <w:tabs>
          <w:tab w:val="left" w:pos="720"/>
        </w:tabs>
        <w:spacing w:before="120"/>
        <w:rPr>
          <w:rFonts w:cs="Times New Roman"/>
          <w:kern w:val="22"/>
          <w:lang w:val="fr-FR"/>
        </w:rPr>
      </w:pPr>
      <w:r w:rsidRPr="00C50F88">
        <w:rPr>
          <w:rFonts w:cs="Times New Roman"/>
          <w:snapToGrid/>
          <w:color w:val="000000"/>
          <w:kern w:val="22"/>
          <w:lang w:val="fr-FR"/>
        </w:rPr>
        <w:t>1</w:t>
      </w:r>
      <w:r w:rsidR="004F55BE" w:rsidRPr="00C50F88">
        <w:rPr>
          <w:rFonts w:cs="Times New Roman"/>
          <w:snapToGrid/>
          <w:color w:val="000000"/>
          <w:kern w:val="22"/>
          <w:lang w:val="fr-FR"/>
        </w:rPr>
        <w:t>7</w:t>
      </w:r>
      <w:r w:rsidRPr="00C50F88">
        <w:rPr>
          <w:rFonts w:cs="Times New Roman"/>
          <w:snapToGrid/>
          <w:color w:val="000000"/>
          <w:kern w:val="22"/>
          <w:lang w:val="fr-FR"/>
        </w:rPr>
        <w:t>.</w:t>
      </w:r>
      <w:r w:rsidRPr="00C50F88">
        <w:rPr>
          <w:rFonts w:cs="Times New Roman"/>
          <w:snapToGrid/>
          <w:color w:val="000000"/>
          <w:kern w:val="22"/>
          <w:lang w:val="fr-FR"/>
        </w:rPr>
        <w:tab/>
      </w:r>
      <w:r w:rsidR="00C50F88" w:rsidRPr="00C50F88">
        <w:rPr>
          <w:rFonts w:cs="Times New Roman"/>
          <w:snapToGrid/>
          <w:color w:val="000000"/>
          <w:kern w:val="22"/>
          <w:lang w:val="fr-FR"/>
        </w:rPr>
        <w:t>La nécessité de renforcer les capacités pour faciliter l'utilisation du Centre d'échange sur l'APA a été soulignée par les Parties dans les décisions ado</w:t>
      </w:r>
      <w:r w:rsidR="00C50F88" w:rsidRPr="00C50F88">
        <w:rPr>
          <w:rFonts w:cs="Times New Roman"/>
          <w:kern w:val="22"/>
          <w:lang w:val="fr-FR"/>
        </w:rPr>
        <w:t xml:space="preserve">ptées lors de la quatorzième réunion de la Conférence des Parties et de la troisième réunion des Parties au Protocole de Nagoya. Ces décisions soulignent la relation cruciale entre les obligations des Parties en matière de partage d'informations par le biais du Centre d'échange sur l'APA et la réussite de l'application du Protocole. À cet égard, le Secrétariat a entrepris de nombreuses actions de renforcement des capacités. Depuis la troisième réunion des Parties au Protocole, le Secrétariat a organisé 13 formations à distance sur le renforcement des capacités et l'utilisation du Centre d'échange sur l'APA ainsi que cinq ateliers </w:t>
      </w:r>
      <w:r w:rsidR="00385F11" w:rsidRPr="00C50F88">
        <w:rPr>
          <w:rFonts w:cs="Times New Roman"/>
          <w:kern w:val="22"/>
          <w:lang w:val="fr-FR"/>
        </w:rPr>
        <w:t>présentiel</w:t>
      </w:r>
      <w:r w:rsidR="00385F11">
        <w:rPr>
          <w:rFonts w:cs="Times New Roman"/>
          <w:kern w:val="22"/>
          <w:lang w:val="fr-FR"/>
        </w:rPr>
        <w:t>s</w:t>
      </w:r>
      <w:r w:rsidR="00385F11">
        <w:rPr>
          <w:rStyle w:val="Appelnotedebasdep"/>
          <w:rFonts w:cs="Times New Roman"/>
          <w:kern w:val="22"/>
          <w:lang w:val="fr-FR"/>
        </w:rPr>
        <w:footnoteReference w:id="5"/>
      </w:r>
      <w:r w:rsidR="00385F11" w:rsidRPr="00C50F88">
        <w:rPr>
          <w:rFonts w:cs="Times New Roman"/>
          <w:kern w:val="22"/>
          <w:lang w:val="fr-FR"/>
        </w:rPr>
        <w:t xml:space="preserve"> </w:t>
      </w:r>
      <w:r w:rsidR="00385F11">
        <w:rPr>
          <w:rFonts w:cs="Times New Roman"/>
          <w:kern w:val="22"/>
          <w:lang w:val="fr-FR"/>
        </w:rPr>
        <w:t xml:space="preserve">sur le </w:t>
      </w:r>
      <w:r w:rsidR="00C50F88" w:rsidRPr="00C50F88">
        <w:rPr>
          <w:rFonts w:cs="Times New Roman"/>
          <w:kern w:val="22"/>
          <w:lang w:val="fr-FR"/>
        </w:rPr>
        <w:t>renforcement des capacités.  En outre, le Secrétariat a entrepris une campagne de vulgarisation proactive pour sensibiliser et accroître l'engagement des Parties. De plus amples informations sur ces activités sont disponibles dans le document CBD/NP/MOP/4/6 sur le Centre d'échange sur l'APA et seront examinées par la Conférence des Parties siégeant en tant que réunion des Parties au Protocole de Nagoya lors de sa quatrième réunion, au titre du point 9 de l'ordre du jour</w:t>
      </w:r>
      <w:r w:rsidR="1007410A" w:rsidRPr="00B0443C">
        <w:rPr>
          <w:rFonts w:cs="Times New Roman"/>
          <w:color w:val="000000" w:themeColor="text1"/>
          <w:kern w:val="22"/>
          <w:lang w:val="fr-FR"/>
        </w:rPr>
        <w:t>.</w:t>
      </w:r>
    </w:p>
    <w:p w14:paraId="59E6E0D9" w14:textId="09C866A8" w:rsidR="003E2C54" w:rsidRPr="00C50F88" w:rsidRDefault="00F8670A" w:rsidP="00C50F88">
      <w:pPr>
        <w:rPr>
          <w:rFonts w:cs="Times New Roman"/>
          <w:snapToGrid w:val="0"/>
          <w:szCs w:val="18"/>
          <w:lang w:val="fr-FR"/>
        </w:rPr>
      </w:pPr>
      <w:bookmarkStart w:id="3" w:name="_Hlk76481478"/>
      <w:r w:rsidRPr="00B0443C">
        <w:rPr>
          <w:rFonts w:cs="Times New Roman"/>
          <w:color w:val="000000"/>
          <w:kern w:val="22"/>
          <w:lang w:val="fr-FR"/>
        </w:rPr>
        <w:t>1</w:t>
      </w:r>
      <w:r w:rsidR="004F55BE" w:rsidRPr="00B0443C">
        <w:rPr>
          <w:rFonts w:cs="Times New Roman"/>
          <w:color w:val="000000"/>
          <w:kern w:val="22"/>
          <w:lang w:val="fr-FR"/>
        </w:rPr>
        <w:t>8</w:t>
      </w:r>
      <w:r w:rsidRPr="00B0443C">
        <w:rPr>
          <w:rFonts w:cs="Times New Roman"/>
          <w:color w:val="000000"/>
          <w:kern w:val="22"/>
          <w:lang w:val="fr-FR"/>
        </w:rPr>
        <w:t>.</w:t>
      </w:r>
      <w:r w:rsidRPr="00B0443C">
        <w:rPr>
          <w:rFonts w:cs="Times New Roman"/>
          <w:color w:val="000000"/>
          <w:kern w:val="22"/>
          <w:szCs w:val="22"/>
          <w:lang w:val="fr-FR"/>
        </w:rPr>
        <w:tab/>
      </w:r>
      <w:r w:rsidR="00C50F88" w:rsidRPr="00C50F88">
        <w:rPr>
          <w:rFonts w:cs="Times New Roman"/>
          <w:snapToGrid w:val="0"/>
          <w:szCs w:val="18"/>
          <w:lang w:val="fr-FR"/>
        </w:rPr>
        <w:t>Au cours de cette période intersessions, l'Initiative Bio</w:t>
      </w:r>
      <w:r w:rsidR="00755154">
        <w:rPr>
          <w:rFonts w:cs="Times New Roman"/>
          <w:snapToGrid w:val="0"/>
          <w:szCs w:val="18"/>
          <w:lang w:val="fr-FR"/>
        </w:rPr>
        <w:t>-</w:t>
      </w:r>
      <w:r w:rsidR="00C50F88" w:rsidRPr="00C50F88">
        <w:rPr>
          <w:rFonts w:cs="Times New Roman"/>
          <w:snapToGrid w:val="0"/>
          <w:szCs w:val="18"/>
          <w:lang w:val="fr-FR"/>
        </w:rPr>
        <w:t>Bridge</w:t>
      </w:r>
      <w:r w:rsidR="00755154">
        <w:rPr>
          <w:rStyle w:val="Appelnotedebasdep"/>
          <w:rFonts w:cs="Times New Roman"/>
          <w:snapToGrid w:val="0"/>
          <w:szCs w:val="18"/>
          <w:lang w:val="fr-FR"/>
        </w:rPr>
        <w:footnoteReference w:id="6"/>
      </w:r>
      <w:r w:rsidR="00C50F88" w:rsidRPr="00C50F88">
        <w:rPr>
          <w:rFonts w:cs="Times New Roman"/>
          <w:snapToGrid w:val="0"/>
          <w:szCs w:val="18"/>
          <w:lang w:val="fr-FR"/>
        </w:rPr>
        <w:t xml:space="preserve"> (BBI) a continué à fournir et à maintenir des outils et des services destinés à promouvoir et à faciliter la coopération technique et scientifique en appui aux Parties. L'un des principaux mécanismes de soutien de BBI est le fonds d'amorçage, qui procure de petites subventions pour catalyser les projets de démonstration qui favorisent les approches de coopération technique et scientifique, notamment par le biais de la coopération Sud-Sud et triangulaire. Depuis la quatorzième réunion de la Conférence des Parties à la Convention, l'Initiative a incubé 25 projets et partenariats par le biais de deux appels à propositions. Trois des propositions sélectionnées concernent l'accès et le partage des avantages. Le premier projet, entrepris en Namibie, est destiné à renforcer les capacités institutionnelles par l'échange d'expertise et l'accès à la biotechnologie dans la région sud-africaine afin de lutter contre l'exploitation non durable des plantes médicinales de la famille des Apocynac</w:t>
      </w:r>
      <w:r w:rsidR="0049733C">
        <w:rPr>
          <w:rFonts w:cs="Times New Roman"/>
          <w:snapToGrid w:val="0"/>
          <w:szCs w:val="18"/>
          <w:lang w:val="fr-FR"/>
        </w:rPr>
        <w:t>ées</w:t>
      </w:r>
      <w:r w:rsidR="00C50F88" w:rsidRPr="00C50F88">
        <w:rPr>
          <w:rFonts w:cs="Times New Roman"/>
          <w:snapToGrid w:val="0"/>
          <w:szCs w:val="18"/>
          <w:lang w:val="fr-FR"/>
        </w:rPr>
        <w:t xml:space="preserve">. Le deuxième projet est une collaboration entre le Bhoutan et le Japon </w:t>
      </w:r>
      <w:r w:rsidR="00A7665D">
        <w:rPr>
          <w:rFonts w:cs="Times New Roman"/>
          <w:snapToGrid w:val="0"/>
          <w:szCs w:val="18"/>
          <w:lang w:val="fr-FR"/>
        </w:rPr>
        <w:t>visant à</w:t>
      </w:r>
      <w:r w:rsidR="00C50F88" w:rsidRPr="00C50F88">
        <w:rPr>
          <w:rFonts w:cs="Times New Roman"/>
          <w:snapToGrid w:val="0"/>
          <w:szCs w:val="18"/>
          <w:lang w:val="fr-FR"/>
        </w:rPr>
        <w:t xml:space="preserve"> renforcer les capacités nationales en matière de recherche sur la </w:t>
      </w:r>
      <w:proofErr w:type="spellStart"/>
      <w:r w:rsidR="00C50F88" w:rsidRPr="00C50F88">
        <w:rPr>
          <w:rFonts w:cs="Times New Roman"/>
          <w:snapToGrid w:val="0"/>
          <w:szCs w:val="18"/>
          <w:lang w:val="fr-FR"/>
        </w:rPr>
        <w:t>biodécouverte</w:t>
      </w:r>
      <w:proofErr w:type="spellEnd"/>
      <w:r w:rsidR="00C50F88" w:rsidRPr="00C50F88">
        <w:rPr>
          <w:rFonts w:cs="Times New Roman"/>
          <w:snapToGrid w:val="0"/>
          <w:szCs w:val="18"/>
          <w:lang w:val="fr-FR"/>
        </w:rPr>
        <w:t xml:space="preserve"> </w:t>
      </w:r>
      <w:r w:rsidR="00BB7168">
        <w:rPr>
          <w:rFonts w:cs="Times New Roman"/>
          <w:snapToGrid w:val="0"/>
          <w:szCs w:val="18"/>
          <w:lang w:val="fr-FR"/>
        </w:rPr>
        <w:t>ainsi que</w:t>
      </w:r>
      <w:r w:rsidR="00C50F88" w:rsidRPr="00C50F88">
        <w:rPr>
          <w:rFonts w:cs="Times New Roman"/>
          <w:snapToGrid w:val="0"/>
          <w:szCs w:val="18"/>
          <w:lang w:val="fr-FR"/>
        </w:rPr>
        <w:t xml:space="preserve"> </w:t>
      </w:r>
      <w:r w:rsidR="00535062">
        <w:rPr>
          <w:rFonts w:cs="Times New Roman"/>
          <w:snapToGrid w:val="0"/>
          <w:szCs w:val="18"/>
          <w:lang w:val="fr-FR"/>
        </w:rPr>
        <w:t>l’application</w:t>
      </w:r>
      <w:r w:rsidR="00C50F88" w:rsidRPr="00C50F88">
        <w:rPr>
          <w:rFonts w:cs="Times New Roman"/>
          <w:snapToGrid w:val="0"/>
          <w:szCs w:val="18"/>
          <w:lang w:val="fr-FR"/>
        </w:rPr>
        <w:t xml:space="preserve"> effective du régime d'accès et de partage des avantages au Bhoutan. Le troisième projet est entrepris par le Chili en collaboration avec l'Équateur pour isoler des bactéries hautement résistantes aux métaux lourds en vue de produire des applications biotechnologiques empêchant les populations humaines et animales de consommer de l'eau ou des aliments contaminés</w:t>
      </w:r>
      <w:r w:rsidR="00B26090" w:rsidRPr="00B0443C">
        <w:rPr>
          <w:rFonts w:cs="Times New Roman"/>
          <w:kern w:val="22"/>
          <w:lang w:val="fr-FR"/>
        </w:rPr>
        <w:t>.</w:t>
      </w:r>
      <w:bookmarkEnd w:id="3"/>
      <w:r w:rsidR="00591F5C" w:rsidRPr="00B0443C">
        <w:rPr>
          <w:rStyle w:val="Appelnotedebasdep"/>
          <w:rFonts w:cs="Times New Roman"/>
          <w:kern w:val="22"/>
          <w:lang w:val="fr-FR"/>
        </w:rPr>
        <w:footnoteReference w:id="7"/>
      </w:r>
    </w:p>
    <w:p w14:paraId="094CD202" w14:textId="378B573A" w:rsidR="00292649" w:rsidRPr="00B0443C" w:rsidRDefault="00292649" w:rsidP="00010EB1">
      <w:pPr>
        <w:pStyle w:val="Titre3"/>
        <w:rPr>
          <w:lang w:val="fr-FR"/>
        </w:rPr>
      </w:pPr>
      <w:r w:rsidRPr="00B0443C">
        <w:rPr>
          <w:lang w:val="fr-FR"/>
        </w:rPr>
        <w:lastRenderedPageBreak/>
        <w:t>2.</w:t>
      </w:r>
      <w:r w:rsidR="00C7074B" w:rsidRPr="00B0443C">
        <w:rPr>
          <w:szCs w:val="22"/>
          <w:lang w:val="fr-FR"/>
        </w:rPr>
        <w:tab/>
      </w:r>
      <w:r w:rsidR="00512913" w:rsidRPr="00512913">
        <w:rPr>
          <w:lang w:val="fr-FR"/>
        </w:rPr>
        <w:t>Ressources de renforcement des capacités et de sensibilisation</w:t>
      </w:r>
    </w:p>
    <w:p w14:paraId="63213CCA" w14:textId="3D437082" w:rsidR="00292649" w:rsidRPr="007366AA" w:rsidRDefault="004F55BE" w:rsidP="007366AA">
      <w:pPr>
        <w:pStyle w:val="Para1"/>
        <w:pBdr>
          <w:top w:val="nil"/>
          <w:left w:val="nil"/>
          <w:bottom w:val="nil"/>
          <w:right w:val="nil"/>
          <w:between w:val="nil"/>
          <w:bar w:val="nil"/>
        </w:pBdr>
        <w:tabs>
          <w:tab w:val="left" w:pos="720"/>
        </w:tabs>
        <w:spacing w:before="120"/>
        <w:rPr>
          <w:rFonts w:cs="Times New Roman"/>
          <w:kern w:val="22"/>
          <w:lang w:val="fr-FR"/>
        </w:rPr>
      </w:pPr>
      <w:r w:rsidRPr="00B0443C">
        <w:rPr>
          <w:rFonts w:cs="Times New Roman"/>
          <w:snapToGrid/>
          <w:color w:val="000000"/>
          <w:kern w:val="22"/>
          <w:szCs w:val="22"/>
          <w:lang w:val="fr-FR"/>
        </w:rPr>
        <w:t>19</w:t>
      </w:r>
      <w:r w:rsidR="00F8670A" w:rsidRPr="00B0443C">
        <w:rPr>
          <w:rFonts w:cs="Times New Roman"/>
          <w:snapToGrid/>
          <w:color w:val="000000"/>
          <w:kern w:val="22"/>
          <w:szCs w:val="22"/>
          <w:lang w:val="fr-FR"/>
        </w:rPr>
        <w:t>.</w:t>
      </w:r>
      <w:r w:rsidR="00F8670A" w:rsidRPr="00B0443C">
        <w:rPr>
          <w:rFonts w:cs="Times New Roman"/>
          <w:snapToGrid/>
          <w:color w:val="000000"/>
          <w:kern w:val="22"/>
          <w:szCs w:val="22"/>
          <w:lang w:val="fr-FR"/>
        </w:rPr>
        <w:tab/>
      </w:r>
      <w:r w:rsidR="00512913" w:rsidRPr="00512913">
        <w:rPr>
          <w:rFonts w:cs="Times New Roman"/>
          <w:kern w:val="22"/>
          <w:szCs w:val="22"/>
          <w:lang w:val="fr-FR"/>
        </w:rPr>
        <w:t xml:space="preserve">Outre les supports développés pour les activités mentionnées ci-dessus, le </w:t>
      </w:r>
      <w:r w:rsidR="00207E23">
        <w:rPr>
          <w:rFonts w:cs="Times New Roman"/>
          <w:kern w:val="22"/>
          <w:szCs w:val="22"/>
          <w:lang w:val="fr-FR"/>
        </w:rPr>
        <w:t>S</w:t>
      </w:r>
      <w:r w:rsidR="00512913" w:rsidRPr="00512913">
        <w:rPr>
          <w:rFonts w:cs="Times New Roman"/>
          <w:kern w:val="22"/>
          <w:szCs w:val="22"/>
          <w:lang w:val="fr-FR"/>
        </w:rPr>
        <w:t>ecrétariat, en collaboration avec des partenaires, a élaboré les éléments suivants</w:t>
      </w:r>
      <w:r w:rsidR="007366AA">
        <w:rPr>
          <w:rFonts w:cs="Times New Roman"/>
          <w:kern w:val="22"/>
          <w:szCs w:val="22"/>
          <w:lang w:val="fr-FR"/>
        </w:rPr>
        <w:t> </w:t>
      </w:r>
      <w:r w:rsidR="00512913" w:rsidRPr="00512913">
        <w:rPr>
          <w:rFonts w:cs="Times New Roman"/>
          <w:kern w:val="22"/>
          <w:szCs w:val="22"/>
          <w:lang w:val="fr-FR"/>
        </w:rPr>
        <w:t>:</w:t>
      </w:r>
    </w:p>
    <w:p w14:paraId="551AA971" w14:textId="0C90B72F" w:rsidR="00124759" w:rsidRPr="005C2D5E" w:rsidRDefault="009F7B78" w:rsidP="00A137CB">
      <w:pPr>
        <w:pStyle w:val="Para1"/>
        <w:pBdr>
          <w:top w:val="nil"/>
          <w:left w:val="nil"/>
          <w:bottom w:val="nil"/>
          <w:right w:val="nil"/>
          <w:between w:val="nil"/>
          <w:bar w:val="nil"/>
        </w:pBdr>
        <w:tabs>
          <w:tab w:val="left" w:pos="720"/>
        </w:tabs>
        <w:spacing w:before="120"/>
        <w:ind w:firstLine="709"/>
        <w:rPr>
          <w:rFonts w:cs="Times New Roman"/>
          <w:snapToGrid/>
          <w:kern w:val="22"/>
          <w:lang w:val="fr-FR"/>
        </w:rPr>
      </w:pPr>
      <w:r w:rsidRPr="007366AA">
        <w:rPr>
          <w:rFonts w:cs="Times New Roman"/>
          <w:kern w:val="22"/>
          <w:lang w:val="fr-FR"/>
        </w:rPr>
        <w:t>(a)</w:t>
      </w:r>
      <w:r w:rsidR="005F25BC" w:rsidRPr="007366AA">
        <w:rPr>
          <w:rFonts w:cs="Times New Roman"/>
          <w:kern w:val="22"/>
          <w:lang w:val="fr-FR"/>
        </w:rPr>
        <w:tab/>
      </w:r>
      <w:r w:rsidR="005C2D5E" w:rsidRPr="005C2D5E">
        <w:rPr>
          <w:rFonts w:cs="Times New Roman"/>
          <w:kern w:val="22"/>
          <w:lang w:val="fr-FR"/>
        </w:rPr>
        <w:t xml:space="preserve">Avec le soutien du Fonds japonais pour la biodiversité et en collaboration avec l'École des cadres des Nations Unies, deux cours d'apprentissage en ligne ont été finalisés et mis à disposition. Le premier est un cours en ligne introductif sur l'accès et le partage des avantages. Ce cours présente aux participants les concepts élémentaires associés à l'accès et au partage des avantages et leur donne un aperçu des principales étapes de la politique d'accès et de partage des avantages dans le cadre de la Convention sur la diversité biologique. Le deuxième module d'apprentissage en ligne offre une vue complète des concepts et fonctionnalités essentiels liés au Centre d'échange sur l'accès et le partage des avantages et est disponible en anglais, </w:t>
      </w:r>
      <w:r w:rsidR="00735B84">
        <w:rPr>
          <w:rFonts w:cs="Times New Roman"/>
          <w:kern w:val="22"/>
          <w:lang w:val="fr-FR"/>
        </w:rPr>
        <w:t>en français</w:t>
      </w:r>
      <w:r w:rsidR="005C2D5E" w:rsidRPr="005C2D5E">
        <w:rPr>
          <w:rFonts w:cs="Times New Roman"/>
          <w:kern w:val="22"/>
          <w:lang w:val="fr-FR"/>
        </w:rPr>
        <w:t xml:space="preserve"> et </w:t>
      </w:r>
      <w:r w:rsidR="00735B84">
        <w:rPr>
          <w:rFonts w:cs="Times New Roman"/>
          <w:kern w:val="22"/>
          <w:lang w:val="fr-FR"/>
        </w:rPr>
        <w:t xml:space="preserve">en </w:t>
      </w:r>
      <w:r w:rsidR="005C2D5E" w:rsidRPr="005C2D5E">
        <w:rPr>
          <w:rFonts w:cs="Times New Roman"/>
          <w:kern w:val="22"/>
          <w:lang w:val="fr-FR"/>
        </w:rPr>
        <w:t>espagnol. Ces ressources sont accessibles sur la plateforme d'apprentissage en ligne sur la biodiversité</w:t>
      </w:r>
      <w:r w:rsidR="005C2D5E" w:rsidRPr="00B0443C">
        <w:rPr>
          <w:rStyle w:val="Appelnotedebasdep"/>
          <w:rFonts w:cs="Times New Roman"/>
          <w:snapToGrid/>
          <w:kern w:val="22"/>
          <w:lang w:val="fr-FR"/>
        </w:rPr>
        <w:footnoteReference w:id="8"/>
      </w:r>
      <w:r w:rsidR="00881915">
        <w:rPr>
          <w:rFonts w:cs="Times New Roman"/>
          <w:kern w:val="22"/>
          <w:lang w:val="fr-FR"/>
        </w:rPr>
        <w:t> ;</w:t>
      </w:r>
    </w:p>
    <w:p w14:paraId="41825293" w14:textId="1FEE88DC" w:rsidR="005419F6" w:rsidRPr="00B0443C" w:rsidRDefault="008F3917" w:rsidP="00364889">
      <w:pPr>
        <w:pStyle w:val="Para1"/>
        <w:pBdr>
          <w:top w:val="nil"/>
          <w:left w:val="nil"/>
          <w:bottom w:val="nil"/>
          <w:right w:val="nil"/>
          <w:between w:val="nil"/>
          <w:bar w:val="nil"/>
        </w:pBdr>
        <w:spacing w:before="120" w:after="0"/>
        <w:ind w:firstLine="709"/>
        <w:rPr>
          <w:rFonts w:cs="Times New Roman"/>
          <w:snapToGrid/>
          <w:kern w:val="22"/>
          <w:szCs w:val="22"/>
          <w:lang w:val="fr-FR"/>
        </w:rPr>
      </w:pPr>
      <w:r w:rsidRPr="00B0443C">
        <w:rPr>
          <w:rFonts w:cs="Times New Roman"/>
          <w:snapToGrid/>
          <w:kern w:val="22"/>
          <w:szCs w:val="22"/>
          <w:lang w:val="fr-FR"/>
        </w:rPr>
        <w:t>(b)</w:t>
      </w:r>
      <w:r w:rsidRPr="00B0443C">
        <w:rPr>
          <w:rFonts w:cs="Times New Roman"/>
          <w:snapToGrid/>
          <w:kern w:val="22"/>
          <w:szCs w:val="22"/>
          <w:lang w:val="fr-FR"/>
        </w:rPr>
        <w:tab/>
      </w:r>
      <w:r w:rsidR="00364889" w:rsidRPr="00364889">
        <w:rPr>
          <w:rFonts w:cs="Times New Roman"/>
          <w:snapToGrid/>
          <w:kern w:val="22"/>
          <w:szCs w:val="22"/>
          <w:lang w:val="fr-FR"/>
        </w:rPr>
        <w:t>Dans le cadre de l'atelier mondial sur le renforcement des capacités en matière de surveillance de l'utilisation des ressources génétiques, une courte vidéo d'animation sur la surveillance de l'APA</w:t>
      </w:r>
      <w:r w:rsidR="00364889">
        <w:rPr>
          <w:rFonts w:cs="Times New Roman"/>
          <w:snapToGrid/>
          <w:kern w:val="22"/>
          <w:szCs w:val="22"/>
          <w:lang w:val="fr-FR"/>
        </w:rPr>
        <w:t xml:space="preserve">, </w:t>
      </w:r>
      <w:r w:rsidR="00364889">
        <w:rPr>
          <w:rFonts w:cs="Times New Roman"/>
          <w:i/>
          <w:iCs/>
          <w:snapToGrid/>
          <w:kern w:val="22"/>
          <w:szCs w:val="22"/>
          <w:lang w:val="fr-FR"/>
        </w:rPr>
        <w:t>ABS Monitoring</w:t>
      </w:r>
      <w:r w:rsidR="00364889" w:rsidRPr="00B0443C">
        <w:rPr>
          <w:rStyle w:val="Appelnotedebasdep"/>
          <w:rFonts w:cs="Times New Roman"/>
          <w:snapToGrid/>
          <w:kern w:val="22"/>
          <w:szCs w:val="22"/>
          <w:lang w:val="fr-FR"/>
        </w:rPr>
        <w:footnoteReference w:id="9"/>
      </w:r>
      <w:r w:rsidR="00364889">
        <w:rPr>
          <w:rFonts w:cs="Times New Roman"/>
          <w:i/>
          <w:iCs/>
          <w:snapToGrid/>
          <w:kern w:val="22"/>
          <w:szCs w:val="22"/>
          <w:lang w:val="fr-FR"/>
        </w:rPr>
        <w:t>,</w:t>
      </w:r>
      <w:r w:rsidR="00364889" w:rsidRPr="00364889">
        <w:rPr>
          <w:rFonts w:cs="Times New Roman"/>
          <w:snapToGrid/>
          <w:kern w:val="22"/>
          <w:szCs w:val="22"/>
          <w:lang w:val="fr-FR"/>
        </w:rPr>
        <w:t xml:space="preserve"> a été produite par l'</w:t>
      </w:r>
      <w:r w:rsidR="004A628D">
        <w:rPr>
          <w:rFonts w:cs="Times New Roman"/>
          <w:snapToGrid/>
          <w:kern w:val="22"/>
          <w:szCs w:val="22"/>
          <w:lang w:val="fr-FR"/>
        </w:rPr>
        <w:t xml:space="preserve">Initiative de </w:t>
      </w:r>
      <w:r w:rsidR="00EC2C06">
        <w:rPr>
          <w:rFonts w:cs="Times New Roman"/>
          <w:snapToGrid/>
          <w:kern w:val="22"/>
          <w:szCs w:val="22"/>
          <w:lang w:val="fr-FR"/>
        </w:rPr>
        <w:t>renforcement</w:t>
      </w:r>
      <w:r w:rsidR="00364889" w:rsidRPr="00364889">
        <w:rPr>
          <w:rFonts w:cs="Times New Roman"/>
          <w:snapToGrid/>
          <w:kern w:val="22"/>
          <w:szCs w:val="22"/>
          <w:lang w:val="fr-FR"/>
        </w:rPr>
        <w:t xml:space="preserve"> des capacités en matière d'APA en coopération avec le </w:t>
      </w:r>
      <w:r w:rsidR="00207E23">
        <w:rPr>
          <w:rFonts w:cs="Times New Roman"/>
          <w:snapToGrid/>
          <w:kern w:val="22"/>
          <w:szCs w:val="22"/>
          <w:lang w:val="fr-FR"/>
        </w:rPr>
        <w:t>S</w:t>
      </w:r>
      <w:r w:rsidR="00364889" w:rsidRPr="00364889">
        <w:rPr>
          <w:rFonts w:cs="Times New Roman"/>
          <w:snapToGrid/>
          <w:kern w:val="22"/>
          <w:szCs w:val="22"/>
          <w:lang w:val="fr-FR"/>
        </w:rPr>
        <w:t xml:space="preserve">ecrétariat afin d'expliquer la surveillance de l'utilisation des ressources génétiques par le biais du Centre d'échange </w:t>
      </w:r>
      <w:r w:rsidR="004A294D">
        <w:rPr>
          <w:rFonts w:cs="Times New Roman"/>
          <w:snapToGrid/>
          <w:kern w:val="22"/>
          <w:szCs w:val="22"/>
          <w:lang w:val="fr-FR"/>
        </w:rPr>
        <w:t>sur</w:t>
      </w:r>
      <w:r w:rsidR="00364889" w:rsidRPr="00364889">
        <w:rPr>
          <w:rFonts w:cs="Times New Roman"/>
          <w:snapToGrid/>
          <w:kern w:val="22"/>
          <w:szCs w:val="22"/>
          <w:lang w:val="fr-FR"/>
        </w:rPr>
        <w:t xml:space="preserve"> l'accès et le partage des avantages</w:t>
      </w:r>
      <w:r w:rsidR="00881915">
        <w:rPr>
          <w:rFonts w:cs="Times New Roman"/>
          <w:snapToGrid/>
          <w:kern w:val="22"/>
          <w:szCs w:val="22"/>
          <w:lang w:val="fr-FR"/>
        </w:rPr>
        <w:t> ;</w:t>
      </w:r>
    </w:p>
    <w:p w14:paraId="239616F4" w14:textId="26B899ED" w:rsidR="000917A2" w:rsidRDefault="000D62B7" w:rsidP="00010EB1">
      <w:pPr>
        <w:pStyle w:val="Para1"/>
        <w:pBdr>
          <w:top w:val="nil"/>
          <w:left w:val="nil"/>
          <w:bottom w:val="nil"/>
          <w:right w:val="nil"/>
          <w:between w:val="nil"/>
          <w:bar w:val="nil"/>
        </w:pBdr>
        <w:spacing w:before="120"/>
        <w:ind w:firstLine="709"/>
        <w:rPr>
          <w:rFonts w:cs="Times New Roman"/>
          <w:snapToGrid/>
          <w:kern w:val="22"/>
          <w:szCs w:val="22"/>
          <w:lang w:val="fr-FR"/>
        </w:rPr>
      </w:pPr>
      <w:r w:rsidRPr="00B0443C">
        <w:rPr>
          <w:rFonts w:cs="Times New Roman"/>
          <w:snapToGrid/>
          <w:kern w:val="22"/>
          <w:szCs w:val="22"/>
          <w:lang w:val="fr-FR"/>
        </w:rPr>
        <w:t>(c)</w:t>
      </w:r>
      <w:r w:rsidR="005419F6" w:rsidRPr="00B0443C">
        <w:rPr>
          <w:rFonts w:cs="Times New Roman"/>
          <w:snapToGrid/>
          <w:kern w:val="22"/>
          <w:szCs w:val="22"/>
          <w:lang w:val="fr-FR"/>
        </w:rPr>
        <w:t xml:space="preserve"> </w:t>
      </w:r>
      <w:r w:rsidR="005419F6" w:rsidRPr="00B0443C">
        <w:rPr>
          <w:rFonts w:cs="Times New Roman"/>
          <w:snapToGrid/>
          <w:kern w:val="22"/>
          <w:szCs w:val="22"/>
          <w:lang w:val="fr-FR"/>
        </w:rPr>
        <w:tab/>
      </w:r>
      <w:r w:rsidR="00364889">
        <w:rPr>
          <w:rFonts w:cs="Times New Roman"/>
          <w:snapToGrid/>
          <w:kern w:val="22"/>
          <w:szCs w:val="22"/>
          <w:lang w:val="fr-FR"/>
        </w:rPr>
        <w:t>Une autre vidéo animée intitulée « L’ISN expliquée simplement »,</w:t>
      </w:r>
      <w:r w:rsidR="005419F6" w:rsidRPr="00B0443C">
        <w:rPr>
          <w:rFonts w:cs="Times New Roman"/>
          <w:snapToGrid/>
          <w:kern w:val="22"/>
          <w:szCs w:val="22"/>
          <w:lang w:val="fr-FR"/>
        </w:rPr>
        <w:t xml:space="preserve"> </w:t>
      </w:r>
      <w:r w:rsidR="00717588" w:rsidRPr="00B0443C">
        <w:rPr>
          <w:rFonts w:cs="Times New Roman"/>
          <w:i/>
          <w:iCs/>
          <w:snapToGrid/>
          <w:kern w:val="22"/>
          <w:szCs w:val="22"/>
          <w:lang w:val="fr-FR"/>
        </w:rPr>
        <w:t xml:space="preserve">DSI </w:t>
      </w:r>
      <w:proofErr w:type="spellStart"/>
      <w:r w:rsidR="00717588" w:rsidRPr="00B0443C">
        <w:rPr>
          <w:rFonts w:cs="Times New Roman"/>
          <w:i/>
          <w:iCs/>
          <w:snapToGrid/>
          <w:kern w:val="22"/>
          <w:szCs w:val="22"/>
          <w:lang w:val="fr-FR"/>
        </w:rPr>
        <w:t>simply</w:t>
      </w:r>
      <w:proofErr w:type="spellEnd"/>
      <w:r w:rsidR="00717588" w:rsidRPr="00B0443C">
        <w:rPr>
          <w:rFonts w:cs="Times New Roman"/>
          <w:i/>
          <w:iCs/>
          <w:snapToGrid/>
          <w:kern w:val="22"/>
          <w:szCs w:val="22"/>
          <w:lang w:val="fr-FR"/>
        </w:rPr>
        <w:t xml:space="preserve"> </w:t>
      </w:r>
      <w:proofErr w:type="spellStart"/>
      <w:r w:rsidR="00717588" w:rsidRPr="00B0443C">
        <w:rPr>
          <w:rFonts w:cs="Times New Roman"/>
          <w:i/>
          <w:iCs/>
          <w:snapToGrid/>
          <w:kern w:val="22"/>
          <w:szCs w:val="22"/>
          <w:lang w:val="fr-FR"/>
        </w:rPr>
        <w:t>explained</w:t>
      </w:r>
      <w:proofErr w:type="spellEnd"/>
      <w:r w:rsidR="00717588" w:rsidRPr="00B0443C">
        <w:rPr>
          <w:rStyle w:val="Appelnotedebasdep"/>
          <w:rFonts w:cs="Times New Roman"/>
          <w:snapToGrid/>
          <w:kern w:val="22"/>
          <w:szCs w:val="22"/>
          <w:lang w:val="fr-FR"/>
        </w:rPr>
        <w:footnoteReference w:id="10"/>
      </w:r>
      <w:r w:rsidR="005419F6" w:rsidRPr="00B0443C">
        <w:rPr>
          <w:rFonts w:cs="Times New Roman"/>
          <w:snapToGrid/>
          <w:kern w:val="22"/>
          <w:szCs w:val="22"/>
          <w:lang w:val="fr-FR"/>
        </w:rPr>
        <w:t xml:space="preserve"> </w:t>
      </w:r>
      <w:r w:rsidR="00364889" w:rsidRPr="00364889">
        <w:rPr>
          <w:rFonts w:cs="Times New Roman"/>
          <w:snapToGrid/>
          <w:kern w:val="22"/>
          <w:szCs w:val="22"/>
          <w:lang w:val="fr-FR"/>
        </w:rPr>
        <w:t>a été élaborée en collaboration avec l'</w:t>
      </w:r>
      <w:r w:rsidR="004A628D">
        <w:rPr>
          <w:rFonts w:cs="Times New Roman"/>
          <w:snapToGrid/>
          <w:kern w:val="22"/>
          <w:szCs w:val="22"/>
          <w:lang w:val="fr-FR"/>
        </w:rPr>
        <w:t xml:space="preserve">Initiative de </w:t>
      </w:r>
      <w:r w:rsidR="00E67A53">
        <w:rPr>
          <w:rFonts w:cs="Times New Roman"/>
          <w:snapToGrid/>
          <w:kern w:val="22"/>
          <w:szCs w:val="22"/>
          <w:lang w:val="fr-FR"/>
        </w:rPr>
        <w:t>renforcement</w:t>
      </w:r>
      <w:r w:rsidR="00364889" w:rsidRPr="00364889">
        <w:rPr>
          <w:rFonts w:cs="Times New Roman"/>
          <w:snapToGrid/>
          <w:kern w:val="22"/>
          <w:szCs w:val="22"/>
          <w:lang w:val="fr-FR"/>
        </w:rPr>
        <w:t xml:space="preserve"> des capacités </w:t>
      </w:r>
      <w:r w:rsidR="004A628D">
        <w:rPr>
          <w:rFonts w:cs="Times New Roman"/>
          <w:snapToGrid/>
          <w:kern w:val="22"/>
          <w:szCs w:val="22"/>
          <w:lang w:val="fr-FR"/>
        </w:rPr>
        <w:t>en matière d’</w:t>
      </w:r>
      <w:r w:rsidR="00364889" w:rsidRPr="00364889">
        <w:rPr>
          <w:rFonts w:cs="Times New Roman"/>
          <w:snapToGrid/>
          <w:kern w:val="22"/>
          <w:szCs w:val="22"/>
          <w:lang w:val="fr-FR"/>
        </w:rPr>
        <w:t>APA afin d'expliquer les informations de séquençage numérique sur les ressources génétiques.</w:t>
      </w:r>
    </w:p>
    <w:p w14:paraId="19830EE5" w14:textId="5383A95E" w:rsidR="003E2C54" w:rsidRPr="00A137CB" w:rsidRDefault="00A137CB" w:rsidP="005C4D18">
      <w:pPr>
        <w:pStyle w:val="Titre2"/>
        <w:tabs>
          <w:tab w:val="clear" w:pos="720"/>
          <w:tab w:val="left" w:pos="426"/>
        </w:tabs>
        <w:rPr>
          <w:rFonts w:cs="Times New Roman"/>
          <w:kern w:val="22"/>
          <w:szCs w:val="18"/>
          <w:lang w:val="fr-FR"/>
        </w:rPr>
      </w:pPr>
      <w:r w:rsidRPr="00CD653E">
        <w:rPr>
          <w:rFonts w:cs="Times New Roman"/>
          <w:kern w:val="22"/>
          <w:szCs w:val="22"/>
          <w:lang w:val="fr-CA"/>
        </w:rPr>
        <w:t>B.</w:t>
      </w:r>
      <w:r w:rsidRPr="00CD653E">
        <w:rPr>
          <w:rFonts w:cs="Times New Roman"/>
          <w:kern w:val="22"/>
          <w:szCs w:val="22"/>
          <w:lang w:val="fr-CA"/>
        </w:rPr>
        <w:tab/>
      </w:r>
      <w:r w:rsidRPr="001B0CC4">
        <w:rPr>
          <w:rFonts w:cs="Times New Roman"/>
          <w:kern w:val="22"/>
          <w:szCs w:val="22"/>
          <w:lang w:val="fr-FR"/>
        </w:rPr>
        <w:t>Participation aux activités de création et de renforcement des capacités des organisations partenaires</w:t>
      </w:r>
    </w:p>
    <w:p w14:paraId="53DF2BAD" w14:textId="089D4B13" w:rsidR="004438D5" w:rsidRPr="00B0443C" w:rsidRDefault="002C6370" w:rsidP="00A137CB">
      <w:pPr>
        <w:pStyle w:val="Para1"/>
        <w:pBdr>
          <w:top w:val="nil"/>
          <w:left w:val="nil"/>
          <w:bottom w:val="nil"/>
          <w:right w:val="nil"/>
          <w:between w:val="nil"/>
          <w:bar w:val="nil"/>
        </w:pBdr>
        <w:tabs>
          <w:tab w:val="left" w:pos="720"/>
        </w:tabs>
        <w:spacing w:before="120"/>
        <w:rPr>
          <w:rFonts w:cs="Times New Roman"/>
          <w:snapToGrid/>
          <w:kern w:val="22"/>
          <w:szCs w:val="22"/>
          <w:lang w:val="fr-FR"/>
        </w:rPr>
      </w:pPr>
      <w:r w:rsidRPr="00A137CB">
        <w:rPr>
          <w:rFonts w:cs="Times New Roman"/>
          <w:kern w:val="22"/>
          <w:lang w:val="fr-FR"/>
        </w:rPr>
        <w:t>2</w:t>
      </w:r>
      <w:r w:rsidR="004F55BE" w:rsidRPr="00A137CB">
        <w:rPr>
          <w:rFonts w:cs="Times New Roman"/>
          <w:kern w:val="22"/>
          <w:lang w:val="fr-FR"/>
        </w:rPr>
        <w:t>0</w:t>
      </w:r>
      <w:r w:rsidR="00F8670A" w:rsidRPr="00A137CB">
        <w:rPr>
          <w:rFonts w:cs="Times New Roman"/>
          <w:kern w:val="22"/>
          <w:lang w:val="fr-FR"/>
        </w:rPr>
        <w:t>.</w:t>
      </w:r>
      <w:r w:rsidR="00F8670A" w:rsidRPr="00A137CB">
        <w:rPr>
          <w:rFonts w:cs="Times New Roman"/>
          <w:kern w:val="22"/>
          <w:lang w:val="fr-FR"/>
        </w:rPr>
        <w:tab/>
      </w:r>
      <w:r w:rsidR="001B0CC4" w:rsidRPr="00A137CB">
        <w:rPr>
          <w:rFonts w:cs="Times New Roman"/>
          <w:kern w:val="22"/>
          <w:lang w:val="fr-FR"/>
        </w:rPr>
        <w:t xml:space="preserve">Le </w:t>
      </w:r>
      <w:r w:rsidR="00207E23">
        <w:rPr>
          <w:rFonts w:cs="Times New Roman"/>
          <w:kern w:val="22"/>
          <w:lang w:val="fr-FR"/>
        </w:rPr>
        <w:t>S</w:t>
      </w:r>
      <w:r w:rsidR="001B0CC4" w:rsidRPr="00A137CB">
        <w:rPr>
          <w:rFonts w:cs="Times New Roman"/>
          <w:kern w:val="22"/>
          <w:lang w:val="fr-FR"/>
        </w:rPr>
        <w:t>ecrétariat a participé à diverses réunions organisée</w:t>
      </w:r>
      <w:r w:rsidR="001B0CC4" w:rsidRPr="001B0CC4">
        <w:rPr>
          <w:rFonts w:cs="Times New Roman"/>
          <w:kern w:val="22"/>
          <w:szCs w:val="22"/>
          <w:lang w:val="fr-FR"/>
        </w:rPr>
        <w:t>s par des organisations partenaires. De plus amples informations sur la coopération avec les organisations compétentes figurent dans le document CBD/NP/MOP/4/8 sur la coopération avec d'autres organisations, conventions et initiatives internationales, qui sera abordé</w:t>
      </w:r>
      <w:r w:rsidR="0098398D">
        <w:rPr>
          <w:rFonts w:cs="Times New Roman"/>
          <w:kern w:val="22"/>
          <w:szCs w:val="22"/>
          <w:lang w:val="fr-FR"/>
        </w:rPr>
        <w:t>e</w:t>
      </w:r>
      <w:r w:rsidR="001B0CC4" w:rsidRPr="001B0CC4">
        <w:rPr>
          <w:rFonts w:cs="Times New Roman"/>
          <w:kern w:val="22"/>
          <w:szCs w:val="22"/>
          <w:lang w:val="fr-FR"/>
        </w:rPr>
        <w:t xml:space="preserve"> au</w:t>
      </w:r>
      <w:r w:rsidR="001B0CC4">
        <w:rPr>
          <w:rFonts w:cs="Times New Roman"/>
          <w:kern w:val="22"/>
          <w:szCs w:val="22"/>
          <w:lang w:val="fr-FR"/>
        </w:rPr>
        <w:t xml:space="preserve"> titre du</w:t>
      </w:r>
      <w:r w:rsidR="001B0CC4" w:rsidRPr="001B0CC4">
        <w:rPr>
          <w:rFonts w:cs="Times New Roman"/>
          <w:kern w:val="22"/>
          <w:szCs w:val="22"/>
          <w:lang w:val="fr-FR"/>
        </w:rPr>
        <w:t xml:space="preserve"> point 11 de l'ordre du jour.</w:t>
      </w:r>
    </w:p>
    <w:p w14:paraId="339B6670" w14:textId="17317C5F" w:rsidR="00FD48BD" w:rsidRPr="00B0443C" w:rsidRDefault="002C6370" w:rsidP="00A137CB">
      <w:pPr>
        <w:pStyle w:val="Para1"/>
        <w:pBdr>
          <w:top w:val="nil"/>
          <w:left w:val="nil"/>
          <w:bottom w:val="nil"/>
          <w:right w:val="nil"/>
          <w:between w:val="nil"/>
          <w:bar w:val="nil"/>
        </w:pBdr>
        <w:tabs>
          <w:tab w:val="left" w:pos="720"/>
        </w:tabs>
        <w:spacing w:before="120"/>
        <w:rPr>
          <w:rFonts w:cs="Times New Roman"/>
          <w:snapToGrid/>
          <w:kern w:val="22"/>
          <w:szCs w:val="22"/>
          <w:lang w:val="fr-FR"/>
        </w:rPr>
      </w:pPr>
      <w:r w:rsidRPr="00B0443C">
        <w:rPr>
          <w:rFonts w:cs="Times New Roman"/>
          <w:snapToGrid/>
          <w:color w:val="000000"/>
          <w:kern w:val="22"/>
          <w:szCs w:val="22"/>
          <w:lang w:val="fr-FR"/>
        </w:rPr>
        <w:t>2</w:t>
      </w:r>
      <w:r w:rsidR="004F55BE" w:rsidRPr="00B0443C">
        <w:rPr>
          <w:rFonts w:cs="Times New Roman"/>
          <w:snapToGrid/>
          <w:color w:val="000000"/>
          <w:kern w:val="22"/>
          <w:szCs w:val="22"/>
          <w:lang w:val="fr-FR"/>
        </w:rPr>
        <w:t>1</w:t>
      </w:r>
      <w:r w:rsidR="00F8670A" w:rsidRPr="00B0443C">
        <w:rPr>
          <w:rFonts w:cs="Times New Roman"/>
          <w:snapToGrid/>
          <w:color w:val="000000"/>
          <w:kern w:val="22"/>
          <w:szCs w:val="22"/>
          <w:lang w:val="fr-FR"/>
        </w:rPr>
        <w:t>.</w:t>
      </w:r>
      <w:r w:rsidR="00F8670A" w:rsidRPr="00B0443C">
        <w:rPr>
          <w:rFonts w:cs="Times New Roman"/>
          <w:snapToGrid/>
          <w:color w:val="000000"/>
          <w:kern w:val="22"/>
          <w:szCs w:val="22"/>
          <w:lang w:val="fr-FR"/>
        </w:rPr>
        <w:tab/>
      </w:r>
      <w:r w:rsidR="000C28E0" w:rsidRPr="000C28E0">
        <w:rPr>
          <w:rFonts w:cs="Times New Roman"/>
          <w:kern w:val="22"/>
          <w:szCs w:val="22"/>
          <w:lang w:val="fr-FR"/>
        </w:rPr>
        <w:t xml:space="preserve">Le </w:t>
      </w:r>
      <w:r w:rsidR="00207E23">
        <w:rPr>
          <w:rFonts w:cs="Times New Roman"/>
          <w:kern w:val="22"/>
          <w:szCs w:val="22"/>
          <w:lang w:val="fr-FR"/>
        </w:rPr>
        <w:t>S</w:t>
      </w:r>
      <w:r w:rsidR="000C28E0" w:rsidRPr="000C28E0">
        <w:rPr>
          <w:rFonts w:cs="Times New Roman"/>
          <w:kern w:val="22"/>
          <w:szCs w:val="22"/>
          <w:lang w:val="fr-FR"/>
        </w:rPr>
        <w:t xml:space="preserve">ecrétariat a également continué à siéger au </w:t>
      </w:r>
      <w:r w:rsidR="005C4D18">
        <w:rPr>
          <w:rFonts w:cs="Times New Roman"/>
          <w:kern w:val="22"/>
          <w:szCs w:val="22"/>
          <w:lang w:val="fr-FR"/>
        </w:rPr>
        <w:t>C</w:t>
      </w:r>
      <w:r w:rsidR="000C28E0" w:rsidRPr="000C28E0">
        <w:rPr>
          <w:rFonts w:cs="Times New Roman"/>
          <w:kern w:val="22"/>
          <w:szCs w:val="22"/>
          <w:lang w:val="fr-FR"/>
        </w:rPr>
        <w:t>omité directeur de l'Initiative pour le renforcement des capacités en matière d'APA, qui compte plusieurs donateurs, et a participé à l'atelier panafricain sur l'accès aux ressources génétiques et le partage des avantages découlant de leur utilisation, qui s'est tenu au Cap, en Afrique du Sud, du 9 au 13 septembre 2019, et a contribué à l'évaluation externe de l'initiative entreprise en 2021</w:t>
      </w:r>
      <w:r w:rsidR="00D92FD3" w:rsidRPr="00B0443C">
        <w:rPr>
          <w:rFonts w:cs="Times New Roman"/>
          <w:snapToGrid/>
          <w:kern w:val="22"/>
          <w:szCs w:val="22"/>
          <w:lang w:val="fr-FR"/>
        </w:rPr>
        <w:t>.</w:t>
      </w:r>
    </w:p>
    <w:p w14:paraId="31FA76F8" w14:textId="7B77C83F" w:rsidR="003E2C54" w:rsidRPr="00B0443C" w:rsidRDefault="00F8670A" w:rsidP="48732A80">
      <w:pPr>
        <w:pStyle w:val="Titre1"/>
        <w:tabs>
          <w:tab w:val="clear" w:pos="720"/>
        </w:tabs>
        <w:spacing w:before="120"/>
        <w:ind w:left="1077" w:right="714" w:hanging="720"/>
        <w:jc w:val="left"/>
        <w:rPr>
          <w:rFonts w:cs="Times New Roman"/>
          <w:kern w:val="22"/>
          <w:lang w:val="fr-FR"/>
        </w:rPr>
      </w:pPr>
      <w:r w:rsidRPr="00B0443C">
        <w:rPr>
          <w:rFonts w:cs="Times New Roman"/>
          <w:kern w:val="22"/>
          <w:lang w:val="fr-FR"/>
        </w:rPr>
        <w:t>III.</w:t>
      </w:r>
      <w:r w:rsidRPr="00B0443C">
        <w:rPr>
          <w:rFonts w:cs="Times New Roman"/>
          <w:kern w:val="22"/>
          <w:szCs w:val="22"/>
          <w:lang w:val="fr-FR"/>
        </w:rPr>
        <w:tab/>
      </w:r>
      <w:r w:rsidR="008B0146" w:rsidRPr="008B0146">
        <w:rPr>
          <w:rFonts w:cs="Times New Roman"/>
          <w:kern w:val="22"/>
          <w:lang w:val="fr-FR"/>
        </w:rPr>
        <w:t>mise à jour concernant les initiatives existantes de création et de renforcement des capacités et les ressources en appui à l'application du protocole de Nagoya</w:t>
      </w:r>
    </w:p>
    <w:p w14:paraId="70B2DA23" w14:textId="3EC034F3" w:rsidR="0072109E" w:rsidRPr="005D7F05" w:rsidRDefault="002C6370" w:rsidP="00A137CB">
      <w:pPr>
        <w:pStyle w:val="Para1"/>
        <w:pBdr>
          <w:top w:val="nil"/>
          <w:left w:val="nil"/>
          <w:bottom w:val="nil"/>
          <w:right w:val="nil"/>
          <w:between w:val="nil"/>
          <w:bar w:val="nil"/>
        </w:pBdr>
        <w:tabs>
          <w:tab w:val="left" w:pos="720"/>
        </w:tabs>
        <w:spacing w:before="120"/>
        <w:rPr>
          <w:rFonts w:cs="Times New Roman"/>
          <w:kern w:val="22"/>
          <w:lang w:val="fr-FR"/>
        </w:rPr>
      </w:pPr>
      <w:r w:rsidRPr="00B0443C">
        <w:rPr>
          <w:rFonts w:cs="Times New Roman"/>
          <w:snapToGrid/>
          <w:color w:val="000000"/>
          <w:kern w:val="22"/>
          <w:szCs w:val="22"/>
          <w:lang w:val="fr-FR"/>
        </w:rPr>
        <w:t>2</w:t>
      </w:r>
      <w:r w:rsidR="004F55BE" w:rsidRPr="00B0443C">
        <w:rPr>
          <w:rFonts w:cs="Times New Roman"/>
          <w:snapToGrid/>
          <w:color w:val="000000"/>
          <w:kern w:val="22"/>
          <w:szCs w:val="22"/>
          <w:lang w:val="fr-FR"/>
        </w:rPr>
        <w:t>2</w:t>
      </w:r>
      <w:r w:rsidR="00F8670A" w:rsidRPr="00B0443C">
        <w:rPr>
          <w:rFonts w:cs="Times New Roman"/>
          <w:snapToGrid/>
          <w:color w:val="000000"/>
          <w:kern w:val="22"/>
          <w:szCs w:val="22"/>
          <w:lang w:val="fr-FR"/>
        </w:rPr>
        <w:t>.</w:t>
      </w:r>
      <w:r w:rsidR="00F8670A" w:rsidRPr="00B0443C">
        <w:rPr>
          <w:rFonts w:cs="Times New Roman"/>
          <w:snapToGrid/>
          <w:color w:val="000000"/>
          <w:kern w:val="22"/>
          <w:szCs w:val="22"/>
          <w:lang w:val="fr-FR"/>
        </w:rPr>
        <w:tab/>
      </w:r>
      <w:r w:rsidR="001E44D4" w:rsidRPr="001E44D4">
        <w:rPr>
          <w:rFonts w:cs="Times New Roman"/>
          <w:kern w:val="22"/>
          <w:szCs w:val="22"/>
          <w:lang w:val="fr-FR"/>
        </w:rPr>
        <w:t xml:space="preserve">Conformément à la décision NP-1/8, paragraphe 10(e), la présente section apporte une mise à jour sur les initiatives de création et de renforcement des capacités mises en œuvre </w:t>
      </w:r>
      <w:r w:rsidR="00B05089">
        <w:rPr>
          <w:rFonts w:cs="Times New Roman"/>
          <w:kern w:val="22"/>
          <w:szCs w:val="22"/>
          <w:lang w:val="fr-FR"/>
        </w:rPr>
        <w:t>en appui au</w:t>
      </w:r>
      <w:r w:rsidR="001E44D4" w:rsidRPr="001E44D4">
        <w:rPr>
          <w:rFonts w:cs="Times New Roman"/>
          <w:kern w:val="22"/>
          <w:szCs w:val="22"/>
          <w:lang w:val="fr-FR"/>
        </w:rPr>
        <w:t xml:space="preserve"> cadre stratégique pour le renforcement des capacités.</w:t>
      </w:r>
    </w:p>
    <w:p w14:paraId="18676CF3" w14:textId="589A5CFE" w:rsidR="003E2C54" w:rsidRPr="005D7F05" w:rsidRDefault="00F8670A" w:rsidP="005D7F05">
      <w:pPr>
        <w:pStyle w:val="Para1"/>
        <w:pBdr>
          <w:top w:val="nil"/>
          <w:left w:val="nil"/>
          <w:bottom w:val="nil"/>
          <w:right w:val="nil"/>
          <w:between w:val="nil"/>
          <w:bar w:val="nil"/>
        </w:pBdr>
        <w:tabs>
          <w:tab w:val="left" w:pos="720"/>
        </w:tabs>
        <w:spacing w:before="120"/>
        <w:rPr>
          <w:rFonts w:cs="Times New Roman"/>
          <w:kern w:val="22"/>
          <w:lang w:val="fr-FR"/>
        </w:rPr>
      </w:pPr>
      <w:r w:rsidRPr="005D7F05">
        <w:rPr>
          <w:rFonts w:cs="Times New Roman"/>
          <w:kern w:val="22"/>
          <w:lang w:val="fr-FR"/>
        </w:rPr>
        <w:t>2</w:t>
      </w:r>
      <w:r w:rsidR="004F55BE" w:rsidRPr="005D7F05">
        <w:rPr>
          <w:rFonts w:cs="Times New Roman"/>
          <w:kern w:val="22"/>
          <w:lang w:val="fr-FR"/>
        </w:rPr>
        <w:t>3</w:t>
      </w:r>
      <w:r w:rsidRPr="005D7F05">
        <w:rPr>
          <w:rFonts w:cs="Times New Roman"/>
          <w:kern w:val="22"/>
          <w:lang w:val="fr-FR"/>
        </w:rPr>
        <w:t>.</w:t>
      </w:r>
      <w:r w:rsidRPr="005D7F05">
        <w:rPr>
          <w:rFonts w:cs="Times New Roman"/>
          <w:kern w:val="22"/>
          <w:lang w:val="fr-FR"/>
        </w:rPr>
        <w:tab/>
      </w:r>
      <w:r w:rsidR="001E44D4" w:rsidRPr="005D7F05">
        <w:rPr>
          <w:rFonts w:cs="Times New Roman"/>
          <w:kern w:val="22"/>
          <w:lang w:val="fr-FR"/>
        </w:rPr>
        <w:t xml:space="preserve">La sous-section A </w:t>
      </w:r>
      <w:proofErr w:type="spellStart"/>
      <w:r w:rsidR="00303449" w:rsidRPr="005D7F05">
        <w:rPr>
          <w:rFonts w:cs="Times New Roman"/>
          <w:kern w:val="22"/>
          <w:lang w:val="fr-FR"/>
        </w:rPr>
        <w:t>consiste</w:t>
      </w:r>
      <w:proofErr w:type="spellEnd"/>
      <w:r w:rsidR="00303449">
        <w:rPr>
          <w:rFonts w:cs="Times New Roman"/>
          <w:kern w:val="22"/>
          <w:szCs w:val="22"/>
          <w:lang w:val="fr-FR"/>
        </w:rPr>
        <w:t xml:space="preserve"> en</w:t>
      </w:r>
      <w:r w:rsidR="001E44D4" w:rsidRPr="001E44D4">
        <w:rPr>
          <w:rFonts w:cs="Times New Roman"/>
          <w:kern w:val="22"/>
          <w:szCs w:val="22"/>
          <w:lang w:val="fr-FR"/>
        </w:rPr>
        <w:t xml:space="preserve"> une vue d'ensemble des initiatives de renforcement des capacités connues qui contribuent à l'application du cadre stratégique, en attirant l'attention sur les activités de </w:t>
      </w:r>
      <w:r w:rsidR="001E44D4" w:rsidRPr="001E44D4">
        <w:rPr>
          <w:rFonts w:cs="Times New Roman"/>
          <w:kern w:val="22"/>
          <w:szCs w:val="22"/>
          <w:lang w:val="fr-FR"/>
        </w:rPr>
        <w:lastRenderedPageBreak/>
        <w:t>renforcement des capacités qui procurent un soutien direct aux activités nationales liées à la ratification et à l'application du Protocole de Nagoya. Elle procure également des informations sur le statut, la durée, le niveau de financement ainsi que la couverture géographique et thématique des initiatives existantes. La sous-section B présente les ressources en matière de renforcement des capacités et de sensibilisation</w:t>
      </w:r>
      <w:r w:rsidR="00F61C30" w:rsidRPr="00B0443C">
        <w:rPr>
          <w:rFonts w:cs="Times New Roman"/>
          <w:snapToGrid/>
          <w:kern w:val="22"/>
          <w:szCs w:val="22"/>
          <w:lang w:val="fr-FR"/>
        </w:rPr>
        <w:t>.</w:t>
      </w:r>
    </w:p>
    <w:p w14:paraId="52CB600C" w14:textId="3A7B256E" w:rsidR="009B2A10" w:rsidRDefault="00F8670A" w:rsidP="005D7F05">
      <w:pPr>
        <w:pStyle w:val="Para1"/>
        <w:pBdr>
          <w:top w:val="nil"/>
          <w:left w:val="nil"/>
          <w:bottom w:val="nil"/>
          <w:right w:val="nil"/>
          <w:between w:val="nil"/>
          <w:bar w:val="nil"/>
        </w:pBdr>
        <w:tabs>
          <w:tab w:val="left" w:pos="720"/>
        </w:tabs>
        <w:spacing w:before="120"/>
        <w:rPr>
          <w:rFonts w:cs="Times New Roman"/>
          <w:kern w:val="22"/>
          <w:lang w:val="fr-FR"/>
        </w:rPr>
      </w:pPr>
      <w:r w:rsidRPr="005D7F05">
        <w:rPr>
          <w:rFonts w:cs="Times New Roman"/>
          <w:kern w:val="22"/>
          <w:lang w:val="fr-FR"/>
        </w:rPr>
        <w:t>2</w:t>
      </w:r>
      <w:r w:rsidR="004F55BE" w:rsidRPr="005D7F05">
        <w:rPr>
          <w:rFonts w:cs="Times New Roman"/>
          <w:kern w:val="22"/>
          <w:lang w:val="fr-FR"/>
        </w:rPr>
        <w:t>4</w:t>
      </w:r>
      <w:r w:rsidRPr="005D7F05">
        <w:rPr>
          <w:rFonts w:cs="Times New Roman"/>
          <w:kern w:val="22"/>
          <w:lang w:val="fr-FR"/>
        </w:rPr>
        <w:t>.</w:t>
      </w:r>
      <w:r w:rsidRPr="005D7F05">
        <w:rPr>
          <w:rFonts w:cs="Times New Roman"/>
          <w:kern w:val="22"/>
          <w:lang w:val="fr-FR"/>
        </w:rPr>
        <w:tab/>
      </w:r>
      <w:r w:rsidR="00A137CB" w:rsidRPr="005D7F05">
        <w:rPr>
          <w:rFonts w:cs="Times New Roman"/>
          <w:kern w:val="22"/>
          <w:lang w:val="fr-FR"/>
        </w:rPr>
        <w:t>Les documents d'information CBD/NP/MOP/4/INF/1 et CBD/NP/MOP/4/INF</w:t>
      </w:r>
      <w:r w:rsidR="00A137CB" w:rsidRPr="00A137CB">
        <w:rPr>
          <w:rFonts w:cs="Times New Roman"/>
          <w:kern w:val="22"/>
          <w:lang w:val="fr-FR"/>
        </w:rPr>
        <w:t>/2 donnent un aperçu détaillé des initiatives et des ressources de création et de renforcement des capacités qui offrent un soutien direct aux activités nationales dans divers pays</w:t>
      </w:r>
      <w:r w:rsidR="003E4F72" w:rsidRPr="00B0443C">
        <w:rPr>
          <w:rFonts w:cs="Times New Roman"/>
          <w:kern w:val="22"/>
          <w:lang w:val="fr-FR"/>
        </w:rPr>
        <w:t>.</w:t>
      </w:r>
    </w:p>
    <w:p w14:paraId="3FB4952C" w14:textId="058A3558" w:rsidR="00A137CB" w:rsidRPr="00CD653E" w:rsidRDefault="00A137CB" w:rsidP="00A137CB">
      <w:pPr>
        <w:pStyle w:val="Titre2"/>
        <w:tabs>
          <w:tab w:val="clear" w:pos="720"/>
        </w:tabs>
        <w:rPr>
          <w:rFonts w:cs="Times New Roman"/>
          <w:kern w:val="22"/>
          <w:szCs w:val="22"/>
          <w:lang w:val="fr-CA"/>
        </w:rPr>
      </w:pPr>
      <w:r w:rsidRPr="00CD653E">
        <w:rPr>
          <w:rFonts w:cs="Times New Roman"/>
          <w:kern w:val="22"/>
          <w:szCs w:val="22"/>
          <w:lang w:val="fr-CA"/>
        </w:rPr>
        <w:t>A.</w:t>
      </w:r>
      <w:r w:rsidRPr="00CD653E">
        <w:rPr>
          <w:rFonts w:cs="Times New Roman"/>
          <w:kern w:val="22"/>
          <w:szCs w:val="22"/>
          <w:lang w:val="fr-CA"/>
        </w:rPr>
        <w:tab/>
      </w:r>
      <w:r w:rsidRPr="00A137CB">
        <w:rPr>
          <w:rFonts w:cs="Times New Roman"/>
          <w:kern w:val="22"/>
          <w:szCs w:val="22"/>
          <w:lang w:val="fr-FR"/>
        </w:rPr>
        <w:t xml:space="preserve">Initiatives de </w:t>
      </w:r>
      <w:r w:rsidR="005C22D4">
        <w:rPr>
          <w:rFonts w:cs="Times New Roman"/>
          <w:kern w:val="22"/>
          <w:szCs w:val="22"/>
          <w:lang w:val="fr-FR"/>
        </w:rPr>
        <w:t>renforcement</w:t>
      </w:r>
      <w:r w:rsidRPr="00A137CB">
        <w:rPr>
          <w:rFonts w:cs="Times New Roman"/>
          <w:kern w:val="22"/>
          <w:szCs w:val="22"/>
          <w:lang w:val="fr-FR"/>
        </w:rPr>
        <w:t xml:space="preserve"> des capacités entreprises </w:t>
      </w:r>
      <w:r w:rsidR="00403BAD">
        <w:rPr>
          <w:rFonts w:cs="Times New Roman"/>
          <w:kern w:val="22"/>
          <w:szCs w:val="22"/>
          <w:lang w:val="fr-FR"/>
        </w:rPr>
        <w:t>en appui au</w:t>
      </w:r>
      <w:r w:rsidRPr="00A137CB">
        <w:rPr>
          <w:rFonts w:cs="Times New Roman"/>
          <w:kern w:val="22"/>
          <w:szCs w:val="22"/>
          <w:lang w:val="fr-FR"/>
        </w:rPr>
        <w:t xml:space="preserve"> cadre stratégique</w:t>
      </w:r>
    </w:p>
    <w:p w14:paraId="6D621566" w14:textId="308D27FF" w:rsidR="004C2CA2" w:rsidRPr="005D7F05" w:rsidRDefault="00F8670A" w:rsidP="005D7F05">
      <w:pPr>
        <w:pStyle w:val="Para1"/>
        <w:pBdr>
          <w:top w:val="nil"/>
          <w:left w:val="nil"/>
          <w:bottom w:val="nil"/>
          <w:right w:val="nil"/>
          <w:between w:val="nil"/>
          <w:bar w:val="nil"/>
        </w:pBdr>
        <w:tabs>
          <w:tab w:val="left" w:pos="720"/>
        </w:tabs>
        <w:spacing w:before="120"/>
        <w:rPr>
          <w:rFonts w:cs="Times New Roman"/>
          <w:kern w:val="22"/>
          <w:szCs w:val="22"/>
          <w:lang w:val="fr-FR"/>
        </w:rPr>
      </w:pPr>
      <w:r w:rsidRPr="005D7F05">
        <w:rPr>
          <w:rFonts w:cs="Times New Roman"/>
          <w:kern w:val="22"/>
          <w:lang w:val="fr-FR"/>
        </w:rPr>
        <w:t>2</w:t>
      </w:r>
      <w:r w:rsidR="004F55BE" w:rsidRPr="005D7F05">
        <w:rPr>
          <w:rFonts w:cs="Times New Roman"/>
          <w:kern w:val="22"/>
          <w:lang w:val="fr-FR"/>
        </w:rPr>
        <w:t>5</w:t>
      </w:r>
      <w:r w:rsidRPr="005D7F05">
        <w:rPr>
          <w:rFonts w:cs="Times New Roman"/>
          <w:kern w:val="22"/>
          <w:lang w:val="fr-FR"/>
        </w:rPr>
        <w:t>.</w:t>
      </w:r>
      <w:r w:rsidRPr="005D7F05">
        <w:rPr>
          <w:rFonts w:cs="Times New Roman"/>
          <w:kern w:val="22"/>
          <w:lang w:val="fr-FR"/>
        </w:rPr>
        <w:tab/>
      </w:r>
      <w:r w:rsidR="005E0591" w:rsidRPr="005D7F05">
        <w:rPr>
          <w:rFonts w:cs="Times New Roman"/>
          <w:kern w:val="22"/>
          <w:lang w:val="fr-FR"/>
        </w:rPr>
        <w:t>Depuis</w:t>
      </w:r>
      <w:r w:rsidR="005E0591" w:rsidRPr="005E0591">
        <w:rPr>
          <w:rFonts w:cs="Times New Roman"/>
          <w:kern w:val="22"/>
          <w:szCs w:val="22"/>
          <w:lang w:val="fr-FR"/>
        </w:rPr>
        <w:t xml:space="preserve"> l'adoption du Protocole de Nagoya, différentes initiatives de création et de renforcement des capacités ont été mises en œuvre pour soutenir sa ratification et son application. Il s'agit d'initiatives et d'activités à l'échelle mondiale ou régionale destinées à bénéficier à tous les pays, ainsi que d'initiatives visant à apporter un soutien et </w:t>
      </w:r>
      <w:r w:rsidR="005E0591">
        <w:rPr>
          <w:rFonts w:cs="Times New Roman"/>
          <w:kern w:val="22"/>
          <w:szCs w:val="22"/>
          <w:lang w:val="fr-FR"/>
        </w:rPr>
        <w:t xml:space="preserve">des avantages directs </w:t>
      </w:r>
      <w:r w:rsidR="005E0591" w:rsidRPr="005E0591">
        <w:rPr>
          <w:rFonts w:cs="Times New Roman"/>
          <w:kern w:val="22"/>
          <w:szCs w:val="22"/>
          <w:lang w:val="fr-FR"/>
        </w:rPr>
        <w:t xml:space="preserve">à des pays </w:t>
      </w:r>
      <w:r w:rsidR="005E0591" w:rsidRPr="005D7F05">
        <w:rPr>
          <w:rFonts w:cs="Times New Roman"/>
          <w:kern w:val="22"/>
          <w:szCs w:val="22"/>
          <w:lang w:val="fr-FR"/>
        </w:rPr>
        <w:t>spécifiques</w:t>
      </w:r>
      <w:r w:rsidR="003E4F72" w:rsidRPr="005D7F05">
        <w:rPr>
          <w:rFonts w:cs="Times New Roman"/>
          <w:kern w:val="22"/>
          <w:szCs w:val="22"/>
          <w:lang w:val="fr-FR"/>
        </w:rPr>
        <w:t>.</w:t>
      </w:r>
    </w:p>
    <w:p w14:paraId="66DBE742" w14:textId="1D51487B" w:rsidR="003E4F72" w:rsidRPr="005C4D18" w:rsidRDefault="001246EE" w:rsidP="005D7F05">
      <w:pPr>
        <w:pStyle w:val="Para1"/>
        <w:pBdr>
          <w:top w:val="nil"/>
          <w:left w:val="nil"/>
          <w:bottom w:val="nil"/>
          <w:right w:val="nil"/>
          <w:between w:val="nil"/>
          <w:bar w:val="nil"/>
        </w:pBdr>
        <w:tabs>
          <w:tab w:val="left" w:pos="720"/>
        </w:tabs>
        <w:spacing w:before="120"/>
        <w:rPr>
          <w:rFonts w:cs="Times New Roman"/>
          <w:kern w:val="22"/>
          <w:szCs w:val="22"/>
          <w:lang w:val="fr-FR"/>
        </w:rPr>
      </w:pPr>
      <w:r w:rsidRPr="005D7F05">
        <w:rPr>
          <w:rFonts w:cs="Times New Roman"/>
          <w:kern w:val="22"/>
          <w:szCs w:val="22"/>
          <w:lang w:val="fr-FR"/>
        </w:rPr>
        <w:t>2</w:t>
      </w:r>
      <w:r w:rsidR="004F55BE" w:rsidRPr="005D7F05">
        <w:rPr>
          <w:rFonts w:cs="Times New Roman"/>
          <w:kern w:val="22"/>
          <w:szCs w:val="22"/>
          <w:lang w:val="fr-FR"/>
        </w:rPr>
        <w:t>6</w:t>
      </w:r>
      <w:r w:rsidR="00F8670A" w:rsidRPr="005D7F05">
        <w:rPr>
          <w:rFonts w:cs="Times New Roman"/>
          <w:kern w:val="22"/>
          <w:szCs w:val="22"/>
          <w:lang w:val="fr-FR"/>
        </w:rPr>
        <w:t>.</w:t>
      </w:r>
      <w:r w:rsidR="00F8670A" w:rsidRPr="005D7F05">
        <w:rPr>
          <w:rFonts w:cs="Times New Roman"/>
          <w:kern w:val="22"/>
          <w:szCs w:val="22"/>
          <w:lang w:val="fr-FR"/>
        </w:rPr>
        <w:tab/>
      </w:r>
      <w:r w:rsidR="005C4D18" w:rsidRPr="005D7F05">
        <w:rPr>
          <w:rFonts w:cs="Times New Roman"/>
          <w:kern w:val="22"/>
          <w:szCs w:val="22"/>
          <w:lang w:val="fr-FR"/>
        </w:rPr>
        <w:t>La sous-section 1 fait le point sur les initiatives de création et</w:t>
      </w:r>
      <w:r w:rsidR="005C4D18" w:rsidRPr="005C4D18">
        <w:rPr>
          <w:rFonts w:cs="Times New Roman"/>
          <w:snapToGrid/>
          <w:kern w:val="22"/>
          <w:szCs w:val="22"/>
          <w:lang w:val="fr-FR"/>
        </w:rPr>
        <w:t xml:space="preserve"> de ren</w:t>
      </w:r>
      <w:r w:rsidR="005C4D18" w:rsidRPr="005C4D18">
        <w:rPr>
          <w:rFonts w:cs="Times New Roman"/>
          <w:kern w:val="22"/>
          <w:szCs w:val="22"/>
          <w:lang w:val="fr-FR"/>
        </w:rPr>
        <w:t>forcement des capacités qui ont procuré ou procurent un soutien direct aux pays pour leur permettre de ratifier et/ou d'appliquer le Protocole de Nagoya. Elle attire également l'attention sur le statut, la durée, le niveau de financement ainsi que la couverture géographique et thématique des initiatives existantes. La sous-section 2 propose une brève analyse des informations sur la création et le renforcement des capacités qui ont été téléversées dans le Centre d'échange sur l'APA.</w:t>
      </w:r>
    </w:p>
    <w:p w14:paraId="1D43BCE6" w14:textId="62B1DC41" w:rsidR="003E2C54" w:rsidRPr="00B0443C" w:rsidRDefault="007B1126" w:rsidP="00331917">
      <w:pPr>
        <w:pStyle w:val="Titre3"/>
        <w:rPr>
          <w:rFonts w:cs="Times New Roman"/>
          <w:kern w:val="22"/>
          <w:szCs w:val="22"/>
          <w:lang w:val="fr-FR"/>
        </w:rPr>
      </w:pPr>
      <w:r w:rsidRPr="00B0443C">
        <w:rPr>
          <w:rFonts w:cs="Times New Roman"/>
          <w:i w:val="0"/>
          <w:kern w:val="22"/>
          <w:szCs w:val="22"/>
          <w:lang w:val="fr-FR"/>
        </w:rPr>
        <w:t>1</w:t>
      </w:r>
      <w:r w:rsidR="005B7B3C" w:rsidRPr="00B0443C">
        <w:rPr>
          <w:rFonts w:cs="Times New Roman"/>
          <w:i w:val="0"/>
          <w:kern w:val="22"/>
          <w:szCs w:val="22"/>
          <w:lang w:val="fr-FR"/>
        </w:rPr>
        <w:t>.</w:t>
      </w:r>
      <w:r w:rsidR="008601BD" w:rsidRPr="00B0443C">
        <w:rPr>
          <w:rFonts w:cs="Times New Roman"/>
          <w:i w:val="0"/>
          <w:kern w:val="22"/>
          <w:szCs w:val="22"/>
          <w:lang w:val="fr-FR"/>
        </w:rPr>
        <w:tab/>
      </w:r>
      <w:r w:rsidR="004A628D" w:rsidRPr="004A628D">
        <w:rPr>
          <w:rFonts w:cs="Times New Roman"/>
          <w:kern w:val="22"/>
          <w:szCs w:val="22"/>
          <w:lang w:val="fr-FR"/>
        </w:rPr>
        <w:t>Initiatives de création et de renforcement des capacités bénéficiant à des pays spécifiques</w:t>
      </w:r>
    </w:p>
    <w:p w14:paraId="4AB288F0" w14:textId="67F6B404" w:rsidR="00345251" w:rsidRPr="00B0443C" w:rsidRDefault="001246EE" w:rsidP="005D7F05">
      <w:pPr>
        <w:rPr>
          <w:rFonts w:cs="Times New Roman"/>
          <w:kern w:val="22"/>
          <w:szCs w:val="22"/>
          <w:lang w:val="fr-FR" w:eastAsia="ko-KR"/>
        </w:rPr>
      </w:pPr>
      <w:r w:rsidRPr="00B0443C">
        <w:rPr>
          <w:rFonts w:cs="Times New Roman"/>
          <w:color w:val="000000"/>
          <w:kern w:val="22"/>
          <w:szCs w:val="22"/>
          <w:lang w:val="fr-FR" w:eastAsia="ko-KR"/>
        </w:rPr>
        <w:t>2</w:t>
      </w:r>
      <w:r w:rsidR="004F55BE" w:rsidRPr="00B0443C">
        <w:rPr>
          <w:rFonts w:cs="Times New Roman"/>
          <w:color w:val="000000"/>
          <w:kern w:val="22"/>
          <w:szCs w:val="22"/>
          <w:lang w:val="fr-FR" w:eastAsia="ko-KR"/>
        </w:rPr>
        <w:t>7</w:t>
      </w:r>
      <w:r w:rsidR="00F8670A" w:rsidRPr="00B0443C">
        <w:rPr>
          <w:rFonts w:cs="Times New Roman"/>
          <w:color w:val="000000"/>
          <w:kern w:val="22"/>
          <w:szCs w:val="22"/>
          <w:lang w:val="fr-FR" w:eastAsia="ko-KR"/>
        </w:rPr>
        <w:t>.</w:t>
      </w:r>
      <w:r w:rsidR="00F8670A" w:rsidRPr="00B0443C">
        <w:rPr>
          <w:rFonts w:cs="Times New Roman"/>
          <w:color w:val="000000"/>
          <w:kern w:val="22"/>
          <w:szCs w:val="22"/>
          <w:lang w:val="fr-FR" w:eastAsia="ko-KR"/>
        </w:rPr>
        <w:tab/>
      </w:r>
      <w:r w:rsidR="005D7F05" w:rsidRPr="005D7F05">
        <w:rPr>
          <w:rFonts w:cs="Times New Roman"/>
          <w:kern w:val="22"/>
          <w:szCs w:val="22"/>
          <w:lang w:val="fr-FR"/>
        </w:rPr>
        <w:t xml:space="preserve">Selon les informations dont dispose le </w:t>
      </w:r>
      <w:r w:rsidR="00BF5BC0">
        <w:rPr>
          <w:rFonts w:cs="Times New Roman"/>
          <w:kern w:val="22"/>
          <w:szCs w:val="22"/>
          <w:lang w:val="fr-FR"/>
        </w:rPr>
        <w:t>S</w:t>
      </w:r>
      <w:r w:rsidR="005D7F05" w:rsidRPr="005D7F05">
        <w:rPr>
          <w:rFonts w:cs="Times New Roman"/>
          <w:kern w:val="22"/>
          <w:szCs w:val="22"/>
          <w:lang w:val="fr-FR"/>
        </w:rPr>
        <w:t>ecrétariat au 30 juin 2021, le nombre total d'initiatives est passé à 103. Il est important de noter que 67 de ces initiatives, soit 65</w:t>
      </w:r>
      <w:r w:rsidR="008665CD">
        <w:rPr>
          <w:rFonts w:cs="Times New Roman"/>
          <w:kern w:val="22"/>
          <w:szCs w:val="22"/>
          <w:lang w:val="fr-FR"/>
        </w:rPr>
        <w:t> %</w:t>
      </w:r>
      <w:r w:rsidR="005D7F05" w:rsidRPr="005D7F05">
        <w:rPr>
          <w:rFonts w:cs="Times New Roman"/>
          <w:kern w:val="22"/>
          <w:szCs w:val="22"/>
          <w:lang w:val="fr-FR"/>
        </w:rPr>
        <w:t>, ont été publiées dans le Centre d'échange sur l'APA. Depuis la troisième réunion des Parties au Protocole en 2018, sept nouveaux projets ont été ajoutés. Un aperçu des 103 initiatives de renforcement des capacités, y compris leur type, leur statut, leur durée, leur niveau de financement et leur couverture géographique et thématique, est fourni ci-dessous</w:t>
      </w:r>
      <w:r w:rsidR="00881915">
        <w:rPr>
          <w:rFonts w:cs="Times New Roman"/>
          <w:kern w:val="22"/>
          <w:szCs w:val="22"/>
          <w:lang w:val="fr-FR"/>
        </w:rPr>
        <w:t> ;</w:t>
      </w:r>
      <w:r w:rsidR="005D7F05" w:rsidRPr="005D7F05">
        <w:rPr>
          <w:rFonts w:cs="Times New Roman"/>
          <w:kern w:val="22"/>
          <w:szCs w:val="22"/>
          <w:lang w:val="fr-FR"/>
        </w:rPr>
        <w:t xml:space="preserve"> la liste complète est disponible dans le document CBD/NP/MOP/4/INF/1.</w:t>
      </w:r>
    </w:p>
    <w:p w14:paraId="3E3C40AB" w14:textId="083429C1" w:rsidR="005E75A7" w:rsidRPr="00B0443C" w:rsidRDefault="00BE4232" w:rsidP="006F6E9D">
      <w:pPr>
        <w:pStyle w:val="Para1"/>
        <w:keepNext/>
        <w:suppressLineNumbers/>
        <w:tabs>
          <w:tab w:val="left" w:pos="720"/>
        </w:tabs>
        <w:suppressAutoHyphens/>
        <w:kinsoku w:val="0"/>
        <w:overflowPunct w:val="0"/>
        <w:autoSpaceDE w:val="0"/>
        <w:autoSpaceDN w:val="0"/>
        <w:spacing w:before="120" w:after="0"/>
        <w:rPr>
          <w:rFonts w:cs="Times New Roman"/>
          <w:b/>
          <w:snapToGrid/>
          <w:kern w:val="22"/>
          <w:szCs w:val="22"/>
          <w:lang w:val="fr-FR" w:eastAsia="ko-KR"/>
        </w:rPr>
      </w:pPr>
      <w:r w:rsidRPr="00B0443C">
        <w:rPr>
          <w:rFonts w:cs="Times New Roman"/>
          <w:b/>
          <w:snapToGrid/>
          <w:kern w:val="22"/>
          <w:szCs w:val="22"/>
          <w:lang w:val="fr-FR" w:eastAsia="ko-KR"/>
        </w:rPr>
        <w:t>(a)</w:t>
      </w:r>
      <w:r w:rsidRPr="00B0443C">
        <w:rPr>
          <w:rFonts w:cs="Times New Roman"/>
          <w:b/>
          <w:snapToGrid/>
          <w:kern w:val="22"/>
          <w:szCs w:val="22"/>
          <w:lang w:val="fr-FR" w:eastAsia="ko-KR"/>
        </w:rPr>
        <w:tab/>
      </w:r>
      <w:r w:rsidR="005D7F05" w:rsidRPr="005D7F05">
        <w:rPr>
          <w:rFonts w:cs="Times New Roman"/>
          <w:b/>
          <w:snapToGrid/>
          <w:kern w:val="22"/>
          <w:szCs w:val="22"/>
          <w:lang w:val="fr-FR" w:eastAsia="ko-KR"/>
        </w:rPr>
        <w:t>Types d'initiatives de renforcement des capacités</w:t>
      </w:r>
    </w:p>
    <w:p w14:paraId="2889C606" w14:textId="27E6ECA1" w:rsidR="00345251" w:rsidRPr="00B0443C" w:rsidRDefault="001246EE"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2</w:t>
      </w:r>
      <w:r w:rsidR="004F55BE" w:rsidRPr="00B0443C">
        <w:rPr>
          <w:rFonts w:cs="Times New Roman"/>
          <w:snapToGrid/>
          <w:color w:val="000000"/>
          <w:kern w:val="22"/>
          <w:szCs w:val="22"/>
          <w:lang w:val="fr-FR" w:eastAsia="ko-KR"/>
        </w:rPr>
        <w:t>8</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5D7F05" w:rsidRPr="005D7F05">
        <w:rPr>
          <w:rFonts w:cs="Times New Roman"/>
          <w:snapToGrid/>
          <w:kern w:val="22"/>
          <w:szCs w:val="22"/>
          <w:lang w:val="fr-FR" w:eastAsia="ko-KR"/>
        </w:rPr>
        <w:t>Sur les 103 initiatives de création et de renforcement des capacités apportant un soutien direct à des pays spécifiques, 82 (80</w:t>
      </w:r>
      <w:r w:rsidR="008665CD">
        <w:rPr>
          <w:rFonts w:cs="Times New Roman"/>
          <w:snapToGrid/>
          <w:kern w:val="22"/>
          <w:szCs w:val="22"/>
          <w:lang w:val="fr-FR" w:eastAsia="ko-KR"/>
        </w:rPr>
        <w:t> %</w:t>
      </w:r>
      <w:r w:rsidR="005D7F05" w:rsidRPr="005D7F05">
        <w:rPr>
          <w:rFonts w:cs="Times New Roman"/>
          <w:snapToGrid/>
          <w:kern w:val="22"/>
          <w:szCs w:val="22"/>
          <w:lang w:val="fr-FR" w:eastAsia="ko-KR"/>
        </w:rPr>
        <w:t>) sont des projets nationaux, 18 (17</w:t>
      </w:r>
      <w:r w:rsidR="008665CD">
        <w:rPr>
          <w:rFonts w:cs="Times New Roman"/>
          <w:snapToGrid/>
          <w:kern w:val="22"/>
          <w:szCs w:val="22"/>
          <w:lang w:val="fr-FR" w:eastAsia="ko-KR"/>
        </w:rPr>
        <w:t> %</w:t>
      </w:r>
      <w:r w:rsidR="005D7F05" w:rsidRPr="005D7F05">
        <w:rPr>
          <w:rFonts w:cs="Times New Roman"/>
          <w:snapToGrid/>
          <w:kern w:val="22"/>
          <w:szCs w:val="22"/>
          <w:lang w:val="fr-FR" w:eastAsia="ko-KR"/>
        </w:rPr>
        <w:t>) sont des projets régionaux ou sous-régionaux et 3 (3</w:t>
      </w:r>
      <w:r w:rsidR="008665CD">
        <w:rPr>
          <w:rFonts w:cs="Times New Roman"/>
          <w:snapToGrid/>
          <w:kern w:val="22"/>
          <w:szCs w:val="22"/>
          <w:lang w:val="fr-FR" w:eastAsia="ko-KR"/>
        </w:rPr>
        <w:t> %</w:t>
      </w:r>
      <w:r w:rsidR="005D7F05" w:rsidRPr="005D7F05">
        <w:rPr>
          <w:rFonts w:cs="Times New Roman"/>
          <w:snapToGrid/>
          <w:kern w:val="22"/>
          <w:szCs w:val="22"/>
          <w:lang w:val="fr-FR" w:eastAsia="ko-KR"/>
        </w:rPr>
        <w:t>) sont mondiaux.</w:t>
      </w:r>
    </w:p>
    <w:p w14:paraId="487EAF38" w14:textId="78B8FA21" w:rsidR="008C38C6" w:rsidRPr="00B0443C" w:rsidRDefault="00BE4232" w:rsidP="006F6E9D">
      <w:pPr>
        <w:pStyle w:val="Para1"/>
        <w:keepNext/>
        <w:suppressLineNumbers/>
        <w:tabs>
          <w:tab w:val="left" w:pos="720"/>
        </w:tabs>
        <w:suppressAutoHyphens/>
        <w:kinsoku w:val="0"/>
        <w:overflowPunct w:val="0"/>
        <w:autoSpaceDE w:val="0"/>
        <w:autoSpaceDN w:val="0"/>
        <w:spacing w:before="120" w:after="0"/>
        <w:rPr>
          <w:rFonts w:cs="Times New Roman"/>
          <w:b/>
          <w:snapToGrid/>
          <w:kern w:val="22"/>
          <w:szCs w:val="22"/>
          <w:lang w:val="fr-FR" w:eastAsia="ko-KR"/>
        </w:rPr>
      </w:pPr>
      <w:r w:rsidRPr="00B0443C">
        <w:rPr>
          <w:rFonts w:cs="Times New Roman"/>
          <w:b/>
          <w:snapToGrid/>
          <w:kern w:val="22"/>
          <w:szCs w:val="22"/>
          <w:lang w:val="fr-FR" w:eastAsia="ko-KR"/>
        </w:rPr>
        <w:t>(b)</w:t>
      </w:r>
      <w:r w:rsidRPr="00B0443C">
        <w:rPr>
          <w:rFonts w:cs="Times New Roman"/>
          <w:b/>
          <w:snapToGrid/>
          <w:kern w:val="22"/>
          <w:szCs w:val="22"/>
          <w:lang w:val="fr-FR" w:eastAsia="ko-KR"/>
        </w:rPr>
        <w:tab/>
      </w:r>
      <w:r w:rsidR="005D7F05" w:rsidRPr="005D7F05">
        <w:rPr>
          <w:rFonts w:cs="Times New Roman"/>
          <w:b/>
          <w:snapToGrid/>
          <w:kern w:val="22"/>
          <w:szCs w:val="22"/>
          <w:lang w:val="fr-FR" w:eastAsia="ko-KR"/>
        </w:rPr>
        <w:t>État d'avancement des initiatives de renforcement des capacités</w:t>
      </w:r>
    </w:p>
    <w:p w14:paraId="34D56BB5" w14:textId="34DDA785" w:rsidR="005D7F05" w:rsidRDefault="004F55BE" w:rsidP="00F37E96">
      <w:pPr>
        <w:pStyle w:val="Para1"/>
        <w:pBdr>
          <w:top w:val="nil"/>
          <w:left w:val="nil"/>
          <w:bottom w:val="nil"/>
          <w:right w:val="nil"/>
          <w:between w:val="nil"/>
          <w:bar w:val="nil"/>
        </w:pBdr>
        <w:spacing w:before="120"/>
        <w:rPr>
          <w:rFonts w:cs="Times New Roman"/>
          <w:snapToGrid/>
          <w:color w:val="000000"/>
          <w:kern w:val="22"/>
          <w:szCs w:val="22"/>
          <w:lang w:val="fr-FR" w:eastAsia="ko-KR"/>
        </w:rPr>
      </w:pPr>
      <w:r w:rsidRPr="00B0443C">
        <w:rPr>
          <w:rFonts w:cs="Times New Roman"/>
          <w:snapToGrid/>
          <w:color w:val="000000"/>
          <w:kern w:val="22"/>
          <w:szCs w:val="22"/>
          <w:lang w:val="fr-FR" w:eastAsia="ko-KR"/>
        </w:rPr>
        <w:t>29</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5D7F05" w:rsidRPr="005D7F05">
        <w:rPr>
          <w:rFonts w:cs="Times New Roman"/>
          <w:snapToGrid/>
          <w:color w:val="000000"/>
          <w:kern w:val="22"/>
          <w:szCs w:val="22"/>
          <w:lang w:val="fr-FR" w:eastAsia="ko-KR"/>
        </w:rPr>
        <w:t>En termes d</w:t>
      </w:r>
      <w:r w:rsidR="005C7421">
        <w:rPr>
          <w:rFonts w:cs="Times New Roman"/>
          <w:snapToGrid/>
          <w:color w:val="000000"/>
          <w:kern w:val="22"/>
          <w:szCs w:val="22"/>
          <w:lang w:val="fr-FR" w:eastAsia="ko-KR"/>
        </w:rPr>
        <w:t>’avancement</w:t>
      </w:r>
      <w:r w:rsidR="005D7F05" w:rsidRPr="005D7F05">
        <w:rPr>
          <w:rFonts w:cs="Times New Roman"/>
          <w:snapToGrid/>
          <w:color w:val="000000"/>
          <w:kern w:val="22"/>
          <w:szCs w:val="22"/>
          <w:lang w:val="fr-FR" w:eastAsia="ko-KR"/>
        </w:rPr>
        <w:t>, selon les informations disponibles au 30 juin 2021, 68 initiatives (66</w:t>
      </w:r>
      <w:r w:rsidR="008665CD">
        <w:rPr>
          <w:rFonts w:cs="Times New Roman"/>
          <w:snapToGrid/>
          <w:color w:val="000000"/>
          <w:kern w:val="22"/>
          <w:szCs w:val="22"/>
          <w:lang w:val="fr-FR" w:eastAsia="ko-KR"/>
        </w:rPr>
        <w:t> %</w:t>
      </w:r>
      <w:r w:rsidR="005D7F05" w:rsidRPr="005D7F05">
        <w:rPr>
          <w:rFonts w:cs="Times New Roman"/>
          <w:snapToGrid/>
          <w:color w:val="000000"/>
          <w:kern w:val="22"/>
          <w:szCs w:val="22"/>
          <w:lang w:val="fr-FR" w:eastAsia="ko-KR"/>
        </w:rPr>
        <w:t>) étaient achevées, ce qui représente une augmentation significative par rapport aux 41</w:t>
      </w:r>
      <w:r w:rsidR="008665CD">
        <w:rPr>
          <w:rFonts w:cs="Times New Roman"/>
          <w:snapToGrid/>
          <w:color w:val="000000"/>
          <w:kern w:val="22"/>
          <w:szCs w:val="22"/>
          <w:lang w:val="fr-FR" w:eastAsia="ko-KR"/>
        </w:rPr>
        <w:t> %</w:t>
      </w:r>
      <w:r w:rsidR="005D7F05" w:rsidRPr="005D7F05">
        <w:rPr>
          <w:rFonts w:cs="Times New Roman"/>
          <w:snapToGrid/>
          <w:color w:val="000000"/>
          <w:kern w:val="22"/>
          <w:szCs w:val="22"/>
          <w:lang w:val="fr-FR" w:eastAsia="ko-KR"/>
        </w:rPr>
        <w:t xml:space="preserve"> signalés lors de la quatrième réunion du Comité consultatif informel sur le renforcement des capacités, qui a eu lieu en octobre 2019</w:t>
      </w:r>
      <w:r w:rsidR="005D7F05" w:rsidRPr="00B0443C">
        <w:rPr>
          <w:rStyle w:val="Appelnotedebasdep"/>
          <w:rFonts w:cs="Times New Roman"/>
          <w:snapToGrid/>
          <w:kern w:val="22"/>
          <w:sz w:val="22"/>
          <w:szCs w:val="22"/>
          <w:lang w:val="fr-FR" w:eastAsia="ko-KR"/>
        </w:rPr>
        <w:footnoteReference w:id="11"/>
      </w:r>
      <w:r w:rsidR="005D7F05" w:rsidRPr="005D7F05">
        <w:rPr>
          <w:rFonts w:cs="Times New Roman"/>
          <w:snapToGrid/>
          <w:color w:val="000000"/>
          <w:kern w:val="22"/>
          <w:szCs w:val="22"/>
          <w:lang w:val="fr-FR" w:eastAsia="ko-KR"/>
        </w:rPr>
        <w:t>. En outre, 24 initiatives (23</w:t>
      </w:r>
      <w:r w:rsidR="008665CD">
        <w:rPr>
          <w:rFonts w:cs="Times New Roman"/>
          <w:snapToGrid/>
          <w:color w:val="000000"/>
          <w:kern w:val="22"/>
          <w:szCs w:val="22"/>
          <w:lang w:val="fr-FR" w:eastAsia="ko-KR"/>
        </w:rPr>
        <w:t> %</w:t>
      </w:r>
      <w:r w:rsidR="005D7F05" w:rsidRPr="005D7F05">
        <w:rPr>
          <w:rFonts w:cs="Times New Roman"/>
          <w:snapToGrid/>
          <w:color w:val="000000"/>
          <w:kern w:val="22"/>
          <w:szCs w:val="22"/>
          <w:lang w:val="fr-FR" w:eastAsia="ko-KR"/>
        </w:rPr>
        <w:t>) étaient en cours, 8 initiatives (8</w:t>
      </w:r>
      <w:r w:rsidR="008665CD">
        <w:rPr>
          <w:rFonts w:cs="Times New Roman"/>
          <w:snapToGrid/>
          <w:color w:val="000000"/>
          <w:kern w:val="22"/>
          <w:szCs w:val="22"/>
          <w:lang w:val="fr-FR" w:eastAsia="ko-KR"/>
        </w:rPr>
        <w:t> %</w:t>
      </w:r>
      <w:r w:rsidR="005D7F05" w:rsidRPr="005D7F05">
        <w:rPr>
          <w:rFonts w:cs="Times New Roman"/>
          <w:snapToGrid/>
          <w:color w:val="000000"/>
          <w:kern w:val="22"/>
          <w:szCs w:val="22"/>
          <w:lang w:val="fr-FR" w:eastAsia="ko-KR"/>
        </w:rPr>
        <w:t>) ont été approuvées et 3 (3</w:t>
      </w:r>
      <w:r w:rsidR="008665CD">
        <w:rPr>
          <w:rFonts w:cs="Times New Roman"/>
          <w:snapToGrid/>
          <w:color w:val="000000"/>
          <w:kern w:val="22"/>
          <w:szCs w:val="22"/>
          <w:lang w:val="fr-FR" w:eastAsia="ko-KR"/>
        </w:rPr>
        <w:t> %</w:t>
      </w:r>
      <w:r w:rsidR="005D7F05" w:rsidRPr="005D7F05">
        <w:rPr>
          <w:rFonts w:cs="Times New Roman"/>
          <w:snapToGrid/>
          <w:color w:val="000000"/>
          <w:kern w:val="22"/>
          <w:szCs w:val="22"/>
          <w:lang w:val="fr-FR" w:eastAsia="ko-KR"/>
        </w:rPr>
        <w:t>) nouvelles initiatives ont été proposées (voir Figure 1)</w:t>
      </w:r>
      <w:r w:rsidR="005D7F05" w:rsidRPr="00B0443C">
        <w:rPr>
          <w:rStyle w:val="Appelnotedebasdep"/>
          <w:rFonts w:cs="Times New Roman"/>
          <w:snapToGrid/>
          <w:kern w:val="22"/>
          <w:sz w:val="22"/>
          <w:szCs w:val="22"/>
          <w:lang w:val="fr-FR" w:eastAsia="ko-KR"/>
        </w:rPr>
        <w:footnoteReference w:id="12"/>
      </w:r>
      <w:r w:rsidR="005D7F05" w:rsidRPr="005D7F05">
        <w:rPr>
          <w:rFonts w:cs="Times New Roman"/>
          <w:snapToGrid/>
          <w:color w:val="000000"/>
          <w:kern w:val="22"/>
          <w:szCs w:val="22"/>
          <w:lang w:val="fr-FR" w:eastAsia="ko-KR"/>
        </w:rPr>
        <w:t>. Concernant les sept projets ajoutés à la liste, un est en cours, deux sont déjà terminés, trois ont été approuvés et un est en cours de proposition.</w:t>
      </w:r>
    </w:p>
    <w:p w14:paraId="177E8CF2" w14:textId="245897F9" w:rsidR="00345251" w:rsidRPr="00B0443C" w:rsidRDefault="00D92984" w:rsidP="00D92984">
      <w:pPr>
        <w:pStyle w:val="Para1"/>
        <w:suppressLineNumbers/>
        <w:tabs>
          <w:tab w:val="left" w:pos="720"/>
        </w:tabs>
        <w:suppressAutoHyphens/>
        <w:kinsoku w:val="0"/>
        <w:overflowPunct w:val="0"/>
        <w:autoSpaceDE w:val="0"/>
        <w:autoSpaceDN w:val="0"/>
        <w:jc w:val="center"/>
        <w:rPr>
          <w:rFonts w:cs="Times New Roman"/>
          <w:noProof/>
          <w:snapToGrid/>
          <w:kern w:val="22"/>
          <w:szCs w:val="22"/>
          <w:lang w:val="fr-FR" w:eastAsia="zh-CN"/>
        </w:rPr>
      </w:pPr>
      <w:r>
        <w:rPr>
          <w:noProof/>
        </w:rPr>
        <w:lastRenderedPageBreak/>
        <w:drawing>
          <wp:inline distT="0" distB="0" distL="0" distR="0" wp14:anchorId="0C30BDC1" wp14:editId="123D64DA">
            <wp:extent cx="5975350" cy="2413591"/>
            <wp:effectExtent l="0" t="0" r="6350" b="6350"/>
            <wp:docPr id="3" name="Graphique 3">
              <a:extLst xmlns:a="http://schemas.openxmlformats.org/drawingml/2006/main">
                <a:ext uri="{FF2B5EF4-FFF2-40B4-BE49-F238E27FC236}">
                  <a16:creationId xmlns:a16="http://schemas.microsoft.com/office/drawing/2014/main" i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CF1D9AE" w14:textId="2B0E21D9" w:rsidR="00345251" w:rsidRPr="00B0443C" w:rsidRDefault="00BE4232" w:rsidP="006F6E9D">
      <w:pPr>
        <w:pStyle w:val="Para1"/>
        <w:keepNext/>
        <w:suppressLineNumbers/>
        <w:tabs>
          <w:tab w:val="left" w:pos="720"/>
        </w:tabs>
        <w:suppressAutoHyphens/>
        <w:kinsoku w:val="0"/>
        <w:overflowPunct w:val="0"/>
        <w:autoSpaceDE w:val="0"/>
        <w:autoSpaceDN w:val="0"/>
        <w:spacing w:before="120" w:after="0"/>
        <w:rPr>
          <w:rFonts w:cs="Times New Roman"/>
          <w:b/>
          <w:snapToGrid/>
          <w:kern w:val="22"/>
          <w:szCs w:val="22"/>
          <w:lang w:val="fr-FR" w:eastAsia="ko-KR"/>
        </w:rPr>
      </w:pPr>
      <w:r w:rsidRPr="00B0443C">
        <w:rPr>
          <w:rFonts w:cs="Times New Roman"/>
          <w:b/>
          <w:snapToGrid/>
          <w:kern w:val="22"/>
          <w:szCs w:val="22"/>
          <w:lang w:val="fr-FR" w:eastAsia="ko-KR"/>
        </w:rPr>
        <w:t>(c)</w:t>
      </w:r>
      <w:r w:rsidRPr="00B0443C">
        <w:rPr>
          <w:rFonts w:cs="Times New Roman"/>
          <w:b/>
          <w:snapToGrid/>
          <w:kern w:val="22"/>
          <w:szCs w:val="22"/>
          <w:lang w:val="fr-FR" w:eastAsia="ko-KR"/>
        </w:rPr>
        <w:tab/>
      </w:r>
      <w:r w:rsidR="004A628D" w:rsidRPr="004A628D">
        <w:rPr>
          <w:rFonts w:cs="Times New Roman"/>
          <w:b/>
          <w:snapToGrid/>
          <w:kern w:val="22"/>
          <w:szCs w:val="22"/>
          <w:lang w:val="fr-FR" w:eastAsia="ko-KR"/>
        </w:rPr>
        <w:t>Couverture géographique des initiatives</w:t>
      </w:r>
    </w:p>
    <w:p w14:paraId="1538EA24" w14:textId="767E9C37" w:rsidR="00345251" w:rsidRPr="00B0443C" w:rsidRDefault="00140887"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3</w:t>
      </w:r>
      <w:r w:rsidR="00BA5C93" w:rsidRPr="00B0443C">
        <w:rPr>
          <w:rFonts w:cs="Times New Roman"/>
          <w:snapToGrid/>
          <w:color w:val="000000"/>
          <w:kern w:val="22"/>
          <w:szCs w:val="22"/>
          <w:lang w:val="fr-FR" w:eastAsia="ko-KR"/>
        </w:rPr>
        <w:t>0</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9F32D8" w:rsidRPr="009F32D8">
        <w:rPr>
          <w:rFonts w:cs="Times New Roman"/>
          <w:snapToGrid/>
          <w:kern w:val="22"/>
          <w:szCs w:val="22"/>
          <w:lang w:val="fr-FR" w:eastAsia="ko-KR"/>
        </w:rPr>
        <w:t>En termes de couverture géographique, la région africaine continue d'avoir le plus grand nombre d'initiatives, avec 37 projets nationaux et huit projets régionaux/sous-régionaux. Elle est suivie par l'Asie et le Pacifique, avec 27 projets nationaux et six projets sous-régionaux. En Amérique latine et dans les Caraïbes, on compte 17 projets nationaux et quatre projets régionaux/sous-régionaux. En Europe centrale et orientale, il existe un projet national connu. Dans la mise à jour préparée pour la troisième réunion des Parties au Protocole de Nagoya, un projet sous-régional avait été inclus dans le rapport, mais aucune information n'était disponible pour déterminer si le projet avait été approuvé et il a donc été supprimé. En outre, il existe trois initiatives mondiales qui procurent également un soutien à un certain nombre de pays de ces régions (voir Figure 2).</w:t>
      </w:r>
    </w:p>
    <w:p w14:paraId="37B13D0C" w14:textId="2FA88740" w:rsidR="007E2884" w:rsidRPr="00B0443C" w:rsidRDefault="00D92984" w:rsidP="00D92984">
      <w:pPr>
        <w:pStyle w:val="Para1"/>
        <w:suppressLineNumbers/>
        <w:tabs>
          <w:tab w:val="left" w:pos="720"/>
        </w:tabs>
        <w:suppressAutoHyphens/>
        <w:kinsoku w:val="0"/>
        <w:overflowPunct w:val="0"/>
        <w:autoSpaceDE w:val="0"/>
        <w:autoSpaceDN w:val="0"/>
        <w:jc w:val="center"/>
        <w:rPr>
          <w:rFonts w:cs="Times New Roman"/>
          <w:snapToGrid/>
          <w:kern w:val="22"/>
          <w:szCs w:val="22"/>
          <w:lang w:val="fr-FR" w:eastAsia="ko-KR"/>
        </w:rPr>
      </w:pPr>
      <w:r>
        <w:rPr>
          <w:noProof/>
        </w:rPr>
        <w:drawing>
          <wp:inline distT="0" distB="0" distL="0" distR="0" wp14:anchorId="0AE16E67" wp14:editId="64491FB7">
            <wp:extent cx="5730949" cy="2743200"/>
            <wp:effectExtent l="0" t="0" r="3175" b="0"/>
            <wp:docPr id="6" name="Graphique 6">
              <a:extLst xmlns:a="http://schemas.openxmlformats.org/drawingml/2006/main">
                <a:ext uri="{FF2B5EF4-FFF2-40B4-BE49-F238E27FC236}">
                  <a16:creationId xmlns:a16="http://schemas.microsoft.com/office/drawing/2014/main" id="{2EB989D2-8AFB-4265-B268-680441A4A6AF}"/>
                </a:ext>
                <a:ext uri="{147F2762-F138-4A5C-976F-8EAC2B608ADB}">
                  <a16:predDERef xmlns:a16="http://schemas.microsoft.com/office/drawing/2014/main" pre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4888D53" w14:textId="37F9993A" w:rsidR="00345251" w:rsidRPr="00B0443C" w:rsidRDefault="00140887"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3</w:t>
      </w:r>
      <w:r w:rsidR="00BA5C93" w:rsidRPr="00B0443C">
        <w:rPr>
          <w:rFonts w:cs="Times New Roman"/>
          <w:snapToGrid/>
          <w:color w:val="000000"/>
          <w:kern w:val="22"/>
          <w:szCs w:val="22"/>
          <w:lang w:val="fr-FR" w:eastAsia="ko-KR"/>
        </w:rPr>
        <w:t>1</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9F32D8" w:rsidRPr="009F32D8">
        <w:rPr>
          <w:rFonts w:cs="Times New Roman"/>
          <w:snapToGrid/>
          <w:kern w:val="22"/>
          <w:szCs w:val="22"/>
          <w:lang w:val="fr-FR" w:eastAsia="ko-KR"/>
        </w:rPr>
        <w:t>La couverture géographique des projets de développement des capacités existants reste inégale, l'Europe centrale et orientale (ECO) étant la région la moins couverte. Depuis la dernière réunion de la Conférence des Parties, il n'y a pas eu de changement dans le nombre de projets mis en œuvre dans cette région. Seuls cinq pays (22</w:t>
      </w:r>
      <w:r w:rsidR="008665CD">
        <w:rPr>
          <w:rFonts w:cs="Times New Roman"/>
          <w:snapToGrid/>
          <w:kern w:val="22"/>
          <w:szCs w:val="22"/>
          <w:lang w:val="fr-FR" w:eastAsia="ko-KR"/>
        </w:rPr>
        <w:t> %</w:t>
      </w:r>
      <w:r w:rsidR="009F32D8" w:rsidRPr="009F32D8">
        <w:rPr>
          <w:rFonts w:cs="Times New Roman"/>
          <w:snapToGrid/>
          <w:kern w:val="22"/>
          <w:szCs w:val="22"/>
          <w:lang w:val="fr-FR" w:eastAsia="ko-KR"/>
        </w:rPr>
        <w:t xml:space="preserve">) - l'Albanie, l'Arménie, le Belarus, la Bosnie-Herzégovine et la Géorgie - ont reçu un soutien direct d'un projet de </w:t>
      </w:r>
      <w:r w:rsidR="009503FF">
        <w:rPr>
          <w:rFonts w:cs="Times New Roman"/>
          <w:snapToGrid/>
          <w:kern w:val="22"/>
          <w:szCs w:val="22"/>
          <w:lang w:val="fr-FR" w:eastAsia="ko-KR"/>
        </w:rPr>
        <w:t>renforcement</w:t>
      </w:r>
      <w:r w:rsidR="009F32D8" w:rsidRPr="009F32D8">
        <w:rPr>
          <w:rFonts w:cs="Times New Roman"/>
          <w:snapToGrid/>
          <w:kern w:val="22"/>
          <w:szCs w:val="22"/>
          <w:lang w:val="fr-FR" w:eastAsia="ko-KR"/>
        </w:rPr>
        <w:t xml:space="preserve"> des capacités en matière d'APA.</w:t>
      </w:r>
    </w:p>
    <w:p w14:paraId="444DD704" w14:textId="68DE365C" w:rsidR="005942AF" w:rsidRPr="00F36119" w:rsidRDefault="00140887" w:rsidP="00F36119">
      <w:pPr>
        <w:rPr>
          <w:rFonts w:cs="Times New Roman"/>
          <w:snapToGrid w:val="0"/>
          <w:color w:val="000000"/>
          <w:kern w:val="22"/>
          <w:szCs w:val="22"/>
          <w:lang w:val="fr-FR"/>
        </w:rPr>
      </w:pPr>
      <w:r w:rsidRPr="00B0443C">
        <w:rPr>
          <w:rFonts w:cs="Times New Roman"/>
          <w:color w:val="000000"/>
          <w:kern w:val="22"/>
          <w:szCs w:val="22"/>
          <w:lang w:val="fr-FR"/>
        </w:rPr>
        <w:t>3</w:t>
      </w:r>
      <w:r w:rsidR="00BA5C93" w:rsidRPr="00B0443C">
        <w:rPr>
          <w:rFonts w:cs="Times New Roman"/>
          <w:color w:val="000000"/>
          <w:kern w:val="22"/>
          <w:szCs w:val="22"/>
          <w:lang w:val="fr-FR"/>
        </w:rPr>
        <w:t>2</w:t>
      </w:r>
      <w:r w:rsidR="00F8670A" w:rsidRPr="00B0443C">
        <w:rPr>
          <w:rFonts w:cs="Times New Roman"/>
          <w:color w:val="000000"/>
          <w:kern w:val="22"/>
          <w:szCs w:val="22"/>
          <w:lang w:val="fr-FR"/>
        </w:rPr>
        <w:t>.</w:t>
      </w:r>
      <w:r w:rsidR="00F8670A" w:rsidRPr="00B0443C">
        <w:rPr>
          <w:rFonts w:cs="Times New Roman"/>
          <w:color w:val="000000"/>
          <w:kern w:val="22"/>
          <w:szCs w:val="22"/>
          <w:lang w:val="fr-FR"/>
        </w:rPr>
        <w:tab/>
      </w:r>
      <w:r w:rsidR="00F36119" w:rsidRPr="00F36119">
        <w:rPr>
          <w:rFonts w:cs="Times New Roman"/>
          <w:snapToGrid w:val="0"/>
          <w:color w:val="000000"/>
          <w:kern w:val="22"/>
          <w:szCs w:val="22"/>
          <w:lang w:val="fr-FR"/>
        </w:rPr>
        <w:t xml:space="preserve">La décision NP-3/5, dans laquelle les Parties, les autres gouvernements et les organisations ont été invités à envisager l'élaboration de projets régionaux et sous-régionaux comme moyen de soutenir la </w:t>
      </w:r>
      <w:r w:rsidR="00F36119" w:rsidRPr="00F36119">
        <w:rPr>
          <w:rFonts w:cs="Times New Roman"/>
          <w:snapToGrid w:val="0"/>
          <w:color w:val="000000"/>
          <w:kern w:val="22"/>
          <w:szCs w:val="22"/>
          <w:lang w:val="fr-FR"/>
        </w:rPr>
        <w:lastRenderedPageBreak/>
        <w:t>coopération régionale et de combler les lacunes en matière de développement des capacités dans certaines régions telles que l'Europe centrale et orientale, présente un intérêt pour cette question.</w:t>
      </w:r>
    </w:p>
    <w:p w14:paraId="2A98AD22" w14:textId="7F24D575" w:rsidR="00345251" w:rsidRPr="00B0443C" w:rsidRDefault="00C83933" w:rsidP="006F6E9D">
      <w:pPr>
        <w:pStyle w:val="Para1"/>
        <w:keepNext/>
        <w:suppressLineNumbers/>
        <w:tabs>
          <w:tab w:val="left" w:pos="720"/>
        </w:tabs>
        <w:suppressAutoHyphens/>
        <w:kinsoku w:val="0"/>
        <w:overflowPunct w:val="0"/>
        <w:autoSpaceDE w:val="0"/>
        <w:autoSpaceDN w:val="0"/>
        <w:spacing w:before="120" w:after="0"/>
        <w:rPr>
          <w:rFonts w:cs="Times New Roman"/>
          <w:b/>
          <w:bCs/>
          <w:snapToGrid/>
          <w:kern w:val="22"/>
          <w:lang w:val="fr-FR" w:eastAsia="ko-KR"/>
        </w:rPr>
      </w:pPr>
      <w:r w:rsidRPr="00B0443C">
        <w:rPr>
          <w:rFonts w:cs="Times New Roman"/>
          <w:b/>
          <w:bCs/>
          <w:snapToGrid/>
          <w:kern w:val="22"/>
          <w:lang w:val="fr-FR" w:eastAsia="ko-KR"/>
        </w:rPr>
        <w:t>(d)</w:t>
      </w:r>
      <w:r w:rsidRPr="00B0443C">
        <w:rPr>
          <w:rFonts w:cs="Times New Roman"/>
          <w:b/>
          <w:snapToGrid/>
          <w:kern w:val="22"/>
          <w:szCs w:val="22"/>
          <w:lang w:val="fr-FR" w:eastAsia="ko-KR"/>
        </w:rPr>
        <w:tab/>
      </w:r>
      <w:r w:rsidR="00933339">
        <w:rPr>
          <w:rFonts w:cs="Times New Roman"/>
          <w:b/>
          <w:bCs/>
          <w:snapToGrid/>
          <w:kern w:val="22"/>
          <w:lang w:val="fr-FR" w:eastAsia="ko-KR"/>
        </w:rPr>
        <w:t xml:space="preserve">Durée des </w:t>
      </w:r>
      <w:r w:rsidR="00345251" w:rsidRPr="00B0443C">
        <w:rPr>
          <w:rFonts w:cs="Times New Roman"/>
          <w:b/>
          <w:snapToGrid/>
          <w:kern w:val="22"/>
          <w:szCs w:val="22"/>
          <w:lang w:val="fr-FR" w:eastAsia="ko-KR"/>
        </w:rPr>
        <w:t>initiatives</w:t>
      </w:r>
    </w:p>
    <w:p w14:paraId="3E36A8B9" w14:textId="4FA1B618" w:rsidR="00345251" w:rsidRDefault="00F8670A"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3</w:t>
      </w:r>
      <w:r w:rsidR="00BA5C93" w:rsidRPr="00B0443C">
        <w:rPr>
          <w:rFonts w:cs="Times New Roman"/>
          <w:snapToGrid/>
          <w:color w:val="000000"/>
          <w:kern w:val="22"/>
          <w:szCs w:val="22"/>
          <w:lang w:val="fr-FR" w:eastAsia="ko-KR"/>
        </w:rPr>
        <w:t>3</w:t>
      </w:r>
      <w:r w:rsidRPr="00B0443C">
        <w:rPr>
          <w:rFonts w:cs="Times New Roman"/>
          <w:snapToGrid/>
          <w:color w:val="000000"/>
          <w:kern w:val="22"/>
          <w:szCs w:val="22"/>
          <w:lang w:val="fr-FR" w:eastAsia="ko-KR"/>
        </w:rPr>
        <w:t>.</w:t>
      </w:r>
      <w:r w:rsidRPr="00B0443C">
        <w:rPr>
          <w:rFonts w:cs="Times New Roman"/>
          <w:snapToGrid/>
          <w:color w:val="000000"/>
          <w:kern w:val="22"/>
          <w:szCs w:val="22"/>
          <w:lang w:val="fr-FR" w:eastAsia="ko-KR"/>
        </w:rPr>
        <w:tab/>
      </w:r>
      <w:r w:rsidR="00933339" w:rsidRPr="00933339">
        <w:rPr>
          <w:rFonts w:cs="Times New Roman"/>
          <w:snapToGrid/>
          <w:kern w:val="22"/>
          <w:szCs w:val="22"/>
          <w:lang w:val="fr-FR" w:eastAsia="ko-KR"/>
        </w:rPr>
        <w:t>En ce qui concerne la durée des initiatives, des informations sont actuellement disponibles pour les 103 projets. La majorité des initiatives (76</w:t>
      </w:r>
      <w:r w:rsidR="008665CD">
        <w:rPr>
          <w:rFonts w:cs="Times New Roman"/>
          <w:snapToGrid/>
          <w:kern w:val="22"/>
          <w:szCs w:val="22"/>
          <w:lang w:val="fr-FR" w:eastAsia="ko-KR"/>
        </w:rPr>
        <w:t> %</w:t>
      </w:r>
      <w:r w:rsidR="00933339" w:rsidRPr="00933339">
        <w:rPr>
          <w:rFonts w:cs="Times New Roman"/>
          <w:snapToGrid/>
          <w:kern w:val="22"/>
          <w:szCs w:val="22"/>
          <w:lang w:val="fr-FR" w:eastAsia="ko-KR"/>
        </w:rPr>
        <w:t>) ont une durée prévue de deux à cinq ans</w:t>
      </w:r>
      <w:r w:rsidR="00881915">
        <w:rPr>
          <w:rFonts w:cs="Times New Roman"/>
          <w:snapToGrid/>
          <w:kern w:val="22"/>
          <w:szCs w:val="22"/>
          <w:lang w:val="fr-FR" w:eastAsia="ko-KR"/>
        </w:rPr>
        <w:t> ;</w:t>
      </w:r>
      <w:r w:rsidR="00933339" w:rsidRPr="00933339">
        <w:rPr>
          <w:rFonts w:cs="Times New Roman"/>
          <w:snapToGrid/>
          <w:kern w:val="22"/>
          <w:szCs w:val="22"/>
          <w:lang w:val="fr-FR" w:eastAsia="ko-KR"/>
        </w:rPr>
        <w:t xml:space="preserve"> 13</w:t>
      </w:r>
      <w:r w:rsidR="008665CD">
        <w:rPr>
          <w:rFonts w:cs="Times New Roman"/>
          <w:snapToGrid/>
          <w:kern w:val="22"/>
          <w:szCs w:val="22"/>
          <w:lang w:val="fr-FR" w:eastAsia="ko-KR"/>
        </w:rPr>
        <w:t> %</w:t>
      </w:r>
      <w:r w:rsidR="00933339" w:rsidRPr="00933339">
        <w:rPr>
          <w:rFonts w:cs="Times New Roman"/>
          <w:snapToGrid/>
          <w:kern w:val="22"/>
          <w:szCs w:val="22"/>
          <w:lang w:val="fr-FR" w:eastAsia="ko-KR"/>
        </w:rPr>
        <w:t xml:space="preserve"> ont une durée inférieure à deux ans et seulement 12</w:t>
      </w:r>
      <w:r w:rsidR="008665CD">
        <w:rPr>
          <w:rFonts w:cs="Times New Roman"/>
          <w:snapToGrid/>
          <w:kern w:val="22"/>
          <w:szCs w:val="22"/>
          <w:lang w:val="fr-FR" w:eastAsia="ko-KR"/>
        </w:rPr>
        <w:t> %</w:t>
      </w:r>
      <w:r w:rsidR="00933339" w:rsidRPr="00933339">
        <w:rPr>
          <w:rFonts w:cs="Times New Roman"/>
          <w:snapToGrid/>
          <w:kern w:val="22"/>
          <w:szCs w:val="22"/>
          <w:lang w:val="fr-FR" w:eastAsia="ko-KR"/>
        </w:rPr>
        <w:t xml:space="preserve"> ont une durée supérieure à cinq ans, contre 7</w:t>
      </w:r>
      <w:r w:rsidR="008665CD">
        <w:rPr>
          <w:rFonts w:cs="Times New Roman"/>
          <w:snapToGrid/>
          <w:kern w:val="22"/>
          <w:szCs w:val="22"/>
          <w:lang w:val="fr-FR" w:eastAsia="ko-KR"/>
        </w:rPr>
        <w:t> %</w:t>
      </w:r>
      <w:r w:rsidR="00933339" w:rsidRPr="00933339">
        <w:rPr>
          <w:rFonts w:cs="Times New Roman"/>
          <w:snapToGrid/>
          <w:kern w:val="22"/>
          <w:szCs w:val="22"/>
          <w:lang w:val="fr-FR" w:eastAsia="ko-KR"/>
        </w:rPr>
        <w:t xml:space="preserve"> lors de la dernière réunion des Parties au Protocole de Nagoya (voir Figure 3).</w:t>
      </w:r>
    </w:p>
    <w:p w14:paraId="2096B913" w14:textId="2F042738" w:rsidR="00DE7ADE" w:rsidRPr="00B0443C" w:rsidRDefault="00204EB6" w:rsidP="000B22D0">
      <w:pPr>
        <w:pStyle w:val="Para1"/>
        <w:pBdr>
          <w:top w:val="nil"/>
          <w:left w:val="nil"/>
          <w:bottom w:val="nil"/>
          <w:right w:val="nil"/>
          <w:between w:val="nil"/>
          <w:bar w:val="nil"/>
        </w:pBdr>
        <w:spacing w:before="120"/>
        <w:jc w:val="center"/>
        <w:rPr>
          <w:rFonts w:cs="Times New Roman"/>
          <w:snapToGrid/>
          <w:kern w:val="22"/>
          <w:szCs w:val="22"/>
          <w:lang w:val="fr-FR" w:eastAsia="ko-KR"/>
        </w:rPr>
      </w:pPr>
      <w:r>
        <w:rPr>
          <w:noProof/>
        </w:rPr>
        <w:drawing>
          <wp:inline distT="0" distB="0" distL="0" distR="0" wp14:anchorId="4D615686" wp14:editId="670A4267">
            <wp:extent cx="5909481" cy="2487930"/>
            <wp:effectExtent l="0" t="0" r="0" b="7620"/>
            <wp:docPr id="7" name="Graphique 7">
              <a:extLst xmlns:a="http://schemas.openxmlformats.org/drawingml/2006/main">
                <a:ext uri="{FF2B5EF4-FFF2-40B4-BE49-F238E27FC236}">
                  <a16:creationId xmlns:a16="http://schemas.microsoft.com/office/drawing/2014/main" id="{7D55B4E0-F49C-42E0-A184-EA7DBBEF00BE}"/>
                </a:ext>
                <a:ext uri="{147F2762-F138-4A5C-976F-8EAC2B608ADB}">
                  <a16:predDERef xmlns:a16="http://schemas.microsoft.com/office/drawing/2014/main" pred="{2EB989D2-8AFB-4265-B268-680441A4A6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AE5FDA5" w14:textId="2A5AE946" w:rsidR="00345251" w:rsidRPr="00B0443C" w:rsidRDefault="00C6143B" w:rsidP="006F6E9D">
      <w:pPr>
        <w:pStyle w:val="Para1"/>
        <w:keepNext/>
        <w:suppressLineNumbers/>
        <w:tabs>
          <w:tab w:val="left" w:pos="720"/>
        </w:tabs>
        <w:suppressAutoHyphens/>
        <w:kinsoku w:val="0"/>
        <w:overflowPunct w:val="0"/>
        <w:autoSpaceDE w:val="0"/>
        <w:autoSpaceDN w:val="0"/>
        <w:spacing w:before="120" w:after="0"/>
        <w:rPr>
          <w:rFonts w:cs="Times New Roman"/>
          <w:b/>
          <w:snapToGrid/>
          <w:kern w:val="22"/>
          <w:szCs w:val="22"/>
          <w:lang w:val="fr-FR" w:eastAsia="ko-KR"/>
        </w:rPr>
      </w:pPr>
      <w:r w:rsidRPr="00B0443C">
        <w:rPr>
          <w:rFonts w:cs="Times New Roman"/>
          <w:b/>
          <w:snapToGrid/>
          <w:kern w:val="22"/>
          <w:szCs w:val="22"/>
          <w:lang w:val="fr-FR" w:eastAsia="ko-KR"/>
        </w:rPr>
        <w:t>(e)</w:t>
      </w:r>
      <w:r w:rsidRPr="00B0443C">
        <w:rPr>
          <w:rFonts w:cs="Times New Roman"/>
          <w:b/>
          <w:snapToGrid/>
          <w:kern w:val="22"/>
          <w:szCs w:val="22"/>
          <w:lang w:val="fr-FR" w:eastAsia="ko-KR"/>
        </w:rPr>
        <w:tab/>
      </w:r>
      <w:r w:rsidR="000B22D0">
        <w:rPr>
          <w:rFonts w:cs="Times New Roman"/>
          <w:b/>
          <w:snapToGrid/>
          <w:kern w:val="22"/>
          <w:szCs w:val="22"/>
          <w:lang w:val="fr-FR" w:eastAsia="ko-KR"/>
        </w:rPr>
        <w:t>Niveaux</w:t>
      </w:r>
      <w:r w:rsidR="00357329" w:rsidRPr="00357329">
        <w:rPr>
          <w:rFonts w:cs="Times New Roman"/>
          <w:b/>
          <w:snapToGrid/>
          <w:kern w:val="22"/>
          <w:szCs w:val="22"/>
          <w:lang w:val="fr-FR" w:eastAsia="ko-KR"/>
        </w:rPr>
        <w:t xml:space="preserve"> de financement</w:t>
      </w:r>
    </w:p>
    <w:p w14:paraId="19EE7FB8" w14:textId="3C13A0D6" w:rsidR="00A54B14" w:rsidRDefault="00F8670A" w:rsidP="00F37E96">
      <w:pPr>
        <w:pStyle w:val="Para1"/>
        <w:pBdr>
          <w:top w:val="nil"/>
          <w:left w:val="nil"/>
          <w:bottom w:val="nil"/>
          <w:right w:val="nil"/>
          <w:between w:val="nil"/>
          <w:bar w:val="nil"/>
        </w:pBdr>
        <w:spacing w:before="120"/>
        <w:rPr>
          <w:rFonts w:cs="Times New Roman"/>
          <w:snapToGrid/>
          <w:color w:val="000000"/>
          <w:spacing w:val="-3"/>
          <w:kern w:val="22"/>
          <w:szCs w:val="22"/>
          <w:lang w:val="fr-FR" w:eastAsia="ko-KR"/>
        </w:rPr>
      </w:pPr>
      <w:r w:rsidRPr="00B0443C">
        <w:rPr>
          <w:rFonts w:cs="Times New Roman"/>
          <w:snapToGrid/>
          <w:color w:val="000000"/>
          <w:spacing w:val="-3"/>
          <w:kern w:val="22"/>
          <w:szCs w:val="22"/>
          <w:lang w:val="fr-FR" w:eastAsia="ko-KR"/>
        </w:rPr>
        <w:t>3</w:t>
      </w:r>
      <w:r w:rsidR="00BA5C93" w:rsidRPr="00B0443C">
        <w:rPr>
          <w:rFonts w:cs="Times New Roman"/>
          <w:snapToGrid/>
          <w:color w:val="000000"/>
          <w:spacing w:val="-3"/>
          <w:kern w:val="22"/>
          <w:szCs w:val="22"/>
          <w:lang w:val="fr-FR" w:eastAsia="ko-KR"/>
        </w:rPr>
        <w:t>4</w:t>
      </w:r>
      <w:r w:rsidRPr="00B0443C">
        <w:rPr>
          <w:rFonts w:cs="Times New Roman"/>
          <w:snapToGrid/>
          <w:color w:val="000000"/>
          <w:spacing w:val="-3"/>
          <w:kern w:val="22"/>
          <w:szCs w:val="22"/>
          <w:lang w:val="fr-FR" w:eastAsia="ko-KR"/>
        </w:rPr>
        <w:t>.</w:t>
      </w:r>
      <w:r w:rsidRPr="00B0443C">
        <w:rPr>
          <w:rFonts w:cs="Times New Roman"/>
          <w:snapToGrid/>
          <w:color w:val="000000"/>
          <w:spacing w:val="-3"/>
          <w:kern w:val="22"/>
          <w:szCs w:val="22"/>
          <w:lang w:val="fr-FR" w:eastAsia="ko-KR"/>
        </w:rPr>
        <w:tab/>
      </w:r>
      <w:r w:rsidR="00A54B14" w:rsidRPr="00A54B14">
        <w:rPr>
          <w:rFonts w:cs="Times New Roman"/>
          <w:snapToGrid/>
          <w:color w:val="000000"/>
          <w:spacing w:val="-3"/>
          <w:kern w:val="22"/>
          <w:szCs w:val="22"/>
          <w:lang w:val="fr-FR" w:eastAsia="ko-KR"/>
        </w:rPr>
        <w:t xml:space="preserve">En ce qui concerne le </w:t>
      </w:r>
      <w:r w:rsidR="000B22D0">
        <w:rPr>
          <w:rFonts w:cs="Times New Roman"/>
          <w:snapToGrid/>
          <w:color w:val="000000"/>
          <w:spacing w:val="-3"/>
          <w:kern w:val="22"/>
          <w:szCs w:val="22"/>
          <w:lang w:val="fr-FR" w:eastAsia="ko-KR"/>
        </w:rPr>
        <w:t xml:space="preserve">niveau </w:t>
      </w:r>
      <w:r w:rsidR="00A54B14" w:rsidRPr="00A54B14">
        <w:rPr>
          <w:rFonts w:cs="Times New Roman"/>
          <w:snapToGrid/>
          <w:color w:val="000000"/>
          <w:spacing w:val="-3"/>
          <w:kern w:val="22"/>
          <w:szCs w:val="22"/>
          <w:lang w:val="fr-FR" w:eastAsia="ko-KR"/>
        </w:rPr>
        <w:t>de financement des initiatives</w:t>
      </w:r>
      <w:r w:rsidR="00A54B14" w:rsidRPr="00B0443C">
        <w:rPr>
          <w:rStyle w:val="Appelnotedebasdep"/>
          <w:rFonts w:cs="Times New Roman"/>
          <w:snapToGrid/>
          <w:spacing w:val="-3"/>
          <w:kern w:val="22"/>
          <w:sz w:val="22"/>
          <w:szCs w:val="22"/>
          <w:lang w:val="fr-FR" w:eastAsia="ko-KR"/>
        </w:rPr>
        <w:footnoteReference w:id="13"/>
      </w:r>
      <w:r w:rsidR="00A54B14" w:rsidRPr="00A54B14">
        <w:rPr>
          <w:rFonts w:cs="Times New Roman"/>
          <w:snapToGrid/>
          <w:color w:val="000000"/>
          <w:spacing w:val="-3"/>
          <w:kern w:val="22"/>
          <w:szCs w:val="22"/>
          <w:lang w:val="fr-FR" w:eastAsia="ko-KR"/>
        </w:rPr>
        <w:t>, des informations sont disponibles sur le financement de base de 81 des 103 projets nationaux. Parmi ceux-ci, 32 projets (40</w:t>
      </w:r>
      <w:r w:rsidR="008665CD">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 sont de petite taille, avec un fonds inférieur à 500</w:t>
      </w:r>
      <w:r w:rsidR="000B22D0">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000 dollars, 24 projets (31</w:t>
      </w:r>
      <w:r w:rsidR="008665CD">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 sont de taille moyenne, avec un fonds compris entre 500</w:t>
      </w:r>
      <w:r w:rsidR="000B22D0">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000 et 2</w:t>
      </w:r>
      <w:r w:rsidR="000B22D0">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000</w:t>
      </w:r>
      <w:r w:rsidR="000B22D0">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000 de dollars, et 25 projets (31</w:t>
      </w:r>
      <w:r w:rsidR="008665CD">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 sont de grande taille, avec un fonds supérieur à 2</w:t>
      </w:r>
      <w:r w:rsidR="000B22D0">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000</w:t>
      </w:r>
      <w:r w:rsidR="000B22D0">
        <w:rPr>
          <w:rFonts w:cs="Times New Roman"/>
          <w:snapToGrid/>
          <w:color w:val="000000"/>
          <w:spacing w:val="-3"/>
          <w:kern w:val="22"/>
          <w:szCs w:val="22"/>
          <w:lang w:val="fr-FR" w:eastAsia="ko-KR"/>
        </w:rPr>
        <w:t> </w:t>
      </w:r>
      <w:r w:rsidR="00A54B14" w:rsidRPr="00A54B14">
        <w:rPr>
          <w:rFonts w:cs="Times New Roman"/>
          <w:snapToGrid/>
          <w:color w:val="000000"/>
          <w:spacing w:val="-3"/>
          <w:kern w:val="22"/>
          <w:szCs w:val="22"/>
          <w:lang w:val="fr-FR" w:eastAsia="ko-KR"/>
        </w:rPr>
        <w:t>000 de dollars (voir Figure 4).</w:t>
      </w:r>
    </w:p>
    <w:p w14:paraId="580DF33A" w14:textId="302B1775" w:rsidR="00175D01" w:rsidRDefault="00204EB6" w:rsidP="00175D01">
      <w:pPr>
        <w:pStyle w:val="Para1"/>
        <w:pBdr>
          <w:top w:val="nil"/>
          <w:left w:val="nil"/>
          <w:bottom w:val="nil"/>
          <w:right w:val="nil"/>
          <w:between w:val="nil"/>
          <w:bar w:val="nil"/>
        </w:pBdr>
        <w:spacing w:before="120"/>
        <w:jc w:val="center"/>
        <w:rPr>
          <w:rFonts w:cs="Times New Roman"/>
          <w:snapToGrid/>
          <w:color w:val="000000"/>
          <w:spacing w:val="-3"/>
          <w:kern w:val="22"/>
          <w:szCs w:val="22"/>
          <w:lang w:val="fr-FR" w:eastAsia="ko-KR"/>
        </w:rPr>
      </w:pPr>
      <w:r>
        <w:rPr>
          <w:noProof/>
        </w:rPr>
        <w:drawing>
          <wp:inline distT="0" distB="0" distL="0" distR="0" wp14:anchorId="2340DDAB" wp14:editId="053BF3E1">
            <wp:extent cx="5953760" cy="2721935"/>
            <wp:effectExtent l="0" t="0" r="8890" b="2540"/>
            <wp:docPr id="9" name="Graphique 9">
              <a:extLst xmlns:a="http://schemas.openxmlformats.org/drawingml/2006/main">
                <a:ext uri="{FF2B5EF4-FFF2-40B4-BE49-F238E27FC236}">
                  <a16:creationId xmlns:a16="http://schemas.microsoft.com/office/drawing/2014/main" id="{718C3861-9CB7-4D21-B798-E8B58C310C1D}"/>
                </a:ext>
                <a:ext uri="{147F2762-F138-4A5C-976F-8EAC2B608ADB}">
                  <a16:predDERef xmlns:a16="http://schemas.microsoft.com/office/drawing/2014/main" pred="{7D55B4E0-F49C-42E0-A184-EA7DBBEF0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77068FB" w14:textId="53B37211" w:rsidR="00345251" w:rsidRPr="00B0443C" w:rsidRDefault="009C112B" w:rsidP="008127F9">
      <w:pPr>
        <w:pStyle w:val="Para1"/>
        <w:keepNext/>
        <w:suppressLineNumbers/>
        <w:tabs>
          <w:tab w:val="left" w:pos="720"/>
        </w:tabs>
        <w:suppressAutoHyphens/>
        <w:kinsoku w:val="0"/>
        <w:overflowPunct w:val="0"/>
        <w:autoSpaceDE w:val="0"/>
        <w:autoSpaceDN w:val="0"/>
        <w:spacing w:before="120" w:after="0"/>
        <w:rPr>
          <w:rFonts w:cs="Times New Roman"/>
          <w:b/>
          <w:snapToGrid/>
          <w:kern w:val="22"/>
          <w:szCs w:val="22"/>
          <w:lang w:val="fr-FR" w:eastAsia="ko-KR"/>
        </w:rPr>
      </w:pPr>
      <w:r w:rsidRPr="00B0443C">
        <w:rPr>
          <w:rFonts w:cs="Times New Roman"/>
          <w:b/>
          <w:snapToGrid/>
          <w:kern w:val="22"/>
          <w:szCs w:val="22"/>
          <w:lang w:val="fr-FR" w:eastAsia="ko-KR"/>
        </w:rPr>
        <w:lastRenderedPageBreak/>
        <w:t>(f)</w:t>
      </w:r>
      <w:r w:rsidRPr="00B0443C">
        <w:rPr>
          <w:rFonts w:cs="Times New Roman"/>
          <w:b/>
          <w:snapToGrid/>
          <w:kern w:val="22"/>
          <w:szCs w:val="22"/>
          <w:lang w:val="fr-FR" w:eastAsia="ko-KR"/>
        </w:rPr>
        <w:tab/>
      </w:r>
      <w:r w:rsidR="00357329" w:rsidRPr="00357329">
        <w:rPr>
          <w:rFonts w:cs="Times New Roman"/>
          <w:b/>
          <w:snapToGrid/>
          <w:kern w:val="22"/>
          <w:szCs w:val="22"/>
          <w:lang w:val="fr-FR" w:eastAsia="ko-KR"/>
        </w:rPr>
        <w:t>Couverture thématique des initiatives existantes</w:t>
      </w:r>
    </w:p>
    <w:p w14:paraId="641392BD" w14:textId="77777777" w:rsidR="00880C4B" w:rsidRDefault="00140887" w:rsidP="0073262A">
      <w:pPr>
        <w:pStyle w:val="Para1"/>
        <w:pBdr>
          <w:top w:val="nil"/>
          <w:left w:val="nil"/>
          <w:bottom w:val="nil"/>
          <w:right w:val="nil"/>
          <w:between w:val="nil"/>
          <w:bar w:val="nil"/>
        </w:pBdr>
        <w:spacing w:before="120"/>
        <w:rPr>
          <w:noProof/>
          <w:lang w:val="fr-CA"/>
        </w:rPr>
      </w:pPr>
      <w:r w:rsidRPr="00B0443C">
        <w:rPr>
          <w:rFonts w:cs="Times New Roman"/>
          <w:noProof/>
          <w:snapToGrid/>
          <w:color w:val="000000"/>
          <w:kern w:val="22"/>
          <w:szCs w:val="22"/>
          <w:lang w:val="fr-FR" w:eastAsia="zh-CN"/>
        </w:rPr>
        <w:t>3</w:t>
      </w:r>
      <w:r w:rsidR="00BA5C93" w:rsidRPr="00B0443C">
        <w:rPr>
          <w:rFonts w:cs="Times New Roman"/>
          <w:noProof/>
          <w:snapToGrid/>
          <w:color w:val="000000"/>
          <w:kern w:val="22"/>
          <w:szCs w:val="22"/>
          <w:lang w:val="fr-FR" w:eastAsia="zh-CN"/>
        </w:rPr>
        <w:t>5</w:t>
      </w:r>
      <w:r w:rsidR="00F8670A" w:rsidRPr="00B0443C">
        <w:rPr>
          <w:rFonts w:cs="Times New Roman"/>
          <w:noProof/>
          <w:snapToGrid/>
          <w:color w:val="000000"/>
          <w:kern w:val="22"/>
          <w:szCs w:val="22"/>
          <w:lang w:val="fr-FR" w:eastAsia="zh-CN"/>
        </w:rPr>
        <w:t>.</w:t>
      </w:r>
      <w:r w:rsidR="00F8670A" w:rsidRPr="00B0443C">
        <w:rPr>
          <w:rFonts w:cs="Times New Roman"/>
          <w:noProof/>
          <w:snapToGrid/>
          <w:color w:val="000000"/>
          <w:kern w:val="22"/>
          <w:szCs w:val="22"/>
          <w:lang w:val="fr-FR" w:eastAsia="zh-CN"/>
        </w:rPr>
        <w:tab/>
      </w:r>
      <w:r w:rsidR="008665CD" w:rsidRPr="008665CD">
        <w:rPr>
          <w:rFonts w:cs="Times New Roman"/>
          <w:noProof/>
          <w:snapToGrid/>
          <w:color w:val="000000"/>
          <w:kern w:val="22"/>
          <w:szCs w:val="22"/>
          <w:lang w:val="fr-FR" w:eastAsia="zh-CN"/>
        </w:rPr>
        <w:t>En ce qui concerne les domaines thématiques clés</w:t>
      </w:r>
      <w:r w:rsidR="008665CD" w:rsidRPr="00B0443C">
        <w:rPr>
          <w:rStyle w:val="Appelnotedebasdep"/>
          <w:rFonts w:cs="Times New Roman"/>
          <w:snapToGrid/>
          <w:kern w:val="22"/>
          <w:sz w:val="22"/>
          <w:szCs w:val="22"/>
          <w:lang w:val="fr-FR" w:eastAsia="ko-KR"/>
        </w:rPr>
        <w:footnoteReference w:id="14"/>
      </w:r>
      <w:r w:rsidR="008665CD" w:rsidRPr="008665CD">
        <w:rPr>
          <w:rFonts w:cs="Times New Roman"/>
          <w:noProof/>
          <w:snapToGrid/>
          <w:color w:val="000000"/>
          <w:kern w:val="22"/>
          <w:szCs w:val="22"/>
          <w:lang w:val="fr-FR" w:eastAsia="zh-CN"/>
        </w:rPr>
        <w:t xml:space="preserve"> couverts par les initiatives de développement des capacités, des informations sont disponibles pour 101 des 103 projets (voir </w:t>
      </w:r>
      <w:r w:rsidR="008665CD">
        <w:rPr>
          <w:rFonts w:cs="Times New Roman"/>
          <w:noProof/>
          <w:snapToGrid/>
          <w:color w:val="000000"/>
          <w:kern w:val="22"/>
          <w:szCs w:val="22"/>
          <w:lang w:val="fr-FR" w:eastAsia="zh-CN"/>
        </w:rPr>
        <w:t>Figure</w:t>
      </w:r>
      <w:r w:rsidR="008665CD" w:rsidRPr="008665CD">
        <w:rPr>
          <w:rFonts w:cs="Times New Roman"/>
          <w:noProof/>
          <w:snapToGrid/>
          <w:color w:val="000000"/>
          <w:kern w:val="22"/>
          <w:szCs w:val="22"/>
          <w:lang w:val="fr-FR" w:eastAsia="zh-CN"/>
        </w:rPr>
        <w:t xml:space="preserve"> 5).</w:t>
      </w:r>
      <w:r w:rsidR="003B495B" w:rsidRPr="00CD653E">
        <w:rPr>
          <w:noProof/>
          <w:lang w:val="fr-CA"/>
        </w:rPr>
        <w:t xml:space="preserve"> </w:t>
      </w:r>
    </w:p>
    <w:p w14:paraId="3E61EA50" w14:textId="55BD8E93" w:rsidR="008665CD" w:rsidRPr="00CD653E" w:rsidRDefault="00880C4B" w:rsidP="0073262A">
      <w:pPr>
        <w:pStyle w:val="Para1"/>
        <w:pBdr>
          <w:top w:val="nil"/>
          <w:left w:val="nil"/>
          <w:bottom w:val="nil"/>
          <w:right w:val="nil"/>
          <w:between w:val="nil"/>
          <w:bar w:val="nil"/>
        </w:pBdr>
        <w:spacing w:before="120"/>
        <w:rPr>
          <w:noProof/>
          <w:lang w:val="fr-CA"/>
        </w:rPr>
      </w:pPr>
      <w:r>
        <w:rPr>
          <w:noProof/>
        </w:rPr>
        <w:drawing>
          <wp:inline distT="0" distB="0" distL="0" distR="0" wp14:anchorId="376591A7" wp14:editId="32E44588">
            <wp:extent cx="5943600" cy="2934586"/>
            <wp:effectExtent l="0" t="0" r="0" b="0"/>
            <wp:docPr id="10" name="Graphique 10">
              <a:extLst xmlns:a="http://schemas.openxmlformats.org/drawingml/2006/main">
                <a:ext uri="{FF2B5EF4-FFF2-40B4-BE49-F238E27FC236}">
                  <a16:creationId xmlns:a16="http://schemas.microsoft.com/office/drawing/2014/main" id="{DE1CFAFE-FD21-43D5-A0F4-DAA429D835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FD315FB" w14:textId="4FC97D94" w:rsidR="00345251" w:rsidRPr="00B0443C" w:rsidRDefault="00140887"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3</w:t>
      </w:r>
      <w:r w:rsidR="00BA5C93" w:rsidRPr="00B0443C">
        <w:rPr>
          <w:rFonts w:cs="Times New Roman"/>
          <w:snapToGrid/>
          <w:color w:val="000000"/>
          <w:kern w:val="22"/>
          <w:szCs w:val="22"/>
          <w:lang w:val="fr-FR" w:eastAsia="ko-KR"/>
        </w:rPr>
        <w:t>6</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DA56DD" w:rsidRPr="00DA56DD">
        <w:rPr>
          <w:rFonts w:cs="Times New Roman"/>
          <w:snapToGrid/>
          <w:kern w:val="22"/>
          <w:szCs w:val="22"/>
          <w:lang w:val="fr-FR" w:eastAsia="ko-KR"/>
        </w:rPr>
        <w:t>La majorité des projets (88</w:t>
      </w:r>
      <w:r w:rsidR="00DA56DD" w:rsidRPr="00CD653E">
        <w:rPr>
          <w:lang w:val="fr-CA"/>
        </w:rPr>
        <w:t> </w:t>
      </w:r>
      <w:r w:rsidR="00DA56DD" w:rsidRPr="00DA56DD">
        <w:rPr>
          <w:rFonts w:cs="Times New Roman"/>
          <w:snapToGrid/>
          <w:kern w:val="22"/>
          <w:szCs w:val="22"/>
          <w:lang w:val="fr-FR" w:eastAsia="ko-KR"/>
        </w:rPr>
        <w:t>%) sont axés sur le domaine clé 2 (capacité à élaborer, mettre en œuvre et appliquer des mesures APA), suivi par le domaine clé 4 (capacité des peuples autochtones, des communautés locales et des parties prenantes à mettre en œuvre le Protocole) (78</w:t>
      </w:r>
      <w:r w:rsidR="00DA56DD">
        <w:rPr>
          <w:rFonts w:cs="Times New Roman"/>
          <w:snapToGrid/>
          <w:kern w:val="22"/>
          <w:szCs w:val="22"/>
          <w:lang w:val="fr-FR" w:eastAsia="ko-KR"/>
        </w:rPr>
        <w:t> </w:t>
      </w:r>
      <w:r w:rsidR="00DA56DD" w:rsidRPr="00DA56DD">
        <w:rPr>
          <w:rFonts w:cs="Times New Roman"/>
          <w:snapToGrid/>
          <w:kern w:val="22"/>
          <w:szCs w:val="22"/>
          <w:lang w:val="fr-FR" w:eastAsia="ko-KR"/>
        </w:rPr>
        <w:t>%) et le domaine clé 1 (capacité à mettre en œuvre et à respecter le Protocole) (71</w:t>
      </w:r>
      <w:r w:rsidR="00DA56DD">
        <w:rPr>
          <w:rFonts w:cs="Times New Roman"/>
          <w:snapToGrid/>
          <w:kern w:val="22"/>
          <w:szCs w:val="22"/>
          <w:lang w:val="fr-FR" w:eastAsia="ko-KR"/>
        </w:rPr>
        <w:t> </w:t>
      </w:r>
      <w:r w:rsidR="00DA56DD" w:rsidRPr="00DA56DD">
        <w:rPr>
          <w:rFonts w:cs="Times New Roman"/>
          <w:snapToGrid/>
          <w:kern w:val="22"/>
          <w:szCs w:val="22"/>
          <w:lang w:val="fr-FR" w:eastAsia="ko-KR"/>
        </w:rPr>
        <w:t>%). Environ 56</w:t>
      </w:r>
      <w:r w:rsidR="00DA56DD">
        <w:rPr>
          <w:rFonts w:cs="Times New Roman"/>
          <w:snapToGrid/>
          <w:kern w:val="22"/>
          <w:szCs w:val="22"/>
          <w:lang w:val="fr-FR" w:eastAsia="ko-KR"/>
        </w:rPr>
        <w:t> </w:t>
      </w:r>
      <w:r w:rsidR="00DA56DD" w:rsidRPr="00DA56DD">
        <w:rPr>
          <w:rFonts w:cs="Times New Roman"/>
          <w:snapToGrid/>
          <w:kern w:val="22"/>
          <w:szCs w:val="22"/>
          <w:lang w:val="fr-FR" w:eastAsia="ko-KR"/>
        </w:rPr>
        <w:t xml:space="preserve">% des projets ont porté sur le domaine clé 3 (capacité </w:t>
      </w:r>
      <w:r w:rsidR="003B495B">
        <w:rPr>
          <w:rFonts w:cs="Times New Roman"/>
          <w:snapToGrid/>
          <w:kern w:val="22"/>
          <w:szCs w:val="22"/>
          <w:lang w:val="fr-FR" w:eastAsia="ko-KR"/>
        </w:rPr>
        <w:t>à</w:t>
      </w:r>
      <w:r w:rsidR="00DA56DD" w:rsidRPr="00DA56DD">
        <w:rPr>
          <w:rFonts w:cs="Times New Roman"/>
          <w:snapToGrid/>
          <w:kern w:val="22"/>
          <w:szCs w:val="22"/>
          <w:lang w:val="fr-FR" w:eastAsia="ko-KR"/>
        </w:rPr>
        <w:t xml:space="preserve"> négocier des conditions convenues d'un commun accord) et 59</w:t>
      </w:r>
      <w:r w:rsidR="00DA56DD">
        <w:rPr>
          <w:rFonts w:cs="Times New Roman"/>
          <w:snapToGrid/>
          <w:kern w:val="22"/>
          <w:szCs w:val="22"/>
          <w:lang w:val="fr-FR" w:eastAsia="ko-KR"/>
        </w:rPr>
        <w:t> </w:t>
      </w:r>
      <w:r w:rsidR="00DA56DD" w:rsidRPr="00DA56DD">
        <w:rPr>
          <w:rFonts w:cs="Times New Roman"/>
          <w:snapToGrid/>
          <w:kern w:val="22"/>
          <w:szCs w:val="22"/>
          <w:lang w:val="fr-FR" w:eastAsia="ko-KR"/>
        </w:rPr>
        <w:t xml:space="preserve">% sur le domaine clé 5 (capacité </w:t>
      </w:r>
      <w:r w:rsidR="003B495B">
        <w:rPr>
          <w:rFonts w:cs="Times New Roman"/>
          <w:snapToGrid/>
          <w:kern w:val="22"/>
          <w:szCs w:val="22"/>
          <w:lang w:val="fr-FR" w:eastAsia="ko-KR"/>
        </w:rPr>
        <w:t>à</w:t>
      </w:r>
      <w:r w:rsidR="00DA56DD" w:rsidRPr="00DA56DD">
        <w:rPr>
          <w:rFonts w:cs="Times New Roman"/>
          <w:snapToGrid/>
          <w:kern w:val="22"/>
          <w:szCs w:val="22"/>
          <w:lang w:val="fr-FR" w:eastAsia="ko-KR"/>
        </w:rPr>
        <w:t xml:space="preserve"> développer des capacités de recherche endogènes). L'accent mis sur les domaines clés 1, 2 et 3 s'inscrit dans le cadre des efforts déployés pour atteindre l'objectif 16 d'Aichi en matière de biodiversité, qui prévoyait que le Protocole de Nagoya soit en vigueur et opérationnel, conformément à la législation nationale, d'ici à 2015. Pour l'avenir, il convient de mettre davantage l'accent sur les domaines clés 3 et 5 afin de soutenir les pays dans leurs efforts pour renforcer leurs capacités à négocier des conditions convenues d'un commun accord et à développer des capacités de recherche endogènes.</w:t>
      </w:r>
      <w:r w:rsidR="008B36FF" w:rsidRPr="00B0443C">
        <w:rPr>
          <w:rFonts w:cs="Times New Roman"/>
          <w:snapToGrid/>
          <w:kern w:val="22"/>
          <w:szCs w:val="22"/>
          <w:lang w:val="fr-FR" w:eastAsia="ko-KR"/>
        </w:rPr>
        <w:t xml:space="preserve"> </w:t>
      </w:r>
    </w:p>
    <w:p w14:paraId="7FFF1060" w14:textId="1A65E9D8" w:rsidR="00345251" w:rsidRPr="00300435" w:rsidRDefault="007802F5" w:rsidP="00300435">
      <w:pPr>
        <w:rPr>
          <w:rFonts w:cs="Times New Roman"/>
          <w:b/>
          <w:bCs/>
          <w:kern w:val="22"/>
          <w:szCs w:val="18"/>
          <w:lang w:val="fr-FR" w:eastAsia="ko-KR"/>
        </w:rPr>
      </w:pPr>
      <w:r w:rsidRPr="00B0443C">
        <w:rPr>
          <w:rFonts w:cs="Times New Roman"/>
          <w:b/>
          <w:bCs/>
          <w:kern w:val="22"/>
          <w:lang w:val="fr-FR" w:eastAsia="ko-KR"/>
        </w:rPr>
        <w:t xml:space="preserve">(g) </w:t>
      </w:r>
      <w:r w:rsidRPr="00B0443C">
        <w:rPr>
          <w:rFonts w:cs="Times New Roman"/>
          <w:b/>
          <w:kern w:val="22"/>
          <w:szCs w:val="22"/>
          <w:lang w:val="fr-FR" w:eastAsia="ko-KR"/>
        </w:rPr>
        <w:tab/>
      </w:r>
      <w:r w:rsidR="00300435" w:rsidRPr="00300435">
        <w:rPr>
          <w:rFonts w:cs="Times New Roman"/>
          <w:b/>
          <w:bCs/>
          <w:kern w:val="22"/>
          <w:szCs w:val="18"/>
          <w:lang w:val="fr-FR" w:eastAsia="ko-KR"/>
        </w:rPr>
        <w:t>Organisations soutenant les initiatives de développement des capacités en matière d'AP</w:t>
      </w:r>
      <w:r w:rsidR="00300435">
        <w:rPr>
          <w:rFonts w:cs="Times New Roman"/>
          <w:b/>
          <w:bCs/>
          <w:kern w:val="22"/>
          <w:szCs w:val="18"/>
          <w:lang w:val="fr-FR" w:eastAsia="ko-KR"/>
        </w:rPr>
        <w:t>A</w:t>
      </w:r>
    </w:p>
    <w:p w14:paraId="77243D0A" w14:textId="61420E22" w:rsidR="00345251" w:rsidRPr="00B0443C" w:rsidRDefault="00140887"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3</w:t>
      </w:r>
      <w:r w:rsidR="00BA5C93" w:rsidRPr="00B0443C">
        <w:rPr>
          <w:rFonts w:cs="Times New Roman"/>
          <w:snapToGrid/>
          <w:color w:val="000000"/>
          <w:kern w:val="22"/>
          <w:szCs w:val="22"/>
          <w:lang w:val="fr-FR" w:eastAsia="ko-KR"/>
        </w:rPr>
        <w:t>7</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300435" w:rsidRPr="00300435">
        <w:rPr>
          <w:rFonts w:cs="Times New Roman"/>
          <w:snapToGrid/>
          <w:kern w:val="22"/>
          <w:szCs w:val="22"/>
          <w:lang w:val="fr-FR" w:eastAsia="ko-KR"/>
        </w:rPr>
        <w:t xml:space="preserve">Sur les 102 initiatives de développement des capacités mises en œuvre ou exécutées par des organisations internationales, 50 (2 mondiales, 20 Afrique, 18 Asie-Pacifique et 10 GRULAC) (50 %) ont été ou sont financées par le Fonds pour l'environnement mondial (FEM). D'après les informations compilées par le </w:t>
      </w:r>
      <w:r w:rsidR="00BF5BC0">
        <w:rPr>
          <w:rFonts w:cs="Times New Roman"/>
          <w:snapToGrid/>
          <w:kern w:val="22"/>
          <w:szCs w:val="22"/>
          <w:lang w:val="fr-FR" w:eastAsia="ko-KR"/>
        </w:rPr>
        <w:t>S</w:t>
      </w:r>
      <w:r w:rsidR="00300435" w:rsidRPr="00300435">
        <w:rPr>
          <w:rFonts w:cs="Times New Roman"/>
          <w:snapToGrid/>
          <w:kern w:val="22"/>
          <w:szCs w:val="22"/>
          <w:lang w:val="fr-FR" w:eastAsia="ko-KR"/>
        </w:rPr>
        <w:t>ecrétariat pour le présent rapport, le FEM a investi environ 100 millions de dollars US en financement de base pour des initiatives de développement des capacités en matière d'APA et a mobilisé plus de 300 millions de dollars en cofinancement dans plus de 100 pays</w:t>
      </w:r>
      <w:r w:rsidR="00345251" w:rsidRPr="00B0443C">
        <w:rPr>
          <w:rFonts w:cs="Times New Roman"/>
          <w:snapToGrid/>
          <w:kern w:val="22"/>
          <w:szCs w:val="22"/>
          <w:lang w:val="fr-FR" w:eastAsia="ko-KR"/>
        </w:rPr>
        <w:t>.</w:t>
      </w:r>
      <w:r w:rsidR="00345251" w:rsidRPr="00B0443C">
        <w:rPr>
          <w:rStyle w:val="Appelnotedebasdep"/>
          <w:rFonts w:cs="Times New Roman"/>
          <w:snapToGrid/>
          <w:kern w:val="22"/>
          <w:sz w:val="22"/>
          <w:szCs w:val="22"/>
          <w:lang w:val="fr-FR" w:eastAsia="ko-KR"/>
        </w:rPr>
        <w:footnoteReference w:id="15"/>
      </w:r>
    </w:p>
    <w:p w14:paraId="4446A6BD" w14:textId="59C2D72C" w:rsidR="00345251" w:rsidRPr="00B0443C" w:rsidRDefault="00140887"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3</w:t>
      </w:r>
      <w:r w:rsidR="00BA5C93" w:rsidRPr="00B0443C">
        <w:rPr>
          <w:rFonts w:cs="Times New Roman"/>
          <w:snapToGrid/>
          <w:color w:val="000000"/>
          <w:kern w:val="22"/>
          <w:szCs w:val="22"/>
          <w:lang w:val="fr-FR" w:eastAsia="ko-KR"/>
        </w:rPr>
        <w:t>8</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300435" w:rsidRPr="00300435">
        <w:rPr>
          <w:rFonts w:cs="Times New Roman"/>
          <w:snapToGrid/>
          <w:kern w:val="22"/>
          <w:szCs w:val="22"/>
          <w:lang w:val="fr-FR" w:eastAsia="ko-KR"/>
        </w:rPr>
        <w:t xml:space="preserve">Comme le montre le Tableau 1 ci-dessous, c'est le Programme des Nations Unies pour le développement (PNUD) qui a entrepris le plus grand nombre d'initiatives de renforcement des capacités en matière d'APA, suivi par le Programme des Nations Unies pour l'environnement (PNUE). </w:t>
      </w:r>
      <w:r w:rsidR="00BF51BB" w:rsidRPr="00BF51BB">
        <w:rPr>
          <w:rFonts w:cs="Times New Roman"/>
          <w:snapToGrid/>
          <w:kern w:val="22"/>
          <w:szCs w:val="22"/>
          <w:lang w:val="fr-FR" w:eastAsia="ko-KR"/>
        </w:rPr>
        <w:t xml:space="preserve">L'Initiative pour </w:t>
      </w:r>
      <w:r w:rsidR="00BF51BB" w:rsidRPr="00BF51BB">
        <w:rPr>
          <w:rFonts w:cs="Times New Roman"/>
          <w:snapToGrid/>
          <w:kern w:val="22"/>
          <w:szCs w:val="22"/>
          <w:lang w:val="fr-FR" w:eastAsia="ko-KR"/>
        </w:rPr>
        <w:lastRenderedPageBreak/>
        <w:t>le développement des capacités en matière d'APA</w:t>
      </w:r>
      <w:r w:rsidR="00BF51BB" w:rsidRPr="00B0443C">
        <w:rPr>
          <w:rStyle w:val="Appelnotedebasdep"/>
          <w:rFonts w:cs="Times New Roman"/>
          <w:snapToGrid/>
          <w:kern w:val="22"/>
          <w:szCs w:val="22"/>
          <w:lang w:val="fr-FR" w:eastAsia="ko-KR"/>
        </w:rPr>
        <w:footnoteReference w:id="16"/>
      </w:r>
      <w:r w:rsidR="00BF51BB" w:rsidRPr="00BF51BB">
        <w:rPr>
          <w:rFonts w:cs="Times New Roman"/>
          <w:snapToGrid/>
          <w:kern w:val="22"/>
          <w:szCs w:val="22"/>
          <w:lang w:val="fr-FR" w:eastAsia="ko-KR"/>
        </w:rPr>
        <w:t xml:space="preserve"> apporte son soutien à des activités de renforcement des capacités au niveau national dans 15 pays et collabore avec l'Agence allemande de coopération internationale (GIZ) pour soutenir sept autres projets.</w:t>
      </w:r>
    </w:p>
    <w:p w14:paraId="61EF2D04" w14:textId="36B8F49C" w:rsidR="00AC3CFB" w:rsidRPr="00B0443C" w:rsidRDefault="00AC3CFB" w:rsidP="00AC3CFB">
      <w:pPr>
        <w:keepNext/>
        <w:suppressLineNumbers/>
        <w:suppressAutoHyphens/>
        <w:kinsoku w:val="0"/>
        <w:overflowPunct w:val="0"/>
        <w:autoSpaceDE w:val="0"/>
        <w:autoSpaceDN w:val="0"/>
        <w:spacing w:before="120" w:after="120"/>
        <w:ind w:left="990" w:hanging="990"/>
        <w:jc w:val="left"/>
        <w:rPr>
          <w:rFonts w:cs="Times New Roman"/>
          <w:b/>
          <w:kern w:val="22"/>
          <w:szCs w:val="22"/>
          <w:lang w:val="fr-FR"/>
        </w:rPr>
      </w:pPr>
      <w:r w:rsidRPr="00B0443C">
        <w:rPr>
          <w:rFonts w:cs="Times New Roman"/>
          <w:b/>
          <w:kern w:val="22"/>
          <w:szCs w:val="22"/>
          <w:lang w:val="fr-FR"/>
        </w:rPr>
        <w:t>Table</w:t>
      </w:r>
      <w:r w:rsidR="006E7804">
        <w:rPr>
          <w:rFonts w:cs="Times New Roman"/>
          <w:b/>
          <w:kern w:val="22"/>
          <w:szCs w:val="22"/>
          <w:lang w:val="fr-FR"/>
        </w:rPr>
        <w:t>au</w:t>
      </w:r>
      <w:r w:rsidRPr="00B0443C">
        <w:rPr>
          <w:rFonts w:cs="Times New Roman"/>
          <w:b/>
          <w:kern w:val="22"/>
          <w:szCs w:val="22"/>
          <w:lang w:val="fr-FR"/>
        </w:rPr>
        <w:t xml:space="preserve"> 1.</w:t>
      </w:r>
      <w:r w:rsidRPr="00B0443C">
        <w:rPr>
          <w:rFonts w:cs="Times New Roman"/>
          <w:b/>
          <w:kern w:val="22"/>
          <w:szCs w:val="22"/>
          <w:lang w:val="fr-FR"/>
        </w:rPr>
        <w:tab/>
      </w:r>
      <w:r w:rsidR="00BA51EF" w:rsidRPr="00BA51EF">
        <w:rPr>
          <w:rFonts w:cs="Times New Roman"/>
          <w:b/>
          <w:kern w:val="22"/>
          <w:szCs w:val="22"/>
          <w:lang w:val="fr-FR"/>
        </w:rPr>
        <w:t>Nombre et proportion de projets mis en œuvre/menés à bien par des organisations internationales</w:t>
      </w:r>
    </w:p>
    <w:tbl>
      <w:tblPr>
        <w:tblW w:w="10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93"/>
        <w:gridCol w:w="1134"/>
        <w:gridCol w:w="1113"/>
        <w:gridCol w:w="850"/>
        <w:gridCol w:w="851"/>
        <w:gridCol w:w="992"/>
        <w:gridCol w:w="1311"/>
      </w:tblGrid>
      <w:tr w:rsidR="00AC3CFB" w:rsidRPr="00B0443C" w14:paraId="4651DFD7" w14:textId="77777777" w:rsidTr="00FA4ADE">
        <w:trPr>
          <w:jc w:val="center"/>
        </w:trPr>
        <w:tc>
          <w:tcPr>
            <w:tcW w:w="2830" w:type="dxa"/>
            <w:shd w:val="clear" w:color="auto" w:fill="auto"/>
            <w:noWrap/>
            <w:hideMark/>
          </w:tcPr>
          <w:p w14:paraId="2F9EE7DE" w14:textId="23431365" w:rsidR="00AC3CFB" w:rsidRPr="00B0443C" w:rsidRDefault="00FA4ADE" w:rsidP="00914818">
            <w:pPr>
              <w:suppressLineNumbers/>
              <w:suppressAutoHyphens/>
              <w:kinsoku w:val="0"/>
              <w:overflowPunct w:val="0"/>
              <w:autoSpaceDE w:val="0"/>
              <w:autoSpaceDN w:val="0"/>
              <w:spacing w:before="60" w:after="60"/>
              <w:jc w:val="center"/>
              <w:rPr>
                <w:rFonts w:asciiTheme="majorBidi" w:hAnsiTheme="majorBidi" w:cstheme="majorBidi"/>
                <w:b/>
                <w:kern w:val="22"/>
                <w:sz w:val="20"/>
                <w:szCs w:val="20"/>
                <w:lang w:val="fr-FR"/>
              </w:rPr>
            </w:pPr>
            <w:r w:rsidRPr="00B0443C">
              <w:rPr>
                <w:rFonts w:asciiTheme="majorBidi" w:hAnsiTheme="majorBidi" w:cstheme="majorBidi"/>
                <w:b/>
                <w:kern w:val="22"/>
                <w:sz w:val="20"/>
                <w:szCs w:val="20"/>
                <w:lang w:val="fr-FR"/>
              </w:rPr>
              <w:t>Organisation</w:t>
            </w:r>
          </w:p>
        </w:tc>
        <w:tc>
          <w:tcPr>
            <w:tcW w:w="993" w:type="dxa"/>
            <w:shd w:val="clear" w:color="auto" w:fill="auto"/>
            <w:noWrap/>
            <w:hideMark/>
          </w:tcPr>
          <w:p w14:paraId="7E31FB53" w14:textId="76A2CF88" w:rsidR="00AC3CFB" w:rsidRPr="00B0443C" w:rsidRDefault="00FA4ADE"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fr-FR"/>
              </w:rPr>
            </w:pPr>
            <w:r>
              <w:rPr>
                <w:rFonts w:asciiTheme="majorBidi" w:hAnsiTheme="majorBidi" w:cstheme="majorBidi"/>
                <w:b/>
                <w:bCs/>
                <w:kern w:val="22"/>
                <w:sz w:val="20"/>
                <w:szCs w:val="20"/>
                <w:lang w:val="fr-FR"/>
              </w:rPr>
              <w:t>Afrique</w:t>
            </w:r>
          </w:p>
        </w:tc>
        <w:tc>
          <w:tcPr>
            <w:tcW w:w="1134" w:type="dxa"/>
            <w:shd w:val="clear" w:color="auto" w:fill="auto"/>
            <w:noWrap/>
            <w:hideMark/>
          </w:tcPr>
          <w:p w14:paraId="5E838A86" w14:textId="0A76B388" w:rsidR="00AC3CFB" w:rsidRPr="00B0443C"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fr-FR"/>
              </w:rPr>
            </w:pPr>
            <w:r w:rsidRPr="00B0443C">
              <w:rPr>
                <w:rFonts w:asciiTheme="majorBidi" w:hAnsiTheme="majorBidi" w:cstheme="majorBidi"/>
                <w:b/>
                <w:bCs/>
                <w:kern w:val="22"/>
                <w:sz w:val="20"/>
                <w:szCs w:val="20"/>
                <w:lang w:val="fr-FR"/>
              </w:rPr>
              <w:t>Asi</w:t>
            </w:r>
            <w:r w:rsidR="00FA4ADE">
              <w:rPr>
                <w:rFonts w:asciiTheme="majorBidi" w:hAnsiTheme="majorBidi" w:cstheme="majorBidi"/>
                <w:b/>
                <w:bCs/>
                <w:kern w:val="22"/>
                <w:sz w:val="20"/>
                <w:szCs w:val="20"/>
                <w:lang w:val="fr-FR"/>
              </w:rPr>
              <w:t>e</w:t>
            </w:r>
            <w:r w:rsidRPr="00B0443C">
              <w:rPr>
                <w:rFonts w:asciiTheme="majorBidi" w:hAnsiTheme="majorBidi" w:cstheme="majorBidi"/>
                <w:b/>
                <w:bCs/>
                <w:kern w:val="22"/>
                <w:sz w:val="20"/>
                <w:szCs w:val="20"/>
                <w:lang w:val="fr-FR"/>
              </w:rPr>
              <w:t>-Pacifi</w:t>
            </w:r>
            <w:r w:rsidR="00FA4ADE">
              <w:rPr>
                <w:rFonts w:asciiTheme="majorBidi" w:hAnsiTheme="majorBidi" w:cstheme="majorBidi"/>
                <w:b/>
                <w:bCs/>
                <w:kern w:val="22"/>
                <w:sz w:val="20"/>
                <w:szCs w:val="20"/>
                <w:lang w:val="fr-FR"/>
              </w:rPr>
              <w:t>que</w:t>
            </w:r>
          </w:p>
        </w:tc>
        <w:tc>
          <w:tcPr>
            <w:tcW w:w="1113" w:type="dxa"/>
            <w:shd w:val="clear" w:color="auto" w:fill="auto"/>
            <w:noWrap/>
            <w:hideMark/>
          </w:tcPr>
          <w:p w14:paraId="77661BC1" w14:textId="77777777" w:rsidR="00AC3CFB" w:rsidRPr="00B0443C" w:rsidRDefault="00AC3CFB" w:rsidP="00914818">
            <w:pPr>
              <w:suppressLineNumbers/>
              <w:suppressAutoHyphens/>
              <w:kinsoku w:val="0"/>
              <w:overflowPunct w:val="0"/>
              <w:autoSpaceDE w:val="0"/>
              <w:autoSpaceDN w:val="0"/>
              <w:spacing w:before="60" w:after="60"/>
              <w:jc w:val="center"/>
              <w:rPr>
                <w:rFonts w:asciiTheme="majorBidi" w:hAnsiTheme="majorBidi" w:cstheme="majorBidi"/>
                <w:b/>
                <w:bCs/>
                <w:spacing w:val="-10"/>
                <w:kern w:val="22"/>
                <w:sz w:val="20"/>
                <w:szCs w:val="20"/>
                <w:lang w:val="fr-FR"/>
              </w:rPr>
            </w:pPr>
            <w:r w:rsidRPr="00B0443C">
              <w:rPr>
                <w:rFonts w:asciiTheme="majorBidi" w:hAnsiTheme="majorBidi" w:cstheme="majorBidi"/>
                <w:b/>
                <w:bCs/>
                <w:spacing w:val="-10"/>
                <w:kern w:val="22"/>
                <w:sz w:val="20"/>
                <w:szCs w:val="20"/>
                <w:lang w:val="fr-FR"/>
              </w:rPr>
              <w:t>GRULAC</w:t>
            </w:r>
          </w:p>
        </w:tc>
        <w:tc>
          <w:tcPr>
            <w:tcW w:w="850" w:type="dxa"/>
            <w:shd w:val="clear" w:color="auto" w:fill="auto"/>
            <w:noWrap/>
            <w:hideMark/>
          </w:tcPr>
          <w:p w14:paraId="2343BC97" w14:textId="7E439C32" w:rsidR="00AC3CFB" w:rsidRPr="00B0443C" w:rsidRDefault="00D0682A"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fr-FR"/>
              </w:rPr>
            </w:pPr>
            <w:r>
              <w:rPr>
                <w:rFonts w:asciiTheme="majorBidi" w:hAnsiTheme="majorBidi" w:cstheme="majorBidi"/>
                <w:b/>
                <w:bCs/>
                <w:kern w:val="22"/>
                <w:sz w:val="20"/>
                <w:szCs w:val="20"/>
                <w:lang w:val="fr-FR"/>
              </w:rPr>
              <w:t>PECO</w:t>
            </w:r>
          </w:p>
        </w:tc>
        <w:tc>
          <w:tcPr>
            <w:tcW w:w="851" w:type="dxa"/>
            <w:shd w:val="clear" w:color="auto" w:fill="auto"/>
            <w:noWrap/>
            <w:hideMark/>
          </w:tcPr>
          <w:p w14:paraId="78A6C1E5" w14:textId="5E2CC5F0" w:rsidR="00AC3CFB" w:rsidRPr="00B0443C" w:rsidRDefault="00FA4ADE" w:rsidP="00914818">
            <w:pPr>
              <w:suppressLineNumbers/>
              <w:suppressAutoHyphens/>
              <w:kinsoku w:val="0"/>
              <w:overflowPunct w:val="0"/>
              <w:autoSpaceDE w:val="0"/>
              <w:autoSpaceDN w:val="0"/>
              <w:spacing w:before="60" w:after="60"/>
              <w:jc w:val="center"/>
              <w:rPr>
                <w:rFonts w:asciiTheme="majorBidi" w:hAnsiTheme="majorBidi" w:cstheme="majorBidi"/>
                <w:b/>
                <w:bCs/>
                <w:spacing w:val="-8"/>
                <w:kern w:val="22"/>
                <w:sz w:val="20"/>
                <w:szCs w:val="20"/>
                <w:lang w:val="fr-FR"/>
              </w:rPr>
            </w:pPr>
            <w:r>
              <w:rPr>
                <w:rFonts w:asciiTheme="majorBidi" w:hAnsiTheme="majorBidi" w:cstheme="majorBidi"/>
                <w:b/>
                <w:bCs/>
                <w:spacing w:val="-8"/>
                <w:kern w:val="22"/>
                <w:sz w:val="20"/>
                <w:szCs w:val="20"/>
                <w:lang w:val="fr-FR"/>
              </w:rPr>
              <w:t>Mond</w:t>
            </w:r>
            <w:r w:rsidR="00D0682A">
              <w:rPr>
                <w:rFonts w:asciiTheme="majorBidi" w:hAnsiTheme="majorBidi" w:cstheme="majorBidi"/>
                <w:b/>
                <w:bCs/>
                <w:spacing w:val="-8"/>
                <w:kern w:val="22"/>
                <w:sz w:val="20"/>
                <w:szCs w:val="20"/>
                <w:lang w:val="fr-FR"/>
              </w:rPr>
              <w:t>e</w:t>
            </w:r>
          </w:p>
        </w:tc>
        <w:tc>
          <w:tcPr>
            <w:tcW w:w="992" w:type="dxa"/>
            <w:shd w:val="clear" w:color="auto" w:fill="auto"/>
            <w:noWrap/>
            <w:hideMark/>
          </w:tcPr>
          <w:p w14:paraId="3069749D" w14:textId="6A0E0458" w:rsidR="00AC3CFB" w:rsidRPr="00B0443C" w:rsidRDefault="00FA4ADE" w:rsidP="00914818">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fr-FR"/>
              </w:rPr>
            </w:pPr>
            <w:r>
              <w:rPr>
                <w:rFonts w:asciiTheme="majorBidi" w:hAnsiTheme="majorBidi" w:cstheme="majorBidi"/>
                <w:b/>
                <w:bCs/>
                <w:kern w:val="22"/>
                <w:sz w:val="20"/>
                <w:szCs w:val="20"/>
                <w:lang w:val="fr-FR"/>
              </w:rPr>
              <w:t>Nb</w:t>
            </w:r>
            <w:r w:rsidR="00AC3CFB" w:rsidRPr="00B0443C">
              <w:rPr>
                <w:rFonts w:asciiTheme="majorBidi" w:hAnsiTheme="majorBidi" w:cstheme="majorBidi"/>
                <w:b/>
                <w:bCs/>
                <w:kern w:val="22"/>
                <w:sz w:val="20"/>
                <w:szCs w:val="20"/>
                <w:lang w:val="fr-FR"/>
              </w:rPr>
              <w:t xml:space="preserve">. </w:t>
            </w:r>
            <w:proofErr w:type="gramStart"/>
            <w:r>
              <w:rPr>
                <w:rFonts w:asciiTheme="majorBidi" w:hAnsiTheme="majorBidi" w:cstheme="majorBidi"/>
                <w:b/>
                <w:bCs/>
                <w:kern w:val="22"/>
                <w:sz w:val="20"/>
                <w:szCs w:val="20"/>
                <w:lang w:val="fr-FR"/>
              </w:rPr>
              <w:t>de</w:t>
            </w:r>
            <w:proofErr w:type="gramEnd"/>
            <w:r>
              <w:rPr>
                <w:rFonts w:asciiTheme="majorBidi" w:hAnsiTheme="majorBidi" w:cstheme="majorBidi"/>
                <w:b/>
                <w:bCs/>
                <w:kern w:val="22"/>
                <w:sz w:val="20"/>
                <w:szCs w:val="20"/>
                <w:lang w:val="fr-FR"/>
              </w:rPr>
              <w:t xml:space="preserve"> </w:t>
            </w:r>
            <w:r w:rsidR="00AC3CFB" w:rsidRPr="00B0443C">
              <w:rPr>
                <w:rFonts w:asciiTheme="majorBidi" w:hAnsiTheme="majorBidi" w:cstheme="majorBidi"/>
                <w:b/>
                <w:bCs/>
                <w:kern w:val="22"/>
                <w:sz w:val="20"/>
                <w:szCs w:val="20"/>
                <w:lang w:val="fr-FR"/>
              </w:rPr>
              <w:t>projets</w:t>
            </w:r>
          </w:p>
        </w:tc>
        <w:tc>
          <w:tcPr>
            <w:tcW w:w="1311" w:type="dxa"/>
            <w:shd w:val="clear" w:color="auto" w:fill="auto"/>
            <w:noWrap/>
            <w:hideMark/>
          </w:tcPr>
          <w:p w14:paraId="58AB7FC7" w14:textId="3E53E3DD" w:rsidR="00AC3CFB" w:rsidRPr="00B0443C" w:rsidRDefault="00FA4ADE" w:rsidP="00914818">
            <w:pPr>
              <w:suppressLineNumbers/>
              <w:suppressAutoHyphens/>
              <w:kinsoku w:val="0"/>
              <w:overflowPunct w:val="0"/>
              <w:autoSpaceDE w:val="0"/>
              <w:autoSpaceDN w:val="0"/>
              <w:spacing w:before="60" w:after="60"/>
              <w:jc w:val="right"/>
              <w:rPr>
                <w:rFonts w:asciiTheme="majorBidi" w:hAnsiTheme="majorBidi" w:cstheme="majorBidi"/>
                <w:b/>
                <w:bCs/>
                <w:spacing w:val="-6"/>
                <w:kern w:val="22"/>
                <w:sz w:val="20"/>
                <w:szCs w:val="20"/>
                <w:lang w:val="fr-FR"/>
              </w:rPr>
            </w:pPr>
            <w:r>
              <w:rPr>
                <w:rFonts w:asciiTheme="majorBidi" w:hAnsiTheme="majorBidi" w:cstheme="majorBidi"/>
                <w:b/>
                <w:bCs/>
                <w:spacing w:val="-6"/>
                <w:kern w:val="22"/>
                <w:sz w:val="20"/>
                <w:szCs w:val="20"/>
                <w:lang w:val="fr-FR"/>
              </w:rPr>
              <w:t>Pourcentage</w:t>
            </w:r>
          </w:p>
        </w:tc>
      </w:tr>
      <w:tr w:rsidR="00AC3CFB" w:rsidRPr="00B0443C" w14:paraId="257CA62B" w14:textId="77777777" w:rsidTr="00FA4ADE">
        <w:trPr>
          <w:jc w:val="center"/>
        </w:trPr>
        <w:tc>
          <w:tcPr>
            <w:tcW w:w="2830" w:type="dxa"/>
            <w:shd w:val="clear" w:color="auto" w:fill="auto"/>
          </w:tcPr>
          <w:p w14:paraId="4E05202F" w14:textId="6575EFBF"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Pr>
                <w:rFonts w:asciiTheme="majorBidi" w:hAnsiTheme="majorBidi" w:cstheme="majorBidi"/>
                <w:bCs/>
                <w:kern w:val="22"/>
                <w:sz w:val="20"/>
                <w:szCs w:val="20"/>
                <w:lang w:val="fr-FR"/>
              </w:rPr>
              <w:t>Initiative APA</w:t>
            </w:r>
            <w:r w:rsidR="00AC3CFB" w:rsidRPr="00B0443C">
              <w:rPr>
                <w:rStyle w:val="Appelnotedebasdep"/>
                <w:rFonts w:asciiTheme="majorBidi" w:hAnsiTheme="majorBidi" w:cstheme="majorBidi"/>
                <w:bCs/>
                <w:kern w:val="22"/>
                <w:sz w:val="20"/>
                <w:szCs w:val="20"/>
                <w:lang w:val="fr-FR"/>
              </w:rPr>
              <w:footnoteReference w:id="17"/>
            </w:r>
          </w:p>
        </w:tc>
        <w:tc>
          <w:tcPr>
            <w:tcW w:w="993" w:type="dxa"/>
            <w:shd w:val="clear" w:color="auto" w:fill="auto"/>
            <w:noWrap/>
          </w:tcPr>
          <w:p w14:paraId="35B0863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10</w:t>
            </w:r>
          </w:p>
        </w:tc>
        <w:tc>
          <w:tcPr>
            <w:tcW w:w="1134" w:type="dxa"/>
            <w:shd w:val="clear" w:color="auto" w:fill="auto"/>
            <w:noWrap/>
          </w:tcPr>
          <w:p w14:paraId="5018B47B" w14:textId="77777777" w:rsidR="00AC3CFB" w:rsidRPr="00B0443C" w:rsidRDefault="00AC3CFB" w:rsidP="00914818">
            <w:pPr>
              <w:suppressLineNumbers/>
              <w:tabs>
                <w:tab w:val="center" w:pos="477"/>
              </w:tab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6</w:t>
            </w:r>
          </w:p>
        </w:tc>
        <w:tc>
          <w:tcPr>
            <w:tcW w:w="1113" w:type="dxa"/>
            <w:shd w:val="clear" w:color="auto" w:fill="auto"/>
            <w:noWrap/>
          </w:tcPr>
          <w:p w14:paraId="5ED0B2BD"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3</w:t>
            </w:r>
          </w:p>
        </w:tc>
        <w:tc>
          <w:tcPr>
            <w:tcW w:w="850" w:type="dxa"/>
            <w:shd w:val="clear" w:color="auto" w:fill="auto"/>
            <w:noWrap/>
          </w:tcPr>
          <w:p w14:paraId="0765F79F"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6DD94502"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43394B0C"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19</w:t>
            </w:r>
          </w:p>
        </w:tc>
        <w:tc>
          <w:tcPr>
            <w:tcW w:w="1311" w:type="dxa"/>
            <w:shd w:val="clear" w:color="auto" w:fill="auto"/>
            <w:noWrap/>
          </w:tcPr>
          <w:p w14:paraId="0800E5CD" w14:textId="3F2E0739"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19</w:t>
            </w:r>
            <w:r w:rsidR="00133F4F" w:rsidRPr="00B0443C">
              <w:rPr>
                <w:rFonts w:asciiTheme="majorBidi" w:hAnsiTheme="majorBidi" w:cstheme="majorBidi"/>
                <w:kern w:val="22"/>
                <w:sz w:val="20"/>
                <w:szCs w:val="20"/>
                <w:lang w:val="fr-FR"/>
              </w:rPr>
              <w:t>%</w:t>
            </w:r>
          </w:p>
        </w:tc>
      </w:tr>
      <w:tr w:rsidR="00AC3CFB" w:rsidRPr="00B0443C" w14:paraId="46BFCE02" w14:textId="77777777" w:rsidTr="00FA4ADE">
        <w:trPr>
          <w:jc w:val="center"/>
        </w:trPr>
        <w:tc>
          <w:tcPr>
            <w:tcW w:w="2830" w:type="dxa"/>
            <w:shd w:val="clear" w:color="auto" w:fill="auto"/>
          </w:tcPr>
          <w:p w14:paraId="39FF780B" w14:textId="4BE03741"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Pr>
                <w:rFonts w:asciiTheme="majorBidi" w:hAnsiTheme="majorBidi" w:cstheme="majorBidi"/>
                <w:bCs/>
                <w:kern w:val="22"/>
                <w:sz w:val="20"/>
                <w:szCs w:val="20"/>
                <w:lang w:val="fr-FR"/>
              </w:rPr>
              <w:t>Initiative APA</w:t>
            </w:r>
            <w:r w:rsidR="00AC3CFB" w:rsidRPr="00B0443C">
              <w:rPr>
                <w:rFonts w:asciiTheme="majorBidi" w:hAnsiTheme="majorBidi" w:cstheme="majorBidi"/>
                <w:bCs/>
                <w:kern w:val="22"/>
                <w:sz w:val="20"/>
                <w:szCs w:val="20"/>
                <w:lang w:val="fr-FR"/>
              </w:rPr>
              <w:t>/GIZ</w:t>
            </w:r>
          </w:p>
        </w:tc>
        <w:tc>
          <w:tcPr>
            <w:tcW w:w="993" w:type="dxa"/>
            <w:shd w:val="clear" w:color="auto" w:fill="auto"/>
            <w:noWrap/>
          </w:tcPr>
          <w:p w14:paraId="18AD0F39"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5</w:t>
            </w:r>
          </w:p>
        </w:tc>
        <w:tc>
          <w:tcPr>
            <w:tcW w:w="1134" w:type="dxa"/>
            <w:shd w:val="clear" w:color="auto" w:fill="auto"/>
            <w:noWrap/>
          </w:tcPr>
          <w:p w14:paraId="422DAD49"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13" w:type="dxa"/>
            <w:shd w:val="clear" w:color="auto" w:fill="auto"/>
            <w:noWrap/>
          </w:tcPr>
          <w:p w14:paraId="6D5DB078"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0" w:type="dxa"/>
            <w:shd w:val="clear" w:color="auto" w:fill="auto"/>
            <w:noWrap/>
          </w:tcPr>
          <w:p w14:paraId="3E47DB76"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65BB1F0C"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56A2FFC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5</w:t>
            </w:r>
          </w:p>
        </w:tc>
        <w:tc>
          <w:tcPr>
            <w:tcW w:w="1311" w:type="dxa"/>
            <w:shd w:val="clear" w:color="auto" w:fill="auto"/>
            <w:noWrap/>
          </w:tcPr>
          <w:p w14:paraId="463A5446" w14:textId="6BBD7A2C"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5</w:t>
            </w:r>
            <w:r w:rsidR="00133F4F" w:rsidRPr="00B0443C">
              <w:rPr>
                <w:rFonts w:asciiTheme="majorBidi" w:hAnsiTheme="majorBidi" w:cstheme="majorBidi"/>
                <w:kern w:val="22"/>
                <w:sz w:val="20"/>
                <w:szCs w:val="20"/>
                <w:lang w:val="fr-FR"/>
              </w:rPr>
              <w:t>%</w:t>
            </w:r>
          </w:p>
        </w:tc>
      </w:tr>
      <w:tr w:rsidR="00AC3CFB" w:rsidRPr="00B0443C" w14:paraId="542CF9A7" w14:textId="77777777" w:rsidTr="00FA4ADE">
        <w:trPr>
          <w:jc w:val="center"/>
        </w:trPr>
        <w:tc>
          <w:tcPr>
            <w:tcW w:w="2830" w:type="dxa"/>
            <w:shd w:val="clear" w:color="auto" w:fill="auto"/>
          </w:tcPr>
          <w:p w14:paraId="474EEEA1" w14:textId="77777777" w:rsidR="00AC3CFB" w:rsidRPr="00B0443C"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proofErr w:type="spellStart"/>
            <w:r w:rsidRPr="00B0443C">
              <w:rPr>
                <w:rFonts w:asciiTheme="majorBidi" w:hAnsiTheme="majorBidi" w:cstheme="majorBidi"/>
                <w:bCs/>
                <w:kern w:val="22"/>
                <w:sz w:val="20"/>
                <w:szCs w:val="20"/>
                <w:lang w:val="fr-FR"/>
              </w:rPr>
              <w:t>Bioversity</w:t>
            </w:r>
            <w:proofErr w:type="spellEnd"/>
            <w:r w:rsidRPr="00B0443C">
              <w:rPr>
                <w:rFonts w:asciiTheme="majorBidi" w:hAnsiTheme="majorBidi" w:cstheme="majorBidi"/>
                <w:bCs/>
                <w:kern w:val="22"/>
                <w:sz w:val="20"/>
                <w:szCs w:val="20"/>
                <w:lang w:val="fr-FR"/>
              </w:rPr>
              <w:t xml:space="preserve"> International</w:t>
            </w:r>
          </w:p>
        </w:tc>
        <w:tc>
          <w:tcPr>
            <w:tcW w:w="993" w:type="dxa"/>
            <w:shd w:val="clear" w:color="auto" w:fill="auto"/>
            <w:noWrap/>
          </w:tcPr>
          <w:p w14:paraId="3A257067"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34" w:type="dxa"/>
            <w:shd w:val="clear" w:color="auto" w:fill="auto"/>
            <w:noWrap/>
          </w:tcPr>
          <w:p w14:paraId="4955F80F"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1113" w:type="dxa"/>
            <w:shd w:val="clear" w:color="auto" w:fill="auto"/>
            <w:noWrap/>
          </w:tcPr>
          <w:p w14:paraId="021A2CB9"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850" w:type="dxa"/>
            <w:shd w:val="clear" w:color="auto" w:fill="auto"/>
            <w:noWrap/>
          </w:tcPr>
          <w:p w14:paraId="41325D72"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851" w:type="dxa"/>
            <w:shd w:val="clear" w:color="auto" w:fill="auto"/>
            <w:noWrap/>
          </w:tcPr>
          <w:p w14:paraId="4437A6A6"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992" w:type="dxa"/>
            <w:shd w:val="clear" w:color="auto" w:fill="auto"/>
            <w:noWrap/>
          </w:tcPr>
          <w:p w14:paraId="2600FCAE"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0EEA78E7" w14:textId="5585BFA3"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133F4F" w:rsidRPr="00B0443C">
              <w:rPr>
                <w:rFonts w:asciiTheme="majorBidi" w:hAnsiTheme="majorBidi" w:cstheme="majorBidi"/>
                <w:kern w:val="22"/>
                <w:sz w:val="20"/>
                <w:szCs w:val="20"/>
                <w:lang w:val="fr-FR"/>
              </w:rPr>
              <w:t>%</w:t>
            </w:r>
          </w:p>
        </w:tc>
      </w:tr>
      <w:tr w:rsidR="00AC3CFB" w:rsidRPr="00B0443C" w14:paraId="449749CF" w14:textId="77777777" w:rsidTr="00FA4ADE">
        <w:trPr>
          <w:jc w:val="center"/>
        </w:trPr>
        <w:tc>
          <w:tcPr>
            <w:tcW w:w="2830" w:type="dxa"/>
            <w:shd w:val="clear" w:color="auto" w:fill="auto"/>
          </w:tcPr>
          <w:p w14:paraId="5C725D4C" w14:textId="70FEA8A7" w:rsidR="00AC3CFB" w:rsidRPr="00B0443C"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proofErr w:type="spellStart"/>
            <w:r w:rsidRPr="00B0443C">
              <w:rPr>
                <w:rFonts w:asciiTheme="majorBidi" w:hAnsiTheme="majorBidi" w:cstheme="majorBidi"/>
                <w:bCs/>
                <w:kern w:val="22"/>
                <w:sz w:val="20"/>
                <w:szCs w:val="20"/>
                <w:lang w:val="fr-FR"/>
              </w:rPr>
              <w:t>Bioversity</w:t>
            </w:r>
            <w:proofErr w:type="spellEnd"/>
            <w:r w:rsidRPr="00B0443C">
              <w:rPr>
                <w:rFonts w:asciiTheme="majorBidi" w:hAnsiTheme="majorBidi" w:cstheme="majorBidi"/>
                <w:bCs/>
                <w:kern w:val="22"/>
                <w:sz w:val="20"/>
                <w:szCs w:val="20"/>
                <w:lang w:val="fr-FR"/>
              </w:rPr>
              <w:t xml:space="preserve"> International/ </w:t>
            </w:r>
            <w:r w:rsidR="00D0682A">
              <w:rPr>
                <w:rFonts w:asciiTheme="majorBidi" w:hAnsiTheme="majorBidi" w:cstheme="majorBidi"/>
                <w:bCs/>
                <w:kern w:val="22"/>
                <w:sz w:val="20"/>
                <w:szCs w:val="20"/>
                <w:lang w:val="fr-FR"/>
              </w:rPr>
              <w:t>Initiative APA</w:t>
            </w:r>
          </w:p>
        </w:tc>
        <w:tc>
          <w:tcPr>
            <w:tcW w:w="993" w:type="dxa"/>
            <w:shd w:val="clear" w:color="auto" w:fill="auto"/>
            <w:noWrap/>
          </w:tcPr>
          <w:p w14:paraId="2A722073"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34" w:type="dxa"/>
            <w:shd w:val="clear" w:color="auto" w:fill="auto"/>
            <w:noWrap/>
          </w:tcPr>
          <w:p w14:paraId="7753AE92"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13" w:type="dxa"/>
            <w:shd w:val="clear" w:color="auto" w:fill="auto"/>
            <w:noWrap/>
          </w:tcPr>
          <w:p w14:paraId="605D0C3A"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0" w:type="dxa"/>
            <w:shd w:val="clear" w:color="auto" w:fill="auto"/>
            <w:noWrap/>
          </w:tcPr>
          <w:p w14:paraId="6CAAEA34"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73E7C4A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1D6F1228"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49184EE4" w14:textId="69541CC7"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133F4F" w:rsidRPr="00B0443C">
              <w:rPr>
                <w:rFonts w:asciiTheme="majorBidi" w:hAnsiTheme="majorBidi" w:cstheme="majorBidi"/>
                <w:kern w:val="22"/>
                <w:sz w:val="20"/>
                <w:szCs w:val="20"/>
                <w:lang w:val="fr-FR"/>
              </w:rPr>
              <w:t>%</w:t>
            </w:r>
          </w:p>
        </w:tc>
      </w:tr>
      <w:tr w:rsidR="00AC3CFB" w:rsidRPr="00B0443C" w14:paraId="34F4F7F3" w14:textId="77777777" w:rsidTr="00FA4ADE">
        <w:trPr>
          <w:jc w:val="center"/>
        </w:trPr>
        <w:tc>
          <w:tcPr>
            <w:tcW w:w="2830" w:type="dxa"/>
            <w:shd w:val="clear" w:color="auto" w:fill="auto"/>
          </w:tcPr>
          <w:p w14:paraId="7AF760E3" w14:textId="77777777" w:rsidR="00AC3CFB" w:rsidRPr="00B0443C"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Botanic Gardens Conservation International</w:t>
            </w:r>
          </w:p>
        </w:tc>
        <w:tc>
          <w:tcPr>
            <w:tcW w:w="993" w:type="dxa"/>
            <w:shd w:val="clear" w:color="auto" w:fill="auto"/>
            <w:noWrap/>
          </w:tcPr>
          <w:p w14:paraId="7F4CEABC"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34" w:type="dxa"/>
            <w:shd w:val="clear" w:color="auto" w:fill="auto"/>
            <w:noWrap/>
          </w:tcPr>
          <w:p w14:paraId="44D61B51"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13" w:type="dxa"/>
            <w:shd w:val="clear" w:color="auto" w:fill="auto"/>
            <w:noWrap/>
          </w:tcPr>
          <w:p w14:paraId="64E2D75A"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0" w:type="dxa"/>
            <w:shd w:val="clear" w:color="auto" w:fill="auto"/>
            <w:noWrap/>
          </w:tcPr>
          <w:p w14:paraId="6D6C8B3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78265A14"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725AB703"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1D2BD0C6" w14:textId="5AE0DD4D"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133F4F" w:rsidRPr="00B0443C">
              <w:rPr>
                <w:rFonts w:asciiTheme="majorBidi" w:hAnsiTheme="majorBidi" w:cstheme="majorBidi"/>
                <w:kern w:val="22"/>
                <w:sz w:val="20"/>
                <w:szCs w:val="20"/>
                <w:lang w:val="fr-FR"/>
              </w:rPr>
              <w:t>%</w:t>
            </w:r>
          </w:p>
        </w:tc>
      </w:tr>
      <w:tr w:rsidR="00AC3CFB" w:rsidRPr="00B0443C" w14:paraId="6559A00E" w14:textId="77777777" w:rsidTr="00FA4ADE">
        <w:trPr>
          <w:jc w:val="center"/>
        </w:trPr>
        <w:tc>
          <w:tcPr>
            <w:tcW w:w="2830" w:type="dxa"/>
            <w:shd w:val="clear" w:color="auto" w:fill="auto"/>
          </w:tcPr>
          <w:p w14:paraId="34D8EBB6" w14:textId="77777777" w:rsidR="00AC3CFB" w:rsidRPr="00B0443C" w:rsidRDefault="00AC3CFB" w:rsidP="00914818">
            <w:pPr>
              <w:suppressLineNumbers/>
              <w:suppressAutoHyphens/>
              <w:kinsoku w:val="0"/>
              <w:overflowPunct w:val="0"/>
              <w:autoSpaceDE w:val="0"/>
              <w:autoSpaceDN w:val="0"/>
              <w:spacing w:before="60" w:after="60"/>
              <w:jc w:val="lef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GIZ</w:t>
            </w:r>
          </w:p>
        </w:tc>
        <w:tc>
          <w:tcPr>
            <w:tcW w:w="993" w:type="dxa"/>
            <w:shd w:val="clear" w:color="auto" w:fill="auto"/>
            <w:noWrap/>
          </w:tcPr>
          <w:p w14:paraId="00D77512"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2</w:t>
            </w:r>
          </w:p>
        </w:tc>
        <w:tc>
          <w:tcPr>
            <w:tcW w:w="1134" w:type="dxa"/>
            <w:shd w:val="clear" w:color="auto" w:fill="auto"/>
            <w:noWrap/>
          </w:tcPr>
          <w:p w14:paraId="64B2DFBF"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3</w:t>
            </w:r>
          </w:p>
        </w:tc>
        <w:tc>
          <w:tcPr>
            <w:tcW w:w="1113" w:type="dxa"/>
            <w:shd w:val="clear" w:color="auto" w:fill="auto"/>
            <w:noWrap/>
          </w:tcPr>
          <w:p w14:paraId="3D3E82AC"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4</w:t>
            </w:r>
          </w:p>
        </w:tc>
        <w:tc>
          <w:tcPr>
            <w:tcW w:w="850" w:type="dxa"/>
            <w:shd w:val="clear" w:color="auto" w:fill="auto"/>
            <w:noWrap/>
          </w:tcPr>
          <w:p w14:paraId="2227CF16"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851" w:type="dxa"/>
            <w:shd w:val="clear" w:color="auto" w:fill="auto"/>
            <w:noWrap/>
          </w:tcPr>
          <w:p w14:paraId="6C404738"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78F9337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10</w:t>
            </w:r>
          </w:p>
        </w:tc>
        <w:tc>
          <w:tcPr>
            <w:tcW w:w="1311" w:type="dxa"/>
            <w:shd w:val="clear" w:color="auto" w:fill="auto"/>
            <w:noWrap/>
          </w:tcPr>
          <w:p w14:paraId="0B3758E2" w14:textId="7F96B919"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9</w:t>
            </w:r>
            <w:r w:rsidR="00133F4F" w:rsidRPr="00B0443C">
              <w:rPr>
                <w:rFonts w:asciiTheme="majorBidi" w:hAnsiTheme="majorBidi" w:cstheme="majorBidi"/>
                <w:kern w:val="22"/>
                <w:sz w:val="20"/>
                <w:szCs w:val="20"/>
                <w:lang w:val="fr-FR"/>
              </w:rPr>
              <w:t>%</w:t>
            </w:r>
          </w:p>
        </w:tc>
      </w:tr>
      <w:tr w:rsidR="00AC3CFB" w:rsidRPr="00B0443C" w14:paraId="6D19B7CD" w14:textId="77777777" w:rsidTr="00FA4ADE">
        <w:trPr>
          <w:jc w:val="center"/>
        </w:trPr>
        <w:tc>
          <w:tcPr>
            <w:tcW w:w="2830" w:type="dxa"/>
            <w:shd w:val="clear" w:color="auto" w:fill="auto"/>
          </w:tcPr>
          <w:p w14:paraId="3A5E1DA4" w14:textId="333F83F0"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sidRPr="00D0682A">
              <w:rPr>
                <w:rFonts w:asciiTheme="majorBidi" w:hAnsiTheme="majorBidi" w:cstheme="majorBidi"/>
                <w:kern w:val="22"/>
                <w:sz w:val="20"/>
                <w:szCs w:val="20"/>
                <w:lang w:val="fr-FR"/>
              </w:rPr>
              <w:t>Banque interaméricaine de développement</w:t>
            </w:r>
          </w:p>
        </w:tc>
        <w:tc>
          <w:tcPr>
            <w:tcW w:w="993" w:type="dxa"/>
            <w:shd w:val="clear" w:color="auto" w:fill="auto"/>
            <w:noWrap/>
          </w:tcPr>
          <w:p w14:paraId="47A3ED47"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34" w:type="dxa"/>
            <w:shd w:val="clear" w:color="auto" w:fill="auto"/>
            <w:noWrap/>
          </w:tcPr>
          <w:p w14:paraId="76D28851"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13" w:type="dxa"/>
            <w:shd w:val="clear" w:color="auto" w:fill="auto"/>
            <w:noWrap/>
          </w:tcPr>
          <w:p w14:paraId="05C48F3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850" w:type="dxa"/>
            <w:shd w:val="clear" w:color="auto" w:fill="auto"/>
            <w:noWrap/>
          </w:tcPr>
          <w:p w14:paraId="60B76B07"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7791C5E7"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2E62315F"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080CC622" w14:textId="6503A267"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683F31" w:rsidRPr="00B0443C">
              <w:rPr>
                <w:rFonts w:asciiTheme="majorBidi" w:hAnsiTheme="majorBidi" w:cstheme="majorBidi"/>
                <w:kern w:val="22"/>
                <w:sz w:val="20"/>
                <w:szCs w:val="20"/>
                <w:lang w:val="fr-FR"/>
              </w:rPr>
              <w:t>%</w:t>
            </w:r>
          </w:p>
        </w:tc>
      </w:tr>
      <w:tr w:rsidR="00AC3CFB" w:rsidRPr="00B0443C" w14:paraId="4C010D5A" w14:textId="77777777" w:rsidTr="00FA4ADE">
        <w:trPr>
          <w:jc w:val="center"/>
        </w:trPr>
        <w:tc>
          <w:tcPr>
            <w:tcW w:w="2830" w:type="dxa"/>
            <w:shd w:val="clear" w:color="auto" w:fill="auto"/>
          </w:tcPr>
          <w:p w14:paraId="0EAD2F2F" w14:textId="1C42367F"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kern w:val="22"/>
                <w:sz w:val="20"/>
                <w:szCs w:val="20"/>
                <w:lang w:val="fr-FR"/>
              </w:rPr>
            </w:pPr>
            <w:r>
              <w:rPr>
                <w:rFonts w:asciiTheme="majorBidi" w:hAnsiTheme="majorBidi" w:cstheme="majorBidi"/>
                <w:kern w:val="22"/>
                <w:sz w:val="20"/>
                <w:szCs w:val="20"/>
                <w:lang w:val="fr-FR"/>
              </w:rPr>
              <w:t>AJCI</w:t>
            </w:r>
          </w:p>
        </w:tc>
        <w:tc>
          <w:tcPr>
            <w:tcW w:w="993" w:type="dxa"/>
            <w:shd w:val="clear" w:color="auto" w:fill="auto"/>
            <w:noWrap/>
          </w:tcPr>
          <w:p w14:paraId="24F7CD5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34" w:type="dxa"/>
            <w:shd w:val="clear" w:color="auto" w:fill="auto"/>
            <w:noWrap/>
          </w:tcPr>
          <w:p w14:paraId="518DE723"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13" w:type="dxa"/>
            <w:shd w:val="clear" w:color="auto" w:fill="auto"/>
            <w:noWrap/>
          </w:tcPr>
          <w:p w14:paraId="4BE903B4"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0" w:type="dxa"/>
            <w:shd w:val="clear" w:color="auto" w:fill="auto"/>
            <w:noWrap/>
          </w:tcPr>
          <w:p w14:paraId="453FF00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40E70126"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7923DDC7"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7000065D" w14:textId="0775E0D0"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683F31" w:rsidRPr="00B0443C">
              <w:rPr>
                <w:rFonts w:asciiTheme="majorBidi" w:hAnsiTheme="majorBidi" w:cstheme="majorBidi"/>
                <w:kern w:val="22"/>
                <w:sz w:val="20"/>
                <w:szCs w:val="20"/>
                <w:lang w:val="fr-FR"/>
              </w:rPr>
              <w:t>%</w:t>
            </w:r>
          </w:p>
        </w:tc>
      </w:tr>
      <w:tr w:rsidR="00AC3CFB" w:rsidRPr="00B0443C" w14:paraId="10D8C579" w14:textId="77777777" w:rsidTr="00FA4ADE">
        <w:trPr>
          <w:jc w:val="center"/>
        </w:trPr>
        <w:tc>
          <w:tcPr>
            <w:tcW w:w="2830" w:type="dxa"/>
            <w:shd w:val="clear" w:color="auto" w:fill="auto"/>
          </w:tcPr>
          <w:p w14:paraId="5F6A215E" w14:textId="210F1C22"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Pr>
                <w:rFonts w:asciiTheme="majorBidi" w:hAnsiTheme="majorBidi" w:cstheme="majorBidi"/>
                <w:bCs/>
                <w:kern w:val="22"/>
                <w:sz w:val="20"/>
                <w:szCs w:val="20"/>
                <w:lang w:val="fr-FR"/>
              </w:rPr>
              <w:t>AJCI</w:t>
            </w:r>
            <w:r w:rsidR="00AC3CFB" w:rsidRPr="00B0443C">
              <w:rPr>
                <w:rFonts w:asciiTheme="majorBidi" w:hAnsiTheme="majorBidi" w:cstheme="majorBidi"/>
                <w:bCs/>
                <w:kern w:val="22"/>
                <w:sz w:val="20"/>
                <w:szCs w:val="20"/>
                <w:lang w:val="fr-FR"/>
              </w:rPr>
              <w:t>/COMIFAC</w:t>
            </w:r>
          </w:p>
        </w:tc>
        <w:tc>
          <w:tcPr>
            <w:tcW w:w="993" w:type="dxa"/>
            <w:shd w:val="clear" w:color="auto" w:fill="auto"/>
            <w:noWrap/>
          </w:tcPr>
          <w:p w14:paraId="058EEDAA"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34" w:type="dxa"/>
            <w:shd w:val="clear" w:color="auto" w:fill="auto"/>
            <w:noWrap/>
          </w:tcPr>
          <w:p w14:paraId="5740566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13" w:type="dxa"/>
            <w:shd w:val="clear" w:color="auto" w:fill="auto"/>
            <w:noWrap/>
          </w:tcPr>
          <w:p w14:paraId="5A402188"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0" w:type="dxa"/>
            <w:shd w:val="clear" w:color="auto" w:fill="auto"/>
            <w:noWrap/>
          </w:tcPr>
          <w:p w14:paraId="6953565D"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3D252692"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55458162"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66817E57" w14:textId="7C8FB0A0"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683F31" w:rsidRPr="00B0443C">
              <w:rPr>
                <w:rFonts w:asciiTheme="majorBidi" w:hAnsiTheme="majorBidi" w:cstheme="majorBidi"/>
                <w:kern w:val="22"/>
                <w:sz w:val="20"/>
                <w:szCs w:val="20"/>
                <w:lang w:val="fr-FR"/>
              </w:rPr>
              <w:t>%</w:t>
            </w:r>
          </w:p>
        </w:tc>
      </w:tr>
      <w:tr w:rsidR="00AC3CFB" w:rsidRPr="00B0443C" w14:paraId="1D4DE509" w14:textId="77777777" w:rsidTr="00FA4ADE">
        <w:trPr>
          <w:jc w:val="center"/>
        </w:trPr>
        <w:tc>
          <w:tcPr>
            <w:tcW w:w="2830" w:type="dxa"/>
            <w:shd w:val="clear" w:color="auto" w:fill="auto"/>
          </w:tcPr>
          <w:p w14:paraId="671C5BB7" w14:textId="7050929B"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Pr>
                <w:rFonts w:asciiTheme="majorBidi" w:hAnsiTheme="majorBidi" w:cstheme="majorBidi"/>
                <w:bCs/>
                <w:kern w:val="22"/>
                <w:sz w:val="20"/>
                <w:szCs w:val="20"/>
                <w:lang w:val="fr-FR"/>
              </w:rPr>
              <w:t>PNUD</w:t>
            </w:r>
          </w:p>
        </w:tc>
        <w:tc>
          <w:tcPr>
            <w:tcW w:w="993" w:type="dxa"/>
            <w:shd w:val="clear" w:color="auto" w:fill="auto"/>
            <w:noWrap/>
          </w:tcPr>
          <w:p w14:paraId="45F7747D"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12</w:t>
            </w:r>
          </w:p>
        </w:tc>
        <w:tc>
          <w:tcPr>
            <w:tcW w:w="1134" w:type="dxa"/>
            <w:shd w:val="clear" w:color="auto" w:fill="auto"/>
            <w:noWrap/>
          </w:tcPr>
          <w:p w14:paraId="413CC6A9"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12</w:t>
            </w:r>
          </w:p>
        </w:tc>
        <w:tc>
          <w:tcPr>
            <w:tcW w:w="1113" w:type="dxa"/>
            <w:shd w:val="clear" w:color="auto" w:fill="auto"/>
            <w:noWrap/>
          </w:tcPr>
          <w:p w14:paraId="539E26C6"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8</w:t>
            </w:r>
          </w:p>
        </w:tc>
        <w:tc>
          <w:tcPr>
            <w:tcW w:w="850" w:type="dxa"/>
            <w:shd w:val="clear" w:color="auto" w:fill="auto"/>
            <w:noWrap/>
          </w:tcPr>
          <w:p w14:paraId="75424A8D"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0B32EE26"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992" w:type="dxa"/>
            <w:shd w:val="clear" w:color="auto" w:fill="auto"/>
            <w:noWrap/>
          </w:tcPr>
          <w:p w14:paraId="3BE6E313"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33</w:t>
            </w:r>
          </w:p>
        </w:tc>
        <w:tc>
          <w:tcPr>
            <w:tcW w:w="1311" w:type="dxa"/>
            <w:shd w:val="clear" w:color="auto" w:fill="auto"/>
            <w:noWrap/>
          </w:tcPr>
          <w:p w14:paraId="23A21D61" w14:textId="2399AA8B"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3</w:t>
            </w:r>
            <w:r w:rsidR="004F4B37" w:rsidRPr="00B0443C">
              <w:rPr>
                <w:rFonts w:asciiTheme="majorBidi" w:hAnsiTheme="majorBidi" w:cstheme="majorBidi"/>
                <w:kern w:val="22"/>
                <w:sz w:val="20"/>
                <w:szCs w:val="20"/>
                <w:lang w:val="fr-FR"/>
              </w:rPr>
              <w:t>3</w:t>
            </w:r>
            <w:r w:rsidR="00683F31" w:rsidRPr="00B0443C">
              <w:rPr>
                <w:rFonts w:asciiTheme="majorBidi" w:hAnsiTheme="majorBidi" w:cstheme="majorBidi"/>
                <w:kern w:val="22"/>
                <w:sz w:val="20"/>
                <w:szCs w:val="20"/>
                <w:lang w:val="fr-FR"/>
              </w:rPr>
              <w:t>%</w:t>
            </w:r>
          </w:p>
        </w:tc>
      </w:tr>
      <w:tr w:rsidR="00AC3CFB" w:rsidRPr="00B0443C" w14:paraId="3E7D65D4" w14:textId="77777777" w:rsidTr="00FA4ADE">
        <w:trPr>
          <w:jc w:val="center"/>
        </w:trPr>
        <w:tc>
          <w:tcPr>
            <w:tcW w:w="2830" w:type="dxa"/>
            <w:shd w:val="clear" w:color="auto" w:fill="auto"/>
          </w:tcPr>
          <w:p w14:paraId="50585918" w14:textId="31C14219"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Pr>
                <w:rFonts w:asciiTheme="majorBidi" w:hAnsiTheme="majorBidi" w:cstheme="majorBidi"/>
                <w:bCs/>
                <w:kern w:val="22"/>
                <w:sz w:val="20"/>
                <w:szCs w:val="20"/>
                <w:lang w:val="fr-FR"/>
              </w:rPr>
              <w:t>PNUE</w:t>
            </w:r>
            <w:r w:rsidR="00AC3CFB" w:rsidRPr="00B0443C">
              <w:rPr>
                <w:rStyle w:val="Appelnotedebasdep"/>
                <w:rFonts w:asciiTheme="majorBidi" w:hAnsiTheme="majorBidi" w:cstheme="majorBidi"/>
                <w:bCs/>
                <w:kern w:val="22"/>
                <w:sz w:val="20"/>
                <w:szCs w:val="20"/>
                <w:lang w:val="fr-FR"/>
              </w:rPr>
              <w:footnoteReference w:id="18"/>
            </w:r>
          </w:p>
        </w:tc>
        <w:tc>
          <w:tcPr>
            <w:tcW w:w="993" w:type="dxa"/>
            <w:shd w:val="clear" w:color="auto" w:fill="auto"/>
            <w:noWrap/>
          </w:tcPr>
          <w:p w14:paraId="685ECADA"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11</w:t>
            </w:r>
          </w:p>
        </w:tc>
        <w:tc>
          <w:tcPr>
            <w:tcW w:w="1134" w:type="dxa"/>
            <w:shd w:val="clear" w:color="auto" w:fill="auto"/>
            <w:noWrap/>
          </w:tcPr>
          <w:p w14:paraId="179904EF"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5</w:t>
            </w:r>
          </w:p>
        </w:tc>
        <w:tc>
          <w:tcPr>
            <w:tcW w:w="1113" w:type="dxa"/>
            <w:shd w:val="clear" w:color="auto" w:fill="auto"/>
            <w:noWrap/>
          </w:tcPr>
          <w:p w14:paraId="645F0257"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3</w:t>
            </w:r>
          </w:p>
        </w:tc>
        <w:tc>
          <w:tcPr>
            <w:tcW w:w="850" w:type="dxa"/>
            <w:shd w:val="clear" w:color="auto" w:fill="auto"/>
            <w:noWrap/>
          </w:tcPr>
          <w:p w14:paraId="2BE9A251"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0</w:t>
            </w:r>
          </w:p>
        </w:tc>
        <w:tc>
          <w:tcPr>
            <w:tcW w:w="851" w:type="dxa"/>
            <w:shd w:val="clear" w:color="auto" w:fill="auto"/>
            <w:noWrap/>
          </w:tcPr>
          <w:p w14:paraId="3D04C7AE"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2</w:t>
            </w:r>
          </w:p>
        </w:tc>
        <w:tc>
          <w:tcPr>
            <w:tcW w:w="992" w:type="dxa"/>
            <w:shd w:val="clear" w:color="auto" w:fill="auto"/>
            <w:noWrap/>
          </w:tcPr>
          <w:p w14:paraId="7B6D3845"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21</w:t>
            </w:r>
          </w:p>
        </w:tc>
        <w:tc>
          <w:tcPr>
            <w:tcW w:w="1311" w:type="dxa"/>
            <w:shd w:val="clear" w:color="auto" w:fill="auto"/>
            <w:noWrap/>
          </w:tcPr>
          <w:p w14:paraId="2814BC02" w14:textId="2D254089"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20</w:t>
            </w:r>
            <w:r w:rsidR="00683F31" w:rsidRPr="00B0443C">
              <w:rPr>
                <w:rFonts w:asciiTheme="majorBidi" w:hAnsiTheme="majorBidi" w:cstheme="majorBidi"/>
                <w:kern w:val="22"/>
                <w:sz w:val="20"/>
                <w:szCs w:val="20"/>
                <w:lang w:val="fr-FR"/>
              </w:rPr>
              <w:t>%</w:t>
            </w:r>
          </w:p>
        </w:tc>
      </w:tr>
      <w:tr w:rsidR="00AC3CFB" w:rsidRPr="00B0443C" w14:paraId="7A7F54CF" w14:textId="77777777" w:rsidTr="00FA4ADE">
        <w:trPr>
          <w:jc w:val="center"/>
        </w:trPr>
        <w:tc>
          <w:tcPr>
            <w:tcW w:w="2830" w:type="dxa"/>
            <w:shd w:val="clear" w:color="auto" w:fill="auto"/>
          </w:tcPr>
          <w:p w14:paraId="6BB84C55" w14:textId="55E209BF"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Pr>
                <w:rFonts w:asciiTheme="majorBidi" w:hAnsiTheme="majorBidi" w:cstheme="majorBidi"/>
                <w:bCs/>
                <w:kern w:val="22"/>
                <w:sz w:val="20"/>
                <w:szCs w:val="20"/>
                <w:lang w:val="fr-FR"/>
              </w:rPr>
              <w:t>PNUE</w:t>
            </w:r>
            <w:r w:rsidR="00AC3CFB" w:rsidRPr="00B0443C">
              <w:rPr>
                <w:rFonts w:asciiTheme="majorBidi" w:hAnsiTheme="majorBidi" w:cstheme="majorBidi"/>
                <w:bCs/>
                <w:kern w:val="22"/>
                <w:sz w:val="20"/>
                <w:szCs w:val="20"/>
                <w:lang w:val="fr-FR"/>
              </w:rPr>
              <w:t>/</w:t>
            </w:r>
            <w:r>
              <w:rPr>
                <w:rFonts w:asciiTheme="majorBidi" w:hAnsiTheme="majorBidi" w:cstheme="majorBidi"/>
                <w:bCs/>
                <w:kern w:val="22"/>
                <w:sz w:val="20"/>
                <w:szCs w:val="20"/>
                <w:lang w:val="fr-FR"/>
              </w:rPr>
              <w:t>UICN</w:t>
            </w:r>
          </w:p>
        </w:tc>
        <w:tc>
          <w:tcPr>
            <w:tcW w:w="993" w:type="dxa"/>
            <w:shd w:val="clear" w:color="auto" w:fill="auto"/>
            <w:noWrap/>
          </w:tcPr>
          <w:p w14:paraId="18553C5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34" w:type="dxa"/>
            <w:shd w:val="clear" w:color="auto" w:fill="auto"/>
            <w:noWrap/>
          </w:tcPr>
          <w:p w14:paraId="18F77E0A"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13" w:type="dxa"/>
            <w:shd w:val="clear" w:color="auto" w:fill="auto"/>
            <w:noWrap/>
          </w:tcPr>
          <w:p w14:paraId="69AB0937"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2</w:t>
            </w:r>
          </w:p>
        </w:tc>
        <w:tc>
          <w:tcPr>
            <w:tcW w:w="850" w:type="dxa"/>
            <w:shd w:val="clear" w:color="auto" w:fill="auto"/>
            <w:noWrap/>
          </w:tcPr>
          <w:p w14:paraId="618D7D09"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851" w:type="dxa"/>
            <w:shd w:val="clear" w:color="auto" w:fill="auto"/>
            <w:noWrap/>
          </w:tcPr>
          <w:p w14:paraId="0C02BE5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604D54BD"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3</w:t>
            </w:r>
          </w:p>
        </w:tc>
        <w:tc>
          <w:tcPr>
            <w:tcW w:w="1311" w:type="dxa"/>
            <w:shd w:val="clear" w:color="auto" w:fill="auto"/>
            <w:noWrap/>
          </w:tcPr>
          <w:p w14:paraId="11B8D2E5" w14:textId="1A582FCF"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3</w:t>
            </w:r>
            <w:r w:rsidR="00683F31" w:rsidRPr="00B0443C">
              <w:rPr>
                <w:rFonts w:asciiTheme="majorBidi" w:hAnsiTheme="majorBidi" w:cstheme="majorBidi"/>
                <w:kern w:val="22"/>
                <w:sz w:val="20"/>
                <w:szCs w:val="20"/>
                <w:lang w:val="fr-FR"/>
              </w:rPr>
              <w:t>%</w:t>
            </w:r>
          </w:p>
        </w:tc>
      </w:tr>
      <w:tr w:rsidR="00AC3CFB" w:rsidRPr="00B0443C" w14:paraId="58A0016F" w14:textId="77777777" w:rsidTr="00FA4ADE">
        <w:trPr>
          <w:jc w:val="center"/>
        </w:trPr>
        <w:tc>
          <w:tcPr>
            <w:tcW w:w="2830" w:type="dxa"/>
            <w:shd w:val="clear" w:color="auto" w:fill="auto"/>
          </w:tcPr>
          <w:p w14:paraId="01E57D31" w14:textId="4B6D45FA" w:rsidR="00AC3CFB" w:rsidRPr="00B0443C"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P</w:t>
            </w:r>
            <w:r w:rsidR="00D0682A">
              <w:rPr>
                <w:rFonts w:asciiTheme="majorBidi" w:hAnsiTheme="majorBidi" w:cstheme="majorBidi"/>
                <w:bCs/>
                <w:kern w:val="22"/>
                <w:sz w:val="20"/>
                <w:szCs w:val="20"/>
                <w:lang w:val="fr-FR"/>
              </w:rPr>
              <w:t>NUE</w:t>
            </w:r>
            <w:r w:rsidRPr="00B0443C">
              <w:rPr>
                <w:rFonts w:asciiTheme="majorBidi" w:hAnsiTheme="majorBidi" w:cstheme="majorBidi"/>
                <w:bCs/>
                <w:kern w:val="22"/>
                <w:sz w:val="20"/>
                <w:szCs w:val="20"/>
                <w:lang w:val="fr-FR"/>
              </w:rPr>
              <w:t>/ACB</w:t>
            </w:r>
          </w:p>
        </w:tc>
        <w:tc>
          <w:tcPr>
            <w:tcW w:w="993" w:type="dxa"/>
            <w:shd w:val="clear" w:color="auto" w:fill="auto"/>
            <w:noWrap/>
          </w:tcPr>
          <w:p w14:paraId="5C007B2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34" w:type="dxa"/>
            <w:shd w:val="clear" w:color="auto" w:fill="auto"/>
            <w:noWrap/>
          </w:tcPr>
          <w:p w14:paraId="19820D92"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3</w:t>
            </w:r>
          </w:p>
        </w:tc>
        <w:tc>
          <w:tcPr>
            <w:tcW w:w="1113" w:type="dxa"/>
            <w:shd w:val="clear" w:color="auto" w:fill="auto"/>
            <w:noWrap/>
          </w:tcPr>
          <w:p w14:paraId="2D4F6891"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0" w:type="dxa"/>
            <w:shd w:val="clear" w:color="auto" w:fill="auto"/>
            <w:noWrap/>
          </w:tcPr>
          <w:p w14:paraId="5A6B43F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601A300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67B1F86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3</w:t>
            </w:r>
          </w:p>
        </w:tc>
        <w:tc>
          <w:tcPr>
            <w:tcW w:w="1311" w:type="dxa"/>
            <w:shd w:val="clear" w:color="auto" w:fill="auto"/>
            <w:noWrap/>
          </w:tcPr>
          <w:p w14:paraId="319267AC" w14:textId="5200A0C0"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3</w:t>
            </w:r>
            <w:r w:rsidR="00E50388" w:rsidRPr="00B0443C">
              <w:rPr>
                <w:rFonts w:asciiTheme="majorBidi" w:hAnsiTheme="majorBidi" w:cstheme="majorBidi"/>
                <w:kern w:val="22"/>
                <w:sz w:val="20"/>
                <w:szCs w:val="20"/>
                <w:lang w:val="fr-FR"/>
              </w:rPr>
              <w:t>%</w:t>
            </w:r>
          </w:p>
        </w:tc>
      </w:tr>
      <w:tr w:rsidR="00AC3CFB" w:rsidRPr="00B0443C" w14:paraId="7378B572" w14:textId="77777777" w:rsidTr="00FA4ADE">
        <w:trPr>
          <w:jc w:val="center"/>
        </w:trPr>
        <w:tc>
          <w:tcPr>
            <w:tcW w:w="2830" w:type="dxa"/>
            <w:shd w:val="clear" w:color="auto" w:fill="auto"/>
          </w:tcPr>
          <w:p w14:paraId="0D63D1E6" w14:textId="102FF79D" w:rsidR="00AC3CFB" w:rsidRPr="00B0443C" w:rsidRDefault="00D0682A"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Pr>
                <w:rFonts w:asciiTheme="majorBidi" w:hAnsiTheme="majorBidi" w:cstheme="majorBidi"/>
                <w:bCs/>
                <w:kern w:val="22"/>
                <w:sz w:val="20"/>
                <w:szCs w:val="20"/>
                <w:lang w:val="fr-FR"/>
              </w:rPr>
              <w:t>PNUE</w:t>
            </w:r>
            <w:r w:rsidR="00AC3CFB" w:rsidRPr="00B0443C">
              <w:rPr>
                <w:rFonts w:asciiTheme="majorBidi" w:hAnsiTheme="majorBidi" w:cstheme="majorBidi"/>
                <w:bCs/>
                <w:kern w:val="22"/>
                <w:sz w:val="20"/>
                <w:szCs w:val="20"/>
                <w:lang w:val="fr-FR"/>
              </w:rPr>
              <w:t>/Initiative</w:t>
            </w:r>
            <w:r>
              <w:rPr>
                <w:rFonts w:asciiTheme="majorBidi" w:hAnsiTheme="majorBidi" w:cstheme="majorBidi"/>
                <w:bCs/>
                <w:kern w:val="22"/>
                <w:sz w:val="20"/>
                <w:szCs w:val="20"/>
                <w:lang w:val="fr-FR"/>
              </w:rPr>
              <w:t xml:space="preserve"> APA</w:t>
            </w:r>
          </w:p>
        </w:tc>
        <w:tc>
          <w:tcPr>
            <w:tcW w:w="993" w:type="dxa"/>
            <w:shd w:val="clear" w:color="auto" w:fill="auto"/>
            <w:noWrap/>
          </w:tcPr>
          <w:p w14:paraId="49781E79"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34" w:type="dxa"/>
            <w:shd w:val="clear" w:color="auto" w:fill="auto"/>
            <w:noWrap/>
          </w:tcPr>
          <w:p w14:paraId="2035F175"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1113" w:type="dxa"/>
            <w:shd w:val="clear" w:color="auto" w:fill="auto"/>
            <w:noWrap/>
          </w:tcPr>
          <w:p w14:paraId="507CE5C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850" w:type="dxa"/>
            <w:shd w:val="clear" w:color="auto" w:fill="auto"/>
            <w:noWrap/>
          </w:tcPr>
          <w:p w14:paraId="6286E531"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851" w:type="dxa"/>
            <w:shd w:val="clear" w:color="auto" w:fill="auto"/>
            <w:noWrap/>
          </w:tcPr>
          <w:p w14:paraId="6C137EF6"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p>
        </w:tc>
        <w:tc>
          <w:tcPr>
            <w:tcW w:w="992" w:type="dxa"/>
            <w:shd w:val="clear" w:color="auto" w:fill="auto"/>
            <w:noWrap/>
          </w:tcPr>
          <w:p w14:paraId="42FA8E5D"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21346E50" w14:textId="1109C665"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E50388" w:rsidRPr="00B0443C">
              <w:rPr>
                <w:rFonts w:asciiTheme="majorBidi" w:hAnsiTheme="majorBidi" w:cstheme="majorBidi"/>
                <w:kern w:val="22"/>
                <w:sz w:val="20"/>
                <w:szCs w:val="20"/>
                <w:lang w:val="fr-FR"/>
              </w:rPr>
              <w:t>%</w:t>
            </w:r>
          </w:p>
        </w:tc>
      </w:tr>
      <w:tr w:rsidR="00AC3CFB" w:rsidRPr="00B0443C" w14:paraId="2257F5BF" w14:textId="77777777" w:rsidTr="00FA4ADE">
        <w:trPr>
          <w:jc w:val="center"/>
        </w:trPr>
        <w:tc>
          <w:tcPr>
            <w:tcW w:w="2830" w:type="dxa"/>
            <w:shd w:val="clear" w:color="auto" w:fill="auto"/>
          </w:tcPr>
          <w:p w14:paraId="78D5D411" w14:textId="368F62F1" w:rsidR="00AC3CFB" w:rsidRPr="00B0443C" w:rsidRDefault="00AC3CFB" w:rsidP="00914818">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UNEP/</w:t>
            </w:r>
            <w:r w:rsidR="00D0682A">
              <w:rPr>
                <w:rFonts w:asciiTheme="majorBidi" w:hAnsiTheme="majorBidi" w:cstheme="majorBidi"/>
                <w:bCs/>
                <w:kern w:val="22"/>
                <w:sz w:val="20"/>
                <w:szCs w:val="20"/>
                <w:lang w:val="fr-FR"/>
              </w:rPr>
              <w:t>SPROE</w:t>
            </w:r>
          </w:p>
        </w:tc>
        <w:tc>
          <w:tcPr>
            <w:tcW w:w="993" w:type="dxa"/>
            <w:shd w:val="clear" w:color="auto" w:fill="auto"/>
            <w:noWrap/>
          </w:tcPr>
          <w:p w14:paraId="3E35818B"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1134" w:type="dxa"/>
            <w:shd w:val="clear" w:color="auto" w:fill="auto"/>
            <w:noWrap/>
          </w:tcPr>
          <w:p w14:paraId="25B78498"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p>
        </w:tc>
        <w:tc>
          <w:tcPr>
            <w:tcW w:w="1113" w:type="dxa"/>
            <w:shd w:val="clear" w:color="auto" w:fill="auto"/>
            <w:noWrap/>
          </w:tcPr>
          <w:p w14:paraId="0C667F8F"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0" w:type="dxa"/>
            <w:shd w:val="clear" w:color="auto" w:fill="auto"/>
            <w:noWrap/>
          </w:tcPr>
          <w:p w14:paraId="5338373D"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851" w:type="dxa"/>
            <w:shd w:val="clear" w:color="auto" w:fill="auto"/>
            <w:noWrap/>
          </w:tcPr>
          <w:p w14:paraId="2EABF208"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w:t>
            </w:r>
          </w:p>
        </w:tc>
        <w:tc>
          <w:tcPr>
            <w:tcW w:w="992" w:type="dxa"/>
            <w:shd w:val="clear" w:color="auto" w:fill="auto"/>
            <w:noWrap/>
          </w:tcPr>
          <w:p w14:paraId="1570F2B4"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fr-FR"/>
              </w:rPr>
            </w:pPr>
            <w:r w:rsidRPr="00B0443C">
              <w:rPr>
                <w:rFonts w:asciiTheme="majorBidi" w:hAnsiTheme="majorBidi" w:cstheme="majorBidi"/>
                <w:bCs/>
                <w:kern w:val="22"/>
                <w:sz w:val="20"/>
                <w:szCs w:val="20"/>
                <w:lang w:val="fr-FR"/>
              </w:rPr>
              <w:t>1</w:t>
            </w:r>
          </w:p>
        </w:tc>
        <w:tc>
          <w:tcPr>
            <w:tcW w:w="1311" w:type="dxa"/>
            <w:shd w:val="clear" w:color="auto" w:fill="auto"/>
            <w:noWrap/>
          </w:tcPr>
          <w:p w14:paraId="291B960B" w14:textId="66F6E0FE"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fr-FR"/>
              </w:rPr>
            </w:pPr>
            <w:r w:rsidRPr="00B0443C">
              <w:rPr>
                <w:rFonts w:asciiTheme="majorBidi" w:hAnsiTheme="majorBidi" w:cstheme="majorBidi"/>
                <w:kern w:val="22"/>
                <w:sz w:val="20"/>
                <w:szCs w:val="20"/>
                <w:lang w:val="fr-FR"/>
              </w:rPr>
              <w:t>1</w:t>
            </w:r>
            <w:r w:rsidR="00E50388" w:rsidRPr="00B0443C">
              <w:rPr>
                <w:rFonts w:asciiTheme="majorBidi" w:hAnsiTheme="majorBidi" w:cstheme="majorBidi"/>
                <w:kern w:val="22"/>
                <w:sz w:val="20"/>
                <w:szCs w:val="20"/>
                <w:lang w:val="fr-FR"/>
              </w:rPr>
              <w:t>%</w:t>
            </w:r>
          </w:p>
        </w:tc>
      </w:tr>
      <w:tr w:rsidR="00AC3CFB" w:rsidRPr="00B0443C" w14:paraId="777048EF" w14:textId="77777777" w:rsidTr="00FA4ADE">
        <w:trPr>
          <w:jc w:val="center"/>
        </w:trPr>
        <w:tc>
          <w:tcPr>
            <w:tcW w:w="2830" w:type="dxa"/>
            <w:shd w:val="clear" w:color="auto" w:fill="auto"/>
          </w:tcPr>
          <w:p w14:paraId="2F5FD426" w14:textId="77777777" w:rsidR="00AC3CFB" w:rsidRPr="00B0443C" w:rsidRDefault="00AC3CFB" w:rsidP="00914818">
            <w:pPr>
              <w:suppressLineNumbers/>
              <w:suppressAutoHyphens/>
              <w:kinsoku w:val="0"/>
              <w:overflowPunct w:val="0"/>
              <w:autoSpaceDE w:val="0"/>
              <w:autoSpaceDN w:val="0"/>
              <w:spacing w:before="60" w:after="60"/>
              <w:jc w:val="left"/>
              <w:rPr>
                <w:rFonts w:asciiTheme="majorBidi" w:hAnsiTheme="majorBidi" w:cstheme="majorBidi"/>
                <w:b/>
                <w:bCs/>
                <w:kern w:val="22"/>
                <w:sz w:val="20"/>
                <w:szCs w:val="20"/>
                <w:lang w:val="fr-FR"/>
              </w:rPr>
            </w:pPr>
            <w:r w:rsidRPr="00B0443C">
              <w:rPr>
                <w:rFonts w:asciiTheme="majorBidi" w:hAnsiTheme="majorBidi" w:cstheme="majorBidi"/>
                <w:b/>
                <w:bCs/>
                <w:kern w:val="22"/>
                <w:sz w:val="20"/>
                <w:szCs w:val="20"/>
                <w:lang w:val="fr-FR"/>
              </w:rPr>
              <w:t>Total</w:t>
            </w:r>
          </w:p>
        </w:tc>
        <w:tc>
          <w:tcPr>
            <w:tcW w:w="993" w:type="dxa"/>
            <w:shd w:val="clear" w:color="auto" w:fill="auto"/>
            <w:noWrap/>
          </w:tcPr>
          <w:p w14:paraId="0A5A84EF"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fr-FR"/>
              </w:rPr>
            </w:pPr>
            <w:r w:rsidRPr="00B0443C">
              <w:rPr>
                <w:rFonts w:asciiTheme="majorBidi" w:hAnsiTheme="majorBidi" w:cstheme="majorBidi"/>
                <w:b/>
                <w:kern w:val="22"/>
                <w:sz w:val="20"/>
                <w:szCs w:val="20"/>
                <w:lang w:val="fr-FR"/>
              </w:rPr>
              <w:t>45</w:t>
            </w:r>
          </w:p>
        </w:tc>
        <w:tc>
          <w:tcPr>
            <w:tcW w:w="1134" w:type="dxa"/>
            <w:shd w:val="clear" w:color="auto" w:fill="auto"/>
            <w:noWrap/>
          </w:tcPr>
          <w:p w14:paraId="4DAA711B" w14:textId="793A52C5"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fr-FR"/>
              </w:rPr>
            </w:pPr>
            <w:r w:rsidRPr="00B0443C">
              <w:rPr>
                <w:rFonts w:asciiTheme="majorBidi" w:hAnsiTheme="majorBidi" w:cstheme="majorBidi"/>
                <w:b/>
                <w:kern w:val="22"/>
                <w:sz w:val="20"/>
                <w:szCs w:val="20"/>
                <w:lang w:val="fr-FR"/>
              </w:rPr>
              <w:t>3</w:t>
            </w:r>
            <w:r w:rsidR="00DD1A75" w:rsidRPr="00B0443C">
              <w:rPr>
                <w:rFonts w:asciiTheme="majorBidi" w:hAnsiTheme="majorBidi" w:cstheme="majorBidi"/>
                <w:b/>
                <w:kern w:val="22"/>
                <w:sz w:val="20"/>
                <w:szCs w:val="20"/>
                <w:lang w:val="fr-FR"/>
              </w:rPr>
              <w:t>2</w:t>
            </w:r>
          </w:p>
        </w:tc>
        <w:tc>
          <w:tcPr>
            <w:tcW w:w="1113" w:type="dxa"/>
            <w:shd w:val="clear" w:color="auto" w:fill="auto"/>
            <w:noWrap/>
          </w:tcPr>
          <w:p w14:paraId="1EC20010"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fr-FR"/>
              </w:rPr>
            </w:pPr>
            <w:r w:rsidRPr="00B0443C">
              <w:rPr>
                <w:rFonts w:asciiTheme="majorBidi" w:hAnsiTheme="majorBidi" w:cstheme="majorBidi"/>
                <w:b/>
                <w:kern w:val="22"/>
                <w:sz w:val="20"/>
                <w:szCs w:val="20"/>
                <w:lang w:val="fr-FR"/>
              </w:rPr>
              <w:t>21</w:t>
            </w:r>
          </w:p>
        </w:tc>
        <w:tc>
          <w:tcPr>
            <w:tcW w:w="850" w:type="dxa"/>
            <w:shd w:val="clear" w:color="auto" w:fill="auto"/>
            <w:noWrap/>
          </w:tcPr>
          <w:p w14:paraId="138924D5"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fr-FR"/>
              </w:rPr>
            </w:pPr>
            <w:r w:rsidRPr="00B0443C">
              <w:rPr>
                <w:rFonts w:asciiTheme="majorBidi" w:hAnsiTheme="majorBidi" w:cstheme="majorBidi"/>
                <w:b/>
                <w:kern w:val="22"/>
                <w:sz w:val="20"/>
                <w:szCs w:val="20"/>
                <w:lang w:val="fr-FR"/>
              </w:rPr>
              <w:t>1</w:t>
            </w:r>
          </w:p>
        </w:tc>
        <w:tc>
          <w:tcPr>
            <w:tcW w:w="851" w:type="dxa"/>
            <w:shd w:val="clear" w:color="auto" w:fill="auto"/>
            <w:noWrap/>
          </w:tcPr>
          <w:p w14:paraId="0F56A9A4" w14:textId="77777777" w:rsidR="00AC3CFB" w:rsidRPr="00B0443C" w:rsidRDefault="00AC3CFB" w:rsidP="00914818">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fr-FR"/>
              </w:rPr>
            </w:pPr>
            <w:r w:rsidRPr="00B0443C">
              <w:rPr>
                <w:rFonts w:asciiTheme="majorBidi" w:hAnsiTheme="majorBidi" w:cstheme="majorBidi"/>
                <w:b/>
                <w:kern w:val="22"/>
                <w:sz w:val="20"/>
                <w:szCs w:val="20"/>
                <w:lang w:val="fr-FR"/>
              </w:rPr>
              <w:t>3</w:t>
            </w:r>
          </w:p>
        </w:tc>
        <w:tc>
          <w:tcPr>
            <w:tcW w:w="992" w:type="dxa"/>
            <w:shd w:val="clear" w:color="auto" w:fill="auto"/>
            <w:noWrap/>
          </w:tcPr>
          <w:p w14:paraId="0AB6BD24" w14:textId="4BFEB7EC" w:rsidR="00AC3CFB" w:rsidRPr="00B0443C" w:rsidRDefault="00667362" w:rsidP="00914818">
            <w:pPr>
              <w:suppressLineNumbers/>
              <w:suppressAutoHyphens/>
              <w:kinsoku w:val="0"/>
              <w:overflowPunct w:val="0"/>
              <w:autoSpaceDE w:val="0"/>
              <w:autoSpaceDN w:val="0"/>
              <w:spacing w:before="60" w:after="60"/>
              <w:ind w:right="284"/>
              <w:jc w:val="right"/>
              <w:rPr>
                <w:rFonts w:asciiTheme="majorBidi" w:hAnsiTheme="majorBidi" w:cstheme="majorBidi"/>
                <w:b/>
                <w:bCs/>
                <w:kern w:val="22"/>
                <w:sz w:val="20"/>
                <w:szCs w:val="20"/>
                <w:lang w:val="fr-FR"/>
              </w:rPr>
            </w:pPr>
            <w:r w:rsidRPr="00B0443C">
              <w:rPr>
                <w:rFonts w:asciiTheme="majorBidi" w:hAnsiTheme="majorBidi" w:cstheme="majorBidi"/>
                <w:b/>
                <w:bCs/>
                <w:kern w:val="22"/>
                <w:sz w:val="20"/>
                <w:szCs w:val="20"/>
                <w:lang w:val="fr-FR"/>
              </w:rPr>
              <w:t>10</w:t>
            </w:r>
            <w:r w:rsidR="00FF550C" w:rsidRPr="00B0443C">
              <w:rPr>
                <w:rFonts w:asciiTheme="majorBidi" w:hAnsiTheme="majorBidi" w:cstheme="majorBidi"/>
                <w:b/>
                <w:bCs/>
                <w:kern w:val="22"/>
                <w:sz w:val="20"/>
                <w:szCs w:val="20"/>
                <w:lang w:val="fr-FR"/>
              </w:rPr>
              <w:t>2</w:t>
            </w:r>
          </w:p>
        </w:tc>
        <w:tc>
          <w:tcPr>
            <w:tcW w:w="1311" w:type="dxa"/>
            <w:shd w:val="clear" w:color="auto" w:fill="auto"/>
            <w:noWrap/>
          </w:tcPr>
          <w:p w14:paraId="1F82C946" w14:textId="46C4293B" w:rsidR="00AC3CFB" w:rsidRPr="00B0443C" w:rsidRDefault="00AC3CFB" w:rsidP="00914818">
            <w:pPr>
              <w:suppressLineNumbers/>
              <w:suppressAutoHyphens/>
              <w:kinsoku w:val="0"/>
              <w:overflowPunct w:val="0"/>
              <w:autoSpaceDE w:val="0"/>
              <w:autoSpaceDN w:val="0"/>
              <w:spacing w:before="60" w:after="60"/>
              <w:jc w:val="right"/>
              <w:rPr>
                <w:rFonts w:asciiTheme="majorBidi" w:hAnsiTheme="majorBidi" w:cstheme="majorBidi"/>
                <w:b/>
                <w:spacing w:val="-14"/>
                <w:kern w:val="22"/>
                <w:sz w:val="20"/>
                <w:szCs w:val="20"/>
                <w:lang w:val="fr-FR"/>
              </w:rPr>
            </w:pPr>
            <w:r w:rsidRPr="00B0443C">
              <w:rPr>
                <w:rFonts w:asciiTheme="majorBidi" w:hAnsiTheme="majorBidi" w:cstheme="majorBidi"/>
                <w:b/>
                <w:spacing w:val="-14"/>
                <w:kern w:val="22"/>
                <w:sz w:val="20"/>
                <w:szCs w:val="20"/>
                <w:lang w:val="fr-FR"/>
              </w:rPr>
              <w:t>100</w:t>
            </w:r>
            <w:r w:rsidR="00E50388" w:rsidRPr="00B0443C">
              <w:rPr>
                <w:rFonts w:asciiTheme="majorBidi" w:hAnsiTheme="majorBidi" w:cstheme="majorBidi"/>
                <w:b/>
                <w:spacing w:val="-14"/>
                <w:kern w:val="22"/>
                <w:sz w:val="20"/>
                <w:szCs w:val="20"/>
                <w:lang w:val="fr-FR"/>
              </w:rPr>
              <w:t>%</w:t>
            </w:r>
          </w:p>
        </w:tc>
      </w:tr>
    </w:tbl>
    <w:p w14:paraId="25CE93FC" w14:textId="4B06774E" w:rsidR="00095933" w:rsidRPr="00B0443C" w:rsidRDefault="00BB3DA7" w:rsidP="00010EB1">
      <w:pPr>
        <w:pStyle w:val="Titre3"/>
        <w:rPr>
          <w:lang w:val="fr-FR" w:eastAsia="ko-KR"/>
        </w:rPr>
      </w:pPr>
      <w:r w:rsidRPr="00B0443C">
        <w:rPr>
          <w:lang w:val="fr-FR" w:eastAsia="ko-KR"/>
        </w:rPr>
        <w:t>2.</w:t>
      </w:r>
      <w:r w:rsidR="004A7F98" w:rsidRPr="00B0443C">
        <w:rPr>
          <w:lang w:val="fr-FR" w:eastAsia="ko-KR"/>
        </w:rPr>
        <w:tab/>
      </w:r>
      <w:r w:rsidR="00BF51BB" w:rsidRPr="00BF51BB">
        <w:rPr>
          <w:lang w:val="fr-FR" w:eastAsia="ko-KR"/>
        </w:rPr>
        <w:t xml:space="preserve">Analyse des informations sur les initiatives de développement des capacités publiées </w:t>
      </w:r>
      <w:r w:rsidR="003E4352">
        <w:rPr>
          <w:lang w:val="fr-FR" w:eastAsia="ko-KR"/>
        </w:rPr>
        <w:t>sur</w:t>
      </w:r>
      <w:r w:rsidR="00BF51BB" w:rsidRPr="00BF51BB">
        <w:rPr>
          <w:lang w:val="fr-FR" w:eastAsia="ko-KR"/>
        </w:rPr>
        <w:t xml:space="preserve"> le </w:t>
      </w:r>
      <w:r w:rsidR="007674DC">
        <w:rPr>
          <w:lang w:val="fr-FR" w:eastAsia="ko-KR"/>
        </w:rPr>
        <w:t>C</w:t>
      </w:r>
      <w:r w:rsidR="00BF51BB" w:rsidRPr="00BF51BB">
        <w:rPr>
          <w:lang w:val="fr-FR" w:eastAsia="ko-KR"/>
        </w:rPr>
        <w:t>entre d'échange sur l'APA.</w:t>
      </w:r>
    </w:p>
    <w:p w14:paraId="2FBEEAAB" w14:textId="5AB776DC" w:rsidR="009E1D11" w:rsidRPr="00BC4E17" w:rsidRDefault="00BA5C93" w:rsidP="00BC4E17">
      <w:pPr>
        <w:rPr>
          <w:rFonts w:cs="Times New Roman"/>
          <w:snapToGrid w:val="0"/>
          <w:kern w:val="22"/>
          <w:szCs w:val="22"/>
          <w:lang w:val="fr-FR" w:eastAsia="ko-KR"/>
        </w:rPr>
      </w:pPr>
      <w:r w:rsidRPr="00B0443C">
        <w:rPr>
          <w:rFonts w:cs="Times New Roman"/>
          <w:color w:val="000000"/>
          <w:kern w:val="22"/>
          <w:szCs w:val="22"/>
          <w:lang w:val="fr-FR" w:eastAsia="ko-KR"/>
        </w:rPr>
        <w:t>39</w:t>
      </w:r>
      <w:r w:rsidR="00F8670A" w:rsidRPr="00B0443C">
        <w:rPr>
          <w:rFonts w:cs="Times New Roman"/>
          <w:color w:val="000000"/>
          <w:kern w:val="22"/>
          <w:szCs w:val="22"/>
          <w:lang w:val="fr-FR" w:eastAsia="ko-KR"/>
        </w:rPr>
        <w:t>.</w:t>
      </w:r>
      <w:r w:rsidR="00F8670A" w:rsidRPr="00B0443C">
        <w:rPr>
          <w:rFonts w:cs="Times New Roman"/>
          <w:color w:val="000000"/>
          <w:kern w:val="22"/>
          <w:szCs w:val="22"/>
          <w:lang w:val="fr-FR" w:eastAsia="ko-KR"/>
        </w:rPr>
        <w:tab/>
      </w:r>
      <w:bookmarkStart w:id="4" w:name="_Hlk86930643"/>
      <w:r w:rsidR="00BC4E17" w:rsidRPr="00BC4E17">
        <w:rPr>
          <w:rFonts w:cs="Times New Roman"/>
          <w:snapToGrid w:val="0"/>
          <w:kern w:val="22"/>
          <w:szCs w:val="22"/>
          <w:lang w:val="fr-FR" w:eastAsia="ko-KR"/>
        </w:rPr>
        <w:t>À la date du 5 novembre 2021, 94 fiches du Centre d'échange sur l'APA ont été publiées sous la rubrique « initiatives de développement des capacités », ce qui représente une augmentation de 17 nouvelles fiches seulement à avoir été publiées depuis la troisième réunion des Parties au Protocole de Nagoya. Parmi ces fiches, 53 concernent des projets ou des programmes exclusivement consacrés à l'APA, dont 40 ont été classés comme projets nationaux, 7 comme régionaux/</w:t>
      </w:r>
      <w:r w:rsidR="00C41A62">
        <w:rPr>
          <w:rFonts w:cs="Times New Roman"/>
          <w:snapToGrid w:val="0"/>
          <w:kern w:val="22"/>
          <w:szCs w:val="22"/>
          <w:lang w:val="fr-FR" w:eastAsia="ko-KR"/>
        </w:rPr>
        <w:t>infra</w:t>
      </w:r>
      <w:r w:rsidR="00C41A62" w:rsidRPr="00BC4E17">
        <w:rPr>
          <w:rFonts w:cs="Times New Roman"/>
          <w:snapToGrid w:val="0"/>
          <w:kern w:val="22"/>
          <w:szCs w:val="22"/>
          <w:lang w:val="fr-FR" w:eastAsia="ko-KR"/>
        </w:rPr>
        <w:t>régionaux</w:t>
      </w:r>
      <w:r w:rsidR="00BC4E17" w:rsidRPr="00BC4E17">
        <w:rPr>
          <w:rFonts w:cs="Times New Roman"/>
          <w:snapToGrid w:val="0"/>
          <w:kern w:val="22"/>
          <w:szCs w:val="22"/>
          <w:lang w:val="fr-FR" w:eastAsia="ko-KR"/>
        </w:rPr>
        <w:t xml:space="preserve">, 5 comme mondiaux et 1 comme </w:t>
      </w:r>
      <w:r w:rsidR="00C41A62" w:rsidRPr="00BC4E17">
        <w:rPr>
          <w:rFonts w:cs="Times New Roman"/>
          <w:snapToGrid w:val="0"/>
          <w:kern w:val="22"/>
          <w:szCs w:val="22"/>
          <w:lang w:val="fr-FR" w:eastAsia="ko-KR"/>
        </w:rPr>
        <w:t>infranationaux</w:t>
      </w:r>
      <w:r w:rsidR="00BC4E17" w:rsidRPr="00BC4E17">
        <w:rPr>
          <w:rFonts w:cs="Times New Roman"/>
          <w:snapToGrid w:val="0"/>
          <w:kern w:val="22"/>
          <w:szCs w:val="22"/>
          <w:lang w:val="fr-FR" w:eastAsia="ko-KR"/>
        </w:rPr>
        <w:t>. 24 fiches sont classées comme étant des composantes APA de projets ou programmes plus larges et 14 sont identifiées comme étant des ateliers ou des séminaires. Il est intéressant de noter que 59 % des projets nationaux indiquent qu'ils sont cofinancés par des allocations budgétaires nationales.</w:t>
      </w:r>
    </w:p>
    <w:bookmarkEnd w:id="4"/>
    <w:p w14:paraId="5E2BFFA5" w14:textId="2928BAE5" w:rsidR="002C69D1" w:rsidRPr="00B0443C" w:rsidRDefault="00F8670A" w:rsidP="48732A80">
      <w:pPr>
        <w:pStyle w:val="Para1"/>
        <w:pBdr>
          <w:top w:val="nil"/>
          <w:left w:val="nil"/>
          <w:bottom w:val="nil"/>
          <w:right w:val="nil"/>
          <w:between w:val="nil"/>
          <w:bar w:val="nil"/>
        </w:pBdr>
        <w:spacing w:before="120"/>
        <w:rPr>
          <w:rFonts w:cs="Times New Roman"/>
          <w:snapToGrid/>
          <w:kern w:val="22"/>
          <w:lang w:val="fr-FR" w:eastAsia="ko-KR"/>
        </w:rPr>
      </w:pPr>
      <w:r w:rsidRPr="00B0443C">
        <w:rPr>
          <w:rFonts w:cs="Times New Roman"/>
          <w:snapToGrid/>
          <w:color w:val="000000"/>
          <w:kern w:val="22"/>
          <w:lang w:val="fr-FR" w:eastAsia="ko-KR"/>
        </w:rPr>
        <w:lastRenderedPageBreak/>
        <w:t>4</w:t>
      </w:r>
      <w:r w:rsidR="00BA5C93" w:rsidRPr="00B0443C">
        <w:rPr>
          <w:rFonts w:cs="Times New Roman"/>
          <w:snapToGrid/>
          <w:color w:val="000000"/>
          <w:kern w:val="22"/>
          <w:lang w:val="fr-FR" w:eastAsia="ko-KR"/>
        </w:rPr>
        <w:t>0</w:t>
      </w:r>
      <w:r w:rsidRPr="00B0443C">
        <w:rPr>
          <w:rFonts w:cs="Times New Roman"/>
          <w:snapToGrid/>
          <w:color w:val="000000"/>
          <w:kern w:val="22"/>
          <w:lang w:val="fr-FR" w:eastAsia="ko-KR"/>
        </w:rPr>
        <w:t>.</w:t>
      </w:r>
      <w:r w:rsidRPr="00B0443C">
        <w:rPr>
          <w:rFonts w:cs="Times New Roman"/>
          <w:snapToGrid/>
          <w:color w:val="000000"/>
          <w:kern w:val="22"/>
          <w:szCs w:val="22"/>
          <w:lang w:val="fr-FR" w:eastAsia="ko-KR"/>
        </w:rPr>
        <w:tab/>
      </w:r>
      <w:r w:rsidR="00BC4E17" w:rsidRPr="00BC4E17">
        <w:rPr>
          <w:rFonts w:cs="Times New Roman"/>
          <w:snapToGrid/>
          <w:kern w:val="22"/>
          <w:lang w:val="fr-FR" w:eastAsia="ko-KR"/>
        </w:rPr>
        <w:t>L'analyse des informations consignées au sein du Centre d'échange sur l'APA présente des limites en raison des informations manquantes et du manque récurrent de mises à jour en temps utile par les Parties et les parties prenantes concernées.</w:t>
      </w:r>
    </w:p>
    <w:p w14:paraId="58FB42FE" w14:textId="2F2D3A40" w:rsidR="004F3A2D" w:rsidRPr="00B0443C" w:rsidRDefault="00F8670A" w:rsidP="34F95163">
      <w:pPr>
        <w:pStyle w:val="Titre2"/>
        <w:tabs>
          <w:tab w:val="clear" w:pos="720"/>
        </w:tabs>
        <w:rPr>
          <w:rFonts w:cs="Times New Roman"/>
          <w:lang w:val="fr-FR"/>
        </w:rPr>
      </w:pPr>
      <w:r w:rsidRPr="00B0443C">
        <w:rPr>
          <w:rFonts w:cs="Times New Roman"/>
          <w:lang w:val="fr-FR"/>
        </w:rPr>
        <w:t>B.</w:t>
      </w:r>
      <w:r w:rsidRPr="00B0443C">
        <w:rPr>
          <w:rFonts w:cs="Times New Roman"/>
          <w:szCs w:val="22"/>
          <w:lang w:val="fr-FR"/>
        </w:rPr>
        <w:tab/>
      </w:r>
      <w:r w:rsidR="003037DD">
        <w:rPr>
          <w:rFonts w:cs="Times New Roman"/>
          <w:kern w:val="22"/>
          <w:lang w:val="fr-FR"/>
        </w:rPr>
        <w:t xml:space="preserve">Ressources relatives au </w:t>
      </w:r>
      <w:r w:rsidR="00D000E8">
        <w:rPr>
          <w:rFonts w:cs="Times New Roman"/>
          <w:kern w:val="22"/>
          <w:lang w:val="fr-FR"/>
        </w:rPr>
        <w:t>renforcement</w:t>
      </w:r>
      <w:r w:rsidR="003037DD">
        <w:rPr>
          <w:rFonts w:cs="Times New Roman"/>
          <w:kern w:val="22"/>
          <w:lang w:val="fr-FR"/>
        </w:rPr>
        <w:t xml:space="preserve"> des capacités et à la sensibilisation</w:t>
      </w:r>
    </w:p>
    <w:p w14:paraId="5C233050" w14:textId="2D67408B" w:rsidR="00DD0FDA" w:rsidRDefault="00F8670A" w:rsidP="00F37E96">
      <w:pPr>
        <w:pStyle w:val="Para1"/>
        <w:pBdr>
          <w:top w:val="nil"/>
          <w:left w:val="nil"/>
          <w:bottom w:val="nil"/>
          <w:right w:val="nil"/>
          <w:between w:val="nil"/>
          <w:bar w:val="nil"/>
        </w:pBdr>
        <w:spacing w:before="120"/>
        <w:rPr>
          <w:rFonts w:cs="Times New Roman"/>
          <w:snapToGrid/>
          <w:color w:val="000000"/>
          <w:kern w:val="22"/>
          <w:szCs w:val="22"/>
          <w:lang w:val="fr-FR" w:eastAsia="ko-KR"/>
        </w:rPr>
      </w:pPr>
      <w:r w:rsidRPr="00B0443C">
        <w:rPr>
          <w:rFonts w:cs="Times New Roman"/>
          <w:snapToGrid/>
          <w:color w:val="000000"/>
          <w:kern w:val="22"/>
          <w:szCs w:val="22"/>
          <w:lang w:val="fr-FR" w:eastAsia="ko-KR"/>
        </w:rPr>
        <w:t>4</w:t>
      </w:r>
      <w:r w:rsidR="00BA5C93" w:rsidRPr="00B0443C">
        <w:rPr>
          <w:rFonts w:cs="Times New Roman"/>
          <w:snapToGrid/>
          <w:color w:val="000000"/>
          <w:kern w:val="22"/>
          <w:szCs w:val="22"/>
          <w:lang w:val="fr-FR" w:eastAsia="ko-KR"/>
        </w:rPr>
        <w:t>1</w:t>
      </w:r>
      <w:r w:rsidRPr="00B0443C">
        <w:rPr>
          <w:rFonts w:cs="Times New Roman"/>
          <w:snapToGrid/>
          <w:color w:val="000000"/>
          <w:kern w:val="22"/>
          <w:szCs w:val="22"/>
          <w:lang w:val="fr-FR" w:eastAsia="ko-KR"/>
        </w:rPr>
        <w:t>.</w:t>
      </w:r>
      <w:r w:rsidRPr="00B0443C">
        <w:rPr>
          <w:rFonts w:cs="Times New Roman"/>
          <w:snapToGrid/>
          <w:color w:val="000000"/>
          <w:kern w:val="22"/>
          <w:szCs w:val="22"/>
          <w:lang w:val="fr-FR" w:eastAsia="ko-KR"/>
        </w:rPr>
        <w:tab/>
      </w:r>
      <w:r w:rsidR="00DD0FDA" w:rsidRPr="00DD0FDA">
        <w:rPr>
          <w:rFonts w:cs="Times New Roman"/>
          <w:snapToGrid/>
          <w:color w:val="000000"/>
          <w:kern w:val="22"/>
          <w:szCs w:val="22"/>
          <w:lang w:val="fr-FR" w:eastAsia="ko-KR"/>
        </w:rPr>
        <w:t xml:space="preserve">Conformément aux prières formulées aux paragraphes 10(a) et 10(b) de la décision NP-1/8 et au paragraphe 12 de la </w:t>
      </w:r>
      <w:hyperlink r:id="rId27" w:history="1">
        <w:r w:rsidR="00DD0FDA" w:rsidRPr="00B0443C">
          <w:rPr>
            <w:rStyle w:val="Lienhypertexte"/>
            <w:rFonts w:cs="Times New Roman"/>
            <w:snapToGrid/>
            <w:color w:val="auto"/>
            <w:kern w:val="22"/>
            <w:szCs w:val="22"/>
            <w:u w:val="none"/>
            <w:lang w:val="fr-FR" w:eastAsia="ko-KR"/>
          </w:rPr>
          <w:t xml:space="preserve">décision </w:t>
        </w:r>
        <w:r w:rsidR="00DD0FDA" w:rsidRPr="00B0443C">
          <w:rPr>
            <w:rStyle w:val="Lienhypertexte"/>
            <w:rFonts w:cs="Times New Roman"/>
            <w:snapToGrid/>
            <w:kern w:val="22"/>
            <w:szCs w:val="22"/>
            <w:lang w:val="fr-FR" w:eastAsia="ko-KR"/>
          </w:rPr>
          <w:t>NP-1/2</w:t>
        </w:r>
      </w:hyperlink>
      <w:r w:rsidR="00DD0FDA" w:rsidRPr="00B0443C">
        <w:rPr>
          <w:rFonts w:cs="Times New Roman"/>
          <w:snapToGrid/>
          <w:kern w:val="22"/>
          <w:szCs w:val="22"/>
          <w:lang w:val="fr-FR" w:eastAsia="ko-KR"/>
        </w:rPr>
        <w:t xml:space="preserve">, </w:t>
      </w:r>
      <w:r w:rsidR="00DD0FDA" w:rsidRPr="00DD0FDA">
        <w:rPr>
          <w:rFonts w:cs="Times New Roman"/>
          <w:snapToGrid/>
          <w:color w:val="000000"/>
          <w:kern w:val="22"/>
          <w:szCs w:val="22"/>
          <w:lang w:val="fr-FR" w:eastAsia="ko-KR"/>
        </w:rPr>
        <w:t xml:space="preserve">et sur la base des conseils fournis par le Comité consultatif informel, le </w:t>
      </w:r>
      <w:r w:rsidR="00BF5BC0">
        <w:rPr>
          <w:rFonts w:cs="Times New Roman"/>
          <w:snapToGrid/>
          <w:color w:val="000000"/>
          <w:kern w:val="22"/>
          <w:szCs w:val="22"/>
          <w:lang w:val="fr-FR" w:eastAsia="ko-KR"/>
        </w:rPr>
        <w:t>S</w:t>
      </w:r>
      <w:r w:rsidR="00DD0FDA" w:rsidRPr="00DD0FDA">
        <w:rPr>
          <w:rFonts w:cs="Times New Roman"/>
          <w:snapToGrid/>
          <w:color w:val="000000"/>
          <w:kern w:val="22"/>
          <w:szCs w:val="22"/>
          <w:lang w:val="fr-FR" w:eastAsia="ko-KR"/>
        </w:rPr>
        <w:t xml:space="preserve">ecrétariat a créé une base de données </w:t>
      </w:r>
      <w:r w:rsidR="00130C8F">
        <w:rPr>
          <w:rFonts w:cs="Times New Roman"/>
          <w:snapToGrid/>
          <w:color w:val="000000"/>
          <w:kern w:val="22"/>
          <w:szCs w:val="22"/>
          <w:lang w:val="fr-FR" w:eastAsia="ko-KR"/>
        </w:rPr>
        <w:t xml:space="preserve">destinée aux </w:t>
      </w:r>
      <w:r w:rsidR="00DD0FDA" w:rsidRPr="00DD0FDA">
        <w:rPr>
          <w:rFonts w:cs="Times New Roman"/>
          <w:snapToGrid/>
          <w:color w:val="000000"/>
          <w:kern w:val="22"/>
          <w:szCs w:val="22"/>
          <w:lang w:val="fr-FR" w:eastAsia="ko-KR"/>
        </w:rPr>
        <w:t xml:space="preserve">ressources </w:t>
      </w:r>
      <w:r w:rsidR="00130C8F">
        <w:rPr>
          <w:rFonts w:cs="Times New Roman"/>
          <w:snapToGrid/>
          <w:color w:val="000000"/>
          <w:kern w:val="22"/>
          <w:szCs w:val="22"/>
          <w:lang w:val="fr-FR" w:eastAsia="ko-KR"/>
        </w:rPr>
        <w:t>sur le renforcement</w:t>
      </w:r>
      <w:r w:rsidR="00DD0FDA" w:rsidRPr="00DD0FDA">
        <w:rPr>
          <w:rFonts w:cs="Times New Roman"/>
          <w:snapToGrid/>
          <w:color w:val="000000"/>
          <w:kern w:val="22"/>
          <w:szCs w:val="22"/>
          <w:lang w:val="fr-FR" w:eastAsia="ko-KR"/>
        </w:rPr>
        <w:t xml:space="preserve"> des capacités, accessible via la bibliothèque virtuelle du Centre d'échange sur l'APA</w:t>
      </w:r>
      <w:r w:rsidR="00DD0FDA" w:rsidRPr="00B0443C">
        <w:rPr>
          <w:rStyle w:val="Appelnotedebasdep"/>
          <w:rFonts w:cs="Times New Roman"/>
          <w:snapToGrid/>
          <w:kern w:val="22"/>
          <w:szCs w:val="22"/>
          <w:lang w:val="fr-FR" w:eastAsia="ko-KR"/>
        </w:rPr>
        <w:footnoteReference w:id="19"/>
      </w:r>
      <w:r w:rsidR="00DD0FDA" w:rsidRPr="00DD0FDA">
        <w:rPr>
          <w:rFonts w:cs="Times New Roman"/>
          <w:snapToGrid/>
          <w:color w:val="000000"/>
          <w:kern w:val="22"/>
          <w:szCs w:val="22"/>
          <w:lang w:val="fr-FR" w:eastAsia="ko-KR"/>
        </w:rPr>
        <w:t xml:space="preserve">, qui a pour but de présenter les outils et ressources existants en matière d'APA (y compris </w:t>
      </w:r>
      <w:r w:rsidR="00DD0FDA">
        <w:rPr>
          <w:rFonts w:cs="Times New Roman"/>
          <w:snapToGrid/>
          <w:color w:val="000000"/>
          <w:kern w:val="22"/>
          <w:szCs w:val="22"/>
          <w:lang w:val="fr-FR" w:eastAsia="ko-KR"/>
        </w:rPr>
        <w:t>d</w:t>
      </w:r>
      <w:r w:rsidR="00DD0FDA" w:rsidRPr="00DD0FDA">
        <w:rPr>
          <w:rFonts w:cs="Times New Roman"/>
          <w:snapToGrid/>
          <w:color w:val="000000"/>
          <w:kern w:val="22"/>
          <w:szCs w:val="22"/>
          <w:lang w:val="fr-FR" w:eastAsia="ko-KR"/>
        </w:rPr>
        <w:t xml:space="preserve">es </w:t>
      </w:r>
      <w:r w:rsidR="00DD0FDA">
        <w:rPr>
          <w:rFonts w:cs="Times New Roman"/>
          <w:snapToGrid/>
          <w:color w:val="000000"/>
          <w:kern w:val="22"/>
          <w:szCs w:val="22"/>
          <w:lang w:val="fr-FR" w:eastAsia="ko-KR"/>
        </w:rPr>
        <w:t xml:space="preserve">supports </w:t>
      </w:r>
      <w:r w:rsidR="00DD0FDA" w:rsidRPr="00DD0FDA">
        <w:rPr>
          <w:rFonts w:cs="Times New Roman"/>
          <w:snapToGrid/>
          <w:color w:val="000000"/>
          <w:kern w:val="22"/>
          <w:szCs w:val="22"/>
          <w:lang w:val="fr-FR" w:eastAsia="ko-KR"/>
        </w:rPr>
        <w:t xml:space="preserve">de formation, </w:t>
      </w:r>
      <w:r w:rsidR="00DD0FDA">
        <w:rPr>
          <w:rFonts w:cs="Times New Roman"/>
          <w:snapToGrid/>
          <w:color w:val="000000"/>
          <w:kern w:val="22"/>
          <w:szCs w:val="22"/>
          <w:lang w:val="fr-FR" w:eastAsia="ko-KR"/>
        </w:rPr>
        <w:t>d</w:t>
      </w:r>
      <w:r w:rsidR="00DD0FDA" w:rsidRPr="00DD0FDA">
        <w:rPr>
          <w:rFonts w:cs="Times New Roman"/>
          <w:snapToGrid/>
          <w:color w:val="000000"/>
          <w:kern w:val="22"/>
          <w:szCs w:val="22"/>
          <w:lang w:val="fr-FR" w:eastAsia="ko-KR"/>
        </w:rPr>
        <w:t xml:space="preserve">es boîtes à outils/lignes directrices, </w:t>
      </w:r>
      <w:r w:rsidR="00DD0FDA">
        <w:rPr>
          <w:rFonts w:cs="Times New Roman"/>
          <w:snapToGrid/>
          <w:color w:val="000000"/>
          <w:kern w:val="22"/>
          <w:szCs w:val="22"/>
          <w:lang w:val="fr-FR" w:eastAsia="ko-KR"/>
        </w:rPr>
        <w:t>d</w:t>
      </w:r>
      <w:r w:rsidR="00DD0FDA" w:rsidRPr="00DD0FDA">
        <w:rPr>
          <w:rFonts w:cs="Times New Roman"/>
          <w:snapToGrid/>
          <w:color w:val="000000"/>
          <w:kern w:val="22"/>
          <w:szCs w:val="22"/>
          <w:lang w:val="fr-FR" w:eastAsia="ko-KR"/>
        </w:rPr>
        <w:t>es études de cas</w:t>
      </w:r>
      <w:r w:rsidR="00DD0FDA">
        <w:rPr>
          <w:rFonts w:cs="Times New Roman"/>
          <w:snapToGrid/>
          <w:color w:val="000000"/>
          <w:kern w:val="22"/>
          <w:szCs w:val="22"/>
          <w:lang w:val="fr-FR" w:eastAsia="ko-KR"/>
        </w:rPr>
        <w:t xml:space="preserve"> relatives aux</w:t>
      </w:r>
      <w:r w:rsidR="00DD0FDA" w:rsidRPr="00DD0FDA">
        <w:rPr>
          <w:rFonts w:cs="Times New Roman"/>
          <w:snapToGrid/>
          <w:color w:val="000000"/>
          <w:kern w:val="22"/>
          <w:szCs w:val="22"/>
          <w:lang w:val="fr-FR" w:eastAsia="ko-KR"/>
        </w:rPr>
        <w:t xml:space="preserve"> bonnes pratiques, etc.)</w:t>
      </w:r>
      <w:r w:rsidR="00DD0FDA">
        <w:rPr>
          <w:rFonts w:cs="Times New Roman"/>
          <w:snapToGrid/>
          <w:color w:val="000000"/>
          <w:kern w:val="22"/>
          <w:szCs w:val="22"/>
          <w:lang w:val="fr-FR" w:eastAsia="ko-KR"/>
        </w:rPr>
        <w:t>.</w:t>
      </w:r>
    </w:p>
    <w:p w14:paraId="2A49704C" w14:textId="780F96B6" w:rsidR="004F3A2D" w:rsidRPr="00B0443C" w:rsidRDefault="00F8670A" w:rsidP="00DD0FDA">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4</w:t>
      </w:r>
      <w:r w:rsidR="00BA5C93" w:rsidRPr="00B0443C">
        <w:rPr>
          <w:rFonts w:cs="Times New Roman"/>
          <w:snapToGrid/>
          <w:color w:val="000000"/>
          <w:kern w:val="22"/>
          <w:szCs w:val="22"/>
          <w:lang w:val="fr-FR" w:eastAsia="ko-KR"/>
        </w:rPr>
        <w:t>2</w:t>
      </w:r>
      <w:r w:rsidRPr="00B0443C">
        <w:rPr>
          <w:rFonts w:cs="Times New Roman"/>
          <w:snapToGrid/>
          <w:color w:val="000000"/>
          <w:kern w:val="22"/>
          <w:szCs w:val="22"/>
          <w:lang w:val="fr-FR" w:eastAsia="ko-KR"/>
        </w:rPr>
        <w:t>.</w:t>
      </w:r>
      <w:r w:rsidRPr="00B0443C">
        <w:rPr>
          <w:rFonts w:cs="Times New Roman"/>
          <w:snapToGrid/>
          <w:color w:val="000000"/>
          <w:kern w:val="22"/>
          <w:szCs w:val="22"/>
          <w:lang w:val="fr-FR" w:eastAsia="ko-KR"/>
        </w:rPr>
        <w:tab/>
      </w:r>
      <w:r w:rsidR="00DD0FDA" w:rsidRPr="00DD0FDA">
        <w:rPr>
          <w:rFonts w:cs="Times New Roman"/>
          <w:snapToGrid/>
          <w:color w:val="000000"/>
          <w:kern w:val="22"/>
          <w:szCs w:val="22"/>
          <w:lang w:val="fr-FR" w:eastAsia="ko-KR"/>
        </w:rPr>
        <w:t xml:space="preserve">La sous-section suivante présente une mise à jour des outils et ressources </w:t>
      </w:r>
      <w:r w:rsidR="007747E2">
        <w:rPr>
          <w:rFonts w:cs="Times New Roman"/>
          <w:snapToGrid/>
          <w:color w:val="000000"/>
          <w:kern w:val="22"/>
          <w:szCs w:val="22"/>
          <w:lang w:val="fr-FR" w:eastAsia="ko-KR"/>
        </w:rPr>
        <w:t xml:space="preserve">existants sur le renforcement </w:t>
      </w:r>
      <w:r w:rsidR="00DD0FDA" w:rsidRPr="00DD0FDA">
        <w:rPr>
          <w:rFonts w:cs="Times New Roman"/>
          <w:snapToGrid/>
          <w:color w:val="000000"/>
          <w:kern w:val="22"/>
          <w:szCs w:val="22"/>
          <w:lang w:val="fr-FR" w:eastAsia="ko-KR"/>
        </w:rPr>
        <w:t>des capacités en matière d'accès et de partage des avantages</w:t>
      </w:r>
      <w:r w:rsidR="00DD0FDA" w:rsidRPr="00B0443C">
        <w:rPr>
          <w:rStyle w:val="Appelnotedebasdep"/>
          <w:rFonts w:cs="Times New Roman"/>
          <w:snapToGrid/>
          <w:kern w:val="22"/>
          <w:sz w:val="22"/>
          <w:szCs w:val="22"/>
          <w:lang w:val="fr-FR" w:eastAsia="ko-KR"/>
        </w:rPr>
        <w:footnoteReference w:id="20"/>
      </w:r>
      <w:r w:rsidR="00DD0FDA" w:rsidRPr="00B0443C">
        <w:rPr>
          <w:rFonts w:cs="Times New Roman"/>
          <w:snapToGrid/>
          <w:kern w:val="22"/>
          <w:szCs w:val="22"/>
          <w:lang w:val="fr-FR" w:eastAsia="ko-KR"/>
        </w:rPr>
        <w:t xml:space="preserve"> </w:t>
      </w:r>
      <w:r w:rsidR="00DD0FDA" w:rsidRPr="00DD0FDA">
        <w:rPr>
          <w:rFonts w:cs="Times New Roman"/>
          <w:snapToGrid/>
          <w:color w:val="000000"/>
          <w:kern w:val="22"/>
          <w:szCs w:val="22"/>
          <w:lang w:val="fr-FR" w:eastAsia="ko-KR"/>
        </w:rPr>
        <w:t xml:space="preserve">que le </w:t>
      </w:r>
      <w:r w:rsidR="00BF5BC0">
        <w:rPr>
          <w:rFonts w:cs="Times New Roman"/>
          <w:snapToGrid/>
          <w:color w:val="000000"/>
          <w:kern w:val="22"/>
          <w:szCs w:val="22"/>
          <w:lang w:val="fr-FR" w:eastAsia="ko-KR"/>
        </w:rPr>
        <w:t>S</w:t>
      </w:r>
      <w:r w:rsidR="00DD0FDA" w:rsidRPr="00DD0FDA">
        <w:rPr>
          <w:rFonts w:cs="Times New Roman"/>
          <w:snapToGrid/>
          <w:color w:val="000000"/>
          <w:kern w:val="22"/>
          <w:szCs w:val="22"/>
          <w:lang w:val="fr-FR" w:eastAsia="ko-KR"/>
        </w:rPr>
        <w:t>ecrétariat a compilés, y compris leur objectif principal et leur couverture thématique. Une liste de toutes les ressources figure dans le document CBD/NP/MOP/4/INF/2.</w:t>
      </w:r>
    </w:p>
    <w:p w14:paraId="5E65E7D4" w14:textId="5BA5C314" w:rsidR="004F3A2D" w:rsidRPr="00B0443C" w:rsidRDefault="00F8670A" w:rsidP="00F37E9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4</w:t>
      </w:r>
      <w:r w:rsidR="00BA5C93" w:rsidRPr="00B0443C">
        <w:rPr>
          <w:rFonts w:cs="Times New Roman"/>
          <w:snapToGrid/>
          <w:color w:val="000000"/>
          <w:kern w:val="22"/>
          <w:szCs w:val="22"/>
          <w:lang w:val="fr-FR" w:eastAsia="ko-KR"/>
        </w:rPr>
        <w:t>3</w:t>
      </w:r>
      <w:r w:rsidRPr="00B0443C">
        <w:rPr>
          <w:rFonts w:cs="Times New Roman"/>
          <w:snapToGrid/>
          <w:color w:val="000000"/>
          <w:kern w:val="22"/>
          <w:szCs w:val="22"/>
          <w:lang w:val="fr-FR" w:eastAsia="ko-KR"/>
        </w:rPr>
        <w:t>.</w:t>
      </w:r>
      <w:r w:rsidRPr="00B0443C">
        <w:rPr>
          <w:rFonts w:cs="Times New Roman"/>
          <w:snapToGrid/>
          <w:color w:val="000000"/>
          <w:kern w:val="22"/>
          <w:szCs w:val="22"/>
          <w:lang w:val="fr-FR" w:eastAsia="ko-KR"/>
        </w:rPr>
        <w:tab/>
      </w:r>
      <w:r w:rsidR="00350C47" w:rsidRPr="00350C47">
        <w:rPr>
          <w:rFonts w:cs="Times New Roman"/>
          <w:snapToGrid/>
          <w:kern w:val="22"/>
          <w:szCs w:val="22"/>
          <w:lang w:val="fr-FR" w:eastAsia="ko-KR"/>
        </w:rPr>
        <w:t xml:space="preserve">Selon les informations recueillies par le </w:t>
      </w:r>
      <w:r w:rsidR="009E0E6E">
        <w:rPr>
          <w:rFonts w:cs="Times New Roman"/>
          <w:snapToGrid/>
          <w:kern w:val="22"/>
          <w:szCs w:val="22"/>
          <w:lang w:val="fr-FR" w:eastAsia="ko-KR"/>
        </w:rPr>
        <w:t>S</w:t>
      </w:r>
      <w:r w:rsidR="00350C47" w:rsidRPr="00350C47">
        <w:rPr>
          <w:rFonts w:cs="Times New Roman"/>
          <w:snapToGrid/>
          <w:kern w:val="22"/>
          <w:szCs w:val="22"/>
          <w:lang w:val="fr-FR" w:eastAsia="ko-KR"/>
        </w:rPr>
        <w:t xml:space="preserve">ecrétariat au 30 juin 2021, il existe 120 ressources connues en rapport avec le </w:t>
      </w:r>
      <w:r w:rsidR="004C57F2">
        <w:rPr>
          <w:rFonts w:cs="Times New Roman"/>
          <w:snapToGrid/>
          <w:kern w:val="22"/>
          <w:szCs w:val="22"/>
          <w:lang w:val="fr-FR" w:eastAsia="ko-KR"/>
        </w:rPr>
        <w:t>renforcement</w:t>
      </w:r>
      <w:r w:rsidR="00350C47" w:rsidRPr="00350C47">
        <w:rPr>
          <w:rFonts w:cs="Times New Roman"/>
          <w:snapToGrid/>
          <w:kern w:val="22"/>
          <w:szCs w:val="22"/>
          <w:lang w:val="fr-FR" w:eastAsia="ko-KR"/>
        </w:rPr>
        <w:t xml:space="preserve"> des capacités et la sensibilisation à l'accès et au partage des avantages. 31 ressources supplémentaires ont été ajoutées à la liste depuis la mise à jour préparée pour la troisième réunion des Parties au Protocole, en 2018. Il est important de noter que 74 ou 62</w:t>
      </w:r>
      <w:r w:rsidR="00350C47" w:rsidRPr="00CD653E">
        <w:rPr>
          <w:lang w:val="fr-CA"/>
        </w:rPr>
        <w:t> </w:t>
      </w:r>
      <w:r w:rsidR="00350C47" w:rsidRPr="00350C47">
        <w:rPr>
          <w:rFonts w:cs="Times New Roman"/>
          <w:snapToGrid/>
          <w:kern w:val="22"/>
          <w:szCs w:val="22"/>
          <w:lang w:val="fr-FR" w:eastAsia="ko-KR"/>
        </w:rPr>
        <w:t>% de ces ressources ont été publiées via le Centre d'échange sur l'APA, ce qui représente une amélioration par rapport à la dernière période de référence où seulement 46</w:t>
      </w:r>
      <w:r w:rsidR="00350C47">
        <w:rPr>
          <w:rFonts w:cs="Times New Roman"/>
          <w:snapToGrid/>
          <w:kern w:val="22"/>
          <w:szCs w:val="22"/>
          <w:lang w:val="fr-FR" w:eastAsia="ko-KR"/>
        </w:rPr>
        <w:t> </w:t>
      </w:r>
      <w:r w:rsidR="00350C47" w:rsidRPr="00350C47">
        <w:rPr>
          <w:rFonts w:cs="Times New Roman"/>
          <w:snapToGrid/>
          <w:kern w:val="22"/>
          <w:szCs w:val="22"/>
          <w:lang w:val="fr-FR" w:eastAsia="ko-KR"/>
        </w:rPr>
        <w:t>% des ressources avaient été publiées dans le Centre d'échange sur l'APA.</w:t>
      </w:r>
    </w:p>
    <w:p w14:paraId="4B3C5260" w14:textId="600553E8" w:rsidR="006B670E" w:rsidRPr="00B0443C" w:rsidRDefault="00140887" w:rsidP="00450146">
      <w:pPr>
        <w:pStyle w:val="Para1"/>
        <w:pBdr>
          <w:top w:val="nil"/>
          <w:left w:val="nil"/>
          <w:bottom w:val="nil"/>
          <w:right w:val="nil"/>
          <w:between w:val="nil"/>
          <w:bar w:val="nil"/>
        </w:pBdr>
        <w:spacing w:before="120"/>
        <w:rPr>
          <w:rFonts w:cs="Times New Roman"/>
          <w:snapToGrid/>
          <w:spacing w:val="-1"/>
          <w:kern w:val="22"/>
          <w:szCs w:val="22"/>
          <w:lang w:val="fr-FR" w:eastAsia="ko-KR"/>
        </w:rPr>
      </w:pPr>
      <w:r w:rsidRPr="00B0443C">
        <w:rPr>
          <w:rFonts w:cs="Times New Roman"/>
          <w:snapToGrid/>
          <w:color w:val="000000"/>
          <w:spacing w:val="-1"/>
          <w:kern w:val="22"/>
          <w:szCs w:val="22"/>
          <w:lang w:val="fr-FR" w:eastAsia="ko-KR"/>
        </w:rPr>
        <w:t>4</w:t>
      </w:r>
      <w:r w:rsidR="00BA5C93" w:rsidRPr="00B0443C">
        <w:rPr>
          <w:rFonts w:cs="Times New Roman"/>
          <w:snapToGrid/>
          <w:color w:val="000000"/>
          <w:spacing w:val="-1"/>
          <w:kern w:val="22"/>
          <w:szCs w:val="22"/>
          <w:lang w:val="fr-FR" w:eastAsia="ko-KR"/>
        </w:rPr>
        <w:t>4</w:t>
      </w:r>
      <w:r w:rsidR="00F8670A" w:rsidRPr="00B0443C">
        <w:rPr>
          <w:rFonts w:cs="Times New Roman"/>
          <w:snapToGrid/>
          <w:color w:val="000000"/>
          <w:spacing w:val="-1"/>
          <w:kern w:val="22"/>
          <w:szCs w:val="22"/>
          <w:lang w:val="fr-FR" w:eastAsia="ko-KR"/>
        </w:rPr>
        <w:t>.</w:t>
      </w:r>
      <w:r w:rsidR="00F8670A" w:rsidRPr="00B0443C">
        <w:rPr>
          <w:rFonts w:cs="Times New Roman"/>
          <w:snapToGrid/>
          <w:color w:val="000000"/>
          <w:spacing w:val="-1"/>
          <w:kern w:val="22"/>
          <w:szCs w:val="22"/>
          <w:lang w:val="fr-FR" w:eastAsia="ko-KR"/>
        </w:rPr>
        <w:tab/>
      </w:r>
      <w:r w:rsidR="00350C47" w:rsidRPr="00350C47">
        <w:rPr>
          <w:rFonts w:cs="Times New Roman"/>
          <w:snapToGrid/>
          <w:spacing w:val="-1"/>
          <w:kern w:val="22"/>
          <w:szCs w:val="22"/>
          <w:lang w:val="fr-FR" w:eastAsia="ko-KR"/>
        </w:rPr>
        <w:t>La prestation de conseils techniques (57</w:t>
      </w:r>
      <w:r w:rsidR="00350C47" w:rsidRPr="00CD653E">
        <w:rPr>
          <w:lang w:val="fr-CA"/>
        </w:rPr>
        <w:t> </w:t>
      </w:r>
      <w:r w:rsidR="00350C47" w:rsidRPr="00350C47">
        <w:rPr>
          <w:rFonts w:cs="Times New Roman"/>
          <w:snapToGrid/>
          <w:spacing w:val="-1"/>
          <w:kern w:val="22"/>
          <w:szCs w:val="22"/>
          <w:lang w:val="fr-FR" w:eastAsia="ko-KR"/>
        </w:rPr>
        <w:t>%) et la sensibilisation du public (48</w:t>
      </w:r>
      <w:r w:rsidR="00350C47">
        <w:rPr>
          <w:rFonts w:cs="Times New Roman"/>
          <w:snapToGrid/>
          <w:spacing w:val="-1"/>
          <w:kern w:val="22"/>
          <w:szCs w:val="22"/>
          <w:lang w:val="fr-FR" w:eastAsia="ko-KR"/>
        </w:rPr>
        <w:t> </w:t>
      </w:r>
      <w:r w:rsidR="00350C47" w:rsidRPr="00350C47">
        <w:rPr>
          <w:rFonts w:cs="Times New Roman"/>
          <w:snapToGrid/>
          <w:spacing w:val="-1"/>
          <w:kern w:val="22"/>
          <w:szCs w:val="22"/>
          <w:lang w:val="fr-FR" w:eastAsia="ko-KR"/>
        </w:rPr>
        <w:t>%) restent les objectifs principaux de la plupart des ressources. Seul</w:t>
      </w:r>
      <w:r w:rsidR="00775F4E">
        <w:rPr>
          <w:rFonts w:cs="Times New Roman"/>
          <w:snapToGrid/>
          <w:spacing w:val="-1"/>
          <w:kern w:val="22"/>
          <w:szCs w:val="22"/>
          <w:lang w:val="fr-FR" w:eastAsia="ko-KR"/>
        </w:rPr>
        <w:t>e</w:t>
      </w:r>
      <w:r w:rsidR="00350C47" w:rsidRPr="00350C47">
        <w:rPr>
          <w:rFonts w:cs="Times New Roman"/>
          <w:snapToGrid/>
          <w:spacing w:val="-1"/>
          <w:kern w:val="22"/>
          <w:szCs w:val="22"/>
          <w:lang w:val="fr-FR" w:eastAsia="ko-KR"/>
        </w:rPr>
        <w:t>s 10 % des ressources sont conçu</w:t>
      </w:r>
      <w:r w:rsidR="00775F4E">
        <w:rPr>
          <w:rFonts w:cs="Times New Roman"/>
          <w:snapToGrid/>
          <w:spacing w:val="-1"/>
          <w:kern w:val="22"/>
          <w:szCs w:val="22"/>
          <w:lang w:val="fr-FR" w:eastAsia="ko-KR"/>
        </w:rPr>
        <w:t>e</w:t>
      </w:r>
      <w:r w:rsidR="00350C47" w:rsidRPr="00350C47">
        <w:rPr>
          <w:rFonts w:cs="Times New Roman"/>
          <w:snapToGrid/>
          <w:spacing w:val="-1"/>
          <w:kern w:val="22"/>
          <w:szCs w:val="22"/>
          <w:lang w:val="fr-FR" w:eastAsia="ko-KR"/>
        </w:rPr>
        <w:t>s comme supports de formation ou d'auto-formation, tandis que 2</w:t>
      </w:r>
      <w:r w:rsidR="00350C47">
        <w:rPr>
          <w:rFonts w:cs="Times New Roman"/>
          <w:snapToGrid/>
          <w:spacing w:val="-1"/>
          <w:kern w:val="22"/>
          <w:szCs w:val="22"/>
          <w:lang w:val="fr-FR" w:eastAsia="ko-KR"/>
        </w:rPr>
        <w:t> </w:t>
      </w:r>
      <w:r w:rsidR="00350C47" w:rsidRPr="00350C47">
        <w:rPr>
          <w:rFonts w:cs="Times New Roman"/>
          <w:snapToGrid/>
          <w:spacing w:val="-1"/>
          <w:kern w:val="22"/>
          <w:szCs w:val="22"/>
          <w:lang w:val="fr-FR" w:eastAsia="ko-KR"/>
        </w:rPr>
        <w:t xml:space="preserve">% sont destinés à aider les Parties et les parties prenantes </w:t>
      </w:r>
      <w:r w:rsidR="00236075">
        <w:rPr>
          <w:rFonts w:cs="Times New Roman"/>
          <w:snapToGrid/>
          <w:spacing w:val="-1"/>
          <w:kern w:val="22"/>
          <w:szCs w:val="22"/>
          <w:lang w:val="fr-FR" w:eastAsia="ko-KR"/>
        </w:rPr>
        <w:t>dans l’</w:t>
      </w:r>
      <w:r w:rsidR="00350C47" w:rsidRPr="00350C47">
        <w:rPr>
          <w:rFonts w:cs="Times New Roman"/>
          <w:snapToGrid/>
          <w:spacing w:val="-1"/>
          <w:kern w:val="22"/>
          <w:szCs w:val="22"/>
          <w:lang w:val="fr-FR" w:eastAsia="ko-KR"/>
        </w:rPr>
        <w:t>évalu</w:t>
      </w:r>
      <w:r w:rsidR="00236075">
        <w:rPr>
          <w:rFonts w:cs="Times New Roman"/>
          <w:snapToGrid/>
          <w:spacing w:val="-1"/>
          <w:kern w:val="22"/>
          <w:szCs w:val="22"/>
          <w:lang w:val="fr-FR" w:eastAsia="ko-KR"/>
        </w:rPr>
        <w:t>ation d</w:t>
      </w:r>
      <w:r w:rsidR="00350C47" w:rsidRPr="00350C47">
        <w:rPr>
          <w:rFonts w:cs="Times New Roman"/>
          <w:snapToGrid/>
          <w:spacing w:val="-1"/>
          <w:kern w:val="22"/>
          <w:szCs w:val="22"/>
          <w:lang w:val="fr-FR" w:eastAsia="ko-KR"/>
        </w:rPr>
        <w:t>es besoins en matière de renforcement des capacités et/ou à concevoir des initiatives de renforcement des capacités et 1</w:t>
      </w:r>
      <w:r w:rsidR="00350C47">
        <w:rPr>
          <w:rFonts w:cs="Times New Roman"/>
          <w:snapToGrid/>
          <w:spacing w:val="-1"/>
          <w:kern w:val="22"/>
          <w:szCs w:val="22"/>
          <w:lang w:val="fr-FR" w:eastAsia="ko-KR"/>
        </w:rPr>
        <w:t> </w:t>
      </w:r>
      <w:r w:rsidR="00350C47" w:rsidRPr="00350C47">
        <w:rPr>
          <w:rFonts w:cs="Times New Roman"/>
          <w:snapToGrid/>
          <w:spacing w:val="-1"/>
          <w:kern w:val="22"/>
          <w:szCs w:val="22"/>
          <w:lang w:val="fr-FR" w:eastAsia="ko-KR"/>
        </w:rPr>
        <w:t>%, à surveiller et à évaluer les initiatives et les produits de renforcement des capacités (voir Figure 6). La composition de la liste des ressources n'a pas changé depuis la dernière mise à jour fournie pour la Conférence des Parties siégeant en tant que réunion des Parties au Protocole, les nouvelles ressources entrant également dans les catégories des orientations techniques et de la sensibilisation.</w:t>
      </w:r>
    </w:p>
    <w:p w14:paraId="3D9CA7F4" w14:textId="31A3317D" w:rsidR="00C801DA" w:rsidRPr="00B0443C" w:rsidRDefault="00C801DA" w:rsidP="0023076A">
      <w:pPr>
        <w:pStyle w:val="Para1"/>
        <w:suppressLineNumbers/>
        <w:suppressAutoHyphens/>
        <w:kinsoku w:val="0"/>
        <w:overflowPunct w:val="0"/>
        <w:autoSpaceDE w:val="0"/>
        <w:autoSpaceDN w:val="0"/>
        <w:jc w:val="right"/>
        <w:rPr>
          <w:rFonts w:cs="Times New Roman"/>
          <w:snapToGrid/>
          <w:kern w:val="22"/>
          <w:szCs w:val="22"/>
          <w:lang w:val="fr-FR" w:eastAsia="ko-KR"/>
        </w:rPr>
      </w:pPr>
      <w:r>
        <w:rPr>
          <w:noProof/>
        </w:rPr>
        <w:lastRenderedPageBreak/>
        <w:drawing>
          <wp:inline distT="0" distB="0" distL="0" distR="0" wp14:anchorId="5CAE66E5" wp14:editId="182B9EAA">
            <wp:extent cx="5943600" cy="3125972"/>
            <wp:effectExtent l="0" t="0" r="0" b="0"/>
            <wp:docPr id="14" name="Graphique 14">
              <a:extLst xmlns:a="http://schemas.openxmlformats.org/drawingml/2006/main">
                <a:ext uri="{FF2B5EF4-FFF2-40B4-BE49-F238E27FC236}">
                  <a16:creationId xmlns:a16="http://schemas.microsoft.com/office/drawing/2014/main" id="{C79C95C6-7061-4EF3-3696-B8A3EA50EF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8ADC31F" w14:textId="77777777" w:rsidR="00C801DA" w:rsidRDefault="00140887" w:rsidP="00F37E96">
      <w:pPr>
        <w:pStyle w:val="Para1"/>
        <w:pBdr>
          <w:top w:val="nil"/>
          <w:left w:val="nil"/>
          <w:bottom w:val="nil"/>
          <w:right w:val="nil"/>
          <w:between w:val="nil"/>
          <w:bar w:val="nil"/>
        </w:pBdr>
        <w:spacing w:before="120"/>
        <w:rPr>
          <w:noProof/>
        </w:rPr>
      </w:pPr>
      <w:r w:rsidRPr="00B0443C">
        <w:rPr>
          <w:rFonts w:cs="Times New Roman"/>
          <w:snapToGrid/>
          <w:color w:val="000000"/>
          <w:kern w:val="22"/>
          <w:szCs w:val="22"/>
          <w:lang w:val="fr-FR" w:eastAsia="ko-KR"/>
        </w:rPr>
        <w:t>4</w:t>
      </w:r>
      <w:r w:rsidR="00BA5C93" w:rsidRPr="00B0443C">
        <w:rPr>
          <w:rFonts w:cs="Times New Roman"/>
          <w:snapToGrid/>
          <w:color w:val="000000"/>
          <w:kern w:val="22"/>
          <w:szCs w:val="22"/>
          <w:lang w:val="fr-FR" w:eastAsia="ko-KR"/>
        </w:rPr>
        <w:t>5</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9B4390" w:rsidRPr="009B4390">
        <w:rPr>
          <w:rFonts w:cs="Times New Roman"/>
          <w:snapToGrid/>
          <w:kern w:val="22"/>
          <w:szCs w:val="22"/>
          <w:lang w:val="fr-FR" w:eastAsia="ko-KR"/>
        </w:rPr>
        <w:t xml:space="preserve">Sur le plan de la couverture thématique, les domaines clés 1, 2 et 4 du cadre stratégique continuent d'être bien couverts par les ressources existantes en matière de </w:t>
      </w:r>
      <w:r w:rsidR="00672C35">
        <w:rPr>
          <w:rFonts w:cs="Times New Roman"/>
          <w:snapToGrid/>
          <w:kern w:val="22"/>
          <w:szCs w:val="22"/>
          <w:lang w:val="fr-FR" w:eastAsia="ko-KR"/>
        </w:rPr>
        <w:t>renforcement</w:t>
      </w:r>
      <w:r w:rsidR="009B4390" w:rsidRPr="009B4390">
        <w:rPr>
          <w:rFonts w:cs="Times New Roman"/>
          <w:snapToGrid/>
          <w:kern w:val="22"/>
          <w:szCs w:val="22"/>
          <w:lang w:val="fr-FR" w:eastAsia="ko-KR"/>
        </w:rPr>
        <w:t xml:space="preserve"> des capacités et de sensibilisation, tandis que les domaines clés 3 et 5 restent sous-représentés (voir Figure 7). Il faut reconnaître que dans plusieurs cas, une ressource peut couvrir plus d'un domaine. En outre, il est important de reconnaître l'augmentation importante, depuis la dernière réunion des Parties au Protocole de Nagoya, du nombre de ressources consacrées à la négociation des conditions convenues d'un commun accord, qui sont passées de 8 à 23, et une augmentation plus modeste de 3 à 12 ressources consacrées au développement des capacités de recherche endogènes.</w:t>
      </w:r>
      <w:r w:rsidR="00C801DA" w:rsidRPr="00C801DA">
        <w:rPr>
          <w:noProof/>
        </w:rPr>
        <w:t xml:space="preserve"> </w:t>
      </w:r>
    </w:p>
    <w:p w14:paraId="721A37A3" w14:textId="406AB4FA" w:rsidR="004F3A2D" w:rsidRPr="00B0443C" w:rsidRDefault="00C801DA" w:rsidP="00C801DA">
      <w:pPr>
        <w:pStyle w:val="Para1"/>
        <w:pBdr>
          <w:top w:val="nil"/>
          <w:left w:val="nil"/>
          <w:bottom w:val="nil"/>
          <w:right w:val="nil"/>
          <w:between w:val="nil"/>
          <w:bar w:val="nil"/>
        </w:pBdr>
        <w:spacing w:before="120"/>
        <w:jc w:val="center"/>
        <w:rPr>
          <w:rFonts w:cs="Times New Roman"/>
          <w:snapToGrid/>
          <w:kern w:val="22"/>
          <w:szCs w:val="22"/>
          <w:lang w:val="fr-FR"/>
        </w:rPr>
      </w:pPr>
      <w:r>
        <w:rPr>
          <w:noProof/>
        </w:rPr>
        <w:drawing>
          <wp:inline distT="0" distB="0" distL="0" distR="0" wp14:anchorId="4CCB8A52" wp14:editId="3FCD4834">
            <wp:extent cx="5538706" cy="3375025"/>
            <wp:effectExtent l="0" t="0" r="5080" b="0"/>
            <wp:docPr id="16" name="Graphique 16">
              <a:extLst xmlns:a="http://schemas.openxmlformats.org/drawingml/2006/main">
                <a:ext uri="{FF2B5EF4-FFF2-40B4-BE49-F238E27FC236}">
                  <a16:creationId xmlns:a16="http://schemas.microsoft.com/office/drawing/2014/main" id="{9FA7D007-CFC3-2480-A2C7-3586C90AE4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2D555E8" w14:textId="5B0AA7D6" w:rsidR="00254056" w:rsidRPr="00B0443C" w:rsidRDefault="00254056" w:rsidP="008D0BFA">
      <w:pPr>
        <w:pStyle w:val="Para1"/>
        <w:pBdr>
          <w:top w:val="nil"/>
          <w:left w:val="nil"/>
          <w:bottom w:val="nil"/>
          <w:right w:val="nil"/>
          <w:between w:val="nil"/>
          <w:bar w:val="nil"/>
        </w:pBdr>
        <w:spacing w:before="120"/>
        <w:jc w:val="center"/>
        <w:rPr>
          <w:rFonts w:cs="Times New Roman"/>
          <w:snapToGrid/>
          <w:kern w:val="22"/>
          <w:szCs w:val="22"/>
          <w:lang w:val="fr-FR"/>
        </w:rPr>
      </w:pPr>
    </w:p>
    <w:p w14:paraId="747B090D" w14:textId="60A8FA79" w:rsidR="001F6881" w:rsidRPr="00B0443C" w:rsidRDefault="00140887" w:rsidP="001F6881">
      <w:pPr>
        <w:pStyle w:val="Para1"/>
        <w:pBdr>
          <w:top w:val="nil"/>
          <w:left w:val="nil"/>
          <w:bottom w:val="nil"/>
          <w:right w:val="nil"/>
          <w:between w:val="nil"/>
          <w:bar w:val="nil"/>
        </w:pBdr>
        <w:spacing w:before="120"/>
        <w:rPr>
          <w:rFonts w:cs="Times New Roman"/>
          <w:snapToGrid/>
          <w:kern w:val="22"/>
          <w:szCs w:val="22"/>
          <w:lang w:val="fr-FR"/>
        </w:rPr>
      </w:pPr>
      <w:r w:rsidRPr="00B0443C">
        <w:rPr>
          <w:rFonts w:cs="Times New Roman"/>
          <w:snapToGrid/>
          <w:color w:val="000000"/>
          <w:kern w:val="22"/>
          <w:szCs w:val="22"/>
          <w:lang w:val="fr-FR"/>
        </w:rPr>
        <w:lastRenderedPageBreak/>
        <w:t>4</w:t>
      </w:r>
      <w:r w:rsidR="00BA5C93" w:rsidRPr="00B0443C">
        <w:rPr>
          <w:rFonts w:cs="Times New Roman"/>
          <w:snapToGrid/>
          <w:color w:val="000000"/>
          <w:kern w:val="22"/>
          <w:szCs w:val="22"/>
          <w:lang w:val="fr-FR"/>
        </w:rPr>
        <w:t>6</w:t>
      </w:r>
      <w:r w:rsidR="00F8670A" w:rsidRPr="00B0443C">
        <w:rPr>
          <w:rFonts w:cs="Times New Roman"/>
          <w:snapToGrid/>
          <w:color w:val="000000"/>
          <w:kern w:val="22"/>
          <w:szCs w:val="22"/>
          <w:lang w:val="fr-FR"/>
        </w:rPr>
        <w:t>.</w:t>
      </w:r>
      <w:r w:rsidR="00F8670A" w:rsidRPr="00B0443C">
        <w:rPr>
          <w:rFonts w:cs="Times New Roman"/>
          <w:snapToGrid/>
          <w:color w:val="000000"/>
          <w:kern w:val="22"/>
          <w:szCs w:val="22"/>
          <w:lang w:val="fr-FR"/>
        </w:rPr>
        <w:tab/>
      </w:r>
      <w:r w:rsidR="00BA28D2" w:rsidRPr="00BA28D2">
        <w:rPr>
          <w:rFonts w:cs="Times New Roman"/>
          <w:snapToGrid/>
          <w:kern w:val="22"/>
          <w:szCs w:val="22"/>
          <w:lang w:val="fr-FR"/>
        </w:rPr>
        <w:t>La réunion des Parties au Protocole souhaiterait peut-être encourager les Parties, les autres gouvernements et les organisations compétentes à élaborer les documents d'orientation supplémentaires mentionnés ci-dessus, en particulier ceux qui concernent l'évaluation des besoins en matière de renforcement des capacités ou la création d'initiatives de renforcement des capacités, ainsi que le suivi et l'évaluation des initiatives et des produits de renforcement des capacités, et à les mettre à disposition via le Centre d'échange sur l'APA.</w:t>
      </w:r>
    </w:p>
    <w:p w14:paraId="5DAD9B1D" w14:textId="10D26051" w:rsidR="00D57F20" w:rsidRPr="00B0443C" w:rsidRDefault="00D57F20" w:rsidP="00010EB1">
      <w:pPr>
        <w:pStyle w:val="Titre2"/>
        <w:rPr>
          <w:lang w:val="fr-FR"/>
        </w:rPr>
      </w:pPr>
      <w:r w:rsidRPr="00B0443C">
        <w:rPr>
          <w:lang w:val="fr-FR"/>
        </w:rPr>
        <w:t>C.</w:t>
      </w:r>
      <w:r w:rsidR="009B3B93" w:rsidRPr="00B0443C">
        <w:rPr>
          <w:lang w:val="fr-FR"/>
        </w:rPr>
        <w:tab/>
      </w:r>
      <w:r w:rsidR="00BA28D2" w:rsidRPr="00BA28D2">
        <w:rPr>
          <w:lang w:val="fr-FR"/>
        </w:rPr>
        <w:t>Considérations découlant de l'analyse des initiatives et des ressources de développement des capacités</w:t>
      </w:r>
    </w:p>
    <w:p w14:paraId="7A02B85F" w14:textId="24D1E876" w:rsidR="00D95FD7" w:rsidRPr="00B0443C" w:rsidRDefault="0091543C" w:rsidP="00F75765">
      <w:pPr>
        <w:pStyle w:val="Para1"/>
        <w:pBdr>
          <w:top w:val="nil"/>
          <w:left w:val="nil"/>
          <w:bottom w:val="nil"/>
          <w:right w:val="nil"/>
          <w:between w:val="nil"/>
          <w:bar w:val="nil"/>
        </w:pBdr>
        <w:spacing w:before="120"/>
        <w:rPr>
          <w:rFonts w:cs="Times New Roman"/>
          <w:snapToGrid/>
          <w:kern w:val="22"/>
          <w:szCs w:val="22"/>
          <w:lang w:val="fr-FR"/>
        </w:rPr>
      </w:pPr>
      <w:r w:rsidRPr="00B0443C">
        <w:rPr>
          <w:rFonts w:cs="Times New Roman"/>
          <w:snapToGrid/>
          <w:kern w:val="22"/>
          <w:szCs w:val="22"/>
          <w:lang w:val="fr-FR"/>
        </w:rPr>
        <w:t>4</w:t>
      </w:r>
      <w:r w:rsidR="00BA5C93" w:rsidRPr="00B0443C">
        <w:rPr>
          <w:rFonts w:cs="Times New Roman"/>
          <w:snapToGrid/>
          <w:kern w:val="22"/>
          <w:szCs w:val="22"/>
          <w:lang w:val="fr-FR"/>
        </w:rPr>
        <w:t>7</w:t>
      </w:r>
      <w:r w:rsidRPr="00B0443C">
        <w:rPr>
          <w:rFonts w:cs="Times New Roman"/>
          <w:snapToGrid/>
          <w:kern w:val="22"/>
          <w:szCs w:val="22"/>
          <w:lang w:val="fr-FR"/>
        </w:rPr>
        <w:t>.</w:t>
      </w:r>
      <w:r w:rsidRPr="00B0443C">
        <w:rPr>
          <w:rFonts w:cs="Times New Roman"/>
          <w:snapToGrid/>
          <w:kern w:val="22"/>
          <w:szCs w:val="22"/>
          <w:lang w:val="fr-FR"/>
        </w:rPr>
        <w:tab/>
      </w:r>
      <w:r w:rsidR="00BA28D2" w:rsidRPr="00BA28D2">
        <w:rPr>
          <w:rFonts w:cs="Times New Roman"/>
          <w:snapToGrid/>
          <w:kern w:val="22"/>
          <w:szCs w:val="22"/>
          <w:lang w:val="fr-FR" w:eastAsia="ko-KR"/>
        </w:rPr>
        <w:t xml:space="preserve">L'analyse des initiatives de renforcement des capacités a révélé certains défis persistants que les Parties pourraient vouloir aborder dans le contexte de la révision du cadre stratégique pour la création et le </w:t>
      </w:r>
      <w:r w:rsidR="00D43DBB">
        <w:rPr>
          <w:rFonts w:cs="Times New Roman"/>
          <w:snapToGrid/>
          <w:kern w:val="22"/>
          <w:szCs w:val="22"/>
          <w:lang w:val="fr-FR" w:eastAsia="ko-KR"/>
        </w:rPr>
        <w:t>renforcement</w:t>
      </w:r>
      <w:r w:rsidR="00BA28D2" w:rsidRPr="00BA28D2">
        <w:rPr>
          <w:rFonts w:cs="Times New Roman"/>
          <w:snapToGrid/>
          <w:kern w:val="22"/>
          <w:szCs w:val="22"/>
          <w:lang w:val="fr-FR" w:eastAsia="ko-KR"/>
        </w:rPr>
        <w:t xml:space="preserve"> des capacités </w:t>
      </w:r>
      <w:r w:rsidR="00D43DBB">
        <w:rPr>
          <w:rFonts w:cs="Times New Roman"/>
          <w:snapToGrid/>
          <w:kern w:val="22"/>
          <w:szCs w:val="22"/>
          <w:lang w:val="fr-FR" w:eastAsia="ko-KR"/>
        </w:rPr>
        <w:t>en appui à</w:t>
      </w:r>
      <w:r w:rsidR="00BA28D2" w:rsidRPr="00BA28D2">
        <w:rPr>
          <w:rFonts w:cs="Times New Roman"/>
          <w:snapToGrid/>
          <w:kern w:val="22"/>
          <w:szCs w:val="22"/>
          <w:lang w:val="fr-FR" w:eastAsia="ko-KR"/>
        </w:rPr>
        <w:t xml:space="preserve"> l'application effective du Protocole de Nagoya. En termes de couverture géographique, l'Europe centrale et orientale est toujours la région la moins bien couverte. Lors de la révision du cadre stratégique, on pourrait mettre davantage l'accent sur l'identification de mécanismes permettant d'élaborer des projets régionaux et sous-régionaux susceptibles de soutenir la coopération régionale et de combler ces lacunes en matière de développement des capacités dans certaines régions comme l'ECO.</w:t>
      </w:r>
    </w:p>
    <w:p w14:paraId="095BBF36" w14:textId="4C183EB9" w:rsidR="00E36306" w:rsidRPr="00B0443C" w:rsidRDefault="00D95FD7" w:rsidP="00E36306">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kern w:val="22"/>
          <w:szCs w:val="22"/>
          <w:lang w:val="fr-FR"/>
        </w:rPr>
        <w:t>4</w:t>
      </w:r>
      <w:r w:rsidR="00BA5C93" w:rsidRPr="00B0443C">
        <w:rPr>
          <w:rFonts w:cs="Times New Roman"/>
          <w:snapToGrid/>
          <w:kern w:val="22"/>
          <w:szCs w:val="22"/>
          <w:lang w:val="fr-FR"/>
        </w:rPr>
        <w:t>8</w:t>
      </w:r>
      <w:r w:rsidRPr="00B0443C">
        <w:rPr>
          <w:rFonts w:cs="Times New Roman"/>
          <w:snapToGrid/>
          <w:kern w:val="22"/>
          <w:szCs w:val="22"/>
          <w:lang w:val="fr-FR"/>
        </w:rPr>
        <w:t>.</w:t>
      </w:r>
      <w:r w:rsidRPr="00B0443C">
        <w:rPr>
          <w:rFonts w:cs="Times New Roman"/>
          <w:snapToGrid/>
          <w:kern w:val="22"/>
          <w:szCs w:val="22"/>
          <w:lang w:val="fr-FR"/>
        </w:rPr>
        <w:tab/>
      </w:r>
      <w:r w:rsidR="00BA28D2" w:rsidRPr="00BA28D2">
        <w:rPr>
          <w:rFonts w:cs="Times New Roman"/>
          <w:snapToGrid/>
          <w:kern w:val="22"/>
          <w:szCs w:val="22"/>
          <w:lang w:val="fr-FR"/>
        </w:rPr>
        <w:t>Si l'on considère les domaines clés pour la création et le développement des capacités, les domaines clés 3 et 5 continuent à être sous représentés. La même tendance apparaît dans les ressources de renforcement des capacités et de sensibilisation, avec moins de supports développés pour les domaines clés 3 et 5. Lors de la révision du cadre stratégique, il conviendra d'accorder la priorité à l'élaboration d'interventions axées sur le renforcement des capacités de négociation de conditions convenues d'un commun accord et sur le développement de capacités de recherche endogènes.</w:t>
      </w:r>
      <w:r w:rsidR="008E0EBA" w:rsidRPr="00B0443C">
        <w:rPr>
          <w:rFonts w:cs="Times New Roman"/>
          <w:snapToGrid/>
          <w:kern w:val="22"/>
          <w:szCs w:val="22"/>
          <w:lang w:val="fr-FR" w:eastAsia="ko-KR"/>
        </w:rPr>
        <w:t xml:space="preserve"> </w:t>
      </w:r>
    </w:p>
    <w:p w14:paraId="6A99ECE9" w14:textId="198A5EF7" w:rsidR="00000923" w:rsidRPr="00B0443C" w:rsidRDefault="00BA5C93" w:rsidP="00010EB1">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kern w:val="22"/>
          <w:szCs w:val="22"/>
          <w:lang w:val="fr-FR" w:eastAsia="ko-KR"/>
        </w:rPr>
        <w:t>49</w:t>
      </w:r>
      <w:r w:rsidR="00082909" w:rsidRPr="00B0443C">
        <w:rPr>
          <w:rFonts w:cs="Times New Roman"/>
          <w:snapToGrid/>
          <w:kern w:val="22"/>
          <w:szCs w:val="22"/>
          <w:lang w:val="fr-FR" w:eastAsia="ko-KR"/>
        </w:rPr>
        <w:t>.</w:t>
      </w:r>
      <w:r w:rsidR="007632EE" w:rsidRPr="00B0443C">
        <w:rPr>
          <w:rFonts w:cs="Times New Roman"/>
          <w:snapToGrid/>
          <w:kern w:val="22"/>
          <w:szCs w:val="22"/>
          <w:lang w:val="fr-FR" w:eastAsia="ko-KR"/>
        </w:rPr>
        <w:tab/>
      </w:r>
      <w:r w:rsidR="00BA28D2" w:rsidRPr="00BA28D2">
        <w:rPr>
          <w:rFonts w:cs="Times New Roman"/>
          <w:snapToGrid/>
          <w:kern w:val="22"/>
          <w:szCs w:val="22"/>
          <w:lang w:val="fr-FR" w:eastAsia="ko-KR"/>
        </w:rPr>
        <w:t xml:space="preserve">Enfin, les Parties souhaiteront peut-être se pencher sur le manque de ressources liées à l'APA ayant pour objet la formation et l'apprentissage, le suivi et l'évaluation et l'évaluation des besoins en matière de renforcement des capacités, lors de la révision du cadre stratégique </w:t>
      </w:r>
      <w:r w:rsidR="00F272A3">
        <w:rPr>
          <w:rFonts w:cs="Times New Roman"/>
          <w:snapToGrid/>
          <w:kern w:val="22"/>
          <w:szCs w:val="22"/>
          <w:lang w:val="fr-FR" w:eastAsia="ko-KR"/>
        </w:rPr>
        <w:t>pour</w:t>
      </w:r>
      <w:r w:rsidR="00BA28D2" w:rsidRPr="00BA28D2">
        <w:rPr>
          <w:rFonts w:cs="Times New Roman"/>
          <w:snapToGrid/>
          <w:kern w:val="22"/>
          <w:szCs w:val="22"/>
          <w:lang w:val="fr-FR" w:eastAsia="ko-KR"/>
        </w:rPr>
        <w:t xml:space="preserve"> la création et le </w:t>
      </w:r>
      <w:r w:rsidR="00F272A3">
        <w:rPr>
          <w:rFonts w:cs="Times New Roman"/>
          <w:snapToGrid/>
          <w:kern w:val="22"/>
          <w:szCs w:val="22"/>
          <w:lang w:val="fr-FR" w:eastAsia="ko-KR"/>
        </w:rPr>
        <w:t>renforcement</w:t>
      </w:r>
      <w:r w:rsidR="00BA28D2" w:rsidRPr="00BA28D2">
        <w:rPr>
          <w:rFonts w:cs="Times New Roman"/>
          <w:snapToGrid/>
          <w:kern w:val="22"/>
          <w:szCs w:val="22"/>
          <w:lang w:val="fr-FR" w:eastAsia="ko-KR"/>
        </w:rPr>
        <w:t xml:space="preserve"> des capacités </w:t>
      </w:r>
      <w:r w:rsidR="00F272A3">
        <w:rPr>
          <w:rFonts w:cs="Times New Roman"/>
          <w:snapToGrid/>
          <w:kern w:val="22"/>
          <w:szCs w:val="22"/>
          <w:lang w:val="fr-FR" w:eastAsia="ko-KR"/>
        </w:rPr>
        <w:t>en appui à</w:t>
      </w:r>
      <w:r w:rsidR="00BA28D2" w:rsidRPr="00BA28D2">
        <w:rPr>
          <w:rFonts w:cs="Times New Roman"/>
          <w:snapToGrid/>
          <w:kern w:val="22"/>
          <w:szCs w:val="22"/>
          <w:lang w:val="fr-FR" w:eastAsia="ko-KR"/>
        </w:rPr>
        <w:t xml:space="preserve"> l'application effective du Protocole de Nagoya.</w:t>
      </w:r>
      <w:r w:rsidR="00414733" w:rsidRPr="00B0443C">
        <w:rPr>
          <w:rFonts w:cs="Times New Roman"/>
          <w:snapToGrid/>
          <w:kern w:val="22"/>
          <w:szCs w:val="22"/>
          <w:lang w:val="fr-FR" w:eastAsia="ko-KR"/>
        </w:rPr>
        <w:t xml:space="preserve"> </w:t>
      </w:r>
    </w:p>
    <w:p w14:paraId="15B261EE" w14:textId="4022BAA5" w:rsidR="00567FF5" w:rsidRPr="00B0443C" w:rsidRDefault="00F8670A" w:rsidP="00A1070A">
      <w:pPr>
        <w:pStyle w:val="Para1"/>
        <w:keepNext/>
        <w:suppressLineNumbers/>
        <w:tabs>
          <w:tab w:val="left" w:pos="1134"/>
        </w:tabs>
        <w:suppressAutoHyphens/>
        <w:kinsoku w:val="0"/>
        <w:overflowPunct w:val="0"/>
        <w:autoSpaceDE w:val="0"/>
        <w:autoSpaceDN w:val="0"/>
        <w:spacing w:before="240"/>
        <w:ind w:left="1077" w:hanging="720"/>
        <w:jc w:val="left"/>
        <w:outlineLvl w:val="0"/>
        <w:rPr>
          <w:rFonts w:cs="Times New Roman"/>
          <w:b/>
          <w:snapToGrid/>
          <w:kern w:val="22"/>
          <w:szCs w:val="22"/>
          <w:lang w:val="fr-FR" w:eastAsia="ko-KR"/>
        </w:rPr>
      </w:pPr>
      <w:r w:rsidRPr="00B0443C">
        <w:rPr>
          <w:rFonts w:cs="Times New Roman"/>
          <w:b/>
          <w:snapToGrid/>
          <w:kern w:val="22"/>
          <w:szCs w:val="22"/>
          <w:lang w:val="fr-FR" w:eastAsia="ko-KR"/>
        </w:rPr>
        <w:t>IV.</w:t>
      </w:r>
      <w:r w:rsidRPr="00B0443C">
        <w:rPr>
          <w:rFonts w:cs="Times New Roman"/>
          <w:b/>
          <w:snapToGrid/>
          <w:kern w:val="22"/>
          <w:szCs w:val="22"/>
          <w:lang w:val="fr-FR" w:eastAsia="ko-KR"/>
        </w:rPr>
        <w:tab/>
      </w:r>
      <w:r w:rsidR="00391DC4" w:rsidRPr="00391DC4">
        <w:rPr>
          <w:rFonts w:cs="Times New Roman"/>
          <w:b/>
          <w:snapToGrid/>
          <w:kern w:val="22"/>
          <w:szCs w:val="22"/>
          <w:lang w:val="fr-FR" w:eastAsia="ko-KR"/>
        </w:rPr>
        <w:t>COMITÉ CONSULTATIF INFORMEL SUR LE DÉVELOPPEMENT DES CAPACITÉS POUR LA MISE EN ŒUVRE DU PROTOCOLE DE NAGOYA</w:t>
      </w:r>
    </w:p>
    <w:p w14:paraId="7763A8B8" w14:textId="5B490008" w:rsidR="00AE7304" w:rsidRPr="00B0443C" w:rsidRDefault="00663B9A">
      <w:pPr>
        <w:pStyle w:val="Para1"/>
        <w:pBdr>
          <w:top w:val="nil"/>
          <w:left w:val="nil"/>
          <w:bottom w:val="nil"/>
          <w:right w:val="nil"/>
          <w:between w:val="nil"/>
          <w:bar w:val="nil"/>
        </w:pBdr>
        <w:spacing w:before="120"/>
        <w:rPr>
          <w:rFonts w:cs="Times New Roman"/>
          <w:snapToGrid/>
          <w:kern w:val="22"/>
          <w:szCs w:val="22"/>
          <w:lang w:val="fr-FR"/>
        </w:rPr>
      </w:pPr>
      <w:r w:rsidRPr="00B0443C">
        <w:rPr>
          <w:rFonts w:cs="Times New Roman"/>
          <w:snapToGrid/>
          <w:color w:val="000000"/>
          <w:kern w:val="22"/>
          <w:szCs w:val="22"/>
          <w:lang w:val="fr-FR"/>
        </w:rPr>
        <w:t>5</w:t>
      </w:r>
      <w:r w:rsidR="00BA5C93" w:rsidRPr="00B0443C">
        <w:rPr>
          <w:rFonts w:cs="Times New Roman"/>
          <w:snapToGrid/>
          <w:color w:val="000000"/>
          <w:kern w:val="22"/>
          <w:szCs w:val="22"/>
          <w:lang w:val="fr-FR"/>
        </w:rPr>
        <w:t>0</w:t>
      </w:r>
      <w:r w:rsidR="00F8670A" w:rsidRPr="00B0443C">
        <w:rPr>
          <w:rFonts w:cs="Times New Roman"/>
          <w:snapToGrid/>
          <w:color w:val="000000"/>
          <w:kern w:val="22"/>
          <w:szCs w:val="22"/>
          <w:lang w:val="fr-FR"/>
        </w:rPr>
        <w:t>.</w:t>
      </w:r>
      <w:r w:rsidR="00F8670A" w:rsidRPr="00B0443C">
        <w:rPr>
          <w:rFonts w:cs="Times New Roman"/>
          <w:snapToGrid/>
          <w:color w:val="000000"/>
          <w:kern w:val="22"/>
          <w:szCs w:val="22"/>
          <w:lang w:val="fr-FR"/>
        </w:rPr>
        <w:tab/>
      </w:r>
      <w:r w:rsidR="00391DC4" w:rsidRPr="00391DC4">
        <w:rPr>
          <w:rFonts w:cs="Times New Roman"/>
          <w:snapToGrid/>
          <w:kern w:val="22"/>
          <w:szCs w:val="22"/>
          <w:lang w:val="fr-FR"/>
        </w:rPr>
        <w:t>En vertu de la décision NP-3/5, la quatrième réunion du Comité consultatif informel sur le développement des capacités pour l'application du Protocole s'est tenue à Montréal (Canada), du 29 au 31 octobre 2019. Le rapport du Comité est disponible sous la cote CBD/ABS/CB-IAC/2019/1/4.</w:t>
      </w:r>
    </w:p>
    <w:p w14:paraId="454CA310" w14:textId="5528679E" w:rsidR="00AE7304" w:rsidRPr="00B0443C" w:rsidRDefault="00E8060D">
      <w:pPr>
        <w:pStyle w:val="Para1"/>
        <w:pBdr>
          <w:top w:val="nil"/>
          <w:left w:val="nil"/>
          <w:bottom w:val="nil"/>
          <w:right w:val="nil"/>
          <w:between w:val="nil"/>
          <w:bar w:val="nil"/>
        </w:pBdr>
        <w:spacing w:before="120"/>
        <w:rPr>
          <w:rFonts w:cs="Times New Roman"/>
          <w:snapToGrid/>
          <w:kern w:val="22"/>
          <w:szCs w:val="22"/>
          <w:lang w:val="fr-FR"/>
        </w:rPr>
      </w:pPr>
      <w:r w:rsidRPr="00B0443C">
        <w:rPr>
          <w:rFonts w:cs="Times New Roman"/>
          <w:snapToGrid/>
          <w:color w:val="000000"/>
          <w:kern w:val="22"/>
          <w:szCs w:val="22"/>
          <w:lang w:val="fr-FR"/>
        </w:rPr>
        <w:t>5</w:t>
      </w:r>
      <w:r w:rsidR="00BA5C93" w:rsidRPr="00B0443C">
        <w:rPr>
          <w:rFonts w:cs="Times New Roman"/>
          <w:snapToGrid/>
          <w:color w:val="000000"/>
          <w:kern w:val="22"/>
          <w:szCs w:val="22"/>
          <w:lang w:val="fr-FR"/>
        </w:rPr>
        <w:t>1</w:t>
      </w:r>
      <w:r w:rsidR="00F8670A" w:rsidRPr="00B0443C">
        <w:rPr>
          <w:rFonts w:cs="Times New Roman"/>
          <w:snapToGrid/>
          <w:color w:val="000000"/>
          <w:kern w:val="22"/>
          <w:szCs w:val="22"/>
          <w:lang w:val="fr-FR"/>
        </w:rPr>
        <w:t>.</w:t>
      </w:r>
      <w:r w:rsidR="00F8670A" w:rsidRPr="00B0443C">
        <w:rPr>
          <w:rFonts w:cs="Times New Roman"/>
          <w:snapToGrid/>
          <w:color w:val="000000"/>
          <w:kern w:val="22"/>
          <w:szCs w:val="22"/>
          <w:lang w:val="fr-FR"/>
        </w:rPr>
        <w:tab/>
      </w:r>
      <w:r w:rsidR="005A3A89" w:rsidRPr="005A3A89">
        <w:rPr>
          <w:rFonts w:cs="Times New Roman"/>
          <w:snapToGrid/>
          <w:kern w:val="22"/>
          <w:szCs w:val="22"/>
          <w:lang w:val="fr-FR"/>
        </w:rPr>
        <w:t xml:space="preserve">Le Comité consultatif informel a examiné une mise à jour des initiatives et ressources existantes en matière de développement des capacités à l'appui de l'application du Protocole de Nagoya. Les participants ont également partagé des informations sur les initiatives et les ressources en cours d'élaboration et ont discuté des moyens d'améliorer le partage d'informations sur </w:t>
      </w:r>
      <w:r w:rsidR="00A72581" w:rsidRPr="005A3A89">
        <w:rPr>
          <w:rFonts w:cs="Times New Roman"/>
          <w:snapToGrid/>
          <w:kern w:val="22"/>
          <w:szCs w:val="22"/>
          <w:lang w:val="fr-FR"/>
        </w:rPr>
        <w:t>la création</w:t>
      </w:r>
      <w:r w:rsidR="005A3A89" w:rsidRPr="005A3A89">
        <w:rPr>
          <w:rFonts w:cs="Times New Roman"/>
          <w:snapToGrid/>
          <w:kern w:val="22"/>
          <w:szCs w:val="22"/>
          <w:lang w:val="fr-FR"/>
        </w:rPr>
        <w:t xml:space="preserve"> et le développement des capacités par le biais du Centre d'échange sur l'APA. En outre, le Comité consultatif informel a formulé des commentaires et des recommandations sur les résultats préliminaires de l'évaluation du cadre stratégique pour la création et le </w:t>
      </w:r>
      <w:r w:rsidR="00F272A3">
        <w:rPr>
          <w:rFonts w:cs="Times New Roman"/>
          <w:snapToGrid/>
          <w:kern w:val="22"/>
          <w:szCs w:val="22"/>
          <w:lang w:val="fr-FR"/>
        </w:rPr>
        <w:t>renforcement</w:t>
      </w:r>
      <w:r w:rsidR="005A3A89" w:rsidRPr="005A3A89">
        <w:rPr>
          <w:rFonts w:cs="Times New Roman"/>
          <w:snapToGrid/>
          <w:kern w:val="22"/>
          <w:szCs w:val="22"/>
          <w:lang w:val="fr-FR"/>
        </w:rPr>
        <w:t xml:space="preserve"> des capacités </w:t>
      </w:r>
      <w:r w:rsidR="00F272A3">
        <w:rPr>
          <w:rFonts w:cs="Times New Roman"/>
          <w:snapToGrid/>
          <w:kern w:val="22"/>
          <w:szCs w:val="22"/>
          <w:lang w:val="fr-FR"/>
        </w:rPr>
        <w:t>en appui à</w:t>
      </w:r>
      <w:r w:rsidR="005A3A89" w:rsidRPr="005A3A89">
        <w:rPr>
          <w:rFonts w:cs="Times New Roman"/>
          <w:snapToGrid/>
          <w:kern w:val="22"/>
          <w:szCs w:val="22"/>
          <w:lang w:val="fr-FR"/>
        </w:rPr>
        <w:t xml:space="preserve"> l'application effective du Protocole de Nagoya.</w:t>
      </w:r>
    </w:p>
    <w:p w14:paraId="48540DEF" w14:textId="70AC0E74" w:rsidR="00CD4A0E" w:rsidRPr="00B0443C" w:rsidRDefault="00993F52" w:rsidP="00010EB1">
      <w:pPr>
        <w:pStyle w:val="Para1"/>
        <w:pBdr>
          <w:top w:val="nil"/>
          <w:left w:val="nil"/>
          <w:bottom w:val="nil"/>
          <w:right w:val="nil"/>
          <w:between w:val="nil"/>
          <w:bar w:val="nil"/>
        </w:pBdr>
        <w:spacing w:before="120"/>
        <w:rPr>
          <w:rFonts w:cs="Times New Roman"/>
          <w:snapToGrid/>
          <w:kern w:val="22"/>
          <w:szCs w:val="22"/>
          <w:lang w:val="fr-FR" w:eastAsia="ko-KR"/>
        </w:rPr>
      </w:pPr>
      <w:r w:rsidRPr="00B0443C">
        <w:rPr>
          <w:rFonts w:cs="Times New Roman"/>
          <w:snapToGrid/>
          <w:color w:val="000000"/>
          <w:kern w:val="22"/>
          <w:szCs w:val="22"/>
          <w:lang w:val="fr-FR" w:eastAsia="ko-KR"/>
        </w:rPr>
        <w:t>5</w:t>
      </w:r>
      <w:r w:rsidR="00BA5C93" w:rsidRPr="00B0443C">
        <w:rPr>
          <w:rFonts w:cs="Times New Roman"/>
          <w:snapToGrid/>
          <w:color w:val="000000"/>
          <w:kern w:val="22"/>
          <w:szCs w:val="22"/>
          <w:lang w:val="fr-FR" w:eastAsia="ko-KR"/>
        </w:rPr>
        <w:t>2</w:t>
      </w:r>
      <w:r w:rsidR="00F8670A" w:rsidRPr="00B0443C">
        <w:rPr>
          <w:rFonts w:cs="Times New Roman"/>
          <w:snapToGrid/>
          <w:color w:val="000000"/>
          <w:kern w:val="22"/>
          <w:szCs w:val="22"/>
          <w:lang w:val="fr-FR" w:eastAsia="ko-KR"/>
        </w:rPr>
        <w:t>.</w:t>
      </w:r>
      <w:r w:rsidR="00F8670A" w:rsidRPr="00B0443C">
        <w:rPr>
          <w:rFonts w:cs="Times New Roman"/>
          <w:snapToGrid/>
          <w:color w:val="000000"/>
          <w:kern w:val="22"/>
          <w:szCs w:val="22"/>
          <w:lang w:val="fr-FR" w:eastAsia="ko-KR"/>
        </w:rPr>
        <w:tab/>
      </w:r>
      <w:r w:rsidR="0055573C" w:rsidRPr="0055573C">
        <w:rPr>
          <w:rFonts w:cs="Times New Roman"/>
          <w:snapToGrid/>
          <w:color w:val="000000"/>
          <w:kern w:val="22"/>
          <w:szCs w:val="22"/>
          <w:lang w:val="fr-FR" w:eastAsia="ko-KR"/>
        </w:rPr>
        <w:t xml:space="preserve">Enfin, le Comité a également fourni un retour d'information sur la </w:t>
      </w:r>
      <w:hyperlink r:id="rId30" w:history="1">
        <w:r w:rsidR="0055573C" w:rsidRPr="0055573C">
          <w:rPr>
            <w:rStyle w:val="Lienhypertexte"/>
            <w:rFonts w:cs="Times New Roman"/>
            <w:i/>
            <w:iCs/>
            <w:snapToGrid/>
            <w:kern w:val="22"/>
            <w:szCs w:val="22"/>
            <w:lang w:val="fr-FR" w:eastAsia="ko-KR"/>
          </w:rPr>
          <w:t>Boîte à outils pour la CESP - Incluant des considérations sur l'accès et le partage des avantages</w:t>
        </w:r>
      </w:hyperlink>
      <w:r w:rsidR="0055573C" w:rsidRPr="00B0443C">
        <w:rPr>
          <w:rStyle w:val="Appelnotedebasdep"/>
          <w:rFonts w:cs="Times New Roman"/>
          <w:iCs/>
          <w:snapToGrid/>
          <w:kern w:val="22"/>
          <w:szCs w:val="22"/>
          <w:lang w:val="fr-FR"/>
        </w:rPr>
        <w:footnoteReference w:id="21"/>
      </w:r>
      <w:r w:rsidR="0055573C" w:rsidRPr="0055573C">
        <w:rPr>
          <w:rFonts w:cs="Times New Roman"/>
          <w:snapToGrid/>
          <w:color w:val="000000"/>
          <w:kern w:val="22"/>
          <w:szCs w:val="22"/>
          <w:lang w:val="fr-FR" w:eastAsia="ko-KR"/>
        </w:rPr>
        <w:t>, et a formulé des recommandations pour son amélioration.</w:t>
      </w:r>
    </w:p>
    <w:p w14:paraId="4EDA2756" w14:textId="307A44BC" w:rsidR="0071217F" w:rsidRPr="00B0443C" w:rsidRDefault="00F8670A" w:rsidP="00A1070A">
      <w:pPr>
        <w:pStyle w:val="Para1"/>
        <w:keepNext/>
        <w:keepLines/>
        <w:suppressLineNumbers/>
        <w:tabs>
          <w:tab w:val="left" w:pos="1134"/>
        </w:tabs>
        <w:suppressAutoHyphens/>
        <w:kinsoku w:val="0"/>
        <w:overflowPunct w:val="0"/>
        <w:autoSpaceDE w:val="0"/>
        <w:autoSpaceDN w:val="0"/>
        <w:spacing w:before="240"/>
        <w:ind w:left="1077" w:hanging="720"/>
        <w:jc w:val="left"/>
        <w:outlineLvl w:val="0"/>
        <w:rPr>
          <w:rFonts w:cs="Times New Roman"/>
          <w:b/>
          <w:snapToGrid/>
          <w:kern w:val="22"/>
          <w:szCs w:val="22"/>
          <w:lang w:val="fr-FR" w:eastAsia="ko-KR"/>
        </w:rPr>
      </w:pPr>
      <w:r w:rsidRPr="00B0443C">
        <w:rPr>
          <w:rFonts w:cs="Times New Roman"/>
          <w:b/>
          <w:snapToGrid/>
          <w:kern w:val="22"/>
          <w:szCs w:val="22"/>
          <w:lang w:val="fr-FR" w:eastAsia="ko-KR"/>
        </w:rPr>
        <w:lastRenderedPageBreak/>
        <w:t>V.</w:t>
      </w:r>
      <w:r w:rsidRPr="00B0443C">
        <w:rPr>
          <w:rFonts w:cs="Times New Roman"/>
          <w:b/>
          <w:snapToGrid/>
          <w:kern w:val="22"/>
          <w:szCs w:val="22"/>
          <w:lang w:val="fr-FR" w:eastAsia="ko-KR"/>
        </w:rPr>
        <w:tab/>
      </w:r>
      <w:r w:rsidR="008A3A61" w:rsidRPr="008A3A61">
        <w:rPr>
          <w:rFonts w:cs="Times New Roman"/>
          <w:b/>
          <w:snapToGrid/>
          <w:kern w:val="22"/>
          <w:szCs w:val="22"/>
          <w:lang w:val="fr-FR" w:eastAsia="ko-KR"/>
        </w:rPr>
        <w:t>RÉSUMÉ DU RETOUR D'INFORMATION SUR LA BOÎTE À OUTILS SUR LA SENSIBILISATION EN MATIÈRE D'ACCÈS ET DE PARTAGE DES AVANTAGES ET MISE À JOUR DES ACTIONS ENTREPRISES PAR LES PARTIES ET LES ACTEURS CONCERNÉS POUR METTRE EN ŒUVRE LA STRATÉGIE DE SENSIBILISATION</w:t>
      </w:r>
    </w:p>
    <w:p w14:paraId="4DFCC2C2" w14:textId="0615AFD1" w:rsidR="00A058E8" w:rsidRPr="00B0443C" w:rsidRDefault="00140887" w:rsidP="009123C3">
      <w:pPr>
        <w:pStyle w:val="Para1"/>
        <w:pBdr>
          <w:top w:val="nil"/>
          <w:left w:val="nil"/>
          <w:bottom w:val="nil"/>
          <w:right w:val="nil"/>
          <w:between w:val="nil"/>
          <w:bar w:val="nil"/>
        </w:pBdr>
        <w:spacing w:before="120"/>
        <w:rPr>
          <w:lang w:val="fr-FR"/>
        </w:rPr>
      </w:pPr>
      <w:r w:rsidRPr="00B0443C">
        <w:rPr>
          <w:rFonts w:cs="Times New Roman"/>
          <w:color w:val="000000"/>
          <w:szCs w:val="22"/>
          <w:lang w:val="fr-FR"/>
        </w:rPr>
        <w:t>5</w:t>
      </w:r>
      <w:r w:rsidR="00BA5C93" w:rsidRPr="00B0443C">
        <w:rPr>
          <w:rFonts w:cs="Times New Roman"/>
          <w:color w:val="000000"/>
          <w:szCs w:val="22"/>
          <w:lang w:val="fr-FR"/>
        </w:rPr>
        <w:t>3</w:t>
      </w:r>
      <w:r w:rsidR="00F8670A" w:rsidRPr="00B0443C">
        <w:rPr>
          <w:rFonts w:cs="Times New Roman"/>
          <w:color w:val="000000"/>
          <w:szCs w:val="22"/>
          <w:lang w:val="fr-FR"/>
        </w:rPr>
        <w:t>.</w:t>
      </w:r>
      <w:r w:rsidR="00F8670A" w:rsidRPr="00B0443C">
        <w:rPr>
          <w:rFonts w:cs="Times New Roman"/>
          <w:color w:val="000000"/>
          <w:szCs w:val="22"/>
          <w:lang w:val="fr-FR"/>
        </w:rPr>
        <w:tab/>
      </w:r>
      <w:r w:rsidR="009A2AC3" w:rsidRPr="009A2AC3">
        <w:rPr>
          <w:lang w:val="fr-FR"/>
        </w:rPr>
        <w:t>Dans la décision NP-3/6, relative à l'article 21, la Secrétaire exécutive a été priée de chercher à obtenir des retours d'information des Parties, des États non Parties et des autres acteurs concernés sur la boîte à outils sur la sensibilisation en matière d'accès et de partage des avantages et de présenter une mise à jour sur les progrès accomplis dans la mise en œuvre de la stratégie de sensibilisation pour examen par la Conférence des Parties siégeant en tant que réunion des Parties au Protocole de Nagoya.</w:t>
      </w:r>
      <w:r w:rsidR="00B17D20" w:rsidRPr="00B0443C">
        <w:rPr>
          <w:lang w:val="fr-FR"/>
        </w:rPr>
        <w:t xml:space="preserve"> </w:t>
      </w:r>
    </w:p>
    <w:p w14:paraId="0B26A131" w14:textId="25F90DBE" w:rsidR="0055573C" w:rsidRDefault="203A6A2D" w:rsidP="008D0D1A">
      <w:pPr>
        <w:pStyle w:val="Para1"/>
        <w:pBdr>
          <w:top w:val="nil"/>
          <w:left w:val="nil"/>
          <w:bottom w:val="nil"/>
          <w:right w:val="nil"/>
          <w:between w:val="nil"/>
          <w:bar w:val="nil"/>
        </w:pBdr>
        <w:spacing w:before="120"/>
        <w:rPr>
          <w:lang w:val="fr-FR"/>
        </w:rPr>
      </w:pPr>
      <w:r w:rsidRPr="00B0443C">
        <w:rPr>
          <w:lang w:val="fr-FR"/>
        </w:rPr>
        <w:t>5</w:t>
      </w:r>
      <w:r w:rsidR="00BA5C93" w:rsidRPr="00B0443C">
        <w:rPr>
          <w:lang w:val="fr-FR"/>
        </w:rPr>
        <w:t>4</w:t>
      </w:r>
      <w:r w:rsidR="0E8FF351" w:rsidRPr="00B0443C">
        <w:rPr>
          <w:lang w:val="fr-FR"/>
        </w:rPr>
        <w:t>.</w:t>
      </w:r>
      <w:r w:rsidR="002A20EF" w:rsidRPr="00B0443C">
        <w:rPr>
          <w:lang w:val="fr-FR"/>
        </w:rPr>
        <w:tab/>
      </w:r>
      <w:r w:rsidR="0055573C" w:rsidRPr="0055573C">
        <w:rPr>
          <w:lang w:val="fr-FR"/>
        </w:rPr>
        <w:t xml:space="preserve">En réponse à cette demande, une invitation à partager des informations sur le développement des capacités et la sensibilisation </w:t>
      </w:r>
      <w:r w:rsidR="00E6254F">
        <w:rPr>
          <w:lang w:val="fr-FR"/>
        </w:rPr>
        <w:t>vis-à-vis du</w:t>
      </w:r>
      <w:r w:rsidR="0055573C" w:rsidRPr="0055573C">
        <w:rPr>
          <w:lang w:val="fr-FR"/>
        </w:rPr>
        <w:t xml:space="preserve"> Protocole de Nagoya </w:t>
      </w:r>
      <w:r w:rsidR="00E6254F">
        <w:rPr>
          <w:lang w:val="fr-FR"/>
        </w:rPr>
        <w:t>ainsi qu’</w:t>
      </w:r>
      <w:r w:rsidR="0055573C" w:rsidRPr="0055573C">
        <w:rPr>
          <w:lang w:val="fr-FR"/>
        </w:rPr>
        <w:t xml:space="preserve">à fournir des commentaires sur la boîte à outils </w:t>
      </w:r>
      <w:r w:rsidR="007A5B3A">
        <w:rPr>
          <w:lang w:val="fr-FR"/>
        </w:rPr>
        <w:t>pour</w:t>
      </w:r>
      <w:r w:rsidR="0055573C" w:rsidRPr="0055573C">
        <w:rPr>
          <w:lang w:val="fr-FR"/>
        </w:rPr>
        <w:t xml:space="preserve"> la CESP a été envoyée </w:t>
      </w:r>
      <w:r w:rsidR="00E6254F">
        <w:rPr>
          <w:lang w:val="fr-FR"/>
        </w:rPr>
        <w:t>au moyen</w:t>
      </w:r>
      <w:r w:rsidR="0055573C" w:rsidRPr="0055573C">
        <w:rPr>
          <w:lang w:val="fr-FR"/>
        </w:rPr>
        <w:t xml:space="preserve"> de la notification </w:t>
      </w:r>
      <w:hyperlink r:id="rId31" w:history="1">
        <w:r w:rsidR="0055573C" w:rsidRPr="00B0443C">
          <w:rPr>
            <w:rStyle w:val="Lienhypertexte"/>
            <w:lang w:val="fr-FR"/>
          </w:rPr>
          <w:t>89605</w:t>
        </w:r>
      </w:hyperlink>
      <w:r w:rsidR="0055573C">
        <w:rPr>
          <w:lang w:val="fr-FR"/>
        </w:rPr>
        <w:t>.</w:t>
      </w:r>
      <w:r w:rsidR="00F82F08">
        <w:rPr>
          <w:lang w:val="fr-FR"/>
        </w:rPr>
        <w:t xml:space="preserve"> </w:t>
      </w:r>
      <w:r w:rsidR="0055573C" w:rsidRPr="0055573C">
        <w:rPr>
          <w:lang w:val="fr-FR"/>
        </w:rPr>
        <w:t xml:space="preserve">La section suivante présente les principaux éléments rassemblés dans le cadre d'une enquête visant à recueillir des commentaires sur la </w:t>
      </w:r>
      <w:r w:rsidR="007A5B3A">
        <w:rPr>
          <w:i/>
          <w:iCs/>
          <w:lang w:val="fr-FR"/>
        </w:rPr>
        <w:t>B</w:t>
      </w:r>
      <w:r w:rsidR="0055573C" w:rsidRPr="007A5B3A">
        <w:rPr>
          <w:i/>
          <w:iCs/>
          <w:lang w:val="fr-FR"/>
        </w:rPr>
        <w:t>oîte</w:t>
      </w:r>
      <w:r w:rsidR="0055573C" w:rsidRPr="0055573C">
        <w:rPr>
          <w:i/>
          <w:iCs/>
          <w:lang w:val="fr-FR"/>
        </w:rPr>
        <w:t xml:space="preserve"> à outils </w:t>
      </w:r>
      <w:r w:rsidR="007A5B3A">
        <w:rPr>
          <w:i/>
          <w:iCs/>
          <w:lang w:val="fr-FR"/>
        </w:rPr>
        <w:t>pour</w:t>
      </w:r>
      <w:r w:rsidR="0055573C" w:rsidRPr="0055573C">
        <w:rPr>
          <w:i/>
          <w:iCs/>
          <w:lang w:val="fr-FR"/>
        </w:rPr>
        <w:t xml:space="preserve"> la CESP - </w:t>
      </w:r>
      <w:r w:rsidR="00064944">
        <w:rPr>
          <w:i/>
          <w:iCs/>
          <w:lang w:val="fr-FR"/>
        </w:rPr>
        <w:t>Incluant</w:t>
      </w:r>
      <w:r w:rsidR="0055573C" w:rsidRPr="0055573C">
        <w:rPr>
          <w:i/>
          <w:iCs/>
          <w:lang w:val="fr-FR"/>
        </w:rPr>
        <w:t xml:space="preserve"> les considérations relatives à l'accès et au partage des avantages</w:t>
      </w:r>
      <w:r w:rsidR="0055573C" w:rsidRPr="0055573C">
        <w:rPr>
          <w:lang w:val="fr-FR"/>
        </w:rPr>
        <w:t>, et propose des recommandations pour son amélioration, ainsi qu'une mise à jour des mesures prises depuis 2019 pour mettre en œuvre la stratégie de sensibilisation. Un rapport plus détaillé sur les résultats de l'enquête est fourni dans le document CBD/NP/MOP/4/INF/3.</w:t>
      </w:r>
      <w:r w:rsidR="00CB2ABD">
        <w:rPr>
          <w:lang w:val="fr-FR"/>
        </w:rPr>
        <w:t xml:space="preserve"> </w:t>
      </w:r>
    </w:p>
    <w:p w14:paraId="3A9A3BED" w14:textId="2762F8EF" w:rsidR="00907E6B" w:rsidRPr="00B0443C" w:rsidRDefault="0095451F" w:rsidP="00907E6B">
      <w:pPr>
        <w:pStyle w:val="Para1"/>
        <w:pBdr>
          <w:top w:val="nil"/>
          <w:left w:val="nil"/>
          <w:bottom w:val="nil"/>
          <w:right w:val="nil"/>
          <w:between w:val="nil"/>
          <w:bar w:val="nil"/>
        </w:pBdr>
        <w:spacing w:before="120"/>
        <w:rPr>
          <w:lang w:val="fr-FR"/>
        </w:rPr>
      </w:pPr>
      <w:r w:rsidRPr="00B0443C">
        <w:rPr>
          <w:lang w:val="fr-FR"/>
        </w:rPr>
        <w:t>5</w:t>
      </w:r>
      <w:r w:rsidR="00BA5C93" w:rsidRPr="00B0443C">
        <w:rPr>
          <w:lang w:val="fr-FR"/>
        </w:rPr>
        <w:t>5</w:t>
      </w:r>
      <w:r w:rsidRPr="00B0443C">
        <w:rPr>
          <w:lang w:val="fr-FR"/>
        </w:rPr>
        <w:t>.</w:t>
      </w:r>
      <w:r w:rsidRPr="00B0443C">
        <w:rPr>
          <w:lang w:val="fr-FR"/>
        </w:rPr>
        <w:tab/>
      </w:r>
      <w:r w:rsidR="00CB2ABD" w:rsidRPr="00CB2ABD">
        <w:rPr>
          <w:lang w:val="fr-FR"/>
        </w:rPr>
        <w:t xml:space="preserve">En tout, nous avons reçu 29 réponses à l'enquête, dont 18 se présentaient comme des Parties, 5 comme d'autres gouvernements (non-Parties au Protocole de Nagoya), 2 comme des peuples autochtones et communautés locales, 3 comme des organisations internationales et 1 comme une </w:t>
      </w:r>
      <w:r w:rsidR="009F5576" w:rsidRPr="00CB2ABD">
        <w:rPr>
          <w:lang w:val="fr-FR"/>
        </w:rPr>
        <w:t>institution</w:t>
      </w:r>
      <w:r w:rsidR="00CB2ABD" w:rsidRPr="00CB2ABD">
        <w:rPr>
          <w:lang w:val="fr-FR"/>
        </w:rPr>
        <w:t xml:space="preserve"> universitaire.  Étant donné le nombre limité de Parties ayant répondu au questionnaire, les résultats peuvent ne pas être représentatifs, notamment en ce qui concerne les progrès réalisés dans la mise en œuvre des stratégies de sensibilisation. Des contributions supplémentaires seraient nécessaires pour obtenir une image plus précise de la situation.</w:t>
      </w:r>
      <w:r w:rsidR="00CB2ABD">
        <w:rPr>
          <w:lang w:val="fr-FR"/>
        </w:rPr>
        <w:t xml:space="preserve"> </w:t>
      </w:r>
    </w:p>
    <w:p w14:paraId="7709C291" w14:textId="52C0E65B" w:rsidR="00F511E4" w:rsidRPr="00B0443C" w:rsidRDefault="00EF32CA" w:rsidP="008D0D1A">
      <w:pPr>
        <w:pStyle w:val="Para1"/>
        <w:pBdr>
          <w:top w:val="nil"/>
          <w:left w:val="nil"/>
          <w:bottom w:val="nil"/>
          <w:right w:val="nil"/>
          <w:between w:val="nil"/>
          <w:bar w:val="nil"/>
        </w:pBdr>
        <w:spacing w:before="120"/>
        <w:rPr>
          <w:lang w:val="fr-FR"/>
        </w:rPr>
      </w:pPr>
      <w:r w:rsidRPr="00B0443C">
        <w:rPr>
          <w:lang w:val="fr-FR"/>
        </w:rPr>
        <w:t>5</w:t>
      </w:r>
      <w:r w:rsidR="00BA5C93" w:rsidRPr="00B0443C">
        <w:rPr>
          <w:lang w:val="fr-FR"/>
        </w:rPr>
        <w:t>6</w:t>
      </w:r>
      <w:r w:rsidRPr="00B0443C">
        <w:rPr>
          <w:lang w:val="fr-FR"/>
        </w:rPr>
        <w:t>.</w:t>
      </w:r>
      <w:r w:rsidRPr="00B0443C">
        <w:rPr>
          <w:lang w:val="fr-FR"/>
        </w:rPr>
        <w:tab/>
      </w:r>
      <w:r w:rsidR="009F5576" w:rsidRPr="009F5576">
        <w:rPr>
          <w:lang w:val="fr-FR"/>
        </w:rPr>
        <w:t>La plupart des participants (62</w:t>
      </w:r>
      <w:r w:rsidR="00A849F6">
        <w:rPr>
          <w:lang w:val="fr-FR"/>
        </w:rPr>
        <w:t> </w:t>
      </w:r>
      <w:r w:rsidR="009F5576" w:rsidRPr="009F5576">
        <w:rPr>
          <w:lang w:val="fr-FR"/>
        </w:rPr>
        <w:t xml:space="preserve">%) se sont déclarés très satisfaits de la boîte à outils élaborée par le </w:t>
      </w:r>
      <w:r w:rsidR="009E0E6E">
        <w:rPr>
          <w:lang w:val="fr-FR"/>
        </w:rPr>
        <w:t>S</w:t>
      </w:r>
      <w:r w:rsidR="009F5576" w:rsidRPr="009F5576">
        <w:rPr>
          <w:lang w:val="fr-FR"/>
        </w:rPr>
        <w:t>ecrétariat. En outre, 52</w:t>
      </w:r>
      <w:r w:rsidR="00A849F6">
        <w:rPr>
          <w:lang w:val="fr-FR"/>
        </w:rPr>
        <w:t> </w:t>
      </w:r>
      <w:r w:rsidR="009F5576" w:rsidRPr="009F5576">
        <w:rPr>
          <w:lang w:val="fr-FR"/>
        </w:rPr>
        <w:t>% étaient tout à fait d'accord pour dire que la boîte à outils était utile à leur travail, tandis que 31</w:t>
      </w:r>
      <w:r w:rsidR="00A849F6">
        <w:rPr>
          <w:lang w:val="fr-FR"/>
        </w:rPr>
        <w:t> </w:t>
      </w:r>
      <w:r w:rsidR="009F5576" w:rsidRPr="009F5576">
        <w:rPr>
          <w:lang w:val="fr-FR"/>
        </w:rPr>
        <w:t>% étaient plutôt d'accord pour dire que la boîte à outils était utile à leur travail. Les utilisations les plus courantes de la boîte à outils sont la conception d'activités de sensibilisation à l'APA (45</w:t>
      </w:r>
      <w:r w:rsidR="00A849F6">
        <w:rPr>
          <w:lang w:val="fr-FR"/>
        </w:rPr>
        <w:t> </w:t>
      </w:r>
      <w:r w:rsidR="009F5576" w:rsidRPr="009F5576">
        <w:rPr>
          <w:lang w:val="fr-FR"/>
        </w:rPr>
        <w:t>% des participants) et la formation et le développement des capacités (41</w:t>
      </w:r>
      <w:r w:rsidR="00A849F6">
        <w:rPr>
          <w:lang w:val="fr-FR"/>
        </w:rPr>
        <w:t> </w:t>
      </w:r>
      <w:r w:rsidR="009F5576" w:rsidRPr="009F5576">
        <w:rPr>
          <w:lang w:val="fr-FR"/>
        </w:rPr>
        <w:t>% des participants). Environ 3</w:t>
      </w:r>
      <w:r w:rsidR="00A849F6">
        <w:rPr>
          <w:lang w:val="fr-FR"/>
        </w:rPr>
        <w:t>1 %</w:t>
      </w:r>
      <w:r w:rsidR="009F5576" w:rsidRPr="009F5576">
        <w:rPr>
          <w:lang w:val="fr-FR"/>
        </w:rPr>
        <w:t xml:space="preserve"> des participants ont indiqué qu'ils n'avaient pas utilisé la boîte à outils. Enfin, 45</w:t>
      </w:r>
      <w:r w:rsidR="00A849F6">
        <w:rPr>
          <w:lang w:val="fr-FR"/>
        </w:rPr>
        <w:t xml:space="preserve"> % </w:t>
      </w:r>
      <w:r w:rsidR="009F5576" w:rsidRPr="009F5576">
        <w:rPr>
          <w:lang w:val="fr-FR"/>
        </w:rPr>
        <w:t>des participants ont indiqué qu'ils avaient élaboré des documents de sensibilisation qui pourraient être intégrés dans la section Ressources de la boîte à outils.</w:t>
      </w:r>
    </w:p>
    <w:p w14:paraId="009381B4" w14:textId="04FF4643" w:rsidR="00F728EF" w:rsidRPr="00B0443C" w:rsidRDefault="00426002" w:rsidP="008017B6">
      <w:pPr>
        <w:pStyle w:val="Para1"/>
        <w:pBdr>
          <w:top w:val="nil"/>
          <w:left w:val="nil"/>
          <w:bottom w:val="nil"/>
          <w:right w:val="nil"/>
          <w:between w:val="nil"/>
          <w:bar w:val="nil"/>
        </w:pBdr>
        <w:spacing w:before="120"/>
        <w:rPr>
          <w:lang w:val="fr-FR"/>
        </w:rPr>
      </w:pPr>
      <w:r w:rsidRPr="00B0443C">
        <w:rPr>
          <w:lang w:val="fr-FR"/>
        </w:rPr>
        <w:t>5</w:t>
      </w:r>
      <w:r w:rsidR="00BA5C93" w:rsidRPr="00B0443C">
        <w:rPr>
          <w:lang w:val="fr-FR"/>
        </w:rPr>
        <w:t>7</w:t>
      </w:r>
      <w:r w:rsidRPr="00B0443C">
        <w:rPr>
          <w:lang w:val="fr-FR"/>
        </w:rPr>
        <w:t>.</w:t>
      </w:r>
      <w:r w:rsidRPr="00B0443C">
        <w:rPr>
          <w:lang w:val="fr-FR"/>
        </w:rPr>
        <w:tab/>
      </w:r>
      <w:r w:rsidR="00EF5F10" w:rsidRPr="00EF5F10">
        <w:rPr>
          <w:lang w:val="fr-FR"/>
        </w:rPr>
        <w:t>En ce qui concerne l'avancement de la mise en œuvre des stratégies de sensibilisation, 20</w:t>
      </w:r>
      <w:r w:rsidR="00EF5F10">
        <w:rPr>
          <w:lang w:val="fr-FR"/>
        </w:rPr>
        <w:t> </w:t>
      </w:r>
      <w:r w:rsidR="00EF5F10" w:rsidRPr="00EF5F10">
        <w:rPr>
          <w:lang w:val="fr-FR"/>
        </w:rPr>
        <w:t>% des participants ont répondu que la stratégie avait été définie et était en cours de mise en œuvre</w:t>
      </w:r>
      <w:r w:rsidR="00881915">
        <w:rPr>
          <w:lang w:val="fr-FR"/>
        </w:rPr>
        <w:t> ;</w:t>
      </w:r>
      <w:r w:rsidR="00EF5F10" w:rsidRPr="00EF5F10">
        <w:rPr>
          <w:lang w:val="fr-FR"/>
        </w:rPr>
        <w:t xml:space="preserve"> 27</w:t>
      </w:r>
      <w:r w:rsidR="00EF5F10">
        <w:rPr>
          <w:lang w:val="fr-FR"/>
        </w:rPr>
        <w:t> </w:t>
      </w:r>
      <w:r w:rsidR="00EF5F10" w:rsidRPr="00EF5F10">
        <w:rPr>
          <w:lang w:val="fr-FR"/>
        </w:rPr>
        <w:t>% des participants ont indiqué que la stratégie était encore en cours d'élaboration, tandis que 31</w:t>
      </w:r>
      <w:r w:rsidR="00EF5F10">
        <w:rPr>
          <w:lang w:val="fr-FR"/>
        </w:rPr>
        <w:t> </w:t>
      </w:r>
      <w:r w:rsidR="00EF5F10" w:rsidRPr="00EF5F10">
        <w:rPr>
          <w:lang w:val="fr-FR"/>
        </w:rPr>
        <w:t>% ont répondu que l'élaboration de la stratégie n'avait pas commencé. La plupart des participants (62</w:t>
      </w:r>
      <w:r w:rsidR="00EF5F10">
        <w:rPr>
          <w:lang w:val="fr-FR"/>
        </w:rPr>
        <w:t> </w:t>
      </w:r>
      <w:r w:rsidR="00EF5F10" w:rsidRPr="00EF5F10">
        <w:rPr>
          <w:lang w:val="fr-FR"/>
        </w:rPr>
        <w:t>%) ont indiqué avoir mis en œuvre des activités de sensibilisation au Protocole de Nagoya dans leur pays pendant la période intersessions. Les participants ont indiqué que le principal défi était le manque de ressources financières pour la mise en œuvre des stratégies. Une autre difficulté fréquemment mentionnée concerne les concepts techniques et la terminologie relatifs à l'accès et au partage des avantages, ainsi que la connaissance limitée du Protocole de Nagoya, qui rendent difficile la communication avec les différents groupes de parties prenantes.</w:t>
      </w:r>
    </w:p>
    <w:p w14:paraId="36FE7448" w14:textId="401B8782" w:rsidR="00E406A3" w:rsidRPr="00B0443C" w:rsidRDefault="00140887" w:rsidP="00F81830">
      <w:pPr>
        <w:pStyle w:val="Para1"/>
        <w:pBdr>
          <w:top w:val="nil"/>
          <w:left w:val="nil"/>
          <w:bottom w:val="nil"/>
          <w:right w:val="nil"/>
          <w:between w:val="nil"/>
          <w:bar w:val="nil"/>
        </w:pBdr>
        <w:spacing w:before="120"/>
        <w:rPr>
          <w:lang w:val="fr-FR"/>
        </w:rPr>
      </w:pPr>
      <w:r w:rsidRPr="00B0443C">
        <w:rPr>
          <w:lang w:val="fr-FR"/>
        </w:rPr>
        <w:t>5</w:t>
      </w:r>
      <w:r w:rsidR="00BA5C93" w:rsidRPr="00B0443C">
        <w:rPr>
          <w:lang w:val="fr-FR"/>
        </w:rPr>
        <w:t>8</w:t>
      </w:r>
      <w:r w:rsidR="00F2397F" w:rsidRPr="00B0443C">
        <w:rPr>
          <w:lang w:val="fr-FR"/>
        </w:rPr>
        <w:t>.</w:t>
      </w:r>
      <w:r w:rsidR="00F2397F" w:rsidRPr="00B0443C">
        <w:rPr>
          <w:lang w:val="fr-FR"/>
        </w:rPr>
        <w:tab/>
      </w:r>
      <w:r w:rsidR="00B1721D" w:rsidRPr="00B1721D">
        <w:rPr>
          <w:lang w:val="fr-FR"/>
        </w:rPr>
        <w:t>Enfin, parmi les principales recommandations formulées à l'intention des pays qui élaborent actuellement leurs stratégies de sensibilisation, citons la nécessité de concentrer les activités initiales sur les groupes de parties prenantes prioritaires, tels que les entreprises et les chercheurs, avant de les étendre au grand public à un stade ultérieur. Parmi les autres suggestions, citons la conception de stratégies basées sur les besoins et le contexte locaux, et l'adaptation des supports aux différents publics.</w:t>
      </w:r>
      <w:r w:rsidR="00B24233" w:rsidRPr="00B0443C">
        <w:rPr>
          <w:lang w:val="fr-FR"/>
        </w:rPr>
        <w:t xml:space="preserve"> </w:t>
      </w:r>
    </w:p>
    <w:p w14:paraId="33E8DCE7" w14:textId="31B39381" w:rsidR="00AE6386" w:rsidRPr="00B0443C" w:rsidRDefault="00BA5C93" w:rsidP="00010EB1">
      <w:pPr>
        <w:pStyle w:val="Para1"/>
        <w:pBdr>
          <w:top w:val="nil"/>
          <w:left w:val="nil"/>
          <w:bottom w:val="nil"/>
          <w:right w:val="nil"/>
          <w:between w:val="nil"/>
          <w:bar w:val="nil"/>
        </w:pBdr>
        <w:spacing w:before="120"/>
        <w:rPr>
          <w:lang w:val="fr-FR"/>
        </w:rPr>
      </w:pPr>
      <w:r w:rsidRPr="00B0443C">
        <w:rPr>
          <w:lang w:val="fr-FR"/>
        </w:rPr>
        <w:lastRenderedPageBreak/>
        <w:t>59</w:t>
      </w:r>
      <w:r w:rsidR="00AE6386" w:rsidRPr="00B0443C">
        <w:rPr>
          <w:lang w:val="fr-FR"/>
        </w:rPr>
        <w:t>.</w:t>
      </w:r>
      <w:r w:rsidR="00AE6386" w:rsidRPr="00B0443C">
        <w:rPr>
          <w:lang w:val="fr-FR"/>
        </w:rPr>
        <w:tab/>
      </w:r>
      <w:r w:rsidR="001605D9" w:rsidRPr="001605D9">
        <w:rPr>
          <w:lang w:val="fr-FR"/>
        </w:rPr>
        <w:t xml:space="preserve">Compte tenu des difficultés </w:t>
      </w:r>
      <w:r w:rsidR="001605D9">
        <w:rPr>
          <w:lang w:val="fr-FR"/>
        </w:rPr>
        <w:t xml:space="preserve">actuelles des </w:t>
      </w:r>
      <w:r w:rsidR="001605D9" w:rsidRPr="001605D9">
        <w:rPr>
          <w:lang w:val="fr-FR"/>
        </w:rPr>
        <w:t xml:space="preserve">Parties à élaborer et à mettre en œuvre des activités de sensibilisation au Protocole de Nagoya au niveau national, et à la lumière des liens étroits qui existent entre la sensibilisation et la création et le développement des capacités, les Parties souhaiteront peut-être envisager d'intégrer des éléments de la stratégie de sensibilisation (voir la décision NP-1/9) dans la révision du cadre stratégique pour la création et le renforcement des capacités </w:t>
      </w:r>
      <w:r w:rsidR="00F272A3">
        <w:rPr>
          <w:lang w:val="fr-FR"/>
        </w:rPr>
        <w:t xml:space="preserve">en appui à </w:t>
      </w:r>
      <w:r w:rsidR="001605D9" w:rsidRPr="001605D9">
        <w:rPr>
          <w:lang w:val="fr-FR"/>
        </w:rPr>
        <w:t>la mise en œuvre effective du Protocole de Nagoya, en tenant compte du Cadre mondial de la biodiversité pour l'après-2020</w:t>
      </w:r>
      <w:r w:rsidR="00881915">
        <w:rPr>
          <w:lang w:val="fr-FR"/>
        </w:rPr>
        <w:t> ;</w:t>
      </w:r>
      <w:r w:rsidR="001605D9" w:rsidRPr="001605D9">
        <w:rPr>
          <w:lang w:val="fr-FR"/>
        </w:rPr>
        <w:t xml:space="preserve"> du cadre stratégique à long terme pour la création et le </w:t>
      </w:r>
      <w:r w:rsidR="00E12E89">
        <w:rPr>
          <w:lang w:val="fr-FR"/>
        </w:rPr>
        <w:t>renforcement</w:t>
      </w:r>
      <w:r w:rsidR="001605D9" w:rsidRPr="001605D9">
        <w:rPr>
          <w:lang w:val="fr-FR"/>
        </w:rPr>
        <w:t xml:space="preserve"> des capacités, </w:t>
      </w:r>
      <w:r w:rsidR="00755008">
        <w:rPr>
          <w:lang w:val="fr-FR"/>
        </w:rPr>
        <w:t>ainsi que</w:t>
      </w:r>
      <w:r w:rsidR="001605D9" w:rsidRPr="001605D9">
        <w:rPr>
          <w:lang w:val="fr-FR"/>
        </w:rPr>
        <w:t xml:space="preserve"> de la stratégie de communication à l'appui de la mise en œuvre du Cadre mondial de la biodiversité pour l'après-2020.</w:t>
      </w:r>
    </w:p>
    <w:p w14:paraId="4629CD2F" w14:textId="696690D0" w:rsidR="00CA6027" w:rsidRPr="00B0443C" w:rsidRDefault="00F8670A" w:rsidP="00010EB1">
      <w:pPr>
        <w:pStyle w:val="Titre1"/>
        <w:rPr>
          <w:lang w:val="fr-FR"/>
        </w:rPr>
      </w:pPr>
      <w:r w:rsidRPr="00B0443C">
        <w:rPr>
          <w:lang w:val="fr-FR"/>
        </w:rPr>
        <w:t>VI.</w:t>
      </w:r>
      <w:r w:rsidRPr="00B0443C">
        <w:rPr>
          <w:lang w:val="fr-FR"/>
        </w:rPr>
        <w:tab/>
      </w:r>
      <w:r w:rsidR="002C5C0B">
        <w:rPr>
          <w:caps w:val="0"/>
          <w:lang w:val="fr-FR"/>
        </w:rPr>
        <w:t>ÉLÉMENTS SUGGÉRÉS POUR UN PROJET DE DÉCISION</w:t>
      </w:r>
    </w:p>
    <w:p w14:paraId="5B760624" w14:textId="05BF6932" w:rsidR="00110646" w:rsidRDefault="00571915" w:rsidP="00010EB1">
      <w:pPr>
        <w:pStyle w:val="Para1"/>
        <w:pBdr>
          <w:top w:val="nil"/>
          <w:left w:val="nil"/>
          <w:bottom w:val="nil"/>
          <w:right w:val="nil"/>
          <w:between w:val="nil"/>
          <w:bar w:val="nil"/>
        </w:pBdr>
        <w:spacing w:before="120"/>
        <w:rPr>
          <w:rFonts w:cs="Times New Roman"/>
          <w:snapToGrid/>
          <w:color w:val="000000"/>
          <w:kern w:val="22"/>
          <w:szCs w:val="22"/>
          <w:lang w:val="fr-FR"/>
        </w:rPr>
      </w:pPr>
      <w:r w:rsidRPr="00B0443C">
        <w:rPr>
          <w:rFonts w:cs="Times New Roman"/>
          <w:snapToGrid/>
          <w:color w:val="000000"/>
          <w:kern w:val="22"/>
          <w:szCs w:val="22"/>
          <w:lang w:val="fr-FR"/>
        </w:rPr>
        <w:t>6</w:t>
      </w:r>
      <w:r w:rsidR="00BA5C93" w:rsidRPr="00B0443C">
        <w:rPr>
          <w:rFonts w:cs="Times New Roman"/>
          <w:snapToGrid/>
          <w:color w:val="000000"/>
          <w:kern w:val="22"/>
          <w:szCs w:val="22"/>
          <w:lang w:val="fr-FR"/>
        </w:rPr>
        <w:t>0</w:t>
      </w:r>
      <w:r w:rsidR="00F8670A" w:rsidRPr="00B0443C">
        <w:rPr>
          <w:rFonts w:cs="Times New Roman"/>
          <w:snapToGrid/>
          <w:color w:val="000000"/>
          <w:kern w:val="22"/>
          <w:szCs w:val="22"/>
          <w:lang w:val="fr-FR"/>
        </w:rPr>
        <w:t>.</w:t>
      </w:r>
      <w:r w:rsidR="00F8670A" w:rsidRPr="00B0443C">
        <w:rPr>
          <w:rFonts w:cs="Times New Roman"/>
          <w:snapToGrid/>
          <w:color w:val="000000"/>
          <w:kern w:val="22"/>
          <w:szCs w:val="22"/>
          <w:lang w:val="fr-FR"/>
        </w:rPr>
        <w:tab/>
      </w:r>
      <w:r w:rsidR="00110646" w:rsidRPr="00110646">
        <w:rPr>
          <w:rFonts w:cs="Times New Roman"/>
          <w:snapToGrid/>
          <w:color w:val="000000"/>
          <w:kern w:val="22"/>
          <w:szCs w:val="22"/>
          <w:lang w:val="fr-FR"/>
        </w:rPr>
        <w:t xml:space="preserve">Au titre de ce point de l'ordre du jour, la Conférence des Parties siégeant en tant que réunion des Parties au Protocole de Nagoya sera invitée à approuver une décision de la Conférence des Parties à la Convention sur le cadre stratégique à long terme pour le développement des capacités </w:t>
      </w:r>
      <w:r w:rsidR="00403BAD">
        <w:rPr>
          <w:rFonts w:cs="Times New Roman"/>
          <w:snapToGrid/>
          <w:color w:val="000000"/>
          <w:kern w:val="22"/>
          <w:szCs w:val="22"/>
          <w:lang w:val="fr-FR"/>
        </w:rPr>
        <w:t>en appui à</w:t>
      </w:r>
      <w:r w:rsidR="00110646" w:rsidRPr="00110646">
        <w:rPr>
          <w:rFonts w:cs="Times New Roman"/>
          <w:snapToGrid/>
          <w:color w:val="000000"/>
          <w:kern w:val="22"/>
          <w:szCs w:val="22"/>
          <w:lang w:val="fr-FR"/>
        </w:rPr>
        <w:t xml:space="preserve"> </w:t>
      </w:r>
      <w:r w:rsidR="00403BAD">
        <w:rPr>
          <w:rFonts w:cs="Times New Roman"/>
          <w:snapToGrid/>
          <w:color w:val="000000"/>
          <w:kern w:val="22"/>
          <w:szCs w:val="22"/>
          <w:lang w:val="fr-FR"/>
        </w:rPr>
        <w:t xml:space="preserve">l’application </w:t>
      </w:r>
      <w:r w:rsidR="00110646" w:rsidRPr="00110646">
        <w:rPr>
          <w:rFonts w:cs="Times New Roman"/>
          <w:snapToGrid/>
          <w:color w:val="000000"/>
          <w:kern w:val="22"/>
          <w:szCs w:val="22"/>
          <w:lang w:val="fr-FR"/>
        </w:rPr>
        <w:t xml:space="preserve">du Cadre mondial de la biodiversité pour l'après-2020, sur la base du projet de décision figurant dans la recommandation 3/8 de l'Organe subsidiaire chargé de l'application, et à examiner la recommandation </w:t>
      </w:r>
      <w:hyperlink r:id="rId32" w:history="1">
        <w:r w:rsidR="00110646" w:rsidRPr="00B0443C">
          <w:rPr>
            <w:rStyle w:val="Lienhypertexte"/>
            <w:lang w:val="fr-FR" w:eastAsia="en-CA"/>
          </w:rPr>
          <w:t>3/9</w:t>
        </w:r>
      </w:hyperlink>
      <w:r w:rsidR="00110646" w:rsidRPr="00110646">
        <w:rPr>
          <w:rFonts w:cs="Times New Roman"/>
          <w:snapToGrid/>
          <w:color w:val="000000"/>
          <w:kern w:val="22"/>
          <w:szCs w:val="22"/>
          <w:lang w:val="fr-FR"/>
        </w:rPr>
        <w:t xml:space="preserve"> de l'Organe subsidiaire, contenant un projet de décision sur l'évaluation du cadre stratégique pour </w:t>
      </w:r>
      <w:r w:rsidR="00110646">
        <w:rPr>
          <w:rFonts w:cs="Times New Roman"/>
          <w:snapToGrid/>
          <w:color w:val="000000"/>
          <w:kern w:val="22"/>
          <w:szCs w:val="22"/>
          <w:lang w:val="fr-FR"/>
        </w:rPr>
        <w:t xml:space="preserve">la création et </w:t>
      </w:r>
      <w:r w:rsidR="00110646" w:rsidRPr="00110646">
        <w:rPr>
          <w:rFonts w:cs="Times New Roman"/>
          <w:snapToGrid/>
          <w:color w:val="000000"/>
          <w:kern w:val="22"/>
          <w:szCs w:val="22"/>
          <w:lang w:val="fr-FR"/>
        </w:rPr>
        <w:t xml:space="preserve">le </w:t>
      </w:r>
      <w:r w:rsidR="00403BAD">
        <w:rPr>
          <w:rFonts w:cs="Times New Roman"/>
          <w:snapToGrid/>
          <w:color w:val="000000"/>
          <w:kern w:val="22"/>
          <w:szCs w:val="22"/>
          <w:lang w:val="fr-FR"/>
        </w:rPr>
        <w:t>renforcement</w:t>
      </w:r>
      <w:r w:rsidR="00110646" w:rsidRPr="00110646">
        <w:rPr>
          <w:rFonts w:cs="Times New Roman"/>
          <w:snapToGrid/>
          <w:color w:val="000000"/>
          <w:kern w:val="22"/>
          <w:szCs w:val="22"/>
          <w:lang w:val="fr-FR"/>
        </w:rPr>
        <w:t xml:space="preserve"> des capacités en appui à </w:t>
      </w:r>
      <w:r w:rsidR="00110646">
        <w:rPr>
          <w:rFonts w:cs="Times New Roman"/>
          <w:snapToGrid/>
          <w:color w:val="000000"/>
          <w:kern w:val="22"/>
          <w:szCs w:val="22"/>
          <w:lang w:val="fr-FR"/>
        </w:rPr>
        <w:t>l’application</w:t>
      </w:r>
      <w:r w:rsidR="00110646" w:rsidRPr="00110646">
        <w:rPr>
          <w:rFonts w:cs="Times New Roman"/>
          <w:snapToGrid/>
          <w:color w:val="000000"/>
          <w:kern w:val="22"/>
          <w:szCs w:val="22"/>
          <w:lang w:val="fr-FR"/>
        </w:rPr>
        <w:t xml:space="preserve"> effective du Protocole de Nagoya</w:t>
      </w:r>
      <w:r w:rsidR="00110646" w:rsidRPr="00B0443C">
        <w:rPr>
          <w:rStyle w:val="Appelnotedebasdep"/>
          <w:lang w:val="fr-FR" w:eastAsia="en-CA"/>
        </w:rPr>
        <w:footnoteReference w:id="22"/>
      </w:r>
      <w:r w:rsidR="00110646" w:rsidRPr="00110646">
        <w:rPr>
          <w:rFonts w:cs="Times New Roman"/>
          <w:snapToGrid/>
          <w:color w:val="000000"/>
          <w:kern w:val="22"/>
          <w:szCs w:val="22"/>
          <w:lang w:val="fr-FR"/>
        </w:rPr>
        <w:t>.</w:t>
      </w:r>
    </w:p>
    <w:p w14:paraId="4D89135E" w14:textId="0F3E3A52" w:rsidR="003E2C54" w:rsidRPr="00B0443C" w:rsidRDefault="00571915" w:rsidP="48732A80">
      <w:pPr>
        <w:pStyle w:val="Para1"/>
        <w:pBdr>
          <w:top w:val="nil"/>
          <w:left w:val="nil"/>
          <w:bottom w:val="nil"/>
          <w:right w:val="nil"/>
          <w:between w:val="nil"/>
          <w:bar w:val="nil"/>
        </w:pBdr>
        <w:spacing w:before="120"/>
        <w:rPr>
          <w:rFonts w:cs="Times New Roman"/>
          <w:snapToGrid/>
          <w:kern w:val="22"/>
          <w:lang w:val="fr-FR"/>
        </w:rPr>
      </w:pPr>
      <w:r w:rsidRPr="00B0443C">
        <w:rPr>
          <w:rFonts w:cs="Times New Roman"/>
          <w:snapToGrid/>
          <w:color w:val="000000"/>
          <w:kern w:val="22"/>
          <w:lang w:val="fr-FR"/>
        </w:rPr>
        <w:t>6</w:t>
      </w:r>
      <w:r w:rsidR="00BA5C93" w:rsidRPr="00B0443C">
        <w:rPr>
          <w:rFonts w:cs="Times New Roman"/>
          <w:snapToGrid/>
          <w:color w:val="000000"/>
          <w:kern w:val="22"/>
          <w:lang w:val="fr-FR"/>
        </w:rPr>
        <w:t>1</w:t>
      </w:r>
      <w:r w:rsidR="00F8670A" w:rsidRPr="00B0443C">
        <w:rPr>
          <w:rFonts w:cs="Times New Roman"/>
          <w:snapToGrid/>
          <w:color w:val="000000"/>
          <w:kern w:val="22"/>
          <w:lang w:val="fr-FR"/>
        </w:rPr>
        <w:t>.</w:t>
      </w:r>
      <w:r w:rsidR="00F8670A" w:rsidRPr="00B0443C">
        <w:rPr>
          <w:rFonts w:cs="Times New Roman"/>
          <w:snapToGrid/>
          <w:color w:val="000000"/>
          <w:kern w:val="22"/>
          <w:szCs w:val="22"/>
          <w:lang w:val="fr-FR"/>
        </w:rPr>
        <w:tab/>
      </w:r>
      <w:r w:rsidR="00487D2C" w:rsidRPr="00487D2C">
        <w:rPr>
          <w:rFonts w:cs="Times New Roman"/>
          <w:snapToGrid/>
          <w:kern w:val="22"/>
          <w:lang w:val="fr-FR"/>
        </w:rPr>
        <w:t xml:space="preserve">En outre, la Conférence des Parties siégeant en tant que réunion des Parties souhaitera peut-être examiner les éléments supplémentaires suivants </w:t>
      </w:r>
      <w:r w:rsidR="00B62FEE">
        <w:rPr>
          <w:rFonts w:cs="Times New Roman"/>
          <w:snapToGrid/>
          <w:kern w:val="22"/>
          <w:lang w:val="fr-FR"/>
        </w:rPr>
        <w:t>pour un</w:t>
      </w:r>
      <w:r w:rsidR="00487D2C" w:rsidRPr="00487D2C">
        <w:rPr>
          <w:rFonts w:cs="Times New Roman"/>
          <w:snapToGrid/>
          <w:kern w:val="22"/>
          <w:lang w:val="fr-FR"/>
        </w:rPr>
        <w:t xml:space="preserve"> projet de décision relatif à la sensibilisation</w:t>
      </w:r>
      <w:r w:rsidR="00487D2C">
        <w:rPr>
          <w:rFonts w:cs="Times New Roman"/>
          <w:snapToGrid/>
          <w:kern w:val="22"/>
          <w:lang w:val="fr-FR"/>
        </w:rPr>
        <w:t> </w:t>
      </w:r>
      <w:r w:rsidR="00487D2C" w:rsidRPr="00487D2C">
        <w:rPr>
          <w:rFonts w:cs="Times New Roman"/>
          <w:snapToGrid/>
          <w:kern w:val="22"/>
          <w:lang w:val="fr-FR"/>
        </w:rPr>
        <w:t>:</w:t>
      </w:r>
    </w:p>
    <w:p w14:paraId="26EBD042" w14:textId="1738EF04" w:rsidR="00E97804" w:rsidRPr="00B0443C" w:rsidRDefault="009F0AD5" w:rsidP="006A7F99">
      <w:pPr>
        <w:suppressLineNumbers/>
        <w:suppressAutoHyphens/>
        <w:kinsoku w:val="0"/>
        <w:overflowPunct w:val="0"/>
        <w:autoSpaceDE w:val="0"/>
        <w:autoSpaceDN w:val="0"/>
        <w:adjustRightInd w:val="0"/>
        <w:snapToGrid w:val="0"/>
        <w:spacing w:before="120" w:after="120"/>
        <w:ind w:firstLine="709"/>
        <w:rPr>
          <w:rFonts w:cs="Times New Roman"/>
          <w:i/>
          <w:kern w:val="22"/>
          <w:szCs w:val="22"/>
          <w:lang w:val="fr-FR" w:eastAsia="en-CA"/>
        </w:rPr>
      </w:pPr>
      <w:r w:rsidRPr="009F0AD5">
        <w:rPr>
          <w:rFonts w:cs="Times New Roman"/>
          <w:i/>
          <w:kern w:val="22"/>
          <w:szCs w:val="22"/>
          <w:lang w:val="fr-FR" w:eastAsia="en-CA"/>
        </w:rPr>
        <w:t>La Conférence des Parties siégeant en tant que réunion des Parties au Protocole de Nagoya</w:t>
      </w:r>
    </w:p>
    <w:p w14:paraId="0C0FF2E6" w14:textId="576A7CB6" w:rsidR="00E97804" w:rsidRPr="00B0443C" w:rsidRDefault="006E506D" w:rsidP="00010EB1">
      <w:pPr>
        <w:pStyle w:val="Para1"/>
        <w:suppressLineNumbers/>
        <w:shd w:val="clear" w:color="auto" w:fill="FFFFFF" w:themeFill="background1"/>
        <w:tabs>
          <w:tab w:val="left" w:pos="360"/>
        </w:tabs>
        <w:suppressAutoHyphens/>
        <w:snapToGrid w:val="0"/>
        <w:spacing w:before="120"/>
        <w:ind w:firstLine="720"/>
        <w:rPr>
          <w:rFonts w:cs="Times New Roman"/>
          <w:kern w:val="22"/>
          <w:szCs w:val="22"/>
          <w:lang w:val="fr-FR"/>
        </w:rPr>
      </w:pPr>
      <w:r w:rsidRPr="00B0443C">
        <w:rPr>
          <w:rFonts w:cs="Times New Roman"/>
          <w:kern w:val="22"/>
          <w:szCs w:val="22"/>
          <w:lang w:val="fr-FR"/>
        </w:rPr>
        <w:t>1.</w:t>
      </w:r>
      <w:r w:rsidRPr="00B0443C">
        <w:rPr>
          <w:rFonts w:cs="Times New Roman"/>
          <w:kern w:val="22"/>
          <w:szCs w:val="22"/>
          <w:lang w:val="fr-FR"/>
        </w:rPr>
        <w:tab/>
      </w:r>
      <w:r w:rsidR="00B672E1" w:rsidRPr="00B672E1">
        <w:rPr>
          <w:i/>
          <w:kern w:val="22"/>
          <w:szCs w:val="22"/>
          <w:lang w:val="fr-FR"/>
        </w:rPr>
        <w:t xml:space="preserve">Prend note </w:t>
      </w:r>
      <w:r w:rsidR="00B672E1" w:rsidRPr="00B672E1">
        <w:rPr>
          <w:kern w:val="22"/>
          <w:szCs w:val="22"/>
          <w:lang w:val="fr-FR"/>
        </w:rPr>
        <w:t>des progrès réalisés dans la mise en œuvre de la stratégie de sensibilisation au Protocole de Nagoya</w:t>
      </w:r>
      <w:r w:rsidR="00881915">
        <w:rPr>
          <w:kern w:val="22"/>
          <w:szCs w:val="22"/>
          <w:lang w:val="fr-FR"/>
        </w:rPr>
        <w:t> ;</w:t>
      </w:r>
    </w:p>
    <w:p w14:paraId="4788282A" w14:textId="30585542" w:rsidR="00E97804" w:rsidRPr="00B0443C" w:rsidRDefault="006E506D" w:rsidP="00010EB1">
      <w:pPr>
        <w:pStyle w:val="Para1"/>
        <w:suppressLineNumbers/>
        <w:shd w:val="clear" w:color="auto" w:fill="FFFFFF" w:themeFill="background1"/>
        <w:tabs>
          <w:tab w:val="left" w:pos="360"/>
        </w:tabs>
        <w:suppressAutoHyphens/>
        <w:snapToGrid w:val="0"/>
        <w:spacing w:before="120"/>
        <w:ind w:firstLine="720"/>
        <w:rPr>
          <w:lang w:val="fr-FR"/>
        </w:rPr>
      </w:pPr>
      <w:r w:rsidRPr="00B0443C">
        <w:rPr>
          <w:lang w:val="fr-FR"/>
        </w:rPr>
        <w:t>2.</w:t>
      </w:r>
      <w:r w:rsidRPr="00B0443C">
        <w:rPr>
          <w:lang w:val="fr-FR"/>
        </w:rPr>
        <w:tab/>
      </w:r>
      <w:r w:rsidR="000B68A6" w:rsidRPr="000B68A6">
        <w:rPr>
          <w:i/>
          <w:iCs/>
          <w:kern w:val="22"/>
          <w:lang w:val="fr-FR"/>
        </w:rPr>
        <w:t xml:space="preserve">Prend également note </w:t>
      </w:r>
      <w:r w:rsidR="000B68A6" w:rsidRPr="000B68A6">
        <w:rPr>
          <w:kern w:val="22"/>
          <w:lang w:val="fr-FR"/>
        </w:rPr>
        <w:t>du retour d'information des Parties, des États non Parties et des autres parties prenantes concernées sur l</w:t>
      </w:r>
      <w:r w:rsidR="000B68A6">
        <w:rPr>
          <w:kern w:val="22"/>
          <w:lang w:val="fr-FR"/>
        </w:rPr>
        <w:t xml:space="preserve">a </w:t>
      </w:r>
      <w:r w:rsidR="000B68A6">
        <w:rPr>
          <w:i/>
          <w:iCs/>
          <w:kern w:val="22"/>
          <w:lang w:val="fr-FR"/>
        </w:rPr>
        <w:t>Boîte à outils pour la CESP – Incluant des considérations sur l’accès et le partage des avantages</w:t>
      </w:r>
      <w:r w:rsidR="381E6347" w:rsidRPr="00B0443C">
        <w:rPr>
          <w:kern w:val="22"/>
          <w:lang w:val="fr-FR"/>
        </w:rPr>
        <w:t>,</w:t>
      </w:r>
      <w:r w:rsidR="00D84E71" w:rsidRPr="00B0443C">
        <w:rPr>
          <w:rStyle w:val="Appelnotedebasdep"/>
          <w:kern w:val="22"/>
          <w:lang w:val="fr-FR"/>
        </w:rPr>
        <w:footnoteReference w:id="23"/>
      </w:r>
      <w:r w:rsidR="381E6347" w:rsidRPr="00B0443C">
        <w:rPr>
          <w:kern w:val="22"/>
          <w:lang w:val="fr-FR"/>
        </w:rPr>
        <w:t xml:space="preserve"> </w:t>
      </w:r>
      <w:r w:rsidR="000B68A6" w:rsidRPr="000B68A6">
        <w:rPr>
          <w:kern w:val="22"/>
          <w:lang w:val="fr-FR"/>
        </w:rPr>
        <w:t>et encourage les Parties, les États non Parties, les organisations compétentes et les autres parties prenantes à continuer d'utiliser la boîte à outils dans le cadre de leurs activités de sensibilisation et de développement des capacités</w:t>
      </w:r>
      <w:r w:rsidR="00881915">
        <w:rPr>
          <w:kern w:val="22"/>
          <w:lang w:val="fr-FR"/>
        </w:rPr>
        <w:t> ;</w:t>
      </w:r>
    </w:p>
    <w:p w14:paraId="4D79B257" w14:textId="65629A18" w:rsidR="00E97804" w:rsidRPr="00B0443C" w:rsidRDefault="006E506D" w:rsidP="00010EB1">
      <w:pPr>
        <w:pStyle w:val="Para1"/>
        <w:suppressLineNumbers/>
        <w:shd w:val="clear" w:color="auto" w:fill="FFFFFF" w:themeFill="background1"/>
        <w:tabs>
          <w:tab w:val="left" w:pos="360"/>
        </w:tabs>
        <w:suppressAutoHyphens/>
        <w:snapToGrid w:val="0"/>
        <w:spacing w:before="120"/>
        <w:ind w:firstLine="720"/>
        <w:rPr>
          <w:kern w:val="22"/>
          <w:lang w:val="fr-FR"/>
        </w:rPr>
      </w:pPr>
      <w:r w:rsidRPr="00B0443C">
        <w:rPr>
          <w:kern w:val="22"/>
          <w:lang w:val="fr-FR"/>
        </w:rPr>
        <w:t>3.</w:t>
      </w:r>
      <w:r w:rsidRPr="00B0443C">
        <w:rPr>
          <w:kern w:val="22"/>
          <w:lang w:val="fr-FR"/>
        </w:rPr>
        <w:tab/>
      </w:r>
      <w:r w:rsidR="381E6347" w:rsidRPr="00B0443C">
        <w:rPr>
          <w:i/>
          <w:iCs/>
          <w:kern w:val="22"/>
          <w:lang w:val="fr-FR"/>
        </w:rPr>
        <w:t>E</w:t>
      </w:r>
      <w:r w:rsidR="24FA5814" w:rsidRPr="00B0443C">
        <w:rPr>
          <w:i/>
          <w:iCs/>
          <w:kern w:val="22"/>
          <w:lang w:val="fr-FR"/>
        </w:rPr>
        <w:t>ncourage</w:t>
      </w:r>
      <w:r w:rsidR="009037C4">
        <w:rPr>
          <w:i/>
          <w:iCs/>
          <w:kern w:val="22"/>
          <w:lang w:val="fr-FR"/>
        </w:rPr>
        <w:t xml:space="preserve"> </w:t>
      </w:r>
      <w:r w:rsidR="009037C4" w:rsidRPr="009037C4">
        <w:rPr>
          <w:kern w:val="22"/>
          <w:lang w:val="fr-FR"/>
        </w:rPr>
        <w:t>les Parties, les États non Parties, les organisations compétentes et les autres parties prenantes à continuer à mettre en œuvre des activités de sensibilisation et à mettre à disposition des informations sur les outils et ressources de sensibilisation par le biais du Centre d'échange pour l'accès et le partage des avantages</w:t>
      </w:r>
      <w:r w:rsidR="00881915">
        <w:rPr>
          <w:kern w:val="22"/>
          <w:lang w:val="fr-FR"/>
        </w:rPr>
        <w:t> ;</w:t>
      </w:r>
    </w:p>
    <w:p w14:paraId="3341A350" w14:textId="2EB421A5" w:rsidR="00145CA2" w:rsidRDefault="006E506D" w:rsidP="00010EB1">
      <w:pPr>
        <w:pStyle w:val="Para1"/>
        <w:suppressLineNumbers/>
        <w:shd w:val="clear" w:color="auto" w:fill="FFFFFF" w:themeFill="background1"/>
        <w:tabs>
          <w:tab w:val="left" w:pos="360"/>
        </w:tabs>
        <w:suppressAutoHyphens/>
        <w:snapToGrid w:val="0"/>
        <w:spacing w:before="120"/>
        <w:ind w:firstLine="720"/>
        <w:rPr>
          <w:kern w:val="22"/>
          <w:lang w:val="fr-FR"/>
        </w:rPr>
      </w:pPr>
      <w:r w:rsidRPr="00B0443C">
        <w:rPr>
          <w:kern w:val="22"/>
          <w:lang w:val="fr-FR"/>
        </w:rPr>
        <w:t>4.</w:t>
      </w:r>
      <w:r w:rsidRPr="00B0443C">
        <w:rPr>
          <w:kern w:val="22"/>
          <w:lang w:val="fr-FR"/>
        </w:rPr>
        <w:tab/>
      </w:r>
      <w:r w:rsidR="00145CA2" w:rsidRPr="00025CAF">
        <w:rPr>
          <w:i/>
          <w:iCs/>
          <w:kern w:val="22"/>
          <w:lang w:val="fr-FR"/>
        </w:rPr>
        <w:t>Prie</w:t>
      </w:r>
      <w:r w:rsidR="00145CA2" w:rsidRPr="00145CA2">
        <w:rPr>
          <w:kern w:val="22"/>
          <w:lang w:val="fr-FR"/>
        </w:rPr>
        <w:t xml:space="preserve"> la Secrétaire exécutive de continuer à soutenir la mise en œuvre de la stratégie de sensibilisation</w:t>
      </w:r>
      <w:r w:rsidR="00025CAF" w:rsidRPr="00B0443C">
        <w:rPr>
          <w:rStyle w:val="Appelnotedebasdep"/>
          <w:kern w:val="22"/>
          <w:lang w:val="fr-FR"/>
        </w:rPr>
        <w:footnoteReference w:id="24"/>
      </w:r>
      <w:r w:rsidR="00145CA2" w:rsidRPr="00145CA2">
        <w:rPr>
          <w:kern w:val="22"/>
          <w:lang w:val="fr-FR"/>
        </w:rPr>
        <w:t xml:space="preserve"> par le biais de ses activités de renforcement des capacités ainsi qu'en encourageant l'utilisation de la boîte à outils pour la sensibilisation en matière d'accès et de partage des avantages dans les projets de renforcement des capacités et de </w:t>
      </w:r>
      <w:proofErr w:type="gramStart"/>
      <w:r w:rsidR="00145CA2" w:rsidRPr="00145CA2">
        <w:rPr>
          <w:kern w:val="22"/>
          <w:lang w:val="fr-FR"/>
        </w:rPr>
        <w:t>sensibilisation liés</w:t>
      </w:r>
      <w:proofErr w:type="gramEnd"/>
      <w:r w:rsidR="00145CA2" w:rsidRPr="00145CA2">
        <w:rPr>
          <w:kern w:val="22"/>
          <w:lang w:val="fr-FR"/>
        </w:rPr>
        <w:t xml:space="preserve"> à cette stratégie entrepris par les Parties, les États non Parties et les organisations compétentes</w:t>
      </w:r>
      <w:r w:rsidR="00881915">
        <w:rPr>
          <w:kern w:val="22"/>
          <w:lang w:val="fr-FR"/>
        </w:rPr>
        <w:t> ;</w:t>
      </w:r>
    </w:p>
    <w:p w14:paraId="13FC06CB" w14:textId="6354141A" w:rsidR="00025CAF" w:rsidRDefault="006E506D" w:rsidP="00010EB1">
      <w:pPr>
        <w:pStyle w:val="Para1"/>
        <w:suppressLineNumbers/>
        <w:shd w:val="clear" w:color="auto" w:fill="FFFFFF" w:themeFill="background1"/>
        <w:tabs>
          <w:tab w:val="left" w:pos="360"/>
        </w:tabs>
        <w:suppressAutoHyphens/>
        <w:snapToGrid w:val="0"/>
        <w:spacing w:before="120"/>
        <w:ind w:firstLine="720"/>
        <w:rPr>
          <w:kern w:val="22"/>
          <w:lang w:val="fr-FR"/>
        </w:rPr>
      </w:pPr>
      <w:r w:rsidRPr="00B0443C">
        <w:rPr>
          <w:kern w:val="22"/>
          <w:lang w:val="fr-FR"/>
        </w:rPr>
        <w:t>5.</w:t>
      </w:r>
      <w:r w:rsidRPr="00B0443C">
        <w:rPr>
          <w:kern w:val="22"/>
          <w:lang w:val="fr-FR"/>
        </w:rPr>
        <w:tab/>
      </w:r>
      <w:r w:rsidR="00025CAF" w:rsidRPr="00025CAF">
        <w:rPr>
          <w:i/>
          <w:iCs/>
          <w:kern w:val="22"/>
          <w:lang w:val="fr-FR"/>
        </w:rPr>
        <w:t>Prie également</w:t>
      </w:r>
      <w:r w:rsidR="00025CAF" w:rsidRPr="00025CAF">
        <w:rPr>
          <w:kern w:val="22"/>
          <w:lang w:val="fr-FR"/>
        </w:rPr>
        <w:t xml:space="preserve"> la Secrétaire exécutive d'envisager d'intégrer des éléments de la stratégie de sensibilisation lors de la révision du cadre stratégique pour la création et le </w:t>
      </w:r>
      <w:r w:rsidR="00403BAD">
        <w:rPr>
          <w:kern w:val="22"/>
          <w:lang w:val="fr-FR"/>
        </w:rPr>
        <w:t>renforcement</w:t>
      </w:r>
      <w:r w:rsidR="00025CAF" w:rsidRPr="00025CAF">
        <w:rPr>
          <w:kern w:val="22"/>
          <w:lang w:val="fr-FR"/>
        </w:rPr>
        <w:t xml:space="preserve"> des capacités en appui à </w:t>
      </w:r>
      <w:r w:rsidR="00403BAD">
        <w:rPr>
          <w:kern w:val="22"/>
          <w:lang w:val="fr-FR"/>
        </w:rPr>
        <w:t>l’application</w:t>
      </w:r>
      <w:r w:rsidR="00025CAF" w:rsidRPr="00025CAF">
        <w:rPr>
          <w:kern w:val="22"/>
          <w:lang w:val="fr-FR"/>
        </w:rPr>
        <w:t xml:space="preserve"> effective du Protocole de Nagoya, pour examen par l'Organe subsidiaire chargé de </w:t>
      </w:r>
      <w:r w:rsidR="00025CAF" w:rsidRPr="00025CAF">
        <w:rPr>
          <w:kern w:val="22"/>
          <w:lang w:val="fr-FR"/>
        </w:rPr>
        <w:lastRenderedPageBreak/>
        <w:t>l'application à sa quatrième réunion et pour adoption par la Conférence des Parties siégeant en tant que réunion des Parties au Protocole de Nagoya à sa cinquième réunion.</w:t>
      </w:r>
    </w:p>
    <w:p w14:paraId="2DD3FCF4" w14:textId="1C33E005" w:rsidR="0098426A" w:rsidRPr="00B0443C" w:rsidRDefault="003D7ECE" w:rsidP="00010EB1">
      <w:pPr>
        <w:pStyle w:val="Para1"/>
        <w:suppressLineNumbers/>
        <w:suppressAutoHyphens/>
        <w:jc w:val="center"/>
        <w:rPr>
          <w:rFonts w:cs="Times New Roman"/>
          <w:snapToGrid/>
          <w:color w:val="000000"/>
          <w:kern w:val="22"/>
          <w:szCs w:val="22"/>
          <w:highlight w:val="cyan"/>
          <w:lang w:val="fr-FR"/>
        </w:rPr>
      </w:pPr>
      <w:r w:rsidRPr="00B0443C">
        <w:rPr>
          <w:kern w:val="22"/>
          <w:lang w:val="fr-FR"/>
        </w:rPr>
        <w:t>__________</w:t>
      </w:r>
    </w:p>
    <w:sectPr w:rsidR="0098426A" w:rsidRPr="00B0443C" w:rsidSect="00CF2F3C">
      <w:headerReference w:type="even" r:id="rId33"/>
      <w:headerReference w:type="default" r:id="rId34"/>
      <w:type w:val="continuous"/>
      <w:pgSz w:w="12240" w:h="15840" w:code="1"/>
      <w:pgMar w:top="562" w:right="1440" w:bottom="1022" w:left="1440" w:header="461"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85368" w14:textId="77777777" w:rsidR="00C82831" w:rsidRDefault="00C82831">
      <w:r>
        <w:separator/>
      </w:r>
    </w:p>
  </w:endnote>
  <w:endnote w:type="continuationSeparator" w:id="0">
    <w:p w14:paraId="2E4B82BB" w14:textId="77777777" w:rsidR="00C82831" w:rsidRDefault="00C82831">
      <w:r>
        <w:continuationSeparator/>
      </w:r>
    </w:p>
  </w:endnote>
  <w:endnote w:type="continuationNotice" w:id="1">
    <w:p w14:paraId="204993A3" w14:textId="77777777" w:rsidR="00C82831" w:rsidRDefault="00C828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altName w:val="Angsana New"/>
    <w:panose1 w:val="02020603050405020304"/>
    <w:charset w:val="DE"/>
    <w:family w:val="roman"/>
    <w:pitch w:val="variable"/>
    <w:sig w:usb0="81000003" w:usb1="00000000" w:usb2="00000000" w:usb3="00000000" w:csb0="0001000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B60C2" w14:textId="77777777" w:rsidR="00C82831" w:rsidRDefault="00C82831">
      <w:r>
        <w:separator/>
      </w:r>
    </w:p>
  </w:footnote>
  <w:footnote w:type="continuationSeparator" w:id="0">
    <w:p w14:paraId="0EB44D1C" w14:textId="77777777" w:rsidR="00C82831" w:rsidRDefault="00C82831">
      <w:r>
        <w:continuationSeparator/>
      </w:r>
    </w:p>
  </w:footnote>
  <w:footnote w:type="continuationNotice" w:id="1">
    <w:p w14:paraId="0CB9231A" w14:textId="77777777" w:rsidR="00C82831" w:rsidRDefault="00C82831"/>
  </w:footnote>
  <w:footnote w:id="2">
    <w:p w14:paraId="3768AB9E" w14:textId="3FAB5CC1" w:rsidR="00C50F88" w:rsidRPr="00CD653E" w:rsidRDefault="00C50F88" w:rsidP="008D5589">
      <w:pPr>
        <w:pStyle w:val="Notedebasdepage"/>
        <w:ind w:firstLine="0"/>
        <w:rPr>
          <w:noProof/>
          <w:szCs w:val="18"/>
          <w:lang w:val="en-US"/>
        </w:rPr>
      </w:pPr>
      <w:r w:rsidRPr="00FA7175">
        <w:rPr>
          <w:rStyle w:val="Appelnotedebasdep"/>
          <w:noProof/>
          <w:lang w:val="fr-FR"/>
        </w:rPr>
        <w:footnoteRef/>
      </w:r>
      <w:r w:rsidRPr="00CD653E">
        <w:rPr>
          <w:noProof/>
          <w:lang w:val="en-US"/>
        </w:rPr>
        <w:t xml:space="preserve"> </w:t>
      </w:r>
      <w:hyperlink r:id="rId1" w:history="1">
        <w:r w:rsidRPr="00CD653E">
          <w:rPr>
            <w:rStyle w:val="Lienhypertexte"/>
            <w:noProof/>
            <w:szCs w:val="18"/>
            <w:lang w:val="en-US"/>
          </w:rPr>
          <w:t>CBD/NP/CB/WS/2019/1/2</w:t>
        </w:r>
      </w:hyperlink>
    </w:p>
  </w:footnote>
  <w:footnote w:id="3">
    <w:p w14:paraId="0774F71C" w14:textId="67DA8455" w:rsidR="00B03E30" w:rsidRPr="00CD653E" w:rsidRDefault="00B03E30" w:rsidP="00B03E30">
      <w:pPr>
        <w:pStyle w:val="Notedebasdepage"/>
        <w:ind w:firstLine="0"/>
        <w:rPr>
          <w:noProof/>
          <w:lang w:val="en-US"/>
        </w:rPr>
      </w:pPr>
      <w:r w:rsidRPr="00FA7175">
        <w:rPr>
          <w:rStyle w:val="Appelnotedebasdep"/>
          <w:noProof/>
          <w:lang w:val="fr-FR"/>
        </w:rPr>
        <w:footnoteRef/>
      </w:r>
      <w:r w:rsidRPr="00CD653E">
        <w:rPr>
          <w:noProof/>
          <w:lang w:val="en-US"/>
        </w:rPr>
        <w:t xml:space="preserve"> </w:t>
      </w:r>
      <w:hyperlink r:id="rId2" w:history="1">
        <w:r w:rsidRPr="00CD653E">
          <w:rPr>
            <w:rStyle w:val="Lienhypertexte"/>
            <w:noProof/>
            <w:lang w:val="en-US"/>
          </w:rPr>
          <w:t>https://www.cbd.int/article/dsi-webinar-series-2020</w:t>
        </w:r>
      </w:hyperlink>
    </w:p>
  </w:footnote>
  <w:footnote w:id="4">
    <w:p w14:paraId="57D4C249" w14:textId="492B092C" w:rsidR="00A95FD9" w:rsidRPr="00CD653E" w:rsidRDefault="00A95FD9" w:rsidP="00A95FD9">
      <w:pPr>
        <w:pStyle w:val="Notedebasdepage"/>
        <w:ind w:firstLine="0"/>
        <w:rPr>
          <w:noProof/>
          <w:lang w:val="en-US"/>
        </w:rPr>
      </w:pPr>
      <w:r w:rsidRPr="00FA7175">
        <w:rPr>
          <w:rStyle w:val="Appelnotedebasdep"/>
          <w:noProof/>
          <w:lang w:val="fr-FR"/>
        </w:rPr>
        <w:footnoteRef/>
      </w:r>
      <w:r w:rsidRPr="00CD653E">
        <w:rPr>
          <w:noProof/>
          <w:lang w:val="en-US"/>
        </w:rPr>
        <w:t xml:space="preserve"> </w:t>
      </w:r>
      <w:hyperlink r:id="rId3" w:history="1">
        <w:r w:rsidRPr="00CD653E">
          <w:rPr>
            <w:rStyle w:val="Lienhypertexte"/>
            <w:noProof/>
            <w:lang w:val="en-US"/>
          </w:rPr>
          <w:t>https://www.cbd.int/dsi-gr/forum.shtml</w:t>
        </w:r>
      </w:hyperlink>
    </w:p>
  </w:footnote>
  <w:footnote w:id="5">
    <w:p w14:paraId="5BF50499" w14:textId="3CB5F409" w:rsidR="00385F11" w:rsidRPr="00FA7175" w:rsidRDefault="00385F11" w:rsidP="00385F11">
      <w:pPr>
        <w:pStyle w:val="Notedebasdepage"/>
        <w:ind w:firstLine="0"/>
        <w:rPr>
          <w:noProof/>
          <w:lang w:val="fr-FR"/>
        </w:rPr>
      </w:pPr>
      <w:r w:rsidRPr="00FA7175">
        <w:rPr>
          <w:rStyle w:val="Appelnotedebasdep"/>
          <w:noProof/>
          <w:lang w:val="fr-FR"/>
        </w:rPr>
        <w:footnoteRef/>
      </w:r>
      <w:r w:rsidRPr="00FA7175">
        <w:rPr>
          <w:noProof/>
          <w:lang w:val="fr-FR"/>
        </w:rPr>
        <w:t xml:space="preserve"> Atelier sur le Centre d'échange sur l'APA organisé en marge de la troisième réunion des Parties au Protocole (Égypte, novembre 2018)</w:t>
      </w:r>
      <w:r w:rsidR="00881915">
        <w:rPr>
          <w:noProof/>
          <w:lang w:val="fr-FR"/>
        </w:rPr>
        <w:t> ;</w:t>
      </w:r>
      <w:r w:rsidRPr="00FA7175">
        <w:rPr>
          <w:noProof/>
          <w:lang w:val="fr-FR"/>
        </w:rPr>
        <w:t xml:space="preserve"> atelier de la communauté de pratique sur le Protocole de Nagoya sur l'accès et le partage des avantages pour les pays </w:t>
      </w:r>
      <w:r w:rsidR="00ED7089">
        <w:rPr>
          <w:noProof/>
          <w:lang w:val="fr-FR"/>
        </w:rPr>
        <w:t>d’Europe</w:t>
      </w:r>
      <w:r w:rsidRPr="00FA7175">
        <w:rPr>
          <w:noProof/>
          <w:lang w:val="fr-FR"/>
        </w:rPr>
        <w:t>, de la CEI, arabes et asiatiques (Turquie, avril 2019)</w:t>
      </w:r>
      <w:r w:rsidR="00881915">
        <w:rPr>
          <w:noProof/>
          <w:lang w:val="fr-FR"/>
        </w:rPr>
        <w:t> ;</w:t>
      </w:r>
      <w:r w:rsidRPr="00FA7175">
        <w:rPr>
          <w:noProof/>
          <w:lang w:val="fr-FR"/>
        </w:rPr>
        <w:t xml:space="preserve"> 12e atelier panafricain sur l'accès et le partage des avantages (Afrique du Sud, septembre 2019)</w:t>
      </w:r>
      <w:r w:rsidR="00881915">
        <w:rPr>
          <w:noProof/>
          <w:lang w:val="fr-FR"/>
        </w:rPr>
        <w:t> ;</w:t>
      </w:r>
      <w:r w:rsidRPr="00FA7175">
        <w:rPr>
          <w:noProof/>
          <w:lang w:val="fr-FR"/>
        </w:rPr>
        <w:t xml:space="preserve"> formation à l'interopérabilité du Centre d'échange sur l'APA en Inde (décembre 2018) et au Kenya (octobre 2019).</w:t>
      </w:r>
    </w:p>
  </w:footnote>
  <w:footnote w:id="6">
    <w:p w14:paraId="2E651815" w14:textId="02604F47" w:rsidR="00755154" w:rsidRPr="00FA7175" w:rsidRDefault="00755154" w:rsidP="00755154">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4" w:history="1">
        <w:r w:rsidRPr="00FA7175">
          <w:rPr>
            <w:rStyle w:val="Lienhypertexte"/>
            <w:noProof/>
            <w:lang w:val="fr-FR"/>
          </w:rPr>
          <w:t>https://www.cbd.int/biobridge/</w:t>
        </w:r>
      </w:hyperlink>
    </w:p>
  </w:footnote>
  <w:footnote w:id="7">
    <w:p w14:paraId="5D781AC2" w14:textId="5FF9F917" w:rsidR="00591F5C" w:rsidRPr="00FA7175" w:rsidRDefault="00591F5C" w:rsidP="00B239D0">
      <w:pPr>
        <w:rPr>
          <w:rFonts w:cs="Times New Roman"/>
          <w:noProof/>
          <w:kern w:val="22"/>
          <w:sz w:val="18"/>
          <w:lang w:val="fr-FR"/>
        </w:rPr>
      </w:pPr>
      <w:r w:rsidRPr="00FA7175">
        <w:rPr>
          <w:rStyle w:val="Appelnotedebasdep"/>
          <w:noProof/>
          <w:lang w:val="fr-FR"/>
        </w:rPr>
        <w:footnoteRef/>
      </w:r>
      <w:r w:rsidRPr="00FA7175">
        <w:rPr>
          <w:noProof/>
          <w:lang w:val="fr-FR"/>
        </w:rPr>
        <w:t xml:space="preserve"> </w:t>
      </w:r>
      <w:r w:rsidR="00B239D0" w:rsidRPr="00FA7175">
        <w:rPr>
          <w:rFonts w:cs="Times New Roman"/>
          <w:noProof/>
          <w:kern w:val="22"/>
          <w:sz w:val="18"/>
          <w:lang w:val="fr-FR"/>
        </w:rPr>
        <w:t xml:space="preserve">Une description complète des propositions sélectionnées est disponible à l'adresse suivante : </w:t>
      </w:r>
      <w:hyperlink r:id="rId5" w:history="1">
        <w:r w:rsidR="00B239D0" w:rsidRPr="00FA7175">
          <w:rPr>
            <w:rStyle w:val="Lienhypertexte"/>
            <w:noProof/>
            <w:kern w:val="22"/>
            <w:sz w:val="18"/>
            <w:szCs w:val="18"/>
            <w:lang w:val="fr-FR"/>
          </w:rPr>
          <w:t>https://www.cbd.int/biobridge/projects/selected</w:t>
        </w:r>
      </w:hyperlink>
    </w:p>
  </w:footnote>
  <w:footnote w:id="8">
    <w:p w14:paraId="7F10CD33" w14:textId="77777777" w:rsidR="005C2D5E" w:rsidRPr="00FA7175" w:rsidRDefault="005C2D5E" w:rsidP="005C2D5E">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6" w:history="1">
        <w:r w:rsidRPr="00FA7175">
          <w:rPr>
            <w:rStyle w:val="Lienhypertexte"/>
            <w:noProof/>
            <w:lang w:val="fr-FR"/>
          </w:rPr>
          <w:t>https://scbd.unssc.org/course/index.php?categoryid=4</w:t>
        </w:r>
      </w:hyperlink>
      <w:r w:rsidRPr="00FA7175">
        <w:rPr>
          <w:noProof/>
          <w:lang w:val="fr-FR"/>
        </w:rPr>
        <w:t xml:space="preserve"> </w:t>
      </w:r>
    </w:p>
  </w:footnote>
  <w:footnote w:id="9">
    <w:p w14:paraId="3152CE3A" w14:textId="77777777" w:rsidR="00364889" w:rsidRPr="00FA7175" w:rsidRDefault="00364889" w:rsidP="00364889">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7" w:history="1">
        <w:r w:rsidRPr="00FA7175">
          <w:rPr>
            <w:rStyle w:val="Lienhypertexte"/>
            <w:noProof/>
            <w:lang w:val="fr-FR"/>
          </w:rPr>
          <w:t>https://vimeo.com/263320356/513f748f8a</w:t>
        </w:r>
      </w:hyperlink>
      <w:r w:rsidRPr="00FA7175">
        <w:rPr>
          <w:noProof/>
          <w:lang w:val="fr-FR"/>
        </w:rPr>
        <w:t xml:space="preserve"> </w:t>
      </w:r>
    </w:p>
  </w:footnote>
  <w:footnote w:id="10">
    <w:p w14:paraId="57A96C17" w14:textId="632F41DE" w:rsidR="00717588" w:rsidRPr="00FA7175" w:rsidRDefault="00717588" w:rsidP="00010EB1">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8" w:history="1">
        <w:r w:rsidRPr="00FA7175">
          <w:rPr>
            <w:rStyle w:val="Lienhypertexte"/>
            <w:noProof/>
            <w:lang w:val="fr-FR"/>
          </w:rPr>
          <w:t>https://www.youtube.com/watch?v=xJ0ZjpY0VQo</w:t>
        </w:r>
      </w:hyperlink>
      <w:r w:rsidRPr="00FA7175">
        <w:rPr>
          <w:noProof/>
          <w:lang w:val="fr-FR"/>
        </w:rPr>
        <w:t xml:space="preserve"> </w:t>
      </w:r>
    </w:p>
  </w:footnote>
  <w:footnote w:id="11">
    <w:p w14:paraId="13B58A23" w14:textId="48983137" w:rsidR="005D7F05" w:rsidRPr="00FA7175" w:rsidRDefault="005D7F05" w:rsidP="005D7F05">
      <w:pPr>
        <w:pStyle w:val="Notedebasdepage"/>
        <w:ind w:firstLine="0"/>
        <w:jc w:val="left"/>
        <w:rPr>
          <w:noProof/>
          <w:kern w:val="18"/>
          <w:lang w:val="fr-FR"/>
        </w:rPr>
      </w:pPr>
      <w:r w:rsidRPr="00FA7175">
        <w:rPr>
          <w:rStyle w:val="Appelnotedebasdep"/>
          <w:noProof/>
          <w:kern w:val="18"/>
          <w:lang w:val="fr-FR"/>
        </w:rPr>
        <w:footnoteRef/>
      </w:r>
      <w:r w:rsidRPr="00FA7175">
        <w:rPr>
          <w:noProof/>
          <w:kern w:val="18"/>
          <w:lang w:val="fr-FR"/>
        </w:rPr>
        <w:t xml:space="preserve"> </w:t>
      </w:r>
      <w:r w:rsidR="00D75ADD">
        <w:rPr>
          <w:noProof/>
          <w:kern w:val="18"/>
          <w:lang w:val="fr-FR"/>
        </w:rPr>
        <w:t>Voir</w:t>
      </w:r>
      <w:r w:rsidRPr="00FA7175">
        <w:rPr>
          <w:noProof/>
          <w:kern w:val="18"/>
          <w:lang w:val="fr-FR"/>
        </w:rPr>
        <w:t xml:space="preserve"> </w:t>
      </w:r>
      <w:hyperlink r:id="rId9" w:history="1">
        <w:r w:rsidRPr="00FA7175">
          <w:rPr>
            <w:rStyle w:val="Lienhypertexte"/>
            <w:noProof/>
            <w:kern w:val="18"/>
            <w:lang w:val="fr-FR"/>
          </w:rPr>
          <w:t>CBD/NP/CB-IAC/2019/1/2</w:t>
        </w:r>
      </w:hyperlink>
    </w:p>
  </w:footnote>
  <w:footnote w:id="12">
    <w:p w14:paraId="7B800B09" w14:textId="6C7BA6BC" w:rsidR="005D7F05" w:rsidRPr="00113C57" w:rsidRDefault="005D7F05" w:rsidP="00113C57">
      <w:pPr>
        <w:rPr>
          <w:rFonts w:cs="Times New Roman"/>
          <w:noProof/>
          <w:kern w:val="18"/>
          <w:sz w:val="18"/>
          <w:szCs w:val="18"/>
          <w:lang w:val="fr-FR"/>
        </w:rPr>
      </w:pPr>
      <w:r w:rsidRPr="00FA7175">
        <w:rPr>
          <w:rStyle w:val="Appelnotedebasdep"/>
          <w:noProof/>
          <w:kern w:val="18"/>
          <w:szCs w:val="18"/>
          <w:lang w:val="fr-FR"/>
        </w:rPr>
        <w:footnoteRef/>
      </w:r>
      <w:r w:rsidRPr="00FA7175">
        <w:rPr>
          <w:noProof/>
          <w:kern w:val="18"/>
          <w:szCs w:val="18"/>
          <w:lang w:val="fr-FR"/>
        </w:rPr>
        <w:t xml:space="preserve"> </w:t>
      </w:r>
      <w:r w:rsidR="00113C57" w:rsidRPr="00113C57">
        <w:rPr>
          <w:rFonts w:cs="Times New Roman"/>
          <w:noProof/>
          <w:kern w:val="18"/>
          <w:sz w:val="18"/>
          <w:szCs w:val="18"/>
          <w:lang w:val="fr-FR"/>
        </w:rPr>
        <w:t>Les donateurs utilisent une terminologie différente pour refléter le statut des projets. Aux fins de la présente analyse, le statut des projets a été classé comme suit : proposé, approuvé, en cours et terminé. "Proposé" se réfère aux projets dont les concepts ont été développés mais n'ont pas encore été soumis à un ou plusieurs donateurs ou sont soumis mais pas encore acceptés/approuvés. "Approuvé" fait référence aux projets dont les concepts ou les documents ont, en principe, été acceptés par le(s) donateur(s) et sont en cours d'élaboration pour devenir des documents de projet complets. "En cours" fait référence aux projets qui sont en cours de mise en œuvre et "terminé" fait référence aux projets qui ont été finalisés.</w:t>
      </w:r>
    </w:p>
  </w:footnote>
  <w:footnote w:id="13">
    <w:p w14:paraId="2DEAD0C4" w14:textId="161CD617" w:rsidR="00A54B14" w:rsidRPr="00A54B14" w:rsidRDefault="00A54B14" w:rsidP="00A54B14">
      <w:pPr>
        <w:rPr>
          <w:rFonts w:cs="Times New Roman"/>
          <w:noProof/>
          <w:kern w:val="18"/>
          <w:sz w:val="18"/>
          <w:szCs w:val="18"/>
          <w:lang w:val="fr-FR"/>
        </w:rPr>
      </w:pPr>
      <w:r w:rsidRPr="00FA7175">
        <w:rPr>
          <w:rStyle w:val="Appelnotedebasdep"/>
          <w:noProof/>
          <w:kern w:val="18"/>
          <w:szCs w:val="18"/>
          <w:lang w:val="fr-FR"/>
        </w:rPr>
        <w:footnoteRef/>
      </w:r>
      <w:r w:rsidRPr="00FA7175">
        <w:rPr>
          <w:noProof/>
          <w:kern w:val="18"/>
          <w:szCs w:val="18"/>
          <w:lang w:val="fr-FR"/>
        </w:rPr>
        <w:t xml:space="preserve"> </w:t>
      </w:r>
      <w:r w:rsidRPr="00A54B14">
        <w:rPr>
          <w:rFonts w:cs="Times New Roman"/>
          <w:noProof/>
          <w:kern w:val="18"/>
          <w:sz w:val="18"/>
          <w:szCs w:val="18"/>
          <w:lang w:val="fr-FR"/>
        </w:rPr>
        <w:t xml:space="preserve">Aux fins du présent document, l'analyse </w:t>
      </w:r>
      <w:r w:rsidR="00F77B4F">
        <w:rPr>
          <w:rFonts w:cs="Times New Roman"/>
          <w:noProof/>
          <w:kern w:val="18"/>
          <w:sz w:val="18"/>
          <w:szCs w:val="18"/>
          <w:lang w:val="fr-FR"/>
        </w:rPr>
        <w:t xml:space="preserve">se fonde </w:t>
      </w:r>
      <w:r w:rsidRPr="00A54B14">
        <w:rPr>
          <w:rFonts w:cs="Times New Roman"/>
          <w:noProof/>
          <w:kern w:val="18"/>
          <w:sz w:val="18"/>
          <w:szCs w:val="18"/>
          <w:lang w:val="fr-FR"/>
        </w:rPr>
        <w:t xml:space="preserve">sur les informations disponibles </w:t>
      </w:r>
      <w:r w:rsidR="004A63C4">
        <w:rPr>
          <w:rFonts w:cs="Times New Roman"/>
          <w:noProof/>
          <w:kern w:val="18"/>
          <w:sz w:val="18"/>
          <w:szCs w:val="18"/>
          <w:lang w:val="fr-FR"/>
        </w:rPr>
        <w:t>sur les</w:t>
      </w:r>
      <w:r w:rsidRPr="00A54B14">
        <w:rPr>
          <w:rFonts w:cs="Times New Roman"/>
          <w:noProof/>
          <w:kern w:val="18"/>
          <w:sz w:val="18"/>
          <w:szCs w:val="18"/>
          <w:lang w:val="fr-FR"/>
        </w:rPr>
        <w:t xml:space="preserve"> financement</w:t>
      </w:r>
      <w:r w:rsidR="004A63C4">
        <w:rPr>
          <w:rFonts w:cs="Times New Roman"/>
          <w:noProof/>
          <w:kern w:val="18"/>
          <w:sz w:val="18"/>
          <w:szCs w:val="18"/>
          <w:lang w:val="fr-FR"/>
        </w:rPr>
        <w:t>s</w:t>
      </w:r>
      <w:r w:rsidRPr="00A54B14">
        <w:rPr>
          <w:rFonts w:cs="Times New Roman"/>
          <w:noProof/>
          <w:kern w:val="18"/>
          <w:sz w:val="18"/>
          <w:szCs w:val="18"/>
          <w:lang w:val="fr-FR"/>
        </w:rPr>
        <w:t xml:space="preserve"> de base</w:t>
      </w:r>
      <w:r w:rsidR="00881915">
        <w:rPr>
          <w:rFonts w:cs="Times New Roman"/>
          <w:noProof/>
          <w:kern w:val="18"/>
          <w:sz w:val="18"/>
          <w:szCs w:val="18"/>
          <w:lang w:val="fr-FR"/>
        </w:rPr>
        <w:t> ;</w:t>
      </w:r>
      <w:r w:rsidRPr="00A54B14">
        <w:rPr>
          <w:rFonts w:cs="Times New Roman"/>
          <w:noProof/>
          <w:kern w:val="18"/>
          <w:sz w:val="18"/>
          <w:szCs w:val="18"/>
          <w:lang w:val="fr-FR"/>
        </w:rPr>
        <w:t xml:space="preserve"> elle n'inclut pas le cofinancement ou les contributions en nature. Il est important de noter que le cofinancement peut, dans certains cas, égaler ou dépasser le financement de base.</w:t>
      </w:r>
    </w:p>
  </w:footnote>
  <w:footnote w:id="14">
    <w:p w14:paraId="229A6CCB" w14:textId="480AF4C0" w:rsidR="008665CD" w:rsidRPr="00FA7175" w:rsidRDefault="008665CD" w:rsidP="008665CD">
      <w:pPr>
        <w:pStyle w:val="Notedebasdepage"/>
        <w:kinsoku w:val="0"/>
        <w:overflowPunct w:val="0"/>
        <w:autoSpaceDE w:val="0"/>
        <w:autoSpaceDN w:val="0"/>
        <w:ind w:firstLine="0"/>
        <w:jc w:val="left"/>
        <w:rPr>
          <w:noProof/>
          <w:kern w:val="18"/>
          <w:szCs w:val="18"/>
          <w:lang w:val="fr-FR"/>
        </w:rPr>
      </w:pPr>
      <w:r w:rsidRPr="00FA7175">
        <w:rPr>
          <w:rStyle w:val="Appelnotedebasdep"/>
          <w:noProof/>
          <w:kern w:val="18"/>
          <w:szCs w:val="18"/>
          <w:lang w:val="fr-FR"/>
        </w:rPr>
        <w:footnoteRef/>
      </w:r>
      <w:r w:rsidRPr="00FA7175">
        <w:rPr>
          <w:noProof/>
          <w:kern w:val="18"/>
          <w:szCs w:val="18"/>
          <w:lang w:val="fr-FR"/>
        </w:rPr>
        <w:t xml:space="preserve"> </w:t>
      </w:r>
      <w:r w:rsidRPr="008665CD">
        <w:rPr>
          <w:noProof/>
          <w:kern w:val="18"/>
          <w:szCs w:val="18"/>
          <w:lang w:val="fr-FR"/>
        </w:rPr>
        <w:t xml:space="preserve">Dans la décision NP-1/8, la Conférence des Parties siégeant en tant que réunion des Parties au Protocole de Nagoya a adopté un cadre stratégique pour la création et le développement des capacités </w:t>
      </w:r>
      <w:r w:rsidR="00403BAD">
        <w:rPr>
          <w:noProof/>
          <w:kern w:val="18"/>
          <w:szCs w:val="18"/>
          <w:lang w:val="fr-FR"/>
        </w:rPr>
        <w:t xml:space="preserve">en appui à </w:t>
      </w:r>
      <w:r w:rsidRPr="008665CD">
        <w:rPr>
          <w:noProof/>
          <w:kern w:val="18"/>
          <w:szCs w:val="18"/>
          <w:lang w:val="fr-FR"/>
        </w:rPr>
        <w:t xml:space="preserve">l'application </w:t>
      </w:r>
      <w:r w:rsidR="00403BAD">
        <w:rPr>
          <w:noProof/>
          <w:kern w:val="18"/>
          <w:szCs w:val="18"/>
          <w:lang w:val="fr-FR"/>
        </w:rPr>
        <w:t xml:space="preserve">effective </w:t>
      </w:r>
      <w:r w:rsidRPr="008665CD">
        <w:rPr>
          <w:noProof/>
          <w:kern w:val="18"/>
          <w:szCs w:val="18"/>
          <w:lang w:val="fr-FR"/>
        </w:rPr>
        <w:t>du Protocole de Nagoya (paragraphe 1 et annexe I de la décision). Le cadre identifie cinq domaines clés pour la création et le développement des capacités.</w:t>
      </w:r>
    </w:p>
  </w:footnote>
  <w:footnote w:id="15">
    <w:p w14:paraId="63730812" w14:textId="48313AB4" w:rsidR="008168AA" w:rsidRPr="00FA7175" w:rsidRDefault="008168AA" w:rsidP="002B792F">
      <w:pPr>
        <w:pStyle w:val="Notedebasdepage"/>
        <w:kinsoku w:val="0"/>
        <w:overflowPunct w:val="0"/>
        <w:autoSpaceDE w:val="0"/>
        <w:autoSpaceDN w:val="0"/>
        <w:ind w:firstLine="0"/>
        <w:jc w:val="left"/>
        <w:rPr>
          <w:noProof/>
          <w:kern w:val="18"/>
          <w:szCs w:val="18"/>
          <w:lang w:val="fr-FR"/>
        </w:rPr>
      </w:pPr>
      <w:r w:rsidRPr="00FA7175">
        <w:rPr>
          <w:rStyle w:val="Appelnotedebasdep"/>
          <w:noProof/>
          <w:kern w:val="18"/>
          <w:szCs w:val="18"/>
          <w:lang w:val="fr-FR"/>
        </w:rPr>
        <w:footnoteRef/>
      </w:r>
      <w:r w:rsidRPr="00FA7175">
        <w:rPr>
          <w:noProof/>
          <w:kern w:val="18"/>
          <w:szCs w:val="18"/>
          <w:lang w:val="fr-FR"/>
        </w:rPr>
        <w:t xml:space="preserve"> </w:t>
      </w:r>
      <w:r w:rsidR="00300435" w:rsidRPr="00300435">
        <w:rPr>
          <w:noProof/>
          <w:kern w:val="18"/>
          <w:szCs w:val="18"/>
          <w:lang w:val="fr-FR"/>
        </w:rPr>
        <w:t>Estimation faite sur la base des informations disponibles publiées dans les rapports du FEM à la COP, depuis la COP 10 (adoption du Protocole de Nagoya) jusqu'au projet de rapport soumis à la COP 15.</w:t>
      </w:r>
    </w:p>
  </w:footnote>
  <w:footnote w:id="16">
    <w:p w14:paraId="3DA70BE2" w14:textId="77777777" w:rsidR="00BF51BB" w:rsidRPr="00FA7175" w:rsidRDefault="00BF51BB" w:rsidP="00BF51BB">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10" w:history="1">
        <w:r w:rsidRPr="00FA7175">
          <w:rPr>
            <w:rStyle w:val="Lienhypertexte"/>
            <w:noProof/>
            <w:lang w:val="fr-FR"/>
          </w:rPr>
          <w:t>https://www.abs-biotrade.info/</w:t>
        </w:r>
      </w:hyperlink>
      <w:r w:rsidRPr="00FA7175">
        <w:rPr>
          <w:noProof/>
          <w:lang w:val="fr-FR"/>
        </w:rPr>
        <w:t xml:space="preserve"> </w:t>
      </w:r>
    </w:p>
  </w:footnote>
  <w:footnote w:id="17">
    <w:p w14:paraId="1EB03843" w14:textId="7B9EECF1" w:rsidR="00AC3CFB" w:rsidRPr="00FA7175" w:rsidRDefault="00AC3CFB" w:rsidP="00AC3CFB">
      <w:pPr>
        <w:keepLines/>
        <w:kinsoku w:val="0"/>
        <w:overflowPunct w:val="0"/>
        <w:autoSpaceDE w:val="0"/>
        <w:autoSpaceDN w:val="0"/>
        <w:spacing w:after="60"/>
        <w:jc w:val="left"/>
        <w:rPr>
          <w:noProof/>
          <w:kern w:val="18"/>
          <w:sz w:val="18"/>
          <w:szCs w:val="18"/>
          <w:lang w:val="fr-FR"/>
        </w:rPr>
      </w:pPr>
      <w:r w:rsidRPr="00FA7175">
        <w:rPr>
          <w:rStyle w:val="Appelnotedebasdep"/>
          <w:noProof/>
          <w:kern w:val="18"/>
          <w:szCs w:val="18"/>
          <w:lang w:val="fr-FR"/>
        </w:rPr>
        <w:footnoteRef/>
      </w:r>
      <w:r w:rsidRPr="00FA7175">
        <w:rPr>
          <w:noProof/>
          <w:kern w:val="18"/>
          <w:sz w:val="18"/>
          <w:szCs w:val="18"/>
          <w:lang w:val="fr-FR"/>
        </w:rPr>
        <w:t xml:space="preserve"> </w:t>
      </w:r>
      <w:r w:rsidR="007674DC" w:rsidRPr="007674DC">
        <w:rPr>
          <w:noProof/>
          <w:kern w:val="18"/>
          <w:sz w:val="18"/>
          <w:szCs w:val="18"/>
          <w:lang w:val="fr-FR"/>
        </w:rPr>
        <w:t>L'Initiative pour le développement des capacités en matière d'APA, par le biais de ses projets, apporte un soutien direct à 19 pays à l'échelle nationale.</w:t>
      </w:r>
    </w:p>
  </w:footnote>
  <w:footnote w:id="18">
    <w:p w14:paraId="696B1CA2" w14:textId="71C75EBB" w:rsidR="00AC3CFB" w:rsidRPr="00FA7175" w:rsidRDefault="00AC3CFB" w:rsidP="00AC3CFB">
      <w:pPr>
        <w:pStyle w:val="Notedebasdepage"/>
        <w:kinsoku w:val="0"/>
        <w:overflowPunct w:val="0"/>
        <w:autoSpaceDE w:val="0"/>
        <w:autoSpaceDN w:val="0"/>
        <w:ind w:firstLine="0"/>
        <w:jc w:val="left"/>
        <w:rPr>
          <w:noProof/>
          <w:kern w:val="18"/>
          <w:szCs w:val="18"/>
          <w:lang w:val="fr-FR"/>
        </w:rPr>
      </w:pPr>
      <w:r w:rsidRPr="00FA7175">
        <w:rPr>
          <w:rStyle w:val="Appelnotedebasdep"/>
          <w:noProof/>
          <w:kern w:val="18"/>
          <w:szCs w:val="18"/>
          <w:lang w:val="fr-FR"/>
        </w:rPr>
        <w:footnoteRef/>
      </w:r>
      <w:r w:rsidRPr="00FA7175">
        <w:rPr>
          <w:noProof/>
          <w:kern w:val="18"/>
          <w:szCs w:val="18"/>
          <w:lang w:val="fr-FR"/>
        </w:rPr>
        <w:t xml:space="preserve"> </w:t>
      </w:r>
      <w:r w:rsidR="007674DC">
        <w:rPr>
          <w:noProof/>
          <w:kern w:val="18"/>
          <w:szCs w:val="18"/>
          <w:lang w:val="fr-FR"/>
        </w:rPr>
        <w:t>Ces chiffres c</w:t>
      </w:r>
      <w:r w:rsidR="007674DC" w:rsidRPr="007674DC">
        <w:rPr>
          <w:noProof/>
          <w:kern w:val="18"/>
          <w:szCs w:val="18"/>
          <w:lang w:val="fr-FR"/>
        </w:rPr>
        <w:t>oncerne</w:t>
      </w:r>
      <w:r w:rsidR="007674DC">
        <w:rPr>
          <w:noProof/>
          <w:kern w:val="18"/>
          <w:szCs w:val="18"/>
          <w:lang w:val="fr-FR"/>
        </w:rPr>
        <w:t>nt</w:t>
      </w:r>
      <w:r w:rsidR="007674DC" w:rsidRPr="007674DC">
        <w:rPr>
          <w:noProof/>
          <w:kern w:val="18"/>
          <w:szCs w:val="18"/>
          <w:lang w:val="fr-FR"/>
        </w:rPr>
        <w:t xml:space="preserve"> uniquement les projets mis en œuvre par le PNUE et directement </w:t>
      </w:r>
      <w:r w:rsidR="007674DC">
        <w:rPr>
          <w:noProof/>
          <w:kern w:val="18"/>
          <w:szCs w:val="18"/>
          <w:lang w:val="fr-FR"/>
        </w:rPr>
        <w:t>mis en œuvre</w:t>
      </w:r>
      <w:r w:rsidR="007674DC" w:rsidRPr="007674DC">
        <w:rPr>
          <w:noProof/>
          <w:kern w:val="18"/>
          <w:szCs w:val="18"/>
          <w:lang w:val="fr-FR"/>
        </w:rPr>
        <w:t xml:space="preserve"> par les agences gouvernementales nationales.</w:t>
      </w:r>
    </w:p>
  </w:footnote>
  <w:footnote w:id="19">
    <w:p w14:paraId="5B74169C" w14:textId="27B8CEAA" w:rsidR="00DD0FDA" w:rsidRPr="00FA7175" w:rsidRDefault="00DD0FDA" w:rsidP="00DD0FDA">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11" w:history="1">
        <w:r>
          <w:rPr>
            <w:rStyle w:val="Lienhypertexte"/>
            <w:noProof/>
            <w:lang w:val="fr-FR"/>
          </w:rPr>
          <w:t>https://absch.cbd.int/fr/</w:t>
        </w:r>
      </w:hyperlink>
      <w:r w:rsidRPr="00FA7175">
        <w:rPr>
          <w:noProof/>
          <w:lang w:val="fr-FR"/>
        </w:rPr>
        <w:t xml:space="preserve"> </w:t>
      </w:r>
    </w:p>
  </w:footnote>
  <w:footnote w:id="20">
    <w:p w14:paraId="0412A08E" w14:textId="18A112C4" w:rsidR="00DD0FDA" w:rsidRPr="00FA7175" w:rsidRDefault="00DD0FDA" w:rsidP="00DD0FDA">
      <w:pPr>
        <w:pStyle w:val="Notedebasdepage"/>
        <w:kinsoku w:val="0"/>
        <w:overflowPunct w:val="0"/>
        <w:autoSpaceDE w:val="0"/>
        <w:autoSpaceDN w:val="0"/>
        <w:ind w:firstLine="0"/>
        <w:jc w:val="left"/>
        <w:rPr>
          <w:noProof/>
          <w:kern w:val="18"/>
          <w:szCs w:val="18"/>
          <w:lang w:val="fr-FR"/>
        </w:rPr>
      </w:pPr>
      <w:r w:rsidRPr="00FA7175">
        <w:rPr>
          <w:rStyle w:val="Appelnotedebasdep"/>
          <w:noProof/>
          <w:kern w:val="18"/>
          <w:szCs w:val="18"/>
          <w:lang w:val="fr-FR"/>
        </w:rPr>
        <w:footnoteRef/>
      </w:r>
      <w:r w:rsidRPr="00FA7175">
        <w:rPr>
          <w:noProof/>
          <w:kern w:val="18"/>
          <w:szCs w:val="18"/>
          <w:lang w:val="fr-FR"/>
        </w:rPr>
        <w:t xml:space="preserve"> </w:t>
      </w:r>
      <w:r w:rsidRPr="00DD0FDA">
        <w:rPr>
          <w:noProof/>
          <w:kern w:val="18"/>
          <w:szCs w:val="18"/>
          <w:lang w:val="fr-FR"/>
        </w:rPr>
        <w:t>Les outils et ressources de développement des capacités sont considérés comme ceux dont l'intention première est de faciliter l'apprentissage structuré, de transmettre de nouvelles connaissances et compétences en suivant des étapes pédagogiques systématiques et/ou de fournir des conseils sur la manière d'accomplir des tâches spécifiques liées à l'accès et au partage des avantages.</w:t>
      </w:r>
    </w:p>
  </w:footnote>
  <w:footnote w:id="21">
    <w:p w14:paraId="7A27C6F7" w14:textId="63BAAF81" w:rsidR="0055573C" w:rsidRPr="00FA7175" w:rsidRDefault="0055573C" w:rsidP="0055573C">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12" w:history="1">
        <w:r>
          <w:rPr>
            <w:rStyle w:val="Lienhypertexte"/>
            <w:noProof/>
            <w:lang w:val="fr-FR"/>
          </w:rPr>
          <w:t>https://www.cbd.int/abs/doc/cepa-toolkit-fr.pdf</w:t>
        </w:r>
      </w:hyperlink>
      <w:r w:rsidRPr="00FA7175">
        <w:rPr>
          <w:noProof/>
          <w:lang w:val="fr-FR"/>
        </w:rPr>
        <w:t xml:space="preserve"> </w:t>
      </w:r>
    </w:p>
  </w:footnote>
  <w:footnote w:id="22">
    <w:p w14:paraId="1B1FE07C" w14:textId="4DBE0CF0" w:rsidR="00110646" w:rsidRPr="00FA7175" w:rsidRDefault="00110646" w:rsidP="00110646">
      <w:pPr>
        <w:pStyle w:val="Notedebasdepage"/>
        <w:ind w:firstLine="0"/>
        <w:rPr>
          <w:noProof/>
          <w:lang w:val="fr-FR"/>
        </w:rPr>
      </w:pPr>
      <w:r w:rsidRPr="00FA7175">
        <w:rPr>
          <w:rStyle w:val="Appelnotedebasdep"/>
          <w:noProof/>
          <w:lang w:val="fr-FR"/>
        </w:rPr>
        <w:footnoteRef/>
      </w:r>
      <w:r w:rsidRPr="00FA7175">
        <w:rPr>
          <w:noProof/>
          <w:lang w:val="fr-FR"/>
        </w:rPr>
        <w:t xml:space="preserve"> </w:t>
      </w:r>
      <w:r w:rsidRPr="00110646">
        <w:rPr>
          <w:noProof/>
          <w:lang w:val="fr-FR"/>
        </w:rPr>
        <w:t xml:space="preserve">Figurant également dans la compilation des projets de décisions </w:t>
      </w:r>
      <w:r w:rsidRPr="00FA7175">
        <w:rPr>
          <w:noProof/>
          <w:lang w:val="fr-FR"/>
        </w:rPr>
        <w:t>CBD/NP/MOP/4/1/Add.5.</w:t>
      </w:r>
    </w:p>
  </w:footnote>
  <w:footnote w:id="23">
    <w:p w14:paraId="35AF78E6" w14:textId="4A03B846" w:rsidR="00D84E71" w:rsidRPr="00FA7175" w:rsidRDefault="00D84E71" w:rsidP="00010EB1">
      <w:pPr>
        <w:pStyle w:val="Notedebasdepage"/>
        <w:ind w:firstLine="0"/>
        <w:rPr>
          <w:noProof/>
          <w:lang w:val="fr-FR"/>
        </w:rPr>
      </w:pPr>
      <w:r w:rsidRPr="00FA7175">
        <w:rPr>
          <w:rStyle w:val="Appelnotedebasdep"/>
          <w:noProof/>
          <w:lang w:val="fr-FR"/>
        </w:rPr>
        <w:footnoteRef/>
      </w:r>
      <w:r w:rsidRPr="00FA7175">
        <w:rPr>
          <w:noProof/>
          <w:lang w:val="fr-FR"/>
        </w:rPr>
        <w:t xml:space="preserve"> </w:t>
      </w:r>
      <w:hyperlink r:id="rId13" w:history="1">
        <w:r w:rsidR="00CA6707">
          <w:rPr>
            <w:rStyle w:val="Lienhypertexte"/>
            <w:noProof/>
            <w:lang w:val="fr-FR"/>
          </w:rPr>
          <w:t>https://www.cbd.int/abs/doc/cepa-toolkit-fr.pdf</w:t>
        </w:r>
      </w:hyperlink>
      <w:r w:rsidR="006D1584" w:rsidRPr="00FA7175">
        <w:rPr>
          <w:noProof/>
          <w:lang w:val="fr-FR"/>
        </w:rPr>
        <w:t xml:space="preserve"> </w:t>
      </w:r>
    </w:p>
  </w:footnote>
  <w:footnote w:id="24">
    <w:p w14:paraId="4F2A08B2" w14:textId="7975F5EA" w:rsidR="00025CAF" w:rsidRPr="00FA7175" w:rsidRDefault="00025CAF" w:rsidP="00025CAF">
      <w:pPr>
        <w:pStyle w:val="Notedebasdepage"/>
        <w:ind w:firstLine="0"/>
        <w:jc w:val="left"/>
        <w:rPr>
          <w:noProof/>
          <w:kern w:val="18"/>
          <w:szCs w:val="18"/>
          <w:lang w:val="fr-FR"/>
        </w:rPr>
      </w:pPr>
      <w:r w:rsidRPr="00FA7175">
        <w:rPr>
          <w:rStyle w:val="Appelnotedebasdep"/>
          <w:noProof/>
          <w:kern w:val="18"/>
          <w:szCs w:val="18"/>
          <w:lang w:val="fr-FR"/>
        </w:rPr>
        <w:footnoteRef/>
      </w:r>
      <w:r w:rsidRPr="00FA7175">
        <w:rPr>
          <w:noProof/>
          <w:kern w:val="18"/>
          <w:szCs w:val="18"/>
          <w:lang w:val="fr-FR"/>
        </w:rPr>
        <w:t xml:space="preserve"> </w:t>
      </w:r>
      <w:r w:rsidR="00CA6707" w:rsidRPr="00CA6707">
        <w:rPr>
          <w:noProof/>
          <w:kern w:val="18"/>
          <w:szCs w:val="18"/>
          <w:lang w:val="fr-FR"/>
        </w:rPr>
        <w:t xml:space="preserve">Tel qu'indiqué dans la décision </w:t>
      </w:r>
      <w:r w:rsidRPr="00FA7175">
        <w:rPr>
          <w:noProof/>
          <w:kern w:val="18"/>
          <w:szCs w:val="18"/>
          <w:lang w:val="fr-FR"/>
        </w:rPr>
        <w:t>NP-1/9.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A59C1" w14:textId="7B6DFBE2" w:rsidR="00CD653E" w:rsidRPr="00BF3DF8" w:rsidRDefault="00CD653E" w:rsidP="00CD653E">
    <w:pPr>
      <w:pStyle w:val="En-tte"/>
      <w:tabs>
        <w:tab w:val="clear" w:pos="4320"/>
        <w:tab w:val="clear" w:pos="8640"/>
      </w:tabs>
      <w:kinsoku w:val="0"/>
      <w:overflowPunct w:val="0"/>
      <w:autoSpaceDE w:val="0"/>
      <w:autoSpaceDN w:val="0"/>
      <w:jc w:val="left"/>
      <w:rPr>
        <w:noProof/>
        <w:kern w:val="22"/>
      </w:rPr>
    </w:pPr>
    <w:r w:rsidRPr="00BF3DF8">
      <w:rPr>
        <w:noProof/>
        <w:kern w:val="22"/>
      </w:rPr>
      <w:t>CBD/</w:t>
    </w:r>
    <w:r>
      <w:rPr>
        <w:noProof/>
        <w:kern w:val="22"/>
      </w:rPr>
      <w:t>NP</w:t>
    </w:r>
    <w:r w:rsidRPr="00BF3DF8">
      <w:rPr>
        <w:noProof/>
        <w:kern w:val="22"/>
      </w:rPr>
      <w:t>/</w:t>
    </w:r>
    <w:r>
      <w:rPr>
        <w:noProof/>
        <w:kern w:val="22"/>
      </w:rPr>
      <w:t>MOP</w:t>
    </w:r>
    <w:r w:rsidRPr="00BF3DF8">
      <w:rPr>
        <w:noProof/>
        <w:kern w:val="22"/>
      </w:rPr>
      <w:t>/</w:t>
    </w:r>
    <w:r>
      <w:rPr>
        <w:noProof/>
        <w:kern w:val="22"/>
      </w:rPr>
      <w:t>4</w:t>
    </w:r>
    <w:r w:rsidRPr="00BF3DF8">
      <w:rPr>
        <w:noProof/>
        <w:kern w:val="22"/>
      </w:rPr>
      <w:t>/</w:t>
    </w:r>
    <w:r>
      <w:rPr>
        <w:noProof/>
        <w:kern w:val="22"/>
      </w:rPr>
      <w:t>5</w:t>
    </w:r>
  </w:p>
  <w:p w14:paraId="7C4EB97F" w14:textId="23046A47" w:rsidR="00CD653E" w:rsidRDefault="00CD653E" w:rsidP="00CD653E">
    <w:pPr>
      <w:pStyle w:val="En-tte"/>
    </w:pPr>
    <w:r w:rsidRPr="00BF3DF8">
      <w:rPr>
        <w:noProof/>
        <w:kern w:val="22"/>
      </w:rPr>
      <w:t xml:space="preserve">Page </w:t>
    </w:r>
    <w:r w:rsidRPr="00BF3DF8">
      <w:rPr>
        <w:noProof/>
        <w:kern w:val="22"/>
      </w:rPr>
      <w:fldChar w:fldCharType="begin"/>
    </w:r>
    <w:r w:rsidRPr="00BF3DF8">
      <w:rPr>
        <w:noProof/>
        <w:kern w:val="22"/>
      </w:rPr>
      <w:instrText xml:space="preserve"> PAGE </w:instrText>
    </w:r>
    <w:r w:rsidRPr="00BF3DF8">
      <w:rPr>
        <w:noProof/>
        <w:kern w:val="22"/>
      </w:rPr>
      <w:fldChar w:fldCharType="separate"/>
    </w:r>
    <w:r>
      <w:rPr>
        <w:noProof/>
        <w:kern w:val="22"/>
      </w:rPr>
      <w:t>4</w:t>
    </w:r>
    <w:r w:rsidRPr="00BF3DF8">
      <w:rPr>
        <w:noProof/>
        <w:kern w:val="22"/>
      </w:rPr>
      <w:fldChar w:fldCharType="end"/>
    </w:r>
  </w:p>
  <w:p w14:paraId="797B46E7" w14:textId="77777777" w:rsidR="00CD653E" w:rsidRDefault="00CD653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E23B0" w14:textId="77777777" w:rsidR="00955443" w:rsidRPr="00BF3DF8" w:rsidRDefault="00955443" w:rsidP="00F97CF7">
    <w:pPr>
      <w:pStyle w:val="En-tte"/>
      <w:tabs>
        <w:tab w:val="clear" w:pos="4320"/>
        <w:tab w:val="clear" w:pos="8640"/>
      </w:tabs>
      <w:kinsoku w:val="0"/>
      <w:overflowPunct w:val="0"/>
      <w:autoSpaceDE w:val="0"/>
      <w:autoSpaceDN w:val="0"/>
      <w:jc w:val="right"/>
      <w:rPr>
        <w:noProof/>
        <w:kern w:val="22"/>
      </w:rPr>
    </w:pPr>
    <w:r w:rsidRPr="00BF3DF8">
      <w:rPr>
        <w:noProof/>
        <w:kern w:val="22"/>
      </w:rPr>
      <w:t>CBD/</w:t>
    </w:r>
    <w:r>
      <w:rPr>
        <w:noProof/>
        <w:kern w:val="22"/>
      </w:rPr>
      <w:t>NP</w:t>
    </w:r>
    <w:r w:rsidRPr="00BF3DF8">
      <w:rPr>
        <w:noProof/>
        <w:kern w:val="22"/>
      </w:rPr>
      <w:t>/</w:t>
    </w:r>
    <w:r>
      <w:rPr>
        <w:noProof/>
        <w:kern w:val="22"/>
      </w:rPr>
      <w:t>MOP</w:t>
    </w:r>
    <w:r w:rsidRPr="00BF3DF8">
      <w:rPr>
        <w:noProof/>
        <w:kern w:val="22"/>
      </w:rPr>
      <w:t>/</w:t>
    </w:r>
    <w:r>
      <w:rPr>
        <w:noProof/>
        <w:kern w:val="22"/>
      </w:rPr>
      <w:t>4</w:t>
    </w:r>
    <w:r w:rsidRPr="00BF3DF8">
      <w:rPr>
        <w:noProof/>
        <w:kern w:val="22"/>
      </w:rPr>
      <w:t>/</w:t>
    </w:r>
    <w:r>
      <w:rPr>
        <w:noProof/>
        <w:kern w:val="22"/>
      </w:rPr>
      <w:t>5</w:t>
    </w:r>
  </w:p>
  <w:p w14:paraId="62FBDDF8" w14:textId="77777777" w:rsidR="00955443" w:rsidRDefault="00955443" w:rsidP="00F97CF7">
    <w:pPr>
      <w:pStyle w:val="En-tte"/>
      <w:jc w:val="right"/>
    </w:pPr>
    <w:r w:rsidRPr="00BF3DF8">
      <w:rPr>
        <w:noProof/>
        <w:kern w:val="22"/>
      </w:rPr>
      <w:t xml:space="preserve">Page </w:t>
    </w:r>
    <w:r w:rsidRPr="00BF3DF8">
      <w:rPr>
        <w:noProof/>
        <w:kern w:val="22"/>
      </w:rPr>
      <w:fldChar w:fldCharType="begin"/>
    </w:r>
    <w:r w:rsidRPr="00BF3DF8">
      <w:rPr>
        <w:noProof/>
        <w:kern w:val="22"/>
      </w:rPr>
      <w:instrText xml:space="preserve"> PAGE </w:instrText>
    </w:r>
    <w:r w:rsidRPr="00BF3DF8">
      <w:rPr>
        <w:noProof/>
        <w:kern w:val="22"/>
      </w:rPr>
      <w:fldChar w:fldCharType="separate"/>
    </w:r>
    <w:r>
      <w:rPr>
        <w:noProof/>
        <w:kern w:val="22"/>
      </w:rPr>
      <w:t>4</w:t>
    </w:r>
    <w:r w:rsidRPr="00BF3DF8">
      <w:rPr>
        <w:noProof/>
        <w:kern w:val="22"/>
      </w:rPr>
      <w:fldChar w:fldCharType="end"/>
    </w:r>
  </w:p>
  <w:p w14:paraId="107C4356" w14:textId="77777777" w:rsidR="00955443" w:rsidRDefault="0095544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AEB0B1E"/>
    <w:multiLevelType w:val="multilevel"/>
    <w:tmpl w:val="E07EC098"/>
    <w:lvl w:ilvl="0">
      <w:start w:val="1"/>
      <w:numFmt w:val="decimal"/>
      <w:pStyle w:val="para2"/>
      <w:lvlText w:val="%1."/>
      <w:lvlJc w:val="left"/>
      <w:pPr>
        <w:tabs>
          <w:tab w:val="num" w:pos="1080"/>
        </w:tabs>
        <w:ind w:left="720" w:firstLine="0"/>
      </w:pPr>
      <w:rPr>
        <w:rFonts w:hint="default"/>
      </w:rPr>
    </w:lvl>
    <w:lvl w:ilvl="1">
      <w:start w:val="1"/>
      <w:numFmt w:val="lowerLetter"/>
      <w:lvlText w:val="(%2)"/>
      <w:lvlJc w:val="left"/>
      <w:pPr>
        <w:tabs>
          <w:tab w:val="num" w:pos="1800"/>
        </w:tabs>
        <w:ind w:left="720" w:firstLine="720"/>
      </w:pPr>
      <w:rPr>
        <w:rFonts w:hint="default"/>
      </w:rPr>
    </w:lvl>
    <w:lvl w:ilvl="2">
      <w:start w:val="1"/>
      <w:numFmt w:val="lowerRoman"/>
      <w:lvlText w:val="(%3)"/>
      <w:lvlJc w:val="right"/>
      <w:pPr>
        <w:tabs>
          <w:tab w:val="num" w:pos="3456"/>
        </w:tabs>
        <w:ind w:left="3456" w:hanging="432"/>
      </w:pPr>
      <w:rPr>
        <w:rFonts w:hint="default"/>
      </w:rPr>
    </w:lvl>
    <w:lvl w:ilvl="3">
      <w:start w:val="1"/>
      <w:numFmt w:val="decimal"/>
      <w:lvlText w:val="a."/>
      <w:lvlJc w:val="left"/>
      <w:pPr>
        <w:tabs>
          <w:tab w:val="num" w:pos="2880"/>
        </w:tabs>
        <w:ind w:left="288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3" w15:restartNumberingAfterBreak="0">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CE43C91"/>
    <w:multiLevelType w:val="multilevel"/>
    <w:tmpl w:val="C0DEA7A8"/>
    <w:lvl w:ilvl="0">
      <w:start w:val="1"/>
      <w:numFmt w:val="decimal"/>
      <w:pStyle w:val="Paranum"/>
      <w:lvlText w:val="%1."/>
      <w:lvlJc w:val="left"/>
      <w:pPr>
        <w:tabs>
          <w:tab w:val="num" w:pos="360"/>
        </w:tabs>
        <w:ind w:left="0" w:firstLine="0"/>
      </w:pPr>
      <w:rPr>
        <w:b w:val="0"/>
        <w:bCs w:val="0"/>
        <w:i w:val="0"/>
        <w:iCs w:val="0"/>
        <w:color w:val="auto"/>
        <w:vertAlign w:val="baseline"/>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6"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8" w15:restartNumberingAfterBreak="0">
    <w:nsid w:val="4E0442B4"/>
    <w:multiLevelType w:val="multilevel"/>
    <w:tmpl w:val="9C0AAE1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65C5312"/>
    <w:multiLevelType w:val="multilevel"/>
    <w:tmpl w:val="4A8A17EE"/>
    <w:styleLink w:val="List211"/>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11" w15:restartNumberingAfterBreak="0">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12" w15:restartNumberingAfterBreak="0">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3"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4" w15:restartNumberingAfterBreak="0">
    <w:nsid w:val="63091516"/>
    <w:multiLevelType w:val="hybridMultilevel"/>
    <w:tmpl w:val="0DB43952"/>
    <w:styleLink w:val="ImportedStyle3"/>
    <w:lvl w:ilvl="0" w:tplc="0EAC344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3BC0BB8A">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29A05F3E">
      <w:start w:val="1"/>
      <w:numFmt w:val="lowerRoman"/>
      <w:lvlText w:val="(%3)"/>
      <w:lvlJc w:val="left"/>
      <w:pPr>
        <w:tabs>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21AAF838">
      <w:start w:val="1"/>
      <w:numFmt w:val="lowerRoman"/>
      <w:lvlText w:val="(%4)"/>
      <w:lvlJc w:val="left"/>
      <w:pPr>
        <w:tabs>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360E1968">
      <w:start w:val="1"/>
      <w:numFmt w:val="lowerLetter"/>
      <w:lvlText w:val="(%5)"/>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758F9D2">
      <w:start w:val="1"/>
      <w:numFmt w:val="lowerRoman"/>
      <w:lvlText w:val="(%6)"/>
      <w:lvlJc w:val="left"/>
      <w:pPr>
        <w:tabs>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93DAA5C0">
      <w:start w:val="1"/>
      <w:numFmt w:val="decimal"/>
      <w:lvlText w:val="%7."/>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213ED058">
      <w:start w:val="1"/>
      <w:numFmt w:val="lowerLetter"/>
      <w:lvlText w:val="%8."/>
      <w:lvlJc w:val="left"/>
      <w:pPr>
        <w:tabs>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377630C8">
      <w:start w:val="1"/>
      <w:numFmt w:val="lowerRoman"/>
      <w:lvlText w:val="%9."/>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15" w15:restartNumberingAfterBreak="0">
    <w:nsid w:val="65357F78"/>
    <w:multiLevelType w:val="hybridMultilevel"/>
    <w:tmpl w:val="E59652FE"/>
    <w:lvl w:ilvl="0" w:tplc="46F8F796">
      <w:start w:val="1"/>
      <w:numFmt w:val="decimal"/>
      <w:pStyle w:val="Paraofficial"/>
      <w:lvlText w:val="%1."/>
      <w:lvlJc w:val="left"/>
      <w:pPr>
        <w:tabs>
          <w:tab w:val="num" w:pos="1080"/>
        </w:tabs>
        <w:ind w:left="0" w:firstLine="720"/>
      </w:pPr>
      <w:rPr>
        <w:rFonts w:hint="default"/>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num w:numId="1" w16cid:durableId="1562860580">
    <w:abstractNumId w:val="1"/>
  </w:num>
  <w:num w:numId="2" w16cid:durableId="1536582118">
    <w:abstractNumId w:val="15"/>
  </w:num>
  <w:num w:numId="3" w16cid:durableId="336731492">
    <w:abstractNumId w:val="9"/>
  </w:num>
  <w:num w:numId="4" w16cid:durableId="442043413">
    <w:abstractNumId w:val="2"/>
  </w:num>
  <w:num w:numId="5" w16cid:durableId="392317584">
    <w:abstractNumId w:val="6"/>
  </w:num>
  <w:num w:numId="6" w16cid:durableId="1856772991">
    <w:abstractNumId w:val="4"/>
  </w:num>
  <w:num w:numId="7" w16cid:durableId="988023468">
    <w:abstractNumId w:val="0"/>
  </w:num>
  <w:num w:numId="8" w16cid:durableId="29309853">
    <w:abstractNumId w:val="10"/>
  </w:num>
  <w:num w:numId="9" w16cid:durableId="69158292">
    <w:abstractNumId w:val="12"/>
  </w:num>
  <w:num w:numId="10" w16cid:durableId="732581686">
    <w:abstractNumId w:val="7"/>
  </w:num>
  <w:num w:numId="11" w16cid:durableId="1857379663">
    <w:abstractNumId w:val="11"/>
  </w:num>
  <w:num w:numId="12" w16cid:durableId="312376031">
    <w:abstractNumId w:val="13"/>
  </w:num>
  <w:num w:numId="13" w16cid:durableId="1924488749">
    <w:abstractNumId w:val="3"/>
  </w:num>
  <w:num w:numId="14" w16cid:durableId="584731340">
    <w:abstractNumId w:val="14"/>
  </w:num>
  <w:num w:numId="15" w16cid:durableId="307710974">
    <w:abstractNumId w:val="5"/>
  </w:num>
  <w:num w:numId="16" w16cid:durableId="202639551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en-GB" w:vendorID="64" w:dllVersion="0" w:nlCheck="1" w:checkStyle="0"/>
  <w:activeWritingStyle w:appName="MSWord" w:lang="en-US" w:vendorID="64" w:dllVersion="0" w:nlCheck="1" w:checkStyle="0"/>
  <w:activeWritingStyle w:appName="MSWord" w:lang="fr-CA"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68A"/>
    <w:rsid w:val="00000923"/>
    <w:rsid w:val="0000236F"/>
    <w:rsid w:val="00002456"/>
    <w:rsid w:val="00002650"/>
    <w:rsid w:val="00003F8B"/>
    <w:rsid w:val="00004557"/>
    <w:rsid w:val="0000461C"/>
    <w:rsid w:val="0000784C"/>
    <w:rsid w:val="000079EF"/>
    <w:rsid w:val="000108B9"/>
    <w:rsid w:val="00010EB1"/>
    <w:rsid w:val="0001125D"/>
    <w:rsid w:val="00011828"/>
    <w:rsid w:val="0001218B"/>
    <w:rsid w:val="00012876"/>
    <w:rsid w:val="00013B90"/>
    <w:rsid w:val="00014393"/>
    <w:rsid w:val="00014940"/>
    <w:rsid w:val="00014F2C"/>
    <w:rsid w:val="00015A18"/>
    <w:rsid w:val="00015DCD"/>
    <w:rsid w:val="00015E03"/>
    <w:rsid w:val="00015FFC"/>
    <w:rsid w:val="00016A32"/>
    <w:rsid w:val="00016C8A"/>
    <w:rsid w:val="0001730F"/>
    <w:rsid w:val="00017357"/>
    <w:rsid w:val="000173F1"/>
    <w:rsid w:val="0001761A"/>
    <w:rsid w:val="00017B39"/>
    <w:rsid w:val="00017E9D"/>
    <w:rsid w:val="000207BA"/>
    <w:rsid w:val="00020F29"/>
    <w:rsid w:val="00021D0B"/>
    <w:rsid w:val="00022D6A"/>
    <w:rsid w:val="00023D38"/>
    <w:rsid w:val="0002452C"/>
    <w:rsid w:val="0002502A"/>
    <w:rsid w:val="00025112"/>
    <w:rsid w:val="00025CAF"/>
    <w:rsid w:val="00026D5A"/>
    <w:rsid w:val="00026D87"/>
    <w:rsid w:val="00026E12"/>
    <w:rsid w:val="00030368"/>
    <w:rsid w:val="00030677"/>
    <w:rsid w:val="0003130A"/>
    <w:rsid w:val="0003158D"/>
    <w:rsid w:val="0003170D"/>
    <w:rsid w:val="000321CA"/>
    <w:rsid w:val="00032CE4"/>
    <w:rsid w:val="0003308A"/>
    <w:rsid w:val="0003356D"/>
    <w:rsid w:val="0003416A"/>
    <w:rsid w:val="00034B6C"/>
    <w:rsid w:val="00034FEE"/>
    <w:rsid w:val="00035200"/>
    <w:rsid w:val="00035795"/>
    <w:rsid w:val="0003586E"/>
    <w:rsid w:val="00036ACF"/>
    <w:rsid w:val="000370A2"/>
    <w:rsid w:val="000378C6"/>
    <w:rsid w:val="00037E43"/>
    <w:rsid w:val="0004057A"/>
    <w:rsid w:val="000408BA"/>
    <w:rsid w:val="00041238"/>
    <w:rsid w:val="0004183B"/>
    <w:rsid w:val="00041EB4"/>
    <w:rsid w:val="000425BC"/>
    <w:rsid w:val="000425D5"/>
    <w:rsid w:val="000426B8"/>
    <w:rsid w:val="000430B9"/>
    <w:rsid w:val="00043D81"/>
    <w:rsid w:val="00043EF1"/>
    <w:rsid w:val="00044078"/>
    <w:rsid w:val="00047BA7"/>
    <w:rsid w:val="00047F1B"/>
    <w:rsid w:val="00051053"/>
    <w:rsid w:val="00051170"/>
    <w:rsid w:val="000521B6"/>
    <w:rsid w:val="000536B0"/>
    <w:rsid w:val="00053936"/>
    <w:rsid w:val="00053A28"/>
    <w:rsid w:val="00054AFE"/>
    <w:rsid w:val="000563D1"/>
    <w:rsid w:val="00056CC3"/>
    <w:rsid w:val="0005744B"/>
    <w:rsid w:val="0005750E"/>
    <w:rsid w:val="00057A71"/>
    <w:rsid w:val="00057BAC"/>
    <w:rsid w:val="000600E4"/>
    <w:rsid w:val="000604FD"/>
    <w:rsid w:val="000617F5"/>
    <w:rsid w:val="0006280A"/>
    <w:rsid w:val="000629EA"/>
    <w:rsid w:val="00063216"/>
    <w:rsid w:val="00063219"/>
    <w:rsid w:val="0006327E"/>
    <w:rsid w:val="00064180"/>
    <w:rsid w:val="00064299"/>
    <w:rsid w:val="00064944"/>
    <w:rsid w:val="00065462"/>
    <w:rsid w:val="00066516"/>
    <w:rsid w:val="00066A4A"/>
    <w:rsid w:val="00066EF7"/>
    <w:rsid w:val="000679E4"/>
    <w:rsid w:val="000706D2"/>
    <w:rsid w:val="00071D50"/>
    <w:rsid w:val="00072FA0"/>
    <w:rsid w:val="0007314C"/>
    <w:rsid w:val="00073200"/>
    <w:rsid w:val="000766FA"/>
    <w:rsid w:val="000774F8"/>
    <w:rsid w:val="00077834"/>
    <w:rsid w:val="000807A1"/>
    <w:rsid w:val="00080AA2"/>
    <w:rsid w:val="0008200C"/>
    <w:rsid w:val="00082909"/>
    <w:rsid w:val="000831B1"/>
    <w:rsid w:val="000833BC"/>
    <w:rsid w:val="00084ABA"/>
    <w:rsid w:val="00085072"/>
    <w:rsid w:val="000854C5"/>
    <w:rsid w:val="00086229"/>
    <w:rsid w:val="00086C49"/>
    <w:rsid w:val="0008716F"/>
    <w:rsid w:val="0008735A"/>
    <w:rsid w:val="000873D7"/>
    <w:rsid w:val="0008765A"/>
    <w:rsid w:val="0009025D"/>
    <w:rsid w:val="000907DB"/>
    <w:rsid w:val="000917A2"/>
    <w:rsid w:val="00091A04"/>
    <w:rsid w:val="00092876"/>
    <w:rsid w:val="00092AC3"/>
    <w:rsid w:val="00092B39"/>
    <w:rsid w:val="00092D84"/>
    <w:rsid w:val="000936E3"/>
    <w:rsid w:val="000942FA"/>
    <w:rsid w:val="00094450"/>
    <w:rsid w:val="000954F4"/>
    <w:rsid w:val="00095626"/>
    <w:rsid w:val="00095933"/>
    <w:rsid w:val="000960A5"/>
    <w:rsid w:val="00096769"/>
    <w:rsid w:val="00096836"/>
    <w:rsid w:val="00096978"/>
    <w:rsid w:val="000974C0"/>
    <w:rsid w:val="00097C81"/>
    <w:rsid w:val="000A0255"/>
    <w:rsid w:val="000A126F"/>
    <w:rsid w:val="000A1718"/>
    <w:rsid w:val="000A1BE4"/>
    <w:rsid w:val="000A2323"/>
    <w:rsid w:val="000A26A1"/>
    <w:rsid w:val="000A26A9"/>
    <w:rsid w:val="000A34B4"/>
    <w:rsid w:val="000A6047"/>
    <w:rsid w:val="000A67B5"/>
    <w:rsid w:val="000A716B"/>
    <w:rsid w:val="000A7BCB"/>
    <w:rsid w:val="000A7E44"/>
    <w:rsid w:val="000A7F5C"/>
    <w:rsid w:val="000B0096"/>
    <w:rsid w:val="000B01D0"/>
    <w:rsid w:val="000B0837"/>
    <w:rsid w:val="000B097D"/>
    <w:rsid w:val="000B0D20"/>
    <w:rsid w:val="000B197E"/>
    <w:rsid w:val="000B1C2C"/>
    <w:rsid w:val="000B225F"/>
    <w:rsid w:val="000B22D0"/>
    <w:rsid w:val="000B5B29"/>
    <w:rsid w:val="000B67CC"/>
    <w:rsid w:val="000B68A6"/>
    <w:rsid w:val="000B752E"/>
    <w:rsid w:val="000B7CFF"/>
    <w:rsid w:val="000B7FD3"/>
    <w:rsid w:val="000C28E0"/>
    <w:rsid w:val="000C2AB0"/>
    <w:rsid w:val="000C2F30"/>
    <w:rsid w:val="000C380B"/>
    <w:rsid w:val="000C429D"/>
    <w:rsid w:val="000C4DF4"/>
    <w:rsid w:val="000C6C56"/>
    <w:rsid w:val="000C6C8E"/>
    <w:rsid w:val="000D0B43"/>
    <w:rsid w:val="000D0D7D"/>
    <w:rsid w:val="000D0DB9"/>
    <w:rsid w:val="000D12BD"/>
    <w:rsid w:val="000D14C8"/>
    <w:rsid w:val="000D15B3"/>
    <w:rsid w:val="000D1DF1"/>
    <w:rsid w:val="000D1E2A"/>
    <w:rsid w:val="000D2342"/>
    <w:rsid w:val="000D2F12"/>
    <w:rsid w:val="000D42A8"/>
    <w:rsid w:val="000D4446"/>
    <w:rsid w:val="000D481C"/>
    <w:rsid w:val="000D482E"/>
    <w:rsid w:val="000D4AE6"/>
    <w:rsid w:val="000D4F30"/>
    <w:rsid w:val="000D57E7"/>
    <w:rsid w:val="000D5B1F"/>
    <w:rsid w:val="000D5F7C"/>
    <w:rsid w:val="000D62B7"/>
    <w:rsid w:val="000D73BF"/>
    <w:rsid w:val="000D7430"/>
    <w:rsid w:val="000D74E6"/>
    <w:rsid w:val="000E0F47"/>
    <w:rsid w:val="000E207B"/>
    <w:rsid w:val="000E2242"/>
    <w:rsid w:val="000E3B8D"/>
    <w:rsid w:val="000E3BAA"/>
    <w:rsid w:val="000E4335"/>
    <w:rsid w:val="000E4668"/>
    <w:rsid w:val="000E4D2F"/>
    <w:rsid w:val="000E4E75"/>
    <w:rsid w:val="000E5283"/>
    <w:rsid w:val="000E654B"/>
    <w:rsid w:val="000E65E5"/>
    <w:rsid w:val="000E76E0"/>
    <w:rsid w:val="000E77E9"/>
    <w:rsid w:val="000F1E67"/>
    <w:rsid w:val="000F2159"/>
    <w:rsid w:val="000F23C7"/>
    <w:rsid w:val="000F2D28"/>
    <w:rsid w:val="000F2DA4"/>
    <w:rsid w:val="000F2E21"/>
    <w:rsid w:val="000F3E29"/>
    <w:rsid w:val="000F42B6"/>
    <w:rsid w:val="000F498F"/>
    <w:rsid w:val="000F528D"/>
    <w:rsid w:val="000F5315"/>
    <w:rsid w:val="000F6761"/>
    <w:rsid w:val="000F6787"/>
    <w:rsid w:val="000F7854"/>
    <w:rsid w:val="00100D97"/>
    <w:rsid w:val="00101585"/>
    <w:rsid w:val="00101EED"/>
    <w:rsid w:val="0010229C"/>
    <w:rsid w:val="001022AA"/>
    <w:rsid w:val="00102636"/>
    <w:rsid w:val="00102933"/>
    <w:rsid w:val="0010397A"/>
    <w:rsid w:val="001047A7"/>
    <w:rsid w:val="00104808"/>
    <w:rsid w:val="00104F6F"/>
    <w:rsid w:val="001054F9"/>
    <w:rsid w:val="001072F6"/>
    <w:rsid w:val="00107B0C"/>
    <w:rsid w:val="0011016E"/>
    <w:rsid w:val="00110646"/>
    <w:rsid w:val="00110D82"/>
    <w:rsid w:val="00111FC6"/>
    <w:rsid w:val="00111FCB"/>
    <w:rsid w:val="0011273E"/>
    <w:rsid w:val="00112CA7"/>
    <w:rsid w:val="00112D54"/>
    <w:rsid w:val="001130CB"/>
    <w:rsid w:val="0011357E"/>
    <w:rsid w:val="00113814"/>
    <w:rsid w:val="00113C57"/>
    <w:rsid w:val="0011414A"/>
    <w:rsid w:val="00114BE9"/>
    <w:rsid w:val="00114C09"/>
    <w:rsid w:val="001159A2"/>
    <w:rsid w:val="001161DB"/>
    <w:rsid w:val="00116232"/>
    <w:rsid w:val="00116765"/>
    <w:rsid w:val="001170C5"/>
    <w:rsid w:val="00121D22"/>
    <w:rsid w:val="001226B0"/>
    <w:rsid w:val="0012270C"/>
    <w:rsid w:val="0012295B"/>
    <w:rsid w:val="001231DC"/>
    <w:rsid w:val="0012338B"/>
    <w:rsid w:val="001236CC"/>
    <w:rsid w:val="00123907"/>
    <w:rsid w:val="00123AE5"/>
    <w:rsid w:val="00123B6E"/>
    <w:rsid w:val="001246EE"/>
    <w:rsid w:val="00124759"/>
    <w:rsid w:val="00124E2D"/>
    <w:rsid w:val="0012504C"/>
    <w:rsid w:val="00125305"/>
    <w:rsid w:val="00125DE5"/>
    <w:rsid w:val="00126BEE"/>
    <w:rsid w:val="00126F1D"/>
    <w:rsid w:val="00127C22"/>
    <w:rsid w:val="00127E26"/>
    <w:rsid w:val="001302E4"/>
    <w:rsid w:val="00130B56"/>
    <w:rsid w:val="00130C8F"/>
    <w:rsid w:val="00130F36"/>
    <w:rsid w:val="0013147F"/>
    <w:rsid w:val="00131607"/>
    <w:rsid w:val="00131692"/>
    <w:rsid w:val="001318DF"/>
    <w:rsid w:val="00133472"/>
    <w:rsid w:val="00133B52"/>
    <w:rsid w:val="00133F4F"/>
    <w:rsid w:val="00135478"/>
    <w:rsid w:val="001359C1"/>
    <w:rsid w:val="00136022"/>
    <w:rsid w:val="00136D69"/>
    <w:rsid w:val="001375FE"/>
    <w:rsid w:val="001377AD"/>
    <w:rsid w:val="00137CC1"/>
    <w:rsid w:val="00137F9C"/>
    <w:rsid w:val="00140785"/>
    <w:rsid w:val="00140887"/>
    <w:rsid w:val="00140F2A"/>
    <w:rsid w:val="00141765"/>
    <w:rsid w:val="00141E7C"/>
    <w:rsid w:val="00141F72"/>
    <w:rsid w:val="001427B0"/>
    <w:rsid w:val="001459E8"/>
    <w:rsid w:val="00145A95"/>
    <w:rsid w:val="00145CA2"/>
    <w:rsid w:val="00145F43"/>
    <w:rsid w:val="00146FD6"/>
    <w:rsid w:val="0015022F"/>
    <w:rsid w:val="001518CF"/>
    <w:rsid w:val="00151B29"/>
    <w:rsid w:val="00152022"/>
    <w:rsid w:val="00152163"/>
    <w:rsid w:val="00152987"/>
    <w:rsid w:val="00153018"/>
    <w:rsid w:val="001536C7"/>
    <w:rsid w:val="00153E30"/>
    <w:rsid w:val="0015438E"/>
    <w:rsid w:val="00154E89"/>
    <w:rsid w:val="00155016"/>
    <w:rsid w:val="00155512"/>
    <w:rsid w:val="001560A5"/>
    <w:rsid w:val="00156E60"/>
    <w:rsid w:val="001578A6"/>
    <w:rsid w:val="00157C24"/>
    <w:rsid w:val="001602F5"/>
    <w:rsid w:val="001605D9"/>
    <w:rsid w:val="00160855"/>
    <w:rsid w:val="0016087D"/>
    <w:rsid w:val="0016097B"/>
    <w:rsid w:val="001609A3"/>
    <w:rsid w:val="00160C66"/>
    <w:rsid w:val="0016183C"/>
    <w:rsid w:val="00163A84"/>
    <w:rsid w:val="00164BEA"/>
    <w:rsid w:val="00164D1C"/>
    <w:rsid w:val="00166CB5"/>
    <w:rsid w:val="00166FFE"/>
    <w:rsid w:val="00167082"/>
    <w:rsid w:val="00167641"/>
    <w:rsid w:val="00167731"/>
    <w:rsid w:val="00170DBC"/>
    <w:rsid w:val="00171907"/>
    <w:rsid w:val="00172B14"/>
    <w:rsid w:val="00173569"/>
    <w:rsid w:val="00173A77"/>
    <w:rsid w:val="00173AA8"/>
    <w:rsid w:val="00174EB3"/>
    <w:rsid w:val="00174F20"/>
    <w:rsid w:val="00175C15"/>
    <w:rsid w:val="00175D01"/>
    <w:rsid w:val="001760EC"/>
    <w:rsid w:val="0018006D"/>
    <w:rsid w:val="0018031F"/>
    <w:rsid w:val="00180EE9"/>
    <w:rsid w:val="0018107A"/>
    <w:rsid w:val="001823A3"/>
    <w:rsid w:val="00182677"/>
    <w:rsid w:val="0018277C"/>
    <w:rsid w:val="00182BAD"/>
    <w:rsid w:val="00184A1B"/>
    <w:rsid w:val="00185551"/>
    <w:rsid w:val="00185EC9"/>
    <w:rsid w:val="00186355"/>
    <w:rsid w:val="00186F27"/>
    <w:rsid w:val="001879FF"/>
    <w:rsid w:val="00187B5E"/>
    <w:rsid w:val="001903A5"/>
    <w:rsid w:val="00190C9A"/>
    <w:rsid w:val="00191303"/>
    <w:rsid w:val="00191E1D"/>
    <w:rsid w:val="00191FBB"/>
    <w:rsid w:val="0019247D"/>
    <w:rsid w:val="00192742"/>
    <w:rsid w:val="00192922"/>
    <w:rsid w:val="001937A0"/>
    <w:rsid w:val="00193BD9"/>
    <w:rsid w:val="00194FA5"/>
    <w:rsid w:val="00195E04"/>
    <w:rsid w:val="00196161"/>
    <w:rsid w:val="00196B77"/>
    <w:rsid w:val="00196E69"/>
    <w:rsid w:val="00197A15"/>
    <w:rsid w:val="001A03DA"/>
    <w:rsid w:val="001A0604"/>
    <w:rsid w:val="001A24A1"/>
    <w:rsid w:val="001A26F8"/>
    <w:rsid w:val="001A2A3F"/>
    <w:rsid w:val="001A32BE"/>
    <w:rsid w:val="001A3834"/>
    <w:rsid w:val="001A4A79"/>
    <w:rsid w:val="001A5677"/>
    <w:rsid w:val="001A56D4"/>
    <w:rsid w:val="001A7F1A"/>
    <w:rsid w:val="001B0488"/>
    <w:rsid w:val="001B0CC4"/>
    <w:rsid w:val="001B1418"/>
    <w:rsid w:val="001B19CC"/>
    <w:rsid w:val="001B1F23"/>
    <w:rsid w:val="001B27F0"/>
    <w:rsid w:val="001B296F"/>
    <w:rsid w:val="001B3840"/>
    <w:rsid w:val="001B3E4B"/>
    <w:rsid w:val="001B47AB"/>
    <w:rsid w:val="001B47B8"/>
    <w:rsid w:val="001B4DE1"/>
    <w:rsid w:val="001B5493"/>
    <w:rsid w:val="001B5D4C"/>
    <w:rsid w:val="001B65C8"/>
    <w:rsid w:val="001B755E"/>
    <w:rsid w:val="001C02B5"/>
    <w:rsid w:val="001C0328"/>
    <w:rsid w:val="001C0ACE"/>
    <w:rsid w:val="001C101F"/>
    <w:rsid w:val="001C15E9"/>
    <w:rsid w:val="001C1914"/>
    <w:rsid w:val="001C1FD1"/>
    <w:rsid w:val="001C2A17"/>
    <w:rsid w:val="001C3279"/>
    <w:rsid w:val="001C356D"/>
    <w:rsid w:val="001C3CDA"/>
    <w:rsid w:val="001C43D2"/>
    <w:rsid w:val="001C4A26"/>
    <w:rsid w:val="001C565C"/>
    <w:rsid w:val="001C5B98"/>
    <w:rsid w:val="001C5C22"/>
    <w:rsid w:val="001C62B0"/>
    <w:rsid w:val="001C6718"/>
    <w:rsid w:val="001C6F39"/>
    <w:rsid w:val="001C71F8"/>
    <w:rsid w:val="001C7882"/>
    <w:rsid w:val="001C7BB5"/>
    <w:rsid w:val="001C7EC1"/>
    <w:rsid w:val="001C7FC6"/>
    <w:rsid w:val="001D010E"/>
    <w:rsid w:val="001D0318"/>
    <w:rsid w:val="001D0CB2"/>
    <w:rsid w:val="001D1094"/>
    <w:rsid w:val="001D15D8"/>
    <w:rsid w:val="001D1C70"/>
    <w:rsid w:val="001D3867"/>
    <w:rsid w:val="001D429E"/>
    <w:rsid w:val="001D5EEB"/>
    <w:rsid w:val="001D630A"/>
    <w:rsid w:val="001D77D4"/>
    <w:rsid w:val="001D78B3"/>
    <w:rsid w:val="001D7CE2"/>
    <w:rsid w:val="001E0252"/>
    <w:rsid w:val="001E0979"/>
    <w:rsid w:val="001E0CF2"/>
    <w:rsid w:val="001E1178"/>
    <w:rsid w:val="001E1F43"/>
    <w:rsid w:val="001E2263"/>
    <w:rsid w:val="001E2D77"/>
    <w:rsid w:val="001E2F22"/>
    <w:rsid w:val="001E44D4"/>
    <w:rsid w:val="001E475F"/>
    <w:rsid w:val="001E510F"/>
    <w:rsid w:val="001E5D24"/>
    <w:rsid w:val="001E60FA"/>
    <w:rsid w:val="001E6775"/>
    <w:rsid w:val="001E6D9F"/>
    <w:rsid w:val="001E74FF"/>
    <w:rsid w:val="001E7AA2"/>
    <w:rsid w:val="001F0E75"/>
    <w:rsid w:val="001F220A"/>
    <w:rsid w:val="001F2433"/>
    <w:rsid w:val="001F268A"/>
    <w:rsid w:val="001F3B84"/>
    <w:rsid w:val="001F47DA"/>
    <w:rsid w:val="001F617B"/>
    <w:rsid w:val="001F620A"/>
    <w:rsid w:val="001F64DE"/>
    <w:rsid w:val="001F64DF"/>
    <w:rsid w:val="001F6881"/>
    <w:rsid w:val="001F6EFD"/>
    <w:rsid w:val="001F7648"/>
    <w:rsid w:val="001F7AD1"/>
    <w:rsid w:val="001F7CDB"/>
    <w:rsid w:val="001F7E2F"/>
    <w:rsid w:val="00200323"/>
    <w:rsid w:val="00200467"/>
    <w:rsid w:val="00200B2E"/>
    <w:rsid w:val="00201A1E"/>
    <w:rsid w:val="00201B7E"/>
    <w:rsid w:val="00201E30"/>
    <w:rsid w:val="00202360"/>
    <w:rsid w:val="00202628"/>
    <w:rsid w:val="00203B31"/>
    <w:rsid w:val="00203D62"/>
    <w:rsid w:val="00203E94"/>
    <w:rsid w:val="00204EB6"/>
    <w:rsid w:val="002051E0"/>
    <w:rsid w:val="002052A9"/>
    <w:rsid w:val="002065D9"/>
    <w:rsid w:val="002068F1"/>
    <w:rsid w:val="00206974"/>
    <w:rsid w:val="00207E23"/>
    <w:rsid w:val="0021016D"/>
    <w:rsid w:val="0021038A"/>
    <w:rsid w:val="0021096D"/>
    <w:rsid w:val="00211ADA"/>
    <w:rsid w:val="00211CD9"/>
    <w:rsid w:val="0021217F"/>
    <w:rsid w:val="00212554"/>
    <w:rsid w:val="002127BD"/>
    <w:rsid w:val="002128E4"/>
    <w:rsid w:val="002132C9"/>
    <w:rsid w:val="002138CE"/>
    <w:rsid w:val="00213E6D"/>
    <w:rsid w:val="00213EAB"/>
    <w:rsid w:val="00214538"/>
    <w:rsid w:val="002154D1"/>
    <w:rsid w:val="00215757"/>
    <w:rsid w:val="00215CA4"/>
    <w:rsid w:val="00216351"/>
    <w:rsid w:val="002165FC"/>
    <w:rsid w:val="002169DA"/>
    <w:rsid w:val="00217013"/>
    <w:rsid w:val="002174FD"/>
    <w:rsid w:val="002207F1"/>
    <w:rsid w:val="00220CD3"/>
    <w:rsid w:val="00220DD8"/>
    <w:rsid w:val="002220D5"/>
    <w:rsid w:val="00222E54"/>
    <w:rsid w:val="00222F68"/>
    <w:rsid w:val="002230EB"/>
    <w:rsid w:val="0022328A"/>
    <w:rsid w:val="002241DF"/>
    <w:rsid w:val="002247FC"/>
    <w:rsid w:val="0022499C"/>
    <w:rsid w:val="00224BD0"/>
    <w:rsid w:val="00224F76"/>
    <w:rsid w:val="00225223"/>
    <w:rsid w:val="00225758"/>
    <w:rsid w:val="00226B07"/>
    <w:rsid w:val="00226D8B"/>
    <w:rsid w:val="00226F7B"/>
    <w:rsid w:val="002273B1"/>
    <w:rsid w:val="00227961"/>
    <w:rsid w:val="00227C42"/>
    <w:rsid w:val="00230500"/>
    <w:rsid w:val="0023076A"/>
    <w:rsid w:val="00230A63"/>
    <w:rsid w:val="00230EC5"/>
    <w:rsid w:val="00231276"/>
    <w:rsid w:val="00231399"/>
    <w:rsid w:val="00231A0E"/>
    <w:rsid w:val="00231C66"/>
    <w:rsid w:val="00231DB0"/>
    <w:rsid w:val="00231E35"/>
    <w:rsid w:val="002322D7"/>
    <w:rsid w:val="002330C2"/>
    <w:rsid w:val="00233125"/>
    <w:rsid w:val="0023358D"/>
    <w:rsid w:val="00233B14"/>
    <w:rsid w:val="00234B8B"/>
    <w:rsid w:val="00234CE5"/>
    <w:rsid w:val="00234D09"/>
    <w:rsid w:val="00234ECA"/>
    <w:rsid w:val="002351F1"/>
    <w:rsid w:val="00236075"/>
    <w:rsid w:val="0023639C"/>
    <w:rsid w:val="0023640E"/>
    <w:rsid w:val="0023657A"/>
    <w:rsid w:val="0023696A"/>
    <w:rsid w:val="002371A9"/>
    <w:rsid w:val="00237550"/>
    <w:rsid w:val="00237D48"/>
    <w:rsid w:val="00241179"/>
    <w:rsid w:val="00241759"/>
    <w:rsid w:val="00242411"/>
    <w:rsid w:val="00242A96"/>
    <w:rsid w:val="0024320C"/>
    <w:rsid w:val="002434F2"/>
    <w:rsid w:val="0024380F"/>
    <w:rsid w:val="00243BE3"/>
    <w:rsid w:val="00243E3A"/>
    <w:rsid w:val="0024404D"/>
    <w:rsid w:val="002442A6"/>
    <w:rsid w:val="00244B39"/>
    <w:rsid w:val="0024540A"/>
    <w:rsid w:val="00246908"/>
    <w:rsid w:val="00246C98"/>
    <w:rsid w:val="0024769B"/>
    <w:rsid w:val="00250111"/>
    <w:rsid w:val="0025095A"/>
    <w:rsid w:val="0025116E"/>
    <w:rsid w:val="002513B0"/>
    <w:rsid w:val="00251914"/>
    <w:rsid w:val="00252906"/>
    <w:rsid w:val="002530BB"/>
    <w:rsid w:val="00253F6D"/>
    <w:rsid w:val="00254056"/>
    <w:rsid w:val="002542D9"/>
    <w:rsid w:val="00254F0D"/>
    <w:rsid w:val="0025657C"/>
    <w:rsid w:val="002570EF"/>
    <w:rsid w:val="0025785A"/>
    <w:rsid w:val="00257EA3"/>
    <w:rsid w:val="00260818"/>
    <w:rsid w:val="00260889"/>
    <w:rsid w:val="00260975"/>
    <w:rsid w:val="00260F7F"/>
    <w:rsid w:val="00260FDC"/>
    <w:rsid w:val="00261370"/>
    <w:rsid w:val="0026137F"/>
    <w:rsid w:val="002615F7"/>
    <w:rsid w:val="0026180B"/>
    <w:rsid w:val="00261BF7"/>
    <w:rsid w:val="002620E8"/>
    <w:rsid w:val="00262200"/>
    <w:rsid w:val="002625D7"/>
    <w:rsid w:val="0026312A"/>
    <w:rsid w:val="0026386E"/>
    <w:rsid w:val="002651CC"/>
    <w:rsid w:val="00265490"/>
    <w:rsid w:val="00267432"/>
    <w:rsid w:val="00270538"/>
    <w:rsid w:val="00270C87"/>
    <w:rsid w:val="00270D18"/>
    <w:rsid w:val="0027140B"/>
    <w:rsid w:val="002723B5"/>
    <w:rsid w:val="002726A6"/>
    <w:rsid w:val="00272CAE"/>
    <w:rsid w:val="00273843"/>
    <w:rsid w:val="00274DD5"/>
    <w:rsid w:val="00274F61"/>
    <w:rsid w:val="002755A9"/>
    <w:rsid w:val="002762CD"/>
    <w:rsid w:val="00276761"/>
    <w:rsid w:val="00276CD0"/>
    <w:rsid w:val="00276CFB"/>
    <w:rsid w:val="00277D86"/>
    <w:rsid w:val="00280CF9"/>
    <w:rsid w:val="00280E89"/>
    <w:rsid w:val="00280EAA"/>
    <w:rsid w:val="00281051"/>
    <w:rsid w:val="002815FA"/>
    <w:rsid w:val="0028206C"/>
    <w:rsid w:val="00282106"/>
    <w:rsid w:val="00282175"/>
    <w:rsid w:val="002828E3"/>
    <w:rsid w:val="00282904"/>
    <w:rsid w:val="00282952"/>
    <w:rsid w:val="002829E1"/>
    <w:rsid w:val="0028380B"/>
    <w:rsid w:val="00283B25"/>
    <w:rsid w:val="0028557B"/>
    <w:rsid w:val="00285716"/>
    <w:rsid w:val="00285DD5"/>
    <w:rsid w:val="00286407"/>
    <w:rsid w:val="00286ECE"/>
    <w:rsid w:val="0028773B"/>
    <w:rsid w:val="00287F7B"/>
    <w:rsid w:val="00290EFE"/>
    <w:rsid w:val="002915E8"/>
    <w:rsid w:val="00291C7D"/>
    <w:rsid w:val="00291EFA"/>
    <w:rsid w:val="00292649"/>
    <w:rsid w:val="002932F8"/>
    <w:rsid w:val="00294333"/>
    <w:rsid w:val="002948D6"/>
    <w:rsid w:val="002952BC"/>
    <w:rsid w:val="00295764"/>
    <w:rsid w:val="00295862"/>
    <w:rsid w:val="00295A95"/>
    <w:rsid w:val="00296471"/>
    <w:rsid w:val="00296965"/>
    <w:rsid w:val="00296D23"/>
    <w:rsid w:val="002975FB"/>
    <w:rsid w:val="002976BC"/>
    <w:rsid w:val="00297CA2"/>
    <w:rsid w:val="002A05CA"/>
    <w:rsid w:val="002A0676"/>
    <w:rsid w:val="002A0872"/>
    <w:rsid w:val="002A0F78"/>
    <w:rsid w:val="002A15BC"/>
    <w:rsid w:val="002A1AB6"/>
    <w:rsid w:val="002A20EF"/>
    <w:rsid w:val="002A299B"/>
    <w:rsid w:val="002A2C86"/>
    <w:rsid w:val="002A2E6D"/>
    <w:rsid w:val="002A308D"/>
    <w:rsid w:val="002A375B"/>
    <w:rsid w:val="002A379A"/>
    <w:rsid w:val="002A3C2D"/>
    <w:rsid w:val="002A44FF"/>
    <w:rsid w:val="002A56E0"/>
    <w:rsid w:val="002A5DE0"/>
    <w:rsid w:val="002A6DE3"/>
    <w:rsid w:val="002B0514"/>
    <w:rsid w:val="002B0D90"/>
    <w:rsid w:val="002B1235"/>
    <w:rsid w:val="002B1B74"/>
    <w:rsid w:val="002B1C31"/>
    <w:rsid w:val="002B1ECC"/>
    <w:rsid w:val="002B2395"/>
    <w:rsid w:val="002B24FE"/>
    <w:rsid w:val="002B2CF2"/>
    <w:rsid w:val="002B366B"/>
    <w:rsid w:val="002B3FEA"/>
    <w:rsid w:val="002B4549"/>
    <w:rsid w:val="002B45E6"/>
    <w:rsid w:val="002B4BCF"/>
    <w:rsid w:val="002B4D75"/>
    <w:rsid w:val="002B5198"/>
    <w:rsid w:val="002B51AA"/>
    <w:rsid w:val="002B6117"/>
    <w:rsid w:val="002B71E2"/>
    <w:rsid w:val="002B792F"/>
    <w:rsid w:val="002B793A"/>
    <w:rsid w:val="002C0360"/>
    <w:rsid w:val="002C0B34"/>
    <w:rsid w:val="002C11D8"/>
    <w:rsid w:val="002C11E3"/>
    <w:rsid w:val="002C1876"/>
    <w:rsid w:val="002C2369"/>
    <w:rsid w:val="002C2CB6"/>
    <w:rsid w:val="002C4FAF"/>
    <w:rsid w:val="002C58E5"/>
    <w:rsid w:val="002C5C0B"/>
    <w:rsid w:val="002C5D20"/>
    <w:rsid w:val="002C6354"/>
    <w:rsid w:val="002C6370"/>
    <w:rsid w:val="002C69D1"/>
    <w:rsid w:val="002C6C00"/>
    <w:rsid w:val="002C6D80"/>
    <w:rsid w:val="002C7BD5"/>
    <w:rsid w:val="002D03F5"/>
    <w:rsid w:val="002D0574"/>
    <w:rsid w:val="002D0FEF"/>
    <w:rsid w:val="002D1407"/>
    <w:rsid w:val="002D181A"/>
    <w:rsid w:val="002D1F88"/>
    <w:rsid w:val="002D1F95"/>
    <w:rsid w:val="002D268F"/>
    <w:rsid w:val="002D2C57"/>
    <w:rsid w:val="002D36DA"/>
    <w:rsid w:val="002D3895"/>
    <w:rsid w:val="002D414F"/>
    <w:rsid w:val="002D4280"/>
    <w:rsid w:val="002D4DB9"/>
    <w:rsid w:val="002D51D0"/>
    <w:rsid w:val="002D53AA"/>
    <w:rsid w:val="002D53CB"/>
    <w:rsid w:val="002D5BBE"/>
    <w:rsid w:val="002D622A"/>
    <w:rsid w:val="002D6E26"/>
    <w:rsid w:val="002D7166"/>
    <w:rsid w:val="002D7DE5"/>
    <w:rsid w:val="002E0A3A"/>
    <w:rsid w:val="002E23A8"/>
    <w:rsid w:val="002E2E3F"/>
    <w:rsid w:val="002E3042"/>
    <w:rsid w:val="002E4159"/>
    <w:rsid w:val="002E46CD"/>
    <w:rsid w:val="002E52FE"/>
    <w:rsid w:val="002E5ECF"/>
    <w:rsid w:val="002E66C6"/>
    <w:rsid w:val="002E73FC"/>
    <w:rsid w:val="002E7FBE"/>
    <w:rsid w:val="002EE0EE"/>
    <w:rsid w:val="002F0043"/>
    <w:rsid w:val="002F1EBF"/>
    <w:rsid w:val="002F3244"/>
    <w:rsid w:val="002F3650"/>
    <w:rsid w:val="002F3707"/>
    <w:rsid w:val="002F3D31"/>
    <w:rsid w:val="002F4EF4"/>
    <w:rsid w:val="002F5859"/>
    <w:rsid w:val="002F7BD9"/>
    <w:rsid w:val="003003B7"/>
    <w:rsid w:val="00300435"/>
    <w:rsid w:val="00300D7F"/>
    <w:rsid w:val="0030154F"/>
    <w:rsid w:val="00302991"/>
    <w:rsid w:val="00302A7B"/>
    <w:rsid w:val="00303287"/>
    <w:rsid w:val="00303364"/>
    <w:rsid w:val="00303374"/>
    <w:rsid w:val="00303449"/>
    <w:rsid w:val="0030346F"/>
    <w:rsid w:val="003037DD"/>
    <w:rsid w:val="00303963"/>
    <w:rsid w:val="00303A64"/>
    <w:rsid w:val="00303AF4"/>
    <w:rsid w:val="00304B9B"/>
    <w:rsid w:val="0030536B"/>
    <w:rsid w:val="003055E1"/>
    <w:rsid w:val="0030585F"/>
    <w:rsid w:val="00305A5C"/>
    <w:rsid w:val="00305FDA"/>
    <w:rsid w:val="0030672A"/>
    <w:rsid w:val="003067F2"/>
    <w:rsid w:val="00307029"/>
    <w:rsid w:val="0030774D"/>
    <w:rsid w:val="0031021C"/>
    <w:rsid w:val="00310E67"/>
    <w:rsid w:val="00310FBA"/>
    <w:rsid w:val="003119EC"/>
    <w:rsid w:val="00311A06"/>
    <w:rsid w:val="003125B3"/>
    <w:rsid w:val="00312CE7"/>
    <w:rsid w:val="00313030"/>
    <w:rsid w:val="0031398F"/>
    <w:rsid w:val="00314974"/>
    <w:rsid w:val="00314CD0"/>
    <w:rsid w:val="00314F78"/>
    <w:rsid w:val="0031571E"/>
    <w:rsid w:val="00315C8D"/>
    <w:rsid w:val="003160D1"/>
    <w:rsid w:val="00316497"/>
    <w:rsid w:val="00316572"/>
    <w:rsid w:val="00316A4B"/>
    <w:rsid w:val="003174B2"/>
    <w:rsid w:val="00317F54"/>
    <w:rsid w:val="00317F89"/>
    <w:rsid w:val="0032017A"/>
    <w:rsid w:val="0032095F"/>
    <w:rsid w:val="00320CFC"/>
    <w:rsid w:val="00320DD7"/>
    <w:rsid w:val="00320DEF"/>
    <w:rsid w:val="003212F6"/>
    <w:rsid w:val="003213D1"/>
    <w:rsid w:val="003213FC"/>
    <w:rsid w:val="00321566"/>
    <w:rsid w:val="003219D3"/>
    <w:rsid w:val="00321BF0"/>
    <w:rsid w:val="003223C7"/>
    <w:rsid w:val="00323C0C"/>
    <w:rsid w:val="003242E0"/>
    <w:rsid w:val="00324D60"/>
    <w:rsid w:val="00325070"/>
    <w:rsid w:val="00326490"/>
    <w:rsid w:val="00327656"/>
    <w:rsid w:val="0032781F"/>
    <w:rsid w:val="00327DD4"/>
    <w:rsid w:val="00330B3D"/>
    <w:rsid w:val="00331054"/>
    <w:rsid w:val="003313D6"/>
    <w:rsid w:val="0033170A"/>
    <w:rsid w:val="00331917"/>
    <w:rsid w:val="00331A1A"/>
    <w:rsid w:val="003323B8"/>
    <w:rsid w:val="00332A2F"/>
    <w:rsid w:val="00332D64"/>
    <w:rsid w:val="0033327A"/>
    <w:rsid w:val="0033476A"/>
    <w:rsid w:val="00334ACE"/>
    <w:rsid w:val="00334C06"/>
    <w:rsid w:val="00334C1F"/>
    <w:rsid w:val="0033595D"/>
    <w:rsid w:val="00336EC7"/>
    <w:rsid w:val="0033754B"/>
    <w:rsid w:val="00337C16"/>
    <w:rsid w:val="00337D95"/>
    <w:rsid w:val="003400BA"/>
    <w:rsid w:val="00340437"/>
    <w:rsid w:val="00340895"/>
    <w:rsid w:val="00340CEE"/>
    <w:rsid w:val="0034164B"/>
    <w:rsid w:val="0034277D"/>
    <w:rsid w:val="00342C49"/>
    <w:rsid w:val="00342D7D"/>
    <w:rsid w:val="00343B5F"/>
    <w:rsid w:val="00344847"/>
    <w:rsid w:val="00344EA7"/>
    <w:rsid w:val="00344EC6"/>
    <w:rsid w:val="00344F86"/>
    <w:rsid w:val="00345251"/>
    <w:rsid w:val="00345420"/>
    <w:rsid w:val="00346FE1"/>
    <w:rsid w:val="00350C47"/>
    <w:rsid w:val="00351DFE"/>
    <w:rsid w:val="00352691"/>
    <w:rsid w:val="00352E24"/>
    <w:rsid w:val="00352EF3"/>
    <w:rsid w:val="003537C7"/>
    <w:rsid w:val="003544DA"/>
    <w:rsid w:val="0035528A"/>
    <w:rsid w:val="00357329"/>
    <w:rsid w:val="003575C4"/>
    <w:rsid w:val="00357606"/>
    <w:rsid w:val="00357F8A"/>
    <w:rsid w:val="0036048C"/>
    <w:rsid w:val="00360727"/>
    <w:rsid w:val="00361178"/>
    <w:rsid w:val="0036134F"/>
    <w:rsid w:val="0036152D"/>
    <w:rsid w:val="00361E10"/>
    <w:rsid w:val="00362553"/>
    <w:rsid w:val="00362B51"/>
    <w:rsid w:val="00362C0D"/>
    <w:rsid w:val="00363669"/>
    <w:rsid w:val="0036386C"/>
    <w:rsid w:val="003641BC"/>
    <w:rsid w:val="00364889"/>
    <w:rsid w:val="00366D26"/>
    <w:rsid w:val="003671A4"/>
    <w:rsid w:val="003674FB"/>
    <w:rsid w:val="00367DD0"/>
    <w:rsid w:val="00367FDB"/>
    <w:rsid w:val="00370499"/>
    <w:rsid w:val="00370F0A"/>
    <w:rsid w:val="0037140B"/>
    <w:rsid w:val="003719FA"/>
    <w:rsid w:val="00371C5B"/>
    <w:rsid w:val="00372182"/>
    <w:rsid w:val="00373C58"/>
    <w:rsid w:val="00373F45"/>
    <w:rsid w:val="003743F4"/>
    <w:rsid w:val="003750E0"/>
    <w:rsid w:val="00375695"/>
    <w:rsid w:val="0037577E"/>
    <w:rsid w:val="0037588E"/>
    <w:rsid w:val="003758C8"/>
    <w:rsid w:val="00375CCE"/>
    <w:rsid w:val="00376013"/>
    <w:rsid w:val="00376480"/>
    <w:rsid w:val="00376DB0"/>
    <w:rsid w:val="003770D9"/>
    <w:rsid w:val="00377D84"/>
    <w:rsid w:val="0038003B"/>
    <w:rsid w:val="0038070C"/>
    <w:rsid w:val="00380760"/>
    <w:rsid w:val="00381566"/>
    <w:rsid w:val="0038272D"/>
    <w:rsid w:val="00382E75"/>
    <w:rsid w:val="00382FD0"/>
    <w:rsid w:val="00383DB7"/>
    <w:rsid w:val="00383DBE"/>
    <w:rsid w:val="00384163"/>
    <w:rsid w:val="00385120"/>
    <w:rsid w:val="0038588C"/>
    <w:rsid w:val="00385DCA"/>
    <w:rsid w:val="00385F11"/>
    <w:rsid w:val="00386002"/>
    <w:rsid w:val="00387796"/>
    <w:rsid w:val="00387B5A"/>
    <w:rsid w:val="00387E78"/>
    <w:rsid w:val="003908D4"/>
    <w:rsid w:val="00391238"/>
    <w:rsid w:val="003916D3"/>
    <w:rsid w:val="00391DC4"/>
    <w:rsid w:val="00392893"/>
    <w:rsid w:val="00392B2B"/>
    <w:rsid w:val="00393427"/>
    <w:rsid w:val="00393B9A"/>
    <w:rsid w:val="0039438B"/>
    <w:rsid w:val="0039439C"/>
    <w:rsid w:val="0039497E"/>
    <w:rsid w:val="00396A35"/>
    <w:rsid w:val="003974BA"/>
    <w:rsid w:val="00397740"/>
    <w:rsid w:val="00397AEC"/>
    <w:rsid w:val="003A04C5"/>
    <w:rsid w:val="003A0528"/>
    <w:rsid w:val="003A0A60"/>
    <w:rsid w:val="003A0A96"/>
    <w:rsid w:val="003A18C6"/>
    <w:rsid w:val="003A28FE"/>
    <w:rsid w:val="003A2988"/>
    <w:rsid w:val="003A2B0E"/>
    <w:rsid w:val="003A3500"/>
    <w:rsid w:val="003A397C"/>
    <w:rsid w:val="003A3BD7"/>
    <w:rsid w:val="003A435D"/>
    <w:rsid w:val="003A44B5"/>
    <w:rsid w:val="003A459C"/>
    <w:rsid w:val="003A4693"/>
    <w:rsid w:val="003A46F1"/>
    <w:rsid w:val="003A4B2B"/>
    <w:rsid w:val="003A4F07"/>
    <w:rsid w:val="003A569C"/>
    <w:rsid w:val="003A61A2"/>
    <w:rsid w:val="003A62E3"/>
    <w:rsid w:val="003A65BE"/>
    <w:rsid w:val="003A7432"/>
    <w:rsid w:val="003A7713"/>
    <w:rsid w:val="003B0757"/>
    <w:rsid w:val="003B0CBE"/>
    <w:rsid w:val="003B1300"/>
    <w:rsid w:val="003B1927"/>
    <w:rsid w:val="003B2ADD"/>
    <w:rsid w:val="003B306C"/>
    <w:rsid w:val="003B48EE"/>
    <w:rsid w:val="003B495B"/>
    <w:rsid w:val="003B5D30"/>
    <w:rsid w:val="003B686A"/>
    <w:rsid w:val="003B7446"/>
    <w:rsid w:val="003B7627"/>
    <w:rsid w:val="003C1342"/>
    <w:rsid w:val="003C183D"/>
    <w:rsid w:val="003C1EFB"/>
    <w:rsid w:val="003C25AE"/>
    <w:rsid w:val="003C3604"/>
    <w:rsid w:val="003C3CC9"/>
    <w:rsid w:val="003C40B3"/>
    <w:rsid w:val="003C41C9"/>
    <w:rsid w:val="003C4639"/>
    <w:rsid w:val="003C4B26"/>
    <w:rsid w:val="003C5224"/>
    <w:rsid w:val="003C5C62"/>
    <w:rsid w:val="003C60CB"/>
    <w:rsid w:val="003C612F"/>
    <w:rsid w:val="003C62CA"/>
    <w:rsid w:val="003C65FC"/>
    <w:rsid w:val="003C6AEE"/>
    <w:rsid w:val="003C7B7F"/>
    <w:rsid w:val="003D0C9E"/>
    <w:rsid w:val="003D1252"/>
    <w:rsid w:val="003D2DA2"/>
    <w:rsid w:val="003D32F9"/>
    <w:rsid w:val="003D357C"/>
    <w:rsid w:val="003D38FA"/>
    <w:rsid w:val="003D4358"/>
    <w:rsid w:val="003D43E4"/>
    <w:rsid w:val="003D445E"/>
    <w:rsid w:val="003D4F5D"/>
    <w:rsid w:val="003D50EF"/>
    <w:rsid w:val="003D57F7"/>
    <w:rsid w:val="003D79AE"/>
    <w:rsid w:val="003D7B41"/>
    <w:rsid w:val="003D7ECE"/>
    <w:rsid w:val="003E1E46"/>
    <w:rsid w:val="003E26B2"/>
    <w:rsid w:val="003E286A"/>
    <w:rsid w:val="003E28D8"/>
    <w:rsid w:val="003E2C54"/>
    <w:rsid w:val="003E39AF"/>
    <w:rsid w:val="003E4027"/>
    <w:rsid w:val="003E4352"/>
    <w:rsid w:val="003E45D9"/>
    <w:rsid w:val="003E4869"/>
    <w:rsid w:val="003E4AD5"/>
    <w:rsid w:val="003E4ECF"/>
    <w:rsid w:val="003E4F72"/>
    <w:rsid w:val="003E5E1E"/>
    <w:rsid w:val="003E5FCB"/>
    <w:rsid w:val="003E7CBD"/>
    <w:rsid w:val="003F0295"/>
    <w:rsid w:val="003F02DD"/>
    <w:rsid w:val="003F06A8"/>
    <w:rsid w:val="003F0B56"/>
    <w:rsid w:val="003F142A"/>
    <w:rsid w:val="003F184B"/>
    <w:rsid w:val="003F1F5E"/>
    <w:rsid w:val="003F27BD"/>
    <w:rsid w:val="003F31B0"/>
    <w:rsid w:val="003F389B"/>
    <w:rsid w:val="003F3E10"/>
    <w:rsid w:val="003F4914"/>
    <w:rsid w:val="003F55CF"/>
    <w:rsid w:val="003F5740"/>
    <w:rsid w:val="003F5ABF"/>
    <w:rsid w:val="003F616D"/>
    <w:rsid w:val="003F6E49"/>
    <w:rsid w:val="003F71A4"/>
    <w:rsid w:val="003F7C03"/>
    <w:rsid w:val="004000A7"/>
    <w:rsid w:val="0040070D"/>
    <w:rsid w:val="004011C5"/>
    <w:rsid w:val="0040122C"/>
    <w:rsid w:val="0040168B"/>
    <w:rsid w:val="004016A3"/>
    <w:rsid w:val="004018A4"/>
    <w:rsid w:val="00401DED"/>
    <w:rsid w:val="004023DE"/>
    <w:rsid w:val="004024A0"/>
    <w:rsid w:val="00402858"/>
    <w:rsid w:val="004031C8"/>
    <w:rsid w:val="00403493"/>
    <w:rsid w:val="00403681"/>
    <w:rsid w:val="00403BAD"/>
    <w:rsid w:val="00403DBD"/>
    <w:rsid w:val="00403F06"/>
    <w:rsid w:val="0040433F"/>
    <w:rsid w:val="00404347"/>
    <w:rsid w:val="004044D5"/>
    <w:rsid w:val="00404AC8"/>
    <w:rsid w:val="00405832"/>
    <w:rsid w:val="00405A99"/>
    <w:rsid w:val="00405B50"/>
    <w:rsid w:val="00405EDE"/>
    <w:rsid w:val="0040732D"/>
    <w:rsid w:val="00407756"/>
    <w:rsid w:val="00407992"/>
    <w:rsid w:val="0041047B"/>
    <w:rsid w:val="004108E1"/>
    <w:rsid w:val="00410DE6"/>
    <w:rsid w:val="00411710"/>
    <w:rsid w:val="004121BF"/>
    <w:rsid w:val="004127A0"/>
    <w:rsid w:val="004129BC"/>
    <w:rsid w:val="00412D12"/>
    <w:rsid w:val="004130AA"/>
    <w:rsid w:val="004130DC"/>
    <w:rsid w:val="0041388C"/>
    <w:rsid w:val="00413BEB"/>
    <w:rsid w:val="00413EB1"/>
    <w:rsid w:val="00414733"/>
    <w:rsid w:val="00414839"/>
    <w:rsid w:val="004150FA"/>
    <w:rsid w:val="0041524F"/>
    <w:rsid w:val="00415C8F"/>
    <w:rsid w:val="00416A45"/>
    <w:rsid w:val="004179E2"/>
    <w:rsid w:val="00417C55"/>
    <w:rsid w:val="00420085"/>
    <w:rsid w:val="00420091"/>
    <w:rsid w:val="00420B2F"/>
    <w:rsid w:val="00420D20"/>
    <w:rsid w:val="00420F64"/>
    <w:rsid w:val="0042203F"/>
    <w:rsid w:val="004220A0"/>
    <w:rsid w:val="00423C37"/>
    <w:rsid w:val="00423C73"/>
    <w:rsid w:val="00423DF2"/>
    <w:rsid w:val="004242B0"/>
    <w:rsid w:val="004252A5"/>
    <w:rsid w:val="00425450"/>
    <w:rsid w:val="00426002"/>
    <w:rsid w:val="0042624F"/>
    <w:rsid w:val="00426546"/>
    <w:rsid w:val="004269FB"/>
    <w:rsid w:val="00427A32"/>
    <w:rsid w:val="004304FE"/>
    <w:rsid w:val="00430637"/>
    <w:rsid w:val="004307C7"/>
    <w:rsid w:val="00430C42"/>
    <w:rsid w:val="00430D20"/>
    <w:rsid w:val="00430DBE"/>
    <w:rsid w:val="00430F45"/>
    <w:rsid w:val="00431363"/>
    <w:rsid w:val="00431648"/>
    <w:rsid w:val="004333E8"/>
    <w:rsid w:val="004339B3"/>
    <w:rsid w:val="00433BCA"/>
    <w:rsid w:val="004351E1"/>
    <w:rsid w:val="00435573"/>
    <w:rsid w:val="00435CEB"/>
    <w:rsid w:val="00436207"/>
    <w:rsid w:val="00437129"/>
    <w:rsid w:val="00437F86"/>
    <w:rsid w:val="00440805"/>
    <w:rsid w:val="004415C2"/>
    <w:rsid w:val="00441CB8"/>
    <w:rsid w:val="00441CCE"/>
    <w:rsid w:val="00442724"/>
    <w:rsid w:val="00442789"/>
    <w:rsid w:val="0044325F"/>
    <w:rsid w:val="004438D5"/>
    <w:rsid w:val="00444736"/>
    <w:rsid w:val="004463FB"/>
    <w:rsid w:val="00447185"/>
    <w:rsid w:val="00450146"/>
    <w:rsid w:val="00450B6D"/>
    <w:rsid w:val="00451131"/>
    <w:rsid w:val="00452697"/>
    <w:rsid w:val="00452704"/>
    <w:rsid w:val="00453243"/>
    <w:rsid w:val="00453681"/>
    <w:rsid w:val="00453C5C"/>
    <w:rsid w:val="00453D42"/>
    <w:rsid w:val="00453EC8"/>
    <w:rsid w:val="00455587"/>
    <w:rsid w:val="00455A83"/>
    <w:rsid w:val="0045662A"/>
    <w:rsid w:val="0045692F"/>
    <w:rsid w:val="00456B86"/>
    <w:rsid w:val="00457199"/>
    <w:rsid w:val="004573F6"/>
    <w:rsid w:val="00457422"/>
    <w:rsid w:val="0045745B"/>
    <w:rsid w:val="00457525"/>
    <w:rsid w:val="00457E05"/>
    <w:rsid w:val="00460FDB"/>
    <w:rsid w:val="00461082"/>
    <w:rsid w:val="0046130C"/>
    <w:rsid w:val="0046156C"/>
    <w:rsid w:val="00463685"/>
    <w:rsid w:val="00463A05"/>
    <w:rsid w:val="004648F2"/>
    <w:rsid w:val="00464904"/>
    <w:rsid w:val="0046535F"/>
    <w:rsid w:val="00465904"/>
    <w:rsid w:val="004663B4"/>
    <w:rsid w:val="0046718C"/>
    <w:rsid w:val="0046794F"/>
    <w:rsid w:val="00470559"/>
    <w:rsid w:val="00470CF4"/>
    <w:rsid w:val="004714AC"/>
    <w:rsid w:val="0047170E"/>
    <w:rsid w:val="00472430"/>
    <w:rsid w:val="00473D51"/>
    <w:rsid w:val="004740B8"/>
    <w:rsid w:val="004744E0"/>
    <w:rsid w:val="00474509"/>
    <w:rsid w:val="004748CA"/>
    <w:rsid w:val="004753AB"/>
    <w:rsid w:val="00476B3F"/>
    <w:rsid w:val="00476D70"/>
    <w:rsid w:val="004779E4"/>
    <w:rsid w:val="00477CEB"/>
    <w:rsid w:val="00480072"/>
    <w:rsid w:val="0048038F"/>
    <w:rsid w:val="00480846"/>
    <w:rsid w:val="00480BDB"/>
    <w:rsid w:val="00482706"/>
    <w:rsid w:val="00482EFB"/>
    <w:rsid w:val="0048338D"/>
    <w:rsid w:val="004838C9"/>
    <w:rsid w:val="00483D41"/>
    <w:rsid w:val="00483D78"/>
    <w:rsid w:val="0048412A"/>
    <w:rsid w:val="00484487"/>
    <w:rsid w:val="00484E88"/>
    <w:rsid w:val="00485C9B"/>
    <w:rsid w:val="004868C2"/>
    <w:rsid w:val="004878F3"/>
    <w:rsid w:val="00487D2C"/>
    <w:rsid w:val="00487E3F"/>
    <w:rsid w:val="004902FD"/>
    <w:rsid w:val="00490515"/>
    <w:rsid w:val="0049080B"/>
    <w:rsid w:val="0049124B"/>
    <w:rsid w:val="0049194B"/>
    <w:rsid w:val="00491ECA"/>
    <w:rsid w:val="0049290C"/>
    <w:rsid w:val="0049290D"/>
    <w:rsid w:val="00492A9A"/>
    <w:rsid w:val="0049326D"/>
    <w:rsid w:val="0049332B"/>
    <w:rsid w:val="00493C1E"/>
    <w:rsid w:val="00494860"/>
    <w:rsid w:val="00495021"/>
    <w:rsid w:val="004950FE"/>
    <w:rsid w:val="00495261"/>
    <w:rsid w:val="00495556"/>
    <w:rsid w:val="004957AB"/>
    <w:rsid w:val="00495ED7"/>
    <w:rsid w:val="0049607A"/>
    <w:rsid w:val="00496342"/>
    <w:rsid w:val="004964E8"/>
    <w:rsid w:val="004966B1"/>
    <w:rsid w:val="00497218"/>
    <w:rsid w:val="0049733C"/>
    <w:rsid w:val="004976FF"/>
    <w:rsid w:val="004A07D5"/>
    <w:rsid w:val="004A0FE2"/>
    <w:rsid w:val="004A2346"/>
    <w:rsid w:val="004A2458"/>
    <w:rsid w:val="004A294D"/>
    <w:rsid w:val="004A29A4"/>
    <w:rsid w:val="004A309B"/>
    <w:rsid w:val="004A3EA9"/>
    <w:rsid w:val="004A42FD"/>
    <w:rsid w:val="004A50B5"/>
    <w:rsid w:val="004A5619"/>
    <w:rsid w:val="004A5AEB"/>
    <w:rsid w:val="004A61A4"/>
    <w:rsid w:val="004A628D"/>
    <w:rsid w:val="004A63C4"/>
    <w:rsid w:val="004A68AF"/>
    <w:rsid w:val="004A6AD9"/>
    <w:rsid w:val="004A6FFE"/>
    <w:rsid w:val="004A79C2"/>
    <w:rsid w:val="004A7F98"/>
    <w:rsid w:val="004B274A"/>
    <w:rsid w:val="004B2E33"/>
    <w:rsid w:val="004B306E"/>
    <w:rsid w:val="004B34F6"/>
    <w:rsid w:val="004B3D93"/>
    <w:rsid w:val="004B3DAD"/>
    <w:rsid w:val="004B4656"/>
    <w:rsid w:val="004B47FE"/>
    <w:rsid w:val="004B5282"/>
    <w:rsid w:val="004B619F"/>
    <w:rsid w:val="004B6265"/>
    <w:rsid w:val="004B6F76"/>
    <w:rsid w:val="004B730F"/>
    <w:rsid w:val="004B7C97"/>
    <w:rsid w:val="004B7FE8"/>
    <w:rsid w:val="004C07BC"/>
    <w:rsid w:val="004C12B8"/>
    <w:rsid w:val="004C1C8F"/>
    <w:rsid w:val="004C2122"/>
    <w:rsid w:val="004C221C"/>
    <w:rsid w:val="004C223D"/>
    <w:rsid w:val="004C2CA2"/>
    <w:rsid w:val="004C394D"/>
    <w:rsid w:val="004C57F2"/>
    <w:rsid w:val="004C5BE9"/>
    <w:rsid w:val="004C64F5"/>
    <w:rsid w:val="004C6C5A"/>
    <w:rsid w:val="004C6E63"/>
    <w:rsid w:val="004C71D8"/>
    <w:rsid w:val="004C7295"/>
    <w:rsid w:val="004D009B"/>
    <w:rsid w:val="004D1660"/>
    <w:rsid w:val="004D1675"/>
    <w:rsid w:val="004D1F83"/>
    <w:rsid w:val="004D2464"/>
    <w:rsid w:val="004D26F4"/>
    <w:rsid w:val="004D2AD7"/>
    <w:rsid w:val="004D2B6C"/>
    <w:rsid w:val="004D2F96"/>
    <w:rsid w:val="004D5021"/>
    <w:rsid w:val="004D52D4"/>
    <w:rsid w:val="004D6054"/>
    <w:rsid w:val="004D61D7"/>
    <w:rsid w:val="004E0185"/>
    <w:rsid w:val="004E0831"/>
    <w:rsid w:val="004E0AD4"/>
    <w:rsid w:val="004E0D5B"/>
    <w:rsid w:val="004E13E2"/>
    <w:rsid w:val="004E172D"/>
    <w:rsid w:val="004E1DEF"/>
    <w:rsid w:val="004E51D6"/>
    <w:rsid w:val="004E697E"/>
    <w:rsid w:val="004F00ED"/>
    <w:rsid w:val="004F12E8"/>
    <w:rsid w:val="004F1BCF"/>
    <w:rsid w:val="004F1C51"/>
    <w:rsid w:val="004F1CF7"/>
    <w:rsid w:val="004F2ABB"/>
    <w:rsid w:val="004F3219"/>
    <w:rsid w:val="004F3465"/>
    <w:rsid w:val="004F34DF"/>
    <w:rsid w:val="004F3A2D"/>
    <w:rsid w:val="004F3A99"/>
    <w:rsid w:val="004F3ADB"/>
    <w:rsid w:val="004F3CD6"/>
    <w:rsid w:val="004F4934"/>
    <w:rsid w:val="004F4B37"/>
    <w:rsid w:val="004F55BE"/>
    <w:rsid w:val="004F57C6"/>
    <w:rsid w:val="004F5F7B"/>
    <w:rsid w:val="004F75E5"/>
    <w:rsid w:val="004F77E6"/>
    <w:rsid w:val="004F7E25"/>
    <w:rsid w:val="005009A4"/>
    <w:rsid w:val="00500A8C"/>
    <w:rsid w:val="00500EC4"/>
    <w:rsid w:val="005013C8"/>
    <w:rsid w:val="00501B22"/>
    <w:rsid w:val="00502003"/>
    <w:rsid w:val="00502188"/>
    <w:rsid w:val="00502658"/>
    <w:rsid w:val="00502792"/>
    <w:rsid w:val="00502EB8"/>
    <w:rsid w:val="00503575"/>
    <w:rsid w:val="00503637"/>
    <w:rsid w:val="00503675"/>
    <w:rsid w:val="00504382"/>
    <w:rsid w:val="0050488A"/>
    <w:rsid w:val="005049B4"/>
    <w:rsid w:val="005051D2"/>
    <w:rsid w:val="0050560F"/>
    <w:rsid w:val="005058B3"/>
    <w:rsid w:val="00505C76"/>
    <w:rsid w:val="00506592"/>
    <w:rsid w:val="00506883"/>
    <w:rsid w:val="00507939"/>
    <w:rsid w:val="00507C16"/>
    <w:rsid w:val="005101B6"/>
    <w:rsid w:val="0051021F"/>
    <w:rsid w:val="00510598"/>
    <w:rsid w:val="00510841"/>
    <w:rsid w:val="0051095D"/>
    <w:rsid w:val="00511DD7"/>
    <w:rsid w:val="005120C0"/>
    <w:rsid w:val="005126AC"/>
    <w:rsid w:val="00512913"/>
    <w:rsid w:val="005129D9"/>
    <w:rsid w:val="00513AA2"/>
    <w:rsid w:val="00513BED"/>
    <w:rsid w:val="00513FD0"/>
    <w:rsid w:val="0051492F"/>
    <w:rsid w:val="005171FE"/>
    <w:rsid w:val="00517503"/>
    <w:rsid w:val="00517604"/>
    <w:rsid w:val="00521052"/>
    <w:rsid w:val="00522A1D"/>
    <w:rsid w:val="00522B65"/>
    <w:rsid w:val="0052307D"/>
    <w:rsid w:val="005239EE"/>
    <w:rsid w:val="00523C9E"/>
    <w:rsid w:val="0052421F"/>
    <w:rsid w:val="005242AB"/>
    <w:rsid w:val="005247A6"/>
    <w:rsid w:val="00524A69"/>
    <w:rsid w:val="005253B0"/>
    <w:rsid w:val="005258E2"/>
    <w:rsid w:val="00525A3C"/>
    <w:rsid w:val="0052683E"/>
    <w:rsid w:val="0052769C"/>
    <w:rsid w:val="005305AE"/>
    <w:rsid w:val="00530839"/>
    <w:rsid w:val="00530E67"/>
    <w:rsid w:val="005319FC"/>
    <w:rsid w:val="00531B90"/>
    <w:rsid w:val="00533A6F"/>
    <w:rsid w:val="00533D93"/>
    <w:rsid w:val="00534BD8"/>
    <w:rsid w:val="00534EDE"/>
    <w:rsid w:val="00535062"/>
    <w:rsid w:val="005355FC"/>
    <w:rsid w:val="00535FF2"/>
    <w:rsid w:val="005367FA"/>
    <w:rsid w:val="005375E7"/>
    <w:rsid w:val="00537AE5"/>
    <w:rsid w:val="00537BA2"/>
    <w:rsid w:val="005402B1"/>
    <w:rsid w:val="00540937"/>
    <w:rsid w:val="005416EA"/>
    <w:rsid w:val="005419F6"/>
    <w:rsid w:val="005422A8"/>
    <w:rsid w:val="0054298B"/>
    <w:rsid w:val="00542D8F"/>
    <w:rsid w:val="00543061"/>
    <w:rsid w:val="00543478"/>
    <w:rsid w:val="00544013"/>
    <w:rsid w:val="0054424E"/>
    <w:rsid w:val="00544CF0"/>
    <w:rsid w:val="00545977"/>
    <w:rsid w:val="00545CE9"/>
    <w:rsid w:val="0054608B"/>
    <w:rsid w:val="00546900"/>
    <w:rsid w:val="00547270"/>
    <w:rsid w:val="00547ADA"/>
    <w:rsid w:val="00547E77"/>
    <w:rsid w:val="00550187"/>
    <w:rsid w:val="00550C58"/>
    <w:rsid w:val="00550C5F"/>
    <w:rsid w:val="00551B5D"/>
    <w:rsid w:val="00551D7A"/>
    <w:rsid w:val="00551FF9"/>
    <w:rsid w:val="0055227E"/>
    <w:rsid w:val="005531BF"/>
    <w:rsid w:val="005548AB"/>
    <w:rsid w:val="0055573C"/>
    <w:rsid w:val="0055590C"/>
    <w:rsid w:val="00555B5C"/>
    <w:rsid w:val="005565D5"/>
    <w:rsid w:val="00556E8B"/>
    <w:rsid w:val="005571D4"/>
    <w:rsid w:val="00557268"/>
    <w:rsid w:val="00557498"/>
    <w:rsid w:val="0055796C"/>
    <w:rsid w:val="00560165"/>
    <w:rsid w:val="005602A5"/>
    <w:rsid w:val="00560C71"/>
    <w:rsid w:val="005612F9"/>
    <w:rsid w:val="00561DD5"/>
    <w:rsid w:val="00561ECB"/>
    <w:rsid w:val="00561F12"/>
    <w:rsid w:val="00561FC8"/>
    <w:rsid w:val="005622B5"/>
    <w:rsid w:val="00563C70"/>
    <w:rsid w:val="005647B3"/>
    <w:rsid w:val="0056496F"/>
    <w:rsid w:val="005652BF"/>
    <w:rsid w:val="0056552C"/>
    <w:rsid w:val="005659FB"/>
    <w:rsid w:val="00565A2D"/>
    <w:rsid w:val="00566023"/>
    <w:rsid w:val="005661AA"/>
    <w:rsid w:val="005662A7"/>
    <w:rsid w:val="005662E7"/>
    <w:rsid w:val="0056748D"/>
    <w:rsid w:val="00567FF5"/>
    <w:rsid w:val="0057066A"/>
    <w:rsid w:val="005706FD"/>
    <w:rsid w:val="00571915"/>
    <w:rsid w:val="005719E7"/>
    <w:rsid w:val="00571FF9"/>
    <w:rsid w:val="005727C8"/>
    <w:rsid w:val="00572E74"/>
    <w:rsid w:val="00574344"/>
    <w:rsid w:val="00574B26"/>
    <w:rsid w:val="00574E5C"/>
    <w:rsid w:val="00574FEC"/>
    <w:rsid w:val="00575CB5"/>
    <w:rsid w:val="00576782"/>
    <w:rsid w:val="005773BF"/>
    <w:rsid w:val="00577694"/>
    <w:rsid w:val="0058073B"/>
    <w:rsid w:val="00580AA0"/>
    <w:rsid w:val="005823A4"/>
    <w:rsid w:val="005826CA"/>
    <w:rsid w:val="0058272D"/>
    <w:rsid w:val="00582B0B"/>
    <w:rsid w:val="00582B95"/>
    <w:rsid w:val="00582DFD"/>
    <w:rsid w:val="005832D1"/>
    <w:rsid w:val="005837F6"/>
    <w:rsid w:val="005839B1"/>
    <w:rsid w:val="00583D47"/>
    <w:rsid w:val="00583D7E"/>
    <w:rsid w:val="00584836"/>
    <w:rsid w:val="005848E9"/>
    <w:rsid w:val="00584F3C"/>
    <w:rsid w:val="005856EE"/>
    <w:rsid w:val="00585FBD"/>
    <w:rsid w:val="00586A59"/>
    <w:rsid w:val="00586FD9"/>
    <w:rsid w:val="0058737D"/>
    <w:rsid w:val="00590AF6"/>
    <w:rsid w:val="00591B53"/>
    <w:rsid w:val="00591F5C"/>
    <w:rsid w:val="00592222"/>
    <w:rsid w:val="00592349"/>
    <w:rsid w:val="0059305A"/>
    <w:rsid w:val="005931F2"/>
    <w:rsid w:val="0059355F"/>
    <w:rsid w:val="00593E3D"/>
    <w:rsid w:val="005942AF"/>
    <w:rsid w:val="00594F03"/>
    <w:rsid w:val="00595E57"/>
    <w:rsid w:val="005966FC"/>
    <w:rsid w:val="005969B9"/>
    <w:rsid w:val="00597681"/>
    <w:rsid w:val="00597745"/>
    <w:rsid w:val="00597D06"/>
    <w:rsid w:val="00597D17"/>
    <w:rsid w:val="005A0B08"/>
    <w:rsid w:val="005A0DF9"/>
    <w:rsid w:val="005A1F18"/>
    <w:rsid w:val="005A20BE"/>
    <w:rsid w:val="005A2BD8"/>
    <w:rsid w:val="005A2E16"/>
    <w:rsid w:val="005A3669"/>
    <w:rsid w:val="005A3A89"/>
    <w:rsid w:val="005A6585"/>
    <w:rsid w:val="005A6DDE"/>
    <w:rsid w:val="005A7075"/>
    <w:rsid w:val="005A7632"/>
    <w:rsid w:val="005A7DA8"/>
    <w:rsid w:val="005A7DFB"/>
    <w:rsid w:val="005A7EFB"/>
    <w:rsid w:val="005B03B5"/>
    <w:rsid w:val="005B04BD"/>
    <w:rsid w:val="005B06FB"/>
    <w:rsid w:val="005B1240"/>
    <w:rsid w:val="005B19A9"/>
    <w:rsid w:val="005B270A"/>
    <w:rsid w:val="005B2A31"/>
    <w:rsid w:val="005B3514"/>
    <w:rsid w:val="005B4600"/>
    <w:rsid w:val="005B53EA"/>
    <w:rsid w:val="005B5744"/>
    <w:rsid w:val="005B5D7D"/>
    <w:rsid w:val="005B62ED"/>
    <w:rsid w:val="005B6E1D"/>
    <w:rsid w:val="005B70BA"/>
    <w:rsid w:val="005B7B3C"/>
    <w:rsid w:val="005B7C0F"/>
    <w:rsid w:val="005C0561"/>
    <w:rsid w:val="005C0FB5"/>
    <w:rsid w:val="005C22D4"/>
    <w:rsid w:val="005C250A"/>
    <w:rsid w:val="005C2637"/>
    <w:rsid w:val="005C2B02"/>
    <w:rsid w:val="005C2D5E"/>
    <w:rsid w:val="005C3132"/>
    <w:rsid w:val="005C343B"/>
    <w:rsid w:val="005C393F"/>
    <w:rsid w:val="005C4D18"/>
    <w:rsid w:val="005C53BE"/>
    <w:rsid w:val="005C5632"/>
    <w:rsid w:val="005C61B0"/>
    <w:rsid w:val="005C6361"/>
    <w:rsid w:val="005C7421"/>
    <w:rsid w:val="005C792D"/>
    <w:rsid w:val="005C7A71"/>
    <w:rsid w:val="005C7CB1"/>
    <w:rsid w:val="005C7E33"/>
    <w:rsid w:val="005D0A46"/>
    <w:rsid w:val="005D15BB"/>
    <w:rsid w:val="005D1673"/>
    <w:rsid w:val="005D175D"/>
    <w:rsid w:val="005D1FCC"/>
    <w:rsid w:val="005D383C"/>
    <w:rsid w:val="005D4C62"/>
    <w:rsid w:val="005D4D8E"/>
    <w:rsid w:val="005D4DA4"/>
    <w:rsid w:val="005D5F2E"/>
    <w:rsid w:val="005D600C"/>
    <w:rsid w:val="005D6732"/>
    <w:rsid w:val="005D67FA"/>
    <w:rsid w:val="005D7055"/>
    <w:rsid w:val="005D7127"/>
    <w:rsid w:val="005D77B4"/>
    <w:rsid w:val="005D7CC1"/>
    <w:rsid w:val="005D7F05"/>
    <w:rsid w:val="005E0121"/>
    <w:rsid w:val="005E01F8"/>
    <w:rsid w:val="005E0410"/>
    <w:rsid w:val="005E0591"/>
    <w:rsid w:val="005E0FDC"/>
    <w:rsid w:val="005E19C9"/>
    <w:rsid w:val="005E1ABB"/>
    <w:rsid w:val="005E234D"/>
    <w:rsid w:val="005E248B"/>
    <w:rsid w:val="005E272E"/>
    <w:rsid w:val="005E289C"/>
    <w:rsid w:val="005E34B8"/>
    <w:rsid w:val="005E48F3"/>
    <w:rsid w:val="005E4B14"/>
    <w:rsid w:val="005E4BA3"/>
    <w:rsid w:val="005E501C"/>
    <w:rsid w:val="005E7287"/>
    <w:rsid w:val="005E75A7"/>
    <w:rsid w:val="005E7E22"/>
    <w:rsid w:val="005F02B5"/>
    <w:rsid w:val="005F08B8"/>
    <w:rsid w:val="005F19F6"/>
    <w:rsid w:val="005F1A0A"/>
    <w:rsid w:val="005F228A"/>
    <w:rsid w:val="005F25BC"/>
    <w:rsid w:val="005F2F6E"/>
    <w:rsid w:val="005F2F89"/>
    <w:rsid w:val="005F45FE"/>
    <w:rsid w:val="005F5015"/>
    <w:rsid w:val="005F518B"/>
    <w:rsid w:val="005F5781"/>
    <w:rsid w:val="005F5BEF"/>
    <w:rsid w:val="005F5F2E"/>
    <w:rsid w:val="005F6011"/>
    <w:rsid w:val="005F6100"/>
    <w:rsid w:val="005F6767"/>
    <w:rsid w:val="005F6B43"/>
    <w:rsid w:val="005F72D5"/>
    <w:rsid w:val="005F759D"/>
    <w:rsid w:val="005F7CD2"/>
    <w:rsid w:val="00600035"/>
    <w:rsid w:val="00600AED"/>
    <w:rsid w:val="00601955"/>
    <w:rsid w:val="00601B69"/>
    <w:rsid w:val="00601E73"/>
    <w:rsid w:val="00601EB2"/>
    <w:rsid w:val="006026B6"/>
    <w:rsid w:val="006027D7"/>
    <w:rsid w:val="00604510"/>
    <w:rsid w:val="006051F7"/>
    <w:rsid w:val="0060550A"/>
    <w:rsid w:val="00605E98"/>
    <w:rsid w:val="00605FFB"/>
    <w:rsid w:val="0060627D"/>
    <w:rsid w:val="00606348"/>
    <w:rsid w:val="006065B0"/>
    <w:rsid w:val="00606DE9"/>
    <w:rsid w:val="006077B1"/>
    <w:rsid w:val="00610A43"/>
    <w:rsid w:val="0061165E"/>
    <w:rsid w:val="00611782"/>
    <w:rsid w:val="0061236F"/>
    <w:rsid w:val="0061293A"/>
    <w:rsid w:val="00612A53"/>
    <w:rsid w:val="00612F9E"/>
    <w:rsid w:val="0061313E"/>
    <w:rsid w:val="00613841"/>
    <w:rsid w:val="00613BD0"/>
    <w:rsid w:val="006157EC"/>
    <w:rsid w:val="00616A74"/>
    <w:rsid w:val="00616C9F"/>
    <w:rsid w:val="00616D00"/>
    <w:rsid w:val="006200FB"/>
    <w:rsid w:val="00620BF9"/>
    <w:rsid w:val="00621797"/>
    <w:rsid w:val="006217E7"/>
    <w:rsid w:val="006232EA"/>
    <w:rsid w:val="00625341"/>
    <w:rsid w:val="00625A44"/>
    <w:rsid w:val="00625F46"/>
    <w:rsid w:val="00626CE2"/>
    <w:rsid w:val="0062704F"/>
    <w:rsid w:val="006301C9"/>
    <w:rsid w:val="00630229"/>
    <w:rsid w:val="00630397"/>
    <w:rsid w:val="00630A53"/>
    <w:rsid w:val="00630CA8"/>
    <w:rsid w:val="00630CE6"/>
    <w:rsid w:val="00631037"/>
    <w:rsid w:val="0063172B"/>
    <w:rsid w:val="00631E80"/>
    <w:rsid w:val="00632725"/>
    <w:rsid w:val="00632A9C"/>
    <w:rsid w:val="00632E05"/>
    <w:rsid w:val="006331B7"/>
    <w:rsid w:val="0063327C"/>
    <w:rsid w:val="00633A60"/>
    <w:rsid w:val="0063450C"/>
    <w:rsid w:val="006346D9"/>
    <w:rsid w:val="00634E63"/>
    <w:rsid w:val="00635C8B"/>
    <w:rsid w:val="00635FC1"/>
    <w:rsid w:val="0063691F"/>
    <w:rsid w:val="00636968"/>
    <w:rsid w:val="0063696F"/>
    <w:rsid w:val="006379FD"/>
    <w:rsid w:val="00637DF5"/>
    <w:rsid w:val="00640342"/>
    <w:rsid w:val="00641A85"/>
    <w:rsid w:val="006437A9"/>
    <w:rsid w:val="00643F18"/>
    <w:rsid w:val="006442B7"/>
    <w:rsid w:val="00644BFE"/>
    <w:rsid w:val="006454B4"/>
    <w:rsid w:val="00645AEE"/>
    <w:rsid w:val="00645D7E"/>
    <w:rsid w:val="0064618E"/>
    <w:rsid w:val="00646260"/>
    <w:rsid w:val="00646A54"/>
    <w:rsid w:val="006475EA"/>
    <w:rsid w:val="006503C5"/>
    <w:rsid w:val="006509AC"/>
    <w:rsid w:val="00651183"/>
    <w:rsid w:val="00651865"/>
    <w:rsid w:val="00651A3D"/>
    <w:rsid w:val="00651DCC"/>
    <w:rsid w:val="00651E30"/>
    <w:rsid w:val="0065258D"/>
    <w:rsid w:val="00652AA0"/>
    <w:rsid w:val="00652EA9"/>
    <w:rsid w:val="006537AD"/>
    <w:rsid w:val="00653802"/>
    <w:rsid w:val="006550CB"/>
    <w:rsid w:val="006564DF"/>
    <w:rsid w:val="00656E94"/>
    <w:rsid w:val="00657343"/>
    <w:rsid w:val="0066257A"/>
    <w:rsid w:val="006628D6"/>
    <w:rsid w:val="00663B3C"/>
    <w:rsid w:val="00663B9A"/>
    <w:rsid w:val="00663BB1"/>
    <w:rsid w:val="006642D9"/>
    <w:rsid w:val="0066588E"/>
    <w:rsid w:val="00666383"/>
    <w:rsid w:val="006666E4"/>
    <w:rsid w:val="0066694D"/>
    <w:rsid w:val="006669FC"/>
    <w:rsid w:val="00666B23"/>
    <w:rsid w:val="00667362"/>
    <w:rsid w:val="006713F5"/>
    <w:rsid w:val="00671776"/>
    <w:rsid w:val="00671E71"/>
    <w:rsid w:val="006722E7"/>
    <w:rsid w:val="00672780"/>
    <w:rsid w:val="00672C35"/>
    <w:rsid w:val="006738D7"/>
    <w:rsid w:val="006738EA"/>
    <w:rsid w:val="00673969"/>
    <w:rsid w:val="006740B6"/>
    <w:rsid w:val="00674278"/>
    <w:rsid w:val="00675067"/>
    <w:rsid w:val="00675490"/>
    <w:rsid w:val="00675585"/>
    <w:rsid w:val="00675C8E"/>
    <w:rsid w:val="0067614F"/>
    <w:rsid w:val="00676471"/>
    <w:rsid w:val="00676B51"/>
    <w:rsid w:val="0067720B"/>
    <w:rsid w:val="00677226"/>
    <w:rsid w:val="006803D7"/>
    <w:rsid w:val="00680735"/>
    <w:rsid w:val="006809A6"/>
    <w:rsid w:val="006814C7"/>
    <w:rsid w:val="006815C0"/>
    <w:rsid w:val="00681A40"/>
    <w:rsid w:val="00682048"/>
    <w:rsid w:val="00682A90"/>
    <w:rsid w:val="0068329D"/>
    <w:rsid w:val="00683F31"/>
    <w:rsid w:val="00683F38"/>
    <w:rsid w:val="00684DDD"/>
    <w:rsid w:val="00685120"/>
    <w:rsid w:val="0068518A"/>
    <w:rsid w:val="00685F0F"/>
    <w:rsid w:val="00686ABD"/>
    <w:rsid w:val="0068704C"/>
    <w:rsid w:val="00687288"/>
    <w:rsid w:val="006873E7"/>
    <w:rsid w:val="00687BAE"/>
    <w:rsid w:val="006907E1"/>
    <w:rsid w:val="00690DE6"/>
    <w:rsid w:val="0069105A"/>
    <w:rsid w:val="0069225C"/>
    <w:rsid w:val="00692CDD"/>
    <w:rsid w:val="0069314F"/>
    <w:rsid w:val="0069330F"/>
    <w:rsid w:val="00694229"/>
    <w:rsid w:val="00694ED7"/>
    <w:rsid w:val="00696235"/>
    <w:rsid w:val="00696303"/>
    <w:rsid w:val="0069716A"/>
    <w:rsid w:val="00697361"/>
    <w:rsid w:val="0069765D"/>
    <w:rsid w:val="0069772A"/>
    <w:rsid w:val="006979E2"/>
    <w:rsid w:val="00697B49"/>
    <w:rsid w:val="00697E96"/>
    <w:rsid w:val="00697F1E"/>
    <w:rsid w:val="006A02BF"/>
    <w:rsid w:val="006A1A83"/>
    <w:rsid w:val="006A1D36"/>
    <w:rsid w:val="006A1EE7"/>
    <w:rsid w:val="006A2ED6"/>
    <w:rsid w:val="006A3363"/>
    <w:rsid w:val="006A377F"/>
    <w:rsid w:val="006A6D8C"/>
    <w:rsid w:val="006A7E35"/>
    <w:rsid w:val="006A7F99"/>
    <w:rsid w:val="006B103B"/>
    <w:rsid w:val="006B15C9"/>
    <w:rsid w:val="006B2007"/>
    <w:rsid w:val="006B2E4C"/>
    <w:rsid w:val="006B34EF"/>
    <w:rsid w:val="006B38A7"/>
    <w:rsid w:val="006B4298"/>
    <w:rsid w:val="006B4471"/>
    <w:rsid w:val="006B4C8C"/>
    <w:rsid w:val="006B4D79"/>
    <w:rsid w:val="006B4E65"/>
    <w:rsid w:val="006B4FDD"/>
    <w:rsid w:val="006B53BF"/>
    <w:rsid w:val="006B58D7"/>
    <w:rsid w:val="006B5D41"/>
    <w:rsid w:val="006B670E"/>
    <w:rsid w:val="006B6CF8"/>
    <w:rsid w:val="006B7AC3"/>
    <w:rsid w:val="006B7B1C"/>
    <w:rsid w:val="006B7B1F"/>
    <w:rsid w:val="006B7D79"/>
    <w:rsid w:val="006B7F32"/>
    <w:rsid w:val="006C09C7"/>
    <w:rsid w:val="006C178C"/>
    <w:rsid w:val="006C1A23"/>
    <w:rsid w:val="006C1B24"/>
    <w:rsid w:val="006C20DA"/>
    <w:rsid w:val="006C26C5"/>
    <w:rsid w:val="006C27FD"/>
    <w:rsid w:val="006C3131"/>
    <w:rsid w:val="006C4A86"/>
    <w:rsid w:val="006C531D"/>
    <w:rsid w:val="006C5555"/>
    <w:rsid w:val="006C5B84"/>
    <w:rsid w:val="006C74B0"/>
    <w:rsid w:val="006C75C3"/>
    <w:rsid w:val="006C7B16"/>
    <w:rsid w:val="006C7E78"/>
    <w:rsid w:val="006D0185"/>
    <w:rsid w:val="006D0D3D"/>
    <w:rsid w:val="006D1584"/>
    <w:rsid w:val="006D15EA"/>
    <w:rsid w:val="006D19E8"/>
    <w:rsid w:val="006D1A0D"/>
    <w:rsid w:val="006D2DED"/>
    <w:rsid w:val="006D35F1"/>
    <w:rsid w:val="006D3684"/>
    <w:rsid w:val="006D45B2"/>
    <w:rsid w:val="006D5C1C"/>
    <w:rsid w:val="006D6CC8"/>
    <w:rsid w:val="006D6DBD"/>
    <w:rsid w:val="006D7282"/>
    <w:rsid w:val="006E08BA"/>
    <w:rsid w:val="006E0900"/>
    <w:rsid w:val="006E0D54"/>
    <w:rsid w:val="006E1EEB"/>
    <w:rsid w:val="006E252B"/>
    <w:rsid w:val="006E26FF"/>
    <w:rsid w:val="006E3718"/>
    <w:rsid w:val="006E3982"/>
    <w:rsid w:val="006E3E5B"/>
    <w:rsid w:val="006E4609"/>
    <w:rsid w:val="006E506D"/>
    <w:rsid w:val="006E529E"/>
    <w:rsid w:val="006E535D"/>
    <w:rsid w:val="006E577C"/>
    <w:rsid w:val="006E6ABB"/>
    <w:rsid w:val="006E7804"/>
    <w:rsid w:val="006E7F38"/>
    <w:rsid w:val="006F0791"/>
    <w:rsid w:val="006F19B0"/>
    <w:rsid w:val="006F1C99"/>
    <w:rsid w:val="006F1D48"/>
    <w:rsid w:val="006F277F"/>
    <w:rsid w:val="006F2999"/>
    <w:rsid w:val="006F2EE8"/>
    <w:rsid w:val="006F3631"/>
    <w:rsid w:val="006F367A"/>
    <w:rsid w:val="006F5668"/>
    <w:rsid w:val="006F58ED"/>
    <w:rsid w:val="006F595D"/>
    <w:rsid w:val="006F5A1B"/>
    <w:rsid w:val="006F5D3C"/>
    <w:rsid w:val="006F5E22"/>
    <w:rsid w:val="006F69A9"/>
    <w:rsid w:val="006F6E9D"/>
    <w:rsid w:val="006F72C0"/>
    <w:rsid w:val="006F73ED"/>
    <w:rsid w:val="006F74B3"/>
    <w:rsid w:val="006F7A11"/>
    <w:rsid w:val="006F7DF9"/>
    <w:rsid w:val="00700ABC"/>
    <w:rsid w:val="00700D2E"/>
    <w:rsid w:val="00700DC5"/>
    <w:rsid w:val="007010F9"/>
    <w:rsid w:val="00701687"/>
    <w:rsid w:val="00702746"/>
    <w:rsid w:val="00702A40"/>
    <w:rsid w:val="00703993"/>
    <w:rsid w:val="00705589"/>
    <w:rsid w:val="00705BB1"/>
    <w:rsid w:val="00706086"/>
    <w:rsid w:val="007062F5"/>
    <w:rsid w:val="00706468"/>
    <w:rsid w:val="0070685F"/>
    <w:rsid w:val="00706BF2"/>
    <w:rsid w:val="00706F8D"/>
    <w:rsid w:val="0070724F"/>
    <w:rsid w:val="0070783C"/>
    <w:rsid w:val="00707C0D"/>
    <w:rsid w:val="00710721"/>
    <w:rsid w:val="007110F4"/>
    <w:rsid w:val="00711CDA"/>
    <w:rsid w:val="0071217F"/>
    <w:rsid w:val="00712E22"/>
    <w:rsid w:val="00714CA5"/>
    <w:rsid w:val="00715A65"/>
    <w:rsid w:val="00716095"/>
    <w:rsid w:val="00716BFA"/>
    <w:rsid w:val="0071738A"/>
    <w:rsid w:val="00717588"/>
    <w:rsid w:val="0071770F"/>
    <w:rsid w:val="00717876"/>
    <w:rsid w:val="0072053C"/>
    <w:rsid w:val="00720607"/>
    <w:rsid w:val="007209F9"/>
    <w:rsid w:val="00720E01"/>
    <w:rsid w:val="0072109E"/>
    <w:rsid w:val="007212CD"/>
    <w:rsid w:val="0072137B"/>
    <w:rsid w:val="007213CF"/>
    <w:rsid w:val="007218E5"/>
    <w:rsid w:val="00721A05"/>
    <w:rsid w:val="00721D93"/>
    <w:rsid w:val="0072259C"/>
    <w:rsid w:val="00722682"/>
    <w:rsid w:val="007226CB"/>
    <w:rsid w:val="007228D5"/>
    <w:rsid w:val="00722D84"/>
    <w:rsid w:val="00722F47"/>
    <w:rsid w:val="00724255"/>
    <w:rsid w:val="00724667"/>
    <w:rsid w:val="00724AE9"/>
    <w:rsid w:val="00725199"/>
    <w:rsid w:val="007251BA"/>
    <w:rsid w:val="007268A3"/>
    <w:rsid w:val="00726A86"/>
    <w:rsid w:val="00726FD4"/>
    <w:rsid w:val="007273DE"/>
    <w:rsid w:val="0073043F"/>
    <w:rsid w:val="00731902"/>
    <w:rsid w:val="0073213B"/>
    <w:rsid w:val="00732150"/>
    <w:rsid w:val="0073262A"/>
    <w:rsid w:val="007326C5"/>
    <w:rsid w:val="00734A31"/>
    <w:rsid w:val="00734CF7"/>
    <w:rsid w:val="00735159"/>
    <w:rsid w:val="00735B84"/>
    <w:rsid w:val="007366AA"/>
    <w:rsid w:val="007367DE"/>
    <w:rsid w:val="00736CA2"/>
    <w:rsid w:val="00736CE5"/>
    <w:rsid w:val="00737283"/>
    <w:rsid w:val="007375A9"/>
    <w:rsid w:val="007375EF"/>
    <w:rsid w:val="00737E07"/>
    <w:rsid w:val="00740143"/>
    <w:rsid w:val="00740591"/>
    <w:rsid w:val="00740664"/>
    <w:rsid w:val="00740F17"/>
    <w:rsid w:val="0074138F"/>
    <w:rsid w:val="00741701"/>
    <w:rsid w:val="00741A91"/>
    <w:rsid w:val="00741B64"/>
    <w:rsid w:val="00742710"/>
    <w:rsid w:val="007432CF"/>
    <w:rsid w:val="00743FCA"/>
    <w:rsid w:val="007453D3"/>
    <w:rsid w:val="00745C48"/>
    <w:rsid w:val="00746448"/>
    <w:rsid w:val="00746485"/>
    <w:rsid w:val="0074727A"/>
    <w:rsid w:val="00747441"/>
    <w:rsid w:val="00747BD2"/>
    <w:rsid w:val="00747F4B"/>
    <w:rsid w:val="00747F70"/>
    <w:rsid w:val="00750870"/>
    <w:rsid w:val="00750A36"/>
    <w:rsid w:val="0075109E"/>
    <w:rsid w:val="00751704"/>
    <w:rsid w:val="00751DAD"/>
    <w:rsid w:val="00752684"/>
    <w:rsid w:val="007539FC"/>
    <w:rsid w:val="00753AD9"/>
    <w:rsid w:val="00755008"/>
    <w:rsid w:val="0075501E"/>
    <w:rsid w:val="0075513C"/>
    <w:rsid w:val="00755154"/>
    <w:rsid w:val="00755DF4"/>
    <w:rsid w:val="00755ECF"/>
    <w:rsid w:val="0075682B"/>
    <w:rsid w:val="00756D7B"/>
    <w:rsid w:val="00756FA8"/>
    <w:rsid w:val="00757D5A"/>
    <w:rsid w:val="00760684"/>
    <w:rsid w:val="00760A5F"/>
    <w:rsid w:val="0076100C"/>
    <w:rsid w:val="00761A3D"/>
    <w:rsid w:val="00762037"/>
    <w:rsid w:val="00762281"/>
    <w:rsid w:val="007632EE"/>
    <w:rsid w:val="00763B91"/>
    <w:rsid w:val="00763F43"/>
    <w:rsid w:val="00764D4E"/>
    <w:rsid w:val="007656AB"/>
    <w:rsid w:val="007658B0"/>
    <w:rsid w:val="00765939"/>
    <w:rsid w:val="00765972"/>
    <w:rsid w:val="0076653E"/>
    <w:rsid w:val="00766657"/>
    <w:rsid w:val="00767447"/>
    <w:rsid w:val="007674DC"/>
    <w:rsid w:val="00770FCE"/>
    <w:rsid w:val="00771F8D"/>
    <w:rsid w:val="00773232"/>
    <w:rsid w:val="00773270"/>
    <w:rsid w:val="00773B89"/>
    <w:rsid w:val="007747E2"/>
    <w:rsid w:val="00774A1D"/>
    <w:rsid w:val="00774F4E"/>
    <w:rsid w:val="0077555E"/>
    <w:rsid w:val="00775E7B"/>
    <w:rsid w:val="00775F4E"/>
    <w:rsid w:val="0077613F"/>
    <w:rsid w:val="0077633F"/>
    <w:rsid w:val="00776651"/>
    <w:rsid w:val="00777688"/>
    <w:rsid w:val="00777DDD"/>
    <w:rsid w:val="00780167"/>
    <w:rsid w:val="007802F5"/>
    <w:rsid w:val="00780675"/>
    <w:rsid w:val="00780909"/>
    <w:rsid w:val="00781098"/>
    <w:rsid w:val="00781886"/>
    <w:rsid w:val="007819D7"/>
    <w:rsid w:val="00781FE7"/>
    <w:rsid w:val="0078228A"/>
    <w:rsid w:val="00782A72"/>
    <w:rsid w:val="00782C09"/>
    <w:rsid w:val="00782E8B"/>
    <w:rsid w:val="0078499C"/>
    <w:rsid w:val="00785EE0"/>
    <w:rsid w:val="007862B7"/>
    <w:rsid w:val="007863BD"/>
    <w:rsid w:val="0078640A"/>
    <w:rsid w:val="00787335"/>
    <w:rsid w:val="007873A4"/>
    <w:rsid w:val="00787F09"/>
    <w:rsid w:val="00790631"/>
    <w:rsid w:val="00790F47"/>
    <w:rsid w:val="0079114B"/>
    <w:rsid w:val="00791C51"/>
    <w:rsid w:val="0079273A"/>
    <w:rsid w:val="00792F85"/>
    <w:rsid w:val="00792F8A"/>
    <w:rsid w:val="0079322B"/>
    <w:rsid w:val="00794089"/>
    <w:rsid w:val="00794B49"/>
    <w:rsid w:val="00795AC5"/>
    <w:rsid w:val="00795B36"/>
    <w:rsid w:val="0079627F"/>
    <w:rsid w:val="00796974"/>
    <w:rsid w:val="00797594"/>
    <w:rsid w:val="0079793F"/>
    <w:rsid w:val="007A0608"/>
    <w:rsid w:val="007A0885"/>
    <w:rsid w:val="007A0AE4"/>
    <w:rsid w:val="007A10DA"/>
    <w:rsid w:val="007A2401"/>
    <w:rsid w:val="007A2B7F"/>
    <w:rsid w:val="007A3048"/>
    <w:rsid w:val="007A45E9"/>
    <w:rsid w:val="007A5662"/>
    <w:rsid w:val="007A567A"/>
    <w:rsid w:val="007A5B0A"/>
    <w:rsid w:val="007A5B3A"/>
    <w:rsid w:val="007A5C5D"/>
    <w:rsid w:val="007A7393"/>
    <w:rsid w:val="007A751B"/>
    <w:rsid w:val="007A774D"/>
    <w:rsid w:val="007B07FB"/>
    <w:rsid w:val="007B085D"/>
    <w:rsid w:val="007B09BE"/>
    <w:rsid w:val="007B09E9"/>
    <w:rsid w:val="007B1126"/>
    <w:rsid w:val="007B14DA"/>
    <w:rsid w:val="007B26DE"/>
    <w:rsid w:val="007B317B"/>
    <w:rsid w:val="007B4152"/>
    <w:rsid w:val="007B5253"/>
    <w:rsid w:val="007B52E4"/>
    <w:rsid w:val="007B58DA"/>
    <w:rsid w:val="007B5B53"/>
    <w:rsid w:val="007B5D33"/>
    <w:rsid w:val="007B5F36"/>
    <w:rsid w:val="007B653E"/>
    <w:rsid w:val="007B6CE5"/>
    <w:rsid w:val="007B722F"/>
    <w:rsid w:val="007B7620"/>
    <w:rsid w:val="007B7C77"/>
    <w:rsid w:val="007B7DD3"/>
    <w:rsid w:val="007C19FA"/>
    <w:rsid w:val="007C24C6"/>
    <w:rsid w:val="007C29EB"/>
    <w:rsid w:val="007C32D8"/>
    <w:rsid w:val="007C391E"/>
    <w:rsid w:val="007C44B0"/>
    <w:rsid w:val="007C4DCA"/>
    <w:rsid w:val="007C52A2"/>
    <w:rsid w:val="007C5525"/>
    <w:rsid w:val="007C569A"/>
    <w:rsid w:val="007C59B0"/>
    <w:rsid w:val="007C5C50"/>
    <w:rsid w:val="007C5CBF"/>
    <w:rsid w:val="007C5D82"/>
    <w:rsid w:val="007C5F79"/>
    <w:rsid w:val="007C6C44"/>
    <w:rsid w:val="007C6CB4"/>
    <w:rsid w:val="007C7685"/>
    <w:rsid w:val="007C7725"/>
    <w:rsid w:val="007C775C"/>
    <w:rsid w:val="007D028C"/>
    <w:rsid w:val="007D0570"/>
    <w:rsid w:val="007D073C"/>
    <w:rsid w:val="007D11F5"/>
    <w:rsid w:val="007D1D2B"/>
    <w:rsid w:val="007D2118"/>
    <w:rsid w:val="007D350F"/>
    <w:rsid w:val="007D3EF2"/>
    <w:rsid w:val="007D4AD4"/>
    <w:rsid w:val="007D4C34"/>
    <w:rsid w:val="007D5663"/>
    <w:rsid w:val="007D65C6"/>
    <w:rsid w:val="007D6A59"/>
    <w:rsid w:val="007D6A8B"/>
    <w:rsid w:val="007D6AA0"/>
    <w:rsid w:val="007D7043"/>
    <w:rsid w:val="007D7144"/>
    <w:rsid w:val="007D7C81"/>
    <w:rsid w:val="007D7D25"/>
    <w:rsid w:val="007E0B26"/>
    <w:rsid w:val="007E1910"/>
    <w:rsid w:val="007E1B28"/>
    <w:rsid w:val="007E2389"/>
    <w:rsid w:val="007E287B"/>
    <w:rsid w:val="007E2884"/>
    <w:rsid w:val="007E289B"/>
    <w:rsid w:val="007E3B59"/>
    <w:rsid w:val="007E4464"/>
    <w:rsid w:val="007E4A36"/>
    <w:rsid w:val="007E6018"/>
    <w:rsid w:val="007E6A4A"/>
    <w:rsid w:val="007E744C"/>
    <w:rsid w:val="007E74BA"/>
    <w:rsid w:val="007E79EB"/>
    <w:rsid w:val="007F04D8"/>
    <w:rsid w:val="007F18E8"/>
    <w:rsid w:val="007F3220"/>
    <w:rsid w:val="007F338A"/>
    <w:rsid w:val="007F4165"/>
    <w:rsid w:val="007F54E4"/>
    <w:rsid w:val="007F5D5B"/>
    <w:rsid w:val="007F5DB9"/>
    <w:rsid w:val="007F624B"/>
    <w:rsid w:val="007F6D52"/>
    <w:rsid w:val="007F72A4"/>
    <w:rsid w:val="007F7551"/>
    <w:rsid w:val="00800214"/>
    <w:rsid w:val="00800467"/>
    <w:rsid w:val="00800761"/>
    <w:rsid w:val="00800B30"/>
    <w:rsid w:val="00800F28"/>
    <w:rsid w:val="00801475"/>
    <w:rsid w:val="00801623"/>
    <w:rsid w:val="008017B6"/>
    <w:rsid w:val="0080191F"/>
    <w:rsid w:val="008025C6"/>
    <w:rsid w:val="00802C0C"/>
    <w:rsid w:val="00802D2C"/>
    <w:rsid w:val="00802E4A"/>
    <w:rsid w:val="00803753"/>
    <w:rsid w:val="00803C3E"/>
    <w:rsid w:val="00804848"/>
    <w:rsid w:val="008048B1"/>
    <w:rsid w:val="008049D0"/>
    <w:rsid w:val="0080510E"/>
    <w:rsid w:val="0080539A"/>
    <w:rsid w:val="00805B31"/>
    <w:rsid w:val="00805F2A"/>
    <w:rsid w:val="00806E35"/>
    <w:rsid w:val="00807979"/>
    <w:rsid w:val="008106C4"/>
    <w:rsid w:val="008118AD"/>
    <w:rsid w:val="008124E8"/>
    <w:rsid w:val="008127F9"/>
    <w:rsid w:val="00812E48"/>
    <w:rsid w:val="00813D14"/>
    <w:rsid w:val="00814765"/>
    <w:rsid w:val="00815FD5"/>
    <w:rsid w:val="008164E8"/>
    <w:rsid w:val="008168AA"/>
    <w:rsid w:val="008171B5"/>
    <w:rsid w:val="008172A2"/>
    <w:rsid w:val="00817737"/>
    <w:rsid w:val="00817F75"/>
    <w:rsid w:val="00817F8C"/>
    <w:rsid w:val="00820B3F"/>
    <w:rsid w:val="00820F3B"/>
    <w:rsid w:val="00820F64"/>
    <w:rsid w:val="00821805"/>
    <w:rsid w:val="0082200A"/>
    <w:rsid w:val="00822806"/>
    <w:rsid w:val="00824B9B"/>
    <w:rsid w:val="00824E8E"/>
    <w:rsid w:val="0082540A"/>
    <w:rsid w:val="00825B1C"/>
    <w:rsid w:val="00826628"/>
    <w:rsid w:val="008304ED"/>
    <w:rsid w:val="008315F8"/>
    <w:rsid w:val="00831C2D"/>
    <w:rsid w:val="00831FFF"/>
    <w:rsid w:val="008324B2"/>
    <w:rsid w:val="00832529"/>
    <w:rsid w:val="008327C1"/>
    <w:rsid w:val="00832E2E"/>
    <w:rsid w:val="00833364"/>
    <w:rsid w:val="008348E5"/>
    <w:rsid w:val="00835719"/>
    <w:rsid w:val="0083578B"/>
    <w:rsid w:val="00836C82"/>
    <w:rsid w:val="008377C8"/>
    <w:rsid w:val="008379D2"/>
    <w:rsid w:val="00840B20"/>
    <w:rsid w:val="00840E26"/>
    <w:rsid w:val="00841955"/>
    <w:rsid w:val="0084238D"/>
    <w:rsid w:val="008427B3"/>
    <w:rsid w:val="00842A14"/>
    <w:rsid w:val="00842B05"/>
    <w:rsid w:val="00842E38"/>
    <w:rsid w:val="008430AE"/>
    <w:rsid w:val="008435E7"/>
    <w:rsid w:val="00843E43"/>
    <w:rsid w:val="00843EB4"/>
    <w:rsid w:val="0084482F"/>
    <w:rsid w:val="00844A65"/>
    <w:rsid w:val="008451D6"/>
    <w:rsid w:val="00846842"/>
    <w:rsid w:val="008473E6"/>
    <w:rsid w:val="00851463"/>
    <w:rsid w:val="008515FF"/>
    <w:rsid w:val="00852C2A"/>
    <w:rsid w:val="008533B3"/>
    <w:rsid w:val="00853447"/>
    <w:rsid w:val="0085365A"/>
    <w:rsid w:val="00853B8F"/>
    <w:rsid w:val="00853C93"/>
    <w:rsid w:val="00853F6D"/>
    <w:rsid w:val="00854841"/>
    <w:rsid w:val="00854A37"/>
    <w:rsid w:val="00854D1A"/>
    <w:rsid w:val="00855B62"/>
    <w:rsid w:val="008561CB"/>
    <w:rsid w:val="00857212"/>
    <w:rsid w:val="00857D63"/>
    <w:rsid w:val="008601BD"/>
    <w:rsid w:val="0086065A"/>
    <w:rsid w:val="00861216"/>
    <w:rsid w:val="00861C7D"/>
    <w:rsid w:val="00862906"/>
    <w:rsid w:val="00863C50"/>
    <w:rsid w:val="0086442C"/>
    <w:rsid w:val="008644C5"/>
    <w:rsid w:val="00864E03"/>
    <w:rsid w:val="00865BC9"/>
    <w:rsid w:val="008660CD"/>
    <w:rsid w:val="008665CD"/>
    <w:rsid w:val="008676EC"/>
    <w:rsid w:val="008679FE"/>
    <w:rsid w:val="00870975"/>
    <w:rsid w:val="00871339"/>
    <w:rsid w:val="00871BE5"/>
    <w:rsid w:val="008728CE"/>
    <w:rsid w:val="008730D9"/>
    <w:rsid w:val="0087328F"/>
    <w:rsid w:val="00873818"/>
    <w:rsid w:val="00873F9F"/>
    <w:rsid w:val="0087490A"/>
    <w:rsid w:val="00874AF6"/>
    <w:rsid w:val="0087548A"/>
    <w:rsid w:val="008758CF"/>
    <w:rsid w:val="00875F78"/>
    <w:rsid w:val="00875F95"/>
    <w:rsid w:val="00876017"/>
    <w:rsid w:val="0087601C"/>
    <w:rsid w:val="00876610"/>
    <w:rsid w:val="008769D0"/>
    <w:rsid w:val="00877DAB"/>
    <w:rsid w:val="00880978"/>
    <w:rsid w:val="00880C4B"/>
    <w:rsid w:val="008812E8"/>
    <w:rsid w:val="00881574"/>
    <w:rsid w:val="00881915"/>
    <w:rsid w:val="008819FF"/>
    <w:rsid w:val="0088278C"/>
    <w:rsid w:val="00885E83"/>
    <w:rsid w:val="00886519"/>
    <w:rsid w:val="00886BAB"/>
    <w:rsid w:val="0088749D"/>
    <w:rsid w:val="00887657"/>
    <w:rsid w:val="008904F0"/>
    <w:rsid w:val="008905F4"/>
    <w:rsid w:val="00890853"/>
    <w:rsid w:val="00890DDB"/>
    <w:rsid w:val="008934D7"/>
    <w:rsid w:val="0089451E"/>
    <w:rsid w:val="00894873"/>
    <w:rsid w:val="008948BE"/>
    <w:rsid w:val="00894B8F"/>
    <w:rsid w:val="00896C95"/>
    <w:rsid w:val="0089704F"/>
    <w:rsid w:val="00897784"/>
    <w:rsid w:val="00897864"/>
    <w:rsid w:val="008A0314"/>
    <w:rsid w:val="008A0405"/>
    <w:rsid w:val="008A0C68"/>
    <w:rsid w:val="008A19B1"/>
    <w:rsid w:val="008A19E3"/>
    <w:rsid w:val="008A1A22"/>
    <w:rsid w:val="008A1C0C"/>
    <w:rsid w:val="008A1FF0"/>
    <w:rsid w:val="008A23B9"/>
    <w:rsid w:val="008A2B7B"/>
    <w:rsid w:val="008A30B2"/>
    <w:rsid w:val="008A3120"/>
    <w:rsid w:val="008A3414"/>
    <w:rsid w:val="008A3645"/>
    <w:rsid w:val="008A3A61"/>
    <w:rsid w:val="008A3C46"/>
    <w:rsid w:val="008A49E4"/>
    <w:rsid w:val="008A57DF"/>
    <w:rsid w:val="008A59F3"/>
    <w:rsid w:val="008A5C69"/>
    <w:rsid w:val="008A6060"/>
    <w:rsid w:val="008A6161"/>
    <w:rsid w:val="008A6238"/>
    <w:rsid w:val="008A637F"/>
    <w:rsid w:val="008A6CF1"/>
    <w:rsid w:val="008A6E1D"/>
    <w:rsid w:val="008A6E78"/>
    <w:rsid w:val="008A732F"/>
    <w:rsid w:val="008A733C"/>
    <w:rsid w:val="008A73FB"/>
    <w:rsid w:val="008A77B8"/>
    <w:rsid w:val="008A7BF2"/>
    <w:rsid w:val="008A7E69"/>
    <w:rsid w:val="008B0146"/>
    <w:rsid w:val="008B0F8C"/>
    <w:rsid w:val="008B15C9"/>
    <w:rsid w:val="008B19FD"/>
    <w:rsid w:val="008B2105"/>
    <w:rsid w:val="008B233D"/>
    <w:rsid w:val="008B2D3B"/>
    <w:rsid w:val="008B2EA9"/>
    <w:rsid w:val="008B2FC8"/>
    <w:rsid w:val="008B36FF"/>
    <w:rsid w:val="008B401B"/>
    <w:rsid w:val="008B4DCA"/>
    <w:rsid w:val="008B509B"/>
    <w:rsid w:val="008B5536"/>
    <w:rsid w:val="008B5940"/>
    <w:rsid w:val="008B5B56"/>
    <w:rsid w:val="008B65AC"/>
    <w:rsid w:val="008B684E"/>
    <w:rsid w:val="008B6F36"/>
    <w:rsid w:val="008B7458"/>
    <w:rsid w:val="008B74E6"/>
    <w:rsid w:val="008C0183"/>
    <w:rsid w:val="008C097A"/>
    <w:rsid w:val="008C0B7A"/>
    <w:rsid w:val="008C2267"/>
    <w:rsid w:val="008C2BDB"/>
    <w:rsid w:val="008C3875"/>
    <w:rsid w:val="008C38C6"/>
    <w:rsid w:val="008C47BC"/>
    <w:rsid w:val="008C5056"/>
    <w:rsid w:val="008C50D3"/>
    <w:rsid w:val="008C53D4"/>
    <w:rsid w:val="008C58D2"/>
    <w:rsid w:val="008C61F0"/>
    <w:rsid w:val="008C6FBD"/>
    <w:rsid w:val="008C7165"/>
    <w:rsid w:val="008C7F8F"/>
    <w:rsid w:val="008D0BFA"/>
    <w:rsid w:val="008D0C95"/>
    <w:rsid w:val="008D0D1A"/>
    <w:rsid w:val="008D13F8"/>
    <w:rsid w:val="008D142F"/>
    <w:rsid w:val="008D25F5"/>
    <w:rsid w:val="008D27A1"/>
    <w:rsid w:val="008D387B"/>
    <w:rsid w:val="008D502F"/>
    <w:rsid w:val="008D54AF"/>
    <w:rsid w:val="008D5589"/>
    <w:rsid w:val="008D594E"/>
    <w:rsid w:val="008D5998"/>
    <w:rsid w:val="008D6901"/>
    <w:rsid w:val="008D7001"/>
    <w:rsid w:val="008D7C8D"/>
    <w:rsid w:val="008E00A9"/>
    <w:rsid w:val="008E0EBA"/>
    <w:rsid w:val="008E19EC"/>
    <w:rsid w:val="008E36EF"/>
    <w:rsid w:val="008E3EE7"/>
    <w:rsid w:val="008E5237"/>
    <w:rsid w:val="008E5635"/>
    <w:rsid w:val="008E57A8"/>
    <w:rsid w:val="008E65D7"/>
    <w:rsid w:val="008E728F"/>
    <w:rsid w:val="008E7C34"/>
    <w:rsid w:val="008F114B"/>
    <w:rsid w:val="008F162F"/>
    <w:rsid w:val="008F1CC9"/>
    <w:rsid w:val="008F20B2"/>
    <w:rsid w:val="008F2B68"/>
    <w:rsid w:val="008F38BC"/>
    <w:rsid w:val="008F3917"/>
    <w:rsid w:val="008F49F1"/>
    <w:rsid w:val="008F4B48"/>
    <w:rsid w:val="008F56D9"/>
    <w:rsid w:val="008F5BB5"/>
    <w:rsid w:val="008F6B2F"/>
    <w:rsid w:val="008F6B56"/>
    <w:rsid w:val="008F7C27"/>
    <w:rsid w:val="009004D3"/>
    <w:rsid w:val="00900C03"/>
    <w:rsid w:val="00900E54"/>
    <w:rsid w:val="00902844"/>
    <w:rsid w:val="00902AA1"/>
    <w:rsid w:val="009037C4"/>
    <w:rsid w:val="00903D50"/>
    <w:rsid w:val="009047D3"/>
    <w:rsid w:val="009047F9"/>
    <w:rsid w:val="00904A9B"/>
    <w:rsid w:val="00904E84"/>
    <w:rsid w:val="0090527D"/>
    <w:rsid w:val="00905460"/>
    <w:rsid w:val="009055AF"/>
    <w:rsid w:val="0090590B"/>
    <w:rsid w:val="00905BB0"/>
    <w:rsid w:val="00905DD7"/>
    <w:rsid w:val="0090623A"/>
    <w:rsid w:val="009066F6"/>
    <w:rsid w:val="00906BC8"/>
    <w:rsid w:val="00907350"/>
    <w:rsid w:val="009074F4"/>
    <w:rsid w:val="00907907"/>
    <w:rsid w:val="00907B83"/>
    <w:rsid w:val="00907E6B"/>
    <w:rsid w:val="00907E90"/>
    <w:rsid w:val="00910003"/>
    <w:rsid w:val="009108CE"/>
    <w:rsid w:val="00910E76"/>
    <w:rsid w:val="009115B3"/>
    <w:rsid w:val="009123C3"/>
    <w:rsid w:val="00912FC7"/>
    <w:rsid w:val="00913237"/>
    <w:rsid w:val="00913A89"/>
    <w:rsid w:val="00913F29"/>
    <w:rsid w:val="009143F2"/>
    <w:rsid w:val="009146B5"/>
    <w:rsid w:val="00914818"/>
    <w:rsid w:val="0091543C"/>
    <w:rsid w:val="0091550F"/>
    <w:rsid w:val="009158AE"/>
    <w:rsid w:val="00916259"/>
    <w:rsid w:val="009163CC"/>
    <w:rsid w:val="00917409"/>
    <w:rsid w:val="0091750C"/>
    <w:rsid w:val="00917594"/>
    <w:rsid w:val="00920A0C"/>
    <w:rsid w:val="009215DC"/>
    <w:rsid w:val="009216E1"/>
    <w:rsid w:val="00921E00"/>
    <w:rsid w:val="00922005"/>
    <w:rsid w:val="00922544"/>
    <w:rsid w:val="00922D70"/>
    <w:rsid w:val="009238AB"/>
    <w:rsid w:val="00923E50"/>
    <w:rsid w:val="00924BB3"/>
    <w:rsid w:val="009252E6"/>
    <w:rsid w:val="00925DC5"/>
    <w:rsid w:val="00925FDE"/>
    <w:rsid w:val="00927001"/>
    <w:rsid w:val="0092756C"/>
    <w:rsid w:val="00927DB9"/>
    <w:rsid w:val="009307B2"/>
    <w:rsid w:val="00930CE7"/>
    <w:rsid w:val="00931395"/>
    <w:rsid w:val="0093146C"/>
    <w:rsid w:val="00931EA5"/>
    <w:rsid w:val="009321C8"/>
    <w:rsid w:val="009322F3"/>
    <w:rsid w:val="00932752"/>
    <w:rsid w:val="00933339"/>
    <w:rsid w:val="00933AA6"/>
    <w:rsid w:val="00933E5C"/>
    <w:rsid w:val="0093473F"/>
    <w:rsid w:val="00934E3E"/>
    <w:rsid w:val="00934ED5"/>
    <w:rsid w:val="00935B06"/>
    <w:rsid w:val="00936DE1"/>
    <w:rsid w:val="00936F33"/>
    <w:rsid w:val="00937C60"/>
    <w:rsid w:val="0094003B"/>
    <w:rsid w:val="009403CE"/>
    <w:rsid w:val="00940426"/>
    <w:rsid w:val="00940A6F"/>
    <w:rsid w:val="00940E73"/>
    <w:rsid w:val="009413F7"/>
    <w:rsid w:val="00941717"/>
    <w:rsid w:val="009419FD"/>
    <w:rsid w:val="00942065"/>
    <w:rsid w:val="009427C4"/>
    <w:rsid w:val="009432FB"/>
    <w:rsid w:val="00943604"/>
    <w:rsid w:val="00944A76"/>
    <w:rsid w:val="00944D14"/>
    <w:rsid w:val="009452C6"/>
    <w:rsid w:val="00945414"/>
    <w:rsid w:val="00945460"/>
    <w:rsid w:val="00945802"/>
    <w:rsid w:val="0094674F"/>
    <w:rsid w:val="00946D2C"/>
    <w:rsid w:val="00946E48"/>
    <w:rsid w:val="009472B5"/>
    <w:rsid w:val="009503FF"/>
    <w:rsid w:val="00950F0C"/>
    <w:rsid w:val="0095153D"/>
    <w:rsid w:val="00952014"/>
    <w:rsid w:val="0095225D"/>
    <w:rsid w:val="0095325D"/>
    <w:rsid w:val="00954213"/>
    <w:rsid w:val="0095451F"/>
    <w:rsid w:val="00954AA9"/>
    <w:rsid w:val="00955443"/>
    <w:rsid w:val="00955B3E"/>
    <w:rsid w:val="00955FF2"/>
    <w:rsid w:val="0095619E"/>
    <w:rsid w:val="009563A4"/>
    <w:rsid w:val="009567E2"/>
    <w:rsid w:val="00957CA2"/>
    <w:rsid w:val="009604A6"/>
    <w:rsid w:val="00960C00"/>
    <w:rsid w:val="00960DEA"/>
    <w:rsid w:val="00960E4D"/>
    <w:rsid w:val="009612D8"/>
    <w:rsid w:val="0096184B"/>
    <w:rsid w:val="00963EF3"/>
    <w:rsid w:val="00963F34"/>
    <w:rsid w:val="00963F40"/>
    <w:rsid w:val="00963FC8"/>
    <w:rsid w:val="00964DC5"/>
    <w:rsid w:val="009655BD"/>
    <w:rsid w:val="0096590A"/>
    <w:rsid w:val="0096592F"/>
    <w:rsid w:val="00965A5E"/>
    <w:rsid w:val="009664B7"/>
    <w:rsid w:val="0096720F"/>
    <w:rsid w:val="009723EC"/>
    <w:rsid w:val="00972FB8"/>
    <w:rsid w:val="00973E0F"/>
    <w:rsid w:val="009744F1"/>
    <w:rsid w:val="009770EE"/>
    <w:rsid w:val="0097780E"/>
    <w:rsid w:val="00977BDF"/>
    <w:rsid w:val="009803E5"/>
    <w:rsid w:val="00980EA1"/>
    <w:rsid w:val="00981A9C"/>
    <w:rsid w:val="00981DB3"/>
    <w:rsid w:val="00981FE2"/>
    <w:rsid w:val="009827E0"/>
    <w:rsid w:val="00982AA0"/>
    <w:rsid w:val="009836E1"/>
    <w:rsid w:val="0098398D"/>
    <w:rsid w:val="00983D86"/>
    <w:rsid w:val="0098426A"/>
    <w:rsid w:val="009845B7"/>
    <w:rsid w:val="00984908"/>
    <w:rsid w:val="00986523"/>
    <w:rsid w:val="00986B8B"/>
    <w:rsid w:val="00986DBB"/>
    <w:rsid w:val="00990DEE"/>
    <w:rsid w:val="00991202"/>
    <w:rsid w:val="0099193F"/>
    <w:rsid w:val="00992597"/>
    <w:rsid w:val="00993855"/>
    <w:rsid w:val="00993EE6"/>
    <w:rsid w:val="00993F52"/>
    <w:rsid w:val="00994493"/>
    <w:rsid w:val="009947BF"/>
    <w:rsid w:val="0099599F"/>
    <w:rsid w:val="00995BB7"/>
    <w:rsid w:val="009961AF"/>
    <w:rsid w:val="00996546"/>
    <w:rsid w:val="00996584"/>
    <w:rsid w:val="009967C7"/>
    <w:rsid w:val="00996BDB"/>
    <w:rsid w:val="00996DD3"/>
    <w:rsid w:val="009970D2"/>
    <w:rsid w:val="009A00B2"/>
    <w:rsid w:val="009A02B6"/>
    <w:rsid w:val="009A10CD"/>
    <w:rsid w:val="009A1B35"/>
    <w:rsid w:val="009A1C47"/>
    <w:rsid w:val="009A23C2"/>
    <w:rsid w:val="009A24DC"/>
    <w:rsid w:val="009A2AC3"/>
    <w:rsid w:val="009A31AD"/>
    <w:rsid w:val="009A33C6"/>
    <w:rsid w:val="009A34B0"/>
    <w:rsid w:val="009A3E04"/>
    <w:rsid w:val="009A5685"/>
    <w:rsid w:val="009A6007"/>
    <w:rsid w:val="009A7A58"/>
    <w:rsid w:val="009B0465"/>
    <w:rsid w:val="009B10BC"/>
    <w:rsid w:val="009B1EFC"/>
    <w:rsid w:val="009B2003"/>
    <w:rsid w:val="009B2240"/>
    <w:rsid w:val="009B22E3"/>
    <w:rsid w:val="009B2A10"/>
    <w:rsid w:val="009B2FBF"/>
    <w:rsid w:val="009B3B8E"/>
    <w:rsid w:val="009B3B93"/>
    <w:rsid w:val="009B3C12"/>
    <w:rsid w:val="009B4390"/>
    <w:rsid w:val="009B4CEE"/>
    <w:rsid w:val="009B6528"/>
    <w:rsid w:val="009B6BFB"/>
    <w:rsid w:val="009B6E99"/>
    <w:rsid w:val="009B71BD"/>
    <w:rsid w:val="009B7AB6"/>
    <w:rsid w:val="009B7AD0"/>
    <w:rsid w:val="009C014E"/>
    <w:rsid w:val="009C04AE"/>
    <w:rsid w:val="009C0ADA"/>
    <w:rsid w:val="009C112B"/>
    <w:rsid w:val="009C12FF"/>
    <w:rsid w:val="009C1401"/>
    <w:rsid w:val="009C16FA"/>
    <w:rsid w:val="009C1738"/>
    <w:rsid w:val="009C28CE"/>
    <w:rsid w:val="009C29A5"/>
    <w:rsid w:val="009C2CC0"/>
    <w:rsid w:val="009C34C2"/>
    <w:rsid w:val="009C3A27"/>
    <w:rsid w:val="009C4127"/>
    <w:rsid w:val="009C5109"/>
    <w:rsid w:val="009C5738"/>
    <w:rsid w:val="009C5ECC"/>
    <w:rsid w:val="009C5F7F"/>
    <w:rsid w:val="009C67B6"/>
    <w:rsid w:val="009C7476"/>
    <w:rsid w:val="009C7DBD"/>
    <w:rsid w:val="009D0BDA"/>
    <w:rsid w:val="009D0CFB"/>
    <w:rsid w:val="009D0F41"/>
    <w:rsid w:val="009D0FB3"/>
    <w:rsid w:val="009D106D"/>
    <w:rsid w:val="009D194E"/>
    <w:rsid w:val="009D1BD8"/>
    <w:rsid w:val="009D27DA"/>
    <w:rsid w:val="009D284A"/>
    <w:rsid w:val="009D2E45"/>
    <w:rsid w:val="009D32BA"/>
    <w:rsid w:val="009D3866"/>
    <w:rsid w:val="009D39C0"/>
    <w:rsid w:val="009D3A9D"/>
    <w:rsid w:val="009D3C28"/>
    <w:rsid w:val="009D559B"/>
    <w:rsid w:val="009D669B"/>
    <w:rsid w:val="009D7493"/>
    <w:rsid w:val="009D7779"/>
    <w:rsid w:val="009E01E1"/>
    <w:rsid w:val="009E0E6E"/>
    <w:rsid w:val="009E197D"/>
    <w:rsid w:val="009E1D11"/>
    <w:rsid w:val="009E3016"/>
    <w:rsid w:val="009E392C"/>
    <w:rsid w:val="009E3BEE"/>
    <w:rsid w:val="009E5CC1"/>
    <w:rsid w:val="009E5D7B"/>
    <w:rsid w:val="009E62B5"/>
    <w:rsid w:val="009E6714"/>
    <w:rsid w:val="009E6AE4"/>
    <w:rsid w:val="009E6BC6"/>
    <w:rsid w:val="009E70B7"/>
    <w:rsid w:val="009E7F3B"/>
    <w:rsid w:val="009F09F4"/>
    <w:rsid w:val="009F0AD5"/>
    <w:rsid w:val="009F0C0F"/>
    <w:rsid w:val="009F216A"/>
    <w:rsid w:val="009F2201"/>
    <w:rsid w:val="009F32D8"/>
    <w:rsid w:val="009F3AE3"/>
    <w:rsid w:val="009F4E26"/>
    <w:rsid w:val="009F5576"/>
    <w:rsid w:val="009F5B13"/>
    <w:rsid w:val="009F5B78"/>
    <w:rsid w:val="009F5BF6"/>
    <w:rsid w:val="009F7B78"/>
    <w:rsid w:val="009F7F8B"/>
    <w:rsid w:val="00A009E8"/>
    <w:rsid w:val="00A00FC5"/>
    <w:rsid w:val="00A01202"/>
    <w:rsid w:val="00A01301"/>
    <w:rsid w:val="00A0155A"/>
    <w:rsid w:val="00A019E2"/>
    <w:rsid w:val="00A01DB1"/>
    <w:rsid w:val="00A01F41"/>
    <w:rsid w:val="00A02355"/>
    <w:rsid w:val="00A02723"/>
    <w:rsid w:val="00A02C6D"/>
    <w:rsid w:val="00A02DC3"/>
    <w:rsid w:val="00A03364"/>
    <w:rsid w:val="00A042B8"/>
    <w:rsid w:val="00A0453E"/>
    <w:rsid w:val="00A04577"/>
    <w:rsid w:val="00A0489E"/>
    <w:rsid w:val="00A05676"/>
    <w:rsid w:val="00A058E8"/>
    <w:rsid w:val="00A05EEC"/>
    <w:rsid w:val="00A06870"/>
    <w:rsid w:val="00A06DB7"/>
    <w:rsid w:val="00A07178"/>
    <w:rsid w:val="00A0765C"/>
    <w:rsid w:val="00A0785A"/>
    <w:rsid w:val="00A102DD"/>
    <w:rsid w:val="00A1070A"/>
    <w:rsid w:val="00A107E8"/>
    <w:rsid w:val="00A125F5"/>
    <w:rsid w:val="00A12E7D"/>
    <w:rsid w:val="00A13625"/>
    <w:rsid w:val="00A137CB"/>
    <w:rsid w:val="00A1587D"/>
    <w:rsid w:val="00A16D3B"/>
    <w:rsid w:val="00A16D5C"/>
    <w:rsid w:val="00A179F6"/>
    <w:rsid w:val="00A200B7"/>
    <w:rsid w:val="00A200BB"/>
    <w:rsid w:val="00A20715"/>
    <w:rsid w:val="00A21750"/>
    <w:rsid w:val="00A22339"/>
    <w:rsid w:val="00A22C05"/>
    <w:rsid w:val="00A23617"/>
    <w:rsid w:val="00A25A8E"/>
    <w:rsid w:val="00A25E19"/>
    <w:rsid w:val="00A26606"/>
    <w:rsid w:val="00A279AC"/>
    <w:rsid w:val="00A27B93"/>
    <w:rsid w:val="00A30527"/>
    <w:rsid w:val="00A30ED4"/>
    <w:rsid w:val="00A3181C"/>
    <w:rsid w:val="00A318A3"/>
    <w:rsid w:val="00A31AF8"/>
    <w:rsid w:val="00A32B21"/>
    <w:rsid w:val="00A32F7B"/>
    <w:rsid w:val="00A337FF"/>
    <w:rsid w:val="00A33D1C"/>
    <w:rsid w:val="00A343A9"/>
    <w:rsid w:val="00A344CE"/>
    <w:rsid w:val="00A348BD"/>
    <w:rsid w:val="00A3499E"/>
    <w:rsid w:val="00A357CF"/>
    <w:rsid w:val="00A36D14"/>
    <w:rsid w:val="00A3700B"/>
    <w:rsid w:val="00A372B0"/>
    <w:rsid w:val="00A373C1"/>
    <w:rsid w:val="00A3765F"/>
    <w:rsid w:val="00A379B8"/>
    <w:rsid w:val="00A37BA6"/>
    <w:rsid w:val="00A40976"/>
    <w:rsid w:val="00A4151D"/>
    <w:rsid w:val="00A41522"/>
    <w:rsid w:val="00A427CD"/>
    <w:rsid w:val="00A42D0D"/>
    <w:rsid w:val="00A4327B"/>
    <w:rsid w:val="00A43DF9"/>
    <w:rsid w:val="00A441B2"/>
    <w:rsid w:val="00A446D7"/>
    <w:rsid w:val="00A44DB6"/>
    <w:rsid w:val="00A44DF1"/>
    <w:rsid w:val="00A45AFD"/>
    <w:rsid w:val="00A46A0D"/>
    <w:rsid w:val="00A473A1"/>
    <w:rsid w:val="00A4773B"/>
    <w:rsid w:val="00A47806"/>
    <w:rsid w:val="00A50013"/>
    <w:rsid w:val="00A51121"/>
    <w:rsid w:val="00A51533"/>
    <w:rsid w:val="00A51895"/>
    <w:rsid w:val="00A519DE"/>
    <w:rsid w:val="00A52013"/>
    <w:rsid w:val="00A52A6F"/>
    <w:rsid w:val="00A52E63"/>
    <w:rsid w:val="00A530A3"/>
    <w:rsid w:val="00A53346"/>
    <w:rsid w:val="00A53CDC"/>
    <w:rsid w:val="00A54108"/>
    <w:rsid w:val="00A54B14"/>
    <w:rsid w:val="00A5523A"/>
    <w:rsid w:val="00A55391"/>
    <w:rsid w:val="00A5617D"/>
    <w:rsid w:val="00A564F0"/>
    <w:rsid w:val="00A5676C"/>
    <w:rsid w:val="00A572A5"/>
    <w:rsid w:val="00A578EA"/>
    <w:rsid w:val="00A600D4"/>
    <w:rsid w:val="00A60CD5"/>
    <w:rsid w:val="00A61405"/>
    <w:rsid w:val="00A61ADD"/>
    <w:rsid w:val="00A62429"/>
    <w:rsid w:val="00A62A36"/>
    <w:rsid w:val="00A639E0"/>
    <w:rsid w:val="00A643E2"/>
    <w:rsid w:val="00A65A10"/>
    <w:rsid w:val="00A65BFE"/>
    <w:rsid w:val="00A66290"/>
    <w:rsid w:val="00A663EA"/>
    <w:rsid w:val="00A678F2"/>
    <w:rsid w:val="00A67C23"/>
    <w:rsid w:val="00A67EBF"/>
    <w:rsid w:val="00A71372"/>
    <w:rsid w:val="00A71CA6"/>
    <w:rsid w:val="00A72581"/>
    <w:rsid w:val="00A72960"/>
    <w:rsid w:val="00A73D8B"/>
    <w:rsid w:val="00A74F41"/>
    <w:rsid w:val="00A7569A"/>
    <w:rsid w:val="00A7665D"/>
    <w:rsid w:val="00A766C7"/>
    <w:rsid w:val="00A77586"/>
    <w:rsid w:val="00A77ACA"/>
    <w:rsid w:val="00A77B8A"/>
    <w:rsid w:val="00A800E3"/>
    <w:rsid w:val="00A80660"/>
    <w:rsid w:val="00A80AEF"/>
    <w:rsid w:val="00A8110E"/>
    <w:rsid w:val="00A813E8"/>
    <w:rsid w:val="00A81CDC"/>
    <w:rsid w:val="00A81E14"/>
    <w:rsid w:val="00A820FD"/>
    <w:rsid w:val="00A82254"/>
    <w:rsid w:val="00A8294C"/>
    <w:rsid w:val="00A8308F"/>
    <w:rsid w:val="00A83253"/>
    <w:rsid w:val="00A836E0"/>
    <w:rsid w:val="00A83953"/>
    <w:rsid w:val="00A83FA2"/>
    <w:rsid w:val="00A8417B"/>
    <w:rsid w:val="00A849F6"/>
    <w:rsid w:val="00A854FD"/>
    <w:rsid w:val="00A85763"/>
    <w:rsid w:val="00A858B9"/>
    <w:rsid w:val="00A85A4C"/>
    <w:rsid w:val="00A85C88"/>
    <w:rsid w:val="00A8616F"/>
    <w:rsid w:val="00A864C9"/>
    <w:rsid w:val="00A86E75"/>
    <w:rsid w:val="00A87064"/>
    <w:rsid w:val="00A87487"/>
    <w:rsid w:val="00A87EA4"/>
    <w:rsid w:val="00A90AA5"/>
    <w:rsid w:val="00A90FC1"/>
    <w:rsid w:val="00A91746"/>
    <w:rsid w:val="00A917FA"/>
    <w:rsid w:val="00A91DB0"/>
    <w:rsid w:val="00A91E90"/>
    <w:rsid w:val="00A921A4"/>
    <w:rsid w:val="00A9382B"/>
    <w:rsid w:val="00A93DEA"/>
    <w:rsid w:val="00A94A63"/>
    <w:rsid w:val="00A95413"/>
    <w:rsid w:val="00A95665"/>
    <w:rsid w:val="00A95A65"/>
    <w:rsid w:val="00A95CD2"/>
    <w:rsid w:val="00A95FD9"/>
    <w:rsid w:val="00A96113"/>
    <w:rsid w:val="00A9641C"/>
    <w:rsid w:val="00A96F90"/>
    <w:rsid w:val="00A977C8"/>
    <w:rsid w:val="00AA008A"/>
    <w:rsid w:val="00AA0441"/>
    <w:rsid w:val="00AA0E1D"/>
    <w:rsid w:val="00AA0F4B"/>
    <w:rsid w:val="00AA104F"/>
    <w:rsid w:val="00AA18E2"/>
    <w:rsid w:val="00AA1D1D"/>
    <w:rsid w:val="00AA39D8"/>
    <w:rsid w:val="00AA3ACE"/>
    <w:rsid w:val="00AA4800"/>
    <w:rsid w:val="00AA53E5"/>
    <w:rsid w:val="00AA5869"/>
    <w:rsid w:val="00AA59FF"/>
    <w:rsid w:val="00AA6837"/>
    <w:rsid w:val="00AA6BF5"/>
    <w:rsid w:val="00AA7DA6"/>
    <w:rsid w:val="00AB0E1C"/>
    <w:rsid w:val="00AB1951"/>
    <w:rsid w:val="00AB19F5"/>
    <w:rsid w:val="00AB254B"/>
    <w:rsid w:val="00AB297C"/>
    <w:rsid w:val="00AB2B73"/>
    <w:rsid w:val="00AB2E91"/>
    <w:rsid w:val="00AB2F6A"/>
    <w:rsid w:val="00AB3367"/>
    <w:rsid w:val="00AB3457"/>
    <w:rsid w:val="00AB35C3"/>
    <w:rsid w:val="00AB440D"/>
    <w:rsid w:val="00AB5288"/>
    <w:rsid w:val="00AB5568"/>
    <w:rsid w:val="00AB572D"/>
    <w:rsid w:val="00AB5D39"/>
    <w:rsid w:val="00AB62D9"/>
    <w:rsid w:val="00AB6D27"/>
    <w:rsid w:val="00AB7657"/>
    <w:rsid w:val="00AC03BE"/>
    <w:rsid w:val="00AC09E9"/>
    <w:rsid w:val="00AC0CC4"/>
    <w:rsid w:val="00AC16FC"/>
    <w:rsid w:val="00AC3CFB"/>
    <w:rsid w:val="00AC414B"/>
    <w:rsid w:val="00AC4B65"/>
    <w:rsid w:val="00AC5133"/>
    <w:rsid w:val="00AC5151"/>
    <w:rsid w:val="00AC6793"/>
    <w:rsid w:val="00AC6E7A"/>
    <w:rsid w:val="00AC714F"/>
    <w:rsid w:val="00AC7B9B"/>
    <w:rsid w:val="00AD051F"/>
    <w:rsid w:val="00AD0599"/>
    <w:rsid w:val="00AD0C85"/>
    <w:rsid w:val="00AD0E51"/>
    <w:rsid w:val="00AD1315"/>
    <w:rsid w:val="00AD1554"/>
    <w:rsid w:val="00AD1558"/>
    <w:rsid w:val="00AD2487"/>
    <w:rsid w:val="00AD2598"/>
    <w:rsid w:val="00AD29D8"/>
    <w:rsid w:val="00AD2BB7"/>
    <w:rsid w:val="00AD3A44"/>
    <w:rsid w:val="00AD4479"/>
    <w:rsid w:val="00AD47A8"/>
    <w:rsid w:val="00AD4879"/>
    <w:rsid w:val="00AD4DA9"/>
    <w:rsid w:val="00AD5425"/>
    <w:rsid w:val="00AD563E"/>
    <w:rsid w:val="00AD5B5F"/>
    <w:rsid w:val="00AD5DD7"/>
    <w:rsid w:val="00AD6A8A"/>
    <w:rsid w:val="00AD6C05"/>
    <w:rsid w:val="00AD6D0E"/>
    <w:rsid w:val="00AD6E1D"/>
    <w:rsid w:val="00AD7229"/>
    <w:rsid w:val="00AD7477"/>
    <w:rsid w:val="00AD7A8E"/>
    <w:rsid w:val="00AD7B8F"/>
    <w:rsid w:val="00AD7C29"/>
    <w:rsid w:val="00AE0556"/>
    <w:rsid w:val="00AE14BE"/>
    <w:rsid w:val="00AE1EEB"/>
    <w:rsid w:val="00AE1FC0"/>
    <w:rsid w:val="00AE21D4"/>
    <w:rsid w:val="00AE29F6"/>
    <w:rsid w:val="00AE303A"/>
    <w:rsid w:val="00AE3772"/>
    <w:rsid w:val="00AE39A5"/>
    <w:rsid w:val="00AE3F39"/>
    <w:rsid w:val="00AE431E"/>
    <w:rsid w:val="00AE471D"/>
    <w:rsid w:val="00AE58FE"/>
    <w:rsid w:val="00AE6386"/>
    <w:rsid w:val="00AE7304"/>
    <w:rsid w:val="00AF01B7"/>
    <w:rsid w:val="00AF082B"/>
    <w:rsid w:val="00AF0B53"/>
    <w:rsid w:val="00AF17B9"/>
    <w:rsid w:val="00AF1BF5"/>
    <w:rsid w:val="00AF2324"/>
    <w:rsid w:val="00AF2BA0"/>
    <w:rsid w:val="00AF310A"/>
    <w:rsid w:val="00AF4CA4"/>
    <w:rsid w:val="00AF5A79"/>
    <w:rsid w:val="00AF5FB9"/>
    <w:rsid w:val="00AF6EC5"/>
    <w:rsid w:val="00AF704F"/>
    <w:rsid w:val="00AF7127"/>
    <w:rsid w:val="00AF77C4"/>
    <w:rsid w:val="00B00848"/>
    <w:rsid w:val="00B01C1A"/>
    <w:rsid w:val="00B01D6C"/>
    <w:rsid w:val="00B02894"/>
    <w:rsid w:val="00B030B6"/>
    <w:rsid w:val="00B03E30"/>
    <w:rsid w:val="00B043BA"/>
    <w:rsid w:val="00B0443C"/>
    <w:rsid w:val="00B04783"/>
    <w:rsid w:val="00B04FE9"/>
    <w:rsid w:val="00B05089"/>
    <w:rsid w:val="00B05437"/>
    <w:rsid w:val="00B05C0F"/>
    <w:rsid w:val="00B060CA"/>
    <w:rsid w:val="00B0675F"/>
    <w:rsid w:val="00B0765E"/>
    <w:rsid w:val="00B10977"/>
    <w:rsid w:val="00B10CC8"/>
    <w:rsid w:val="00B114EE"/>
    <w:rsid w:val="00B1200C"/>
    <w:rsid w:val="00B1304D"/>
    <w:rsid w:val="00B137CA"/>
    <w:rsid w:val="00B13D0B"/>
    <w:rsid w:val="00B13E2B"/>
    <w:rsid w:val="00B1405A"/>
    <w:rsid w:val="00B142A5"/>
    <w:rsid w:val="00B14366"/>
    <w:rsid w:val="00B1466D"/>
    <w:rsid w:val="00B15E30"/>
    <w:rsid w:val="00B16178"/>
    <w:rsid w:val="00B169A7"/>
    <w:rsid w:val="00B171F3"/>
    <w:rsid w:val="00B1721D"/>
    <w:rsid w:val="00B17D20"/>
    <w:rsid w:val="00B17D33"/>
    <w:rsid w:val="00B2084D"/>
    <w:rsid w:val="00B2133B"/>
    <w:rsid w:val="00B213C9"/>
    <w:rsid w:val="00B214F3"/>
    <w:rsid w:val="00B2156A"/>
    <w:rsid w:val="00B21B33"/>
    <w:rsid w:val="00B230A4"/>
    <w:rsid w:val="00B2393D"/>
    <w:rsid w:val="00B239D0"/>
    <w:rsid w:val="00B24233"/>
    <w:rsid w:val="00B24B39"/>
    <w:rsid w:val="00B25F7E"/>
    <w:rsid w:val="00B26090"/>
    <w:rsid w:val="00B26753"/>
    <w:rsid w:val="00B26B80"/>
    <w:rsid w:val="00B271B0"/>
    <w:rsid w:val="00B2733B"/>
    <w:rsid w:val="00B31A55"/>
    <w:rsid w:val="00B32190"/>
    <w:rsid w:val="00B321B8"/>
    <w:rsid w:val="00B32AF1"/>
    <w:rsid w:val="00B332D0"/>
    <w:rsid w:val="00B337FB"/>
    <w:rsid w:val="00B340D4"/>
    <w:rsid w:val="00B34B96"/>
    <w:rsid w:val="00B34BC3"/>
    <w:rsid w:val="00B36259"/>
    <w:rsid w:val="00B36808"/>
    <w:rsid w:val="00B36C07"/>
    <w:rsid w:val="00B36F23"/>
    <w:rsid w:val="00B376E2"/>
    <w:rsid w:val="00B400BC"/>
    <w:rsid w:val="00B40D9A"/>
    <w:rsid w:val="00B41006"/>
    <w:rsid w:val="00B41101"/>
    <w:rsid w:val="00B4285D"/>
    <w:rsid w:val="00B42BD2"/>
    <w:rsid w:val="00B436EF"/>
    <w:rsid w:val="00B439D3"/>
    <w:rsid w:val="00B4459F"/>
    <w:rsid w:val="00B44B01"/>
    <w:rsid w:val="00B4715A"/>
    <w:rsid w:val="00B47446"/>
    <w:rsid w:val="00B47E2E"/>
    <w:rsid w:val="00B504D4"/>
    <w:rsid w:val="00B50E92"/>
    <w:rsid w:val="00B50FD0"/>
    <w:rsid w:val="00B51C0B"/>
    <w:rsid w:val="00B5323B"/>
    <w:rsid w:val="00B538EB"/>
    <w:rsid w:val="00B53A4C"/>
    <w:rsid w:val="00B540FB"/>
    <w:rsid w:val="00B5430A"/>
    <w:rsid w:val="00B54458"/>
    <w:rsid w:val="00B55181"/>
    <w:rsid w:val="00B552C9"/>
    <w:rsid w:val="00B5569F"/>
    <w:rsid w:val="00B5575F"/>
    <w:rsid w:val="00B5583E"/>
    <w:rsid w:val="00B57315"/>
    <w:rsid w:val="00B57806"/>
    <w:rsid w:val="00B57870"/>
    <w:rsid w:val="00B60317"/>
    <w:rsid w:val="00B60BF1"/>
    <w:rsid w:val="00B610D0"/>
    <w:rsid w:val="00B61921"/>
    <w:rsid w:val="00B61E63"/>
    <w:rsid w:val="00B61FFC"/>
    <w:rsid w:val="00B627A4"/>
    <w:rsid w:val="00B62E00"/>
    <w:rsid w:val="00B62FEE"/>
    <w:rsid w:val="00B63B9D"/>
    <w:rsid w:val="00B647B2"/>
    <w:rsid w:val="00B6497A"/>
    <w:rsid w:val="00B64E08"/>
    <w:rsid w:val="00B65CCE"/>
    <w:rsid w:val="00B66045"/>
    <w:rsid w:val="00B667E5"/>
    <w:rsid w:val="00B66C39"/>
    <w:rsid w:val="00B672E1"/>
    <w:rsid w:val="00B67497"/>
    <w:rsid w:val="00B72161"/>
    <w:rsid w:val="00B7229B"/>
    <w:rsid w:val="00B722A4"/>
    <w:rsid w:val="00B72636"/>
    <w:rsid w:val="00B7266D"/>
    <w:rsid w:val="00B727B5"/>
    <w:rsid w:val="00B72899"/>
    <w:rsid w:val="00B73C18"/>
    <w:rsid w:val="00B74E06"/>
    <w:rsid w:val="00B75F96"/>
    <w:rsid w:val="00B7733F"/>
    <w:rsid w:val="00B77F94"/>
    <w:rsid w:val="00B77FF9"/>
    <w:rsid w:val="00B80C15"/>
    <w:rsid w:val="00B818FD"/>
    <w:rsid w:val="00B82178"/>
    <w:rsid w:val="00B821C1"/>
    <w:rsid w:val="00B8279A"/>
    <w:rsid w:val="00B83365"/>
    <w:rsid w:val="00B83B76"/>
    <w:rsid w:val="00B83C07"/>
    <w:rsid w:val="00B83E04"/>
    <w:rsid w:val="00B84AD7"/>
    <w:rsid w:val="00B8543A"/>
    <w:rsid w:val="00B861A2"/>
    <w:rsid w:val="00B863E9"/>
    <w:rsid w:val="00B8648B"/>
    <w:rsid w:val="00B86524"/>
    <w:rsid w:val="00B86DB8"/>
    <w:rsid w:val="00B87969"/>
    <w:rsid w:val="00B879F8"/>
    <w:rsid w:val="00B9002B"/>
    <w:rsid w:val="00B90576"/>
    <w:rsid w:val="00B90797"/>
    <w:rsid w:val="00B90ACD"/>
    <w:rsid w:val="00B90B87"/>
    <w:rsid w:val="00B90B98"/>
    <w:rsid w:val="00B90FC4"/>
    <w:rsid w:val="00B91231"/>
    <w:rsid w:val="00B91727"/>
    <w:rsid w:val="00B92218"/>
    <w:rsid w:val="00B9286E"/>
    <w:rsid w:val="00B9311A"/>
    <w:rsid w:val="00B93901"/>
    <w:rsid w:val="00B94267"/>
    <w:rsid w:val="00B945E2"/>
    <w:rsid w:val="00B953D2"/>
    <w:rsid w:val="00B95567"/>
    <w:rsid w:val="00B9672A"/>
    <w:rsid w:val="00B96CF4"/>
    <w:rsid w:val="00B96FE1"/>
    <w:rsid w:val="00B97582"/>
    <w:rsid w:val="00BA03AE"/>
    <w:rsid w:val="00BA0639"/>
    <w:rsid w:val="00BA168B"/>
    <w:rsid w:val="00BA24FE"/>
    <w:rsid w:val="00BA28D2"/>
    <w:rsid w:val="00BA367C"/>
    <w:rsid w:val="00BA3D9F"/>
    <w:rsid w:val="00BA49B6"/>
    <w:rsid w:val="00BA51EF"/>
    <w:rsid w:val="00BA5C93"/>
    <w:rsid w:val="00BA5D57"/>
    <w:rsid w:val="00BA6D17"/>
    <w:rsid w:val="00BA7160"/>
    <w:rsid w:val="00BA7F87"/>
    <w:rsid w:val="00BB00DF"/>
    <w:rsid w:val="00BB068B"/>
    <w:rsid w:val="00BB0A59"/>
    <w:rsid w:val="00BB12B1"/>
    <w:rsid w:val="00BB13C1"/>
    <w:rsid w:val="00BB15E2"/>
    <w:rsid w:val="00BB16B4"/>
    <w:rsid w:val="00BB1B7A"/>
    <w:rsid w:val="00BB399B"/>
    <w:rsid w:val="00BB3DA7"/>
    <w:rsid w:val="00BB3FFB"/>
    <w:rsid w:val="00BB4044"/>
    <w:rsid w:val="00BB43AF"/>
    <w:rsid w:val="00BB43B5"/>
    <w:rsid w:val="00BB43B6"/>
    <w:rsid w:val="00BB5255"/>
    <w:rsid w:val="00BB54EB"/>
    <w:rsid w:val="00BB552F"/>
    <w:rsid w:val="00BB5712"/>
    <w:rsid w:val="00BB62B9"/>
    <w:rsid w:val="00BB69BE"/>
    <w:rsid w:val="00BB6AAF"/>
    <w:rsid w:val="00BB6F0A"/>
    <w:rsid w:val="00BB7168"/>
    <w:rsid w:val="00BB75E3"/>
    <w:rsid w:val="00BB79C7"/>
    <w:rsid w:val="00BB7DD2"/>
    <w:rsid w:val="00BB7DDE"/>
    <w:rsid w:val="00BC0397"/>
    <w:rsid w:val="00BC03D9"/>
    <w:rsid w:val="00BC0E5F"/>
    <w:rsid w:val="00BC1BF7"/>
    <w:rsid w:val="00BC27C8"/>
    <w:rsid w:val="00BC3541"/>
    <w:rsid w:val="00BC36D9"/>
    <w:rsid w:val="00BC40D3"/>
    <w:rsid w:val="00BC4CD6"/>
    <w:rsid w:val="00BC4DA3"/>
    <w:rsid w:val="00BC4E17"/>
    <w:rsid w:val="00BC4E81"/>
    <w:rsid w:val="00BC50C1"/>
    <w:rsid w:val="00BC5256"/>
    <w:rsid w:val="00BC58B5"/>
    <w:rsid w:val="00BC5DE3"/>
    <w:rsid w:val="00BC6283"/>
    <w:rsid w:val="00BC650A"/>
    <w:rsid w:val="00BC6AFD"/>
    <w:rsid w:val="00BC6B11"/>
    <w:rsid w:val="00BC6C84"/>
    <w:rsid w:val="00BD03F2"/>
    <w:rsid w:val="00BD0799"/>
    <w:rsid w:val="00BD1048"/>
    <w:rsid w:val="00BD19D9"/>
    <w:rsid w:val="00BD1B8D"/>
    <w:rsid w:val="00BD2556"/>
    <w:rsid w:val="00BD2577"/>
    <w:rsid w:val="00BD27F0"/>
    <w:rsid w:val="00BD37CA"/>
    <w:rsid w:val="00BD37D8"/>
    <w:rsid w:val="00BD37F3"/>
    <w:rsid w:val="00BD3E2E"/>
    <w:rsid w:val="00BD4137"/>
    <w:rsid w:val="00BD4A90"/>
    <w:rsid w:val="00BD5673"/>
    <w:rsid w:val="00BD5DB7"/>
    <w:rsid w:val="00BD63DE"/>
    <w:rsid w:val="00BD6450"/>
    <w:rsid w:val="00BD64FC"/>
    <w:rsid w:val="00BD73B7"/>
    <w:rsid w:val="00BD79F8"/>
    <w:rsid w:val="00BD7B82"/>
    <w:rsid w:val="00BE0E8E"/>
    <w:rsid w:val="00BE1287"/>
    <w:rsid w:val="00BE1E0F"/>
    <w:rsid w:val="00BE3D51"/>
    <w:rsid w:val="00BE4232"/>
    <w:rsid w:val="00BE5241"/>
    <w:rsid w:val="00BE58F7"/>
    <w:rsid w:val="00BE7AD4"/>
    <w:rsid w:val="00BF041A"/>
    <w:rsid w:val="00BF04E5"/>
    <w:rsid w:val="00BF0F7A"/>
    <w:rsid w:val="00BF1A67"/>
    <w:rsid w:val="00BF1BFB"/>
    <w:rsid w:val="00BF21AC"/>
    <w:rsid w:val="00BF3516"/>
    <w:rsid w:val="00BF35B6"/>
    <w:rsid w:val="00BF3845"/>
    <w:rsid w:val="00BF38DF"/>
    <w:rsid w:val="00BF428F"/>
    <w:rsid w:val="00BF51BB"/>
    <w:rsid w:val="00BF58B4"/>
    <w:rsid w:val="00BF5BC0"/>
    <w:rsid w:val="00BF5CFE"/>
    <w:rsid w:val="00BF67D4"/>
    <w:rsid w:val="00BF688C"/>
    <w:rsid w:val="00BF7AE7"/>
    <w:rsid w:val="00BF7E00"/>
    <w:rsid w:val="00C00A91"/>
    <w:rsid w:val="00C01E8E"/>
    <w:rsid w:val="00C02017"/>
    <w:rsid w:val="00C0211D"/>
    <w:rsid w:val="00C02CED"/>
    <w:rsid w:val="00C0379A"/>
    <w:rsid w:val="00C04976"/>
    <w:rsid w:val="00C04D26"/>
    <w:rsid w:val="00C06082"/>
    <w:rsid w:val="00C07458"/>
    <w:rsid w:val="00C07D71"/>
    <w:rsid w:val="00C111A1"/>
    <w:rsid w:val="00C1171A"/>
    <w:rsid w:val="00C11CFA"/>
    <w:rsid w:val="00C13A9D"/>
    <w:rsid w:val="00C141B2"/>
    <w:rsid w:val="00C1423E"/>
    <w:rsid w:val="00C1428F"/>
    <w:rsid w:val="00C142EC"/>
    <w:rsid w:val="00C14630"/>
    <w:rsid w:val="00C14E3C"/>
    <w:rsid w:val="00C1512C"/>
    <w:rsid w:val="00C15E5F"/>
    <w:rsid w:val="00C164B2"/>
    <w:rsid w:val="00C168F8"/>
    <w:rsid w:val="00C16C14"/>
    <w:rsid w:val="00C17489"/>
    <w:rsid w:val="00C20C15"/>
    <w:rsid w:val="00C20E73"/>
    <w:rsid w:val="00C214D1"/>
    <w:rsid w:val="00C21E7D"/>
    <w:rsid w:val="00C220D0"/>
    <w:rsid w:val="00C221F2"/>
    <w:rsid w:val="00C22865"/>
    <w:rsid w:val="00C22C40"/>
    <w:rsid w:val="00C24483"/>
    <w:rsid w:val="00C253DC"/>
    <w:rsid w:val="00C259F9"/>
    <w:rsid w:val="00C25CE5"/>
    <w:rsid w:val="00C2679F"/>
    <w:rsid w:val="00C26997"/>
    <w:rsid w:val="00C269E3"/>
    <w:rsid w:val="00C308EA"/>
    <w:rsid w:val="00C30966"/>
    <w:rsid w:val="00C31611"/>
    <w:rsid w:val="00C31EC4"/>
    <w:rsid w:val="00C3395C"/>
    <w:rsid w:val="00C3395F"/>
    <w:rsid w:val="00C341D8"/>
    <w:rsid w:val="00C34475"/>
    <w:rsid w:val="00C352D3"/>
    <w:rsid w:val="00C35AFD"/>
    <w:rsid w:val="00C35EAE"/>
    <w:rsid w:val="00C3671D"/>
    <w:rsid w:val="00C37225"/>
    <w:rsid w:val="00C3722C"/>
    <w:rsid w:val="00C406E0"/>
    <w:rsid w:val="00C41537"/>
    <w:rsid w:val="00C41A62"/>
    <w:rsid w:val="00C424B7"/>
    <w:rsid w:val="00C42C10"/>
    <w:rsid w:val="00C43AB0"/>
    <w:rsid w:val="00C43BB6"/>
    <w:rsid w:val="00C43E63"/>
    <w:rsid w:val="00C44011"/>
    <w:rsid w:val="00C446AC"/>
    <w:rsid w:val="00C45107"/>
    <w:rsid w:val="00C45502"/>
    <w:rsid w:val="00C45530"/>
    <w:rsid w:val="00C45E07"/>
    <w:rsid w:val="00C45E86"/>
    <w:rsid w:val="00C4600C"/>
    <w:rsid w:val="00C46260"/>
    <w:rsid w:val="00C46408"/>
    <w:rsid w:val="00C4656B"/>
    <w:rsid w:val="00C466E7"/>
    <w:rsid w:val="00C4687F"/>
    <w:rsid w:val="00C46AAE"/>
    <w:rsid w:val="00C47149"/>
    <w:rsid w:val="00C50668"/>
    <w:rsid w:val="00C50669"/>
    <w:rsid w:val="00C50F88"/>
    <w:rsid w:val="00C51036"/>
    <w:rsid w:val="00C53110"/>
    <w:rsid w:val="00C5340D"/>
    <w:rsid w:val="00C537E8"/>
    <w:rsid w:val="00C537ED"/>
    <w:rsid w:val="00C53C75"/>
    <w:rsid w:val="00C54D62"/>
    <w:rsid w:val="00C54FF4"/>
    <w:rsid w:val="00C5527C"/>
    <w:rsid w:val="00C55A97"/>
    <w:rsid w:val="00C55B5A"/>
    <w:rsid w:val="00C55F9E"/>
    <w:rsid w:val="00C56318"/>
    <w:rsid w:val="00C56657"/>
    <w:rsid w:val="00C56B69"/>
    <w:rsid w:val="00C57197"/>
    <w:rsid w:val="00C5758E"/>
    <w:rsid w:val="00C57E8A"/>
    <w:rsid w:val="00C613A7"/>
    <w:rsid w:val="00C6143B"/>
    <w:rsid w:val="00C61D13"/>
    <w:rsid w:val="00C6285A"/>
    <w:rsid w:val="00C62AF1"/>
    <w:rsid w:val="00C632DE"/>
    <w:rsid w:val="00C64318"/>
    <w:rsid w:val="00C64670"/>
    <w:rsid w:val="00C64D92"/>
    <w:rsid w:val="00C6503E"/>
    <w:rsid w:val="00C6612B"/>
    <w:rsid w:val="00C66971"/>
    <w:rsid w:val="00C66CED"/>
    <w:rsid w:val="00C674A9"/>
    <w:rsid w:val="00C67623"/>
    <w:rsid w:val="00C70053"/>
    <w:rsid w:val="00C706EF"/>
    <w:rsid w:val="00C7074B"/>
    <w:rsid w:val="00C72471"/>
    <w:rsid w:val="00C7385D"/>
    <w:rsid w:val="00C73A79"/>
    <w:rsid w:val="00C73C51"/>
    <w:rsid w:val="00C74170"/>
    <w:rsid w:val="00C74737"/>
    <w:rsid w:val="00C74ABF"/>
    <w:rsid w:val="00C74DA3"/>
    <w:rsid w:val="00C75CA3"/>
    <w:rsid w:val="00C75EBA"/>
    <w:rsid w:val="00C76761"/>
    <w:rsid w:val="00C76D65"/>
    <w:rsid w:val="00C77A6A"/>
    <w:rsid w:val="00C77BD7"/>
    <w:rsid w:val="00C80115"/>
    <w:rsid w:val="00C801DA"/>
    <w:rsid w:val="00C8037F"/>
    <w:rsid w:val="00C807ED"/>
    <w:rsid w:val="00C80981"/>
    <w:rsid w:val="00C81B8F"/>
    <w:rsid w:val="00C82831"/>
    <w:rsid w:val="00C83642"/>
    <w:rsid w:val="00C8379B"/>
    <w:rsid w:val="00C83933"/>
    <w:rsid w:val="00C83BED"/>
    <w:rsid w:val="00C83D2E"/>
    <w:rsid w:val="00C84249"/>
    <w:rsid w:val="00C84A48"/>
    <w:rsid w:val="00C84AD3"/>
    <w:rsid w:val="00C85A4D"/>
    <w:rsid w:val="00C86AFA"/>
    <w:rsid w:val="00C86D49"/>
    <w:rsid w:val="00C87211"/>
    <w:rsid w:val="00C900CC"/>
    <w:rsid w:val="00C90DF9"/>
    <w:rsid w:val="00C91C92"/>
    <w:rsid w:val="00C91DE3"/>
    <w:rsid w:val="00C92258"/>
    <w:rsid w:val="00C92A9C"/>
    <w:rsid w:val="00C93E1C"/>
    <w:rsid w:val="00C93E8C"/>
    <w:rsid w:val="00C9407E"/>
    <w:rsid w:val="00C9560A"/>
    <w:rsid w:val="00C95E26"/>
    <w:rsid w:val="00C96428"/>
    <w:rsid w:val="00C96541"/>
    <w:rsid w:val="00C96957"/>
    <w:rsid w:val="00C96B45"/>
    <w:rsid w:val="00C96BCE"/>
    <w:rsid w:val="00C96C0A"/>
    <w:rsid w:val="00CA0144"/>
    <w:rsid w:val="00CA09F5"/>
    <w:rsid w:val="00CA1DAD"/>
    <w:rsid w:val="00CA2081"/>
    <w:rsid w:val="00CA2500"/>
    <w:rsid w:val="00CA312D"/>
    <w:rsid w:val="00CA3426"/>
    <w:rsid w:val="00CA34AD"/>
    <w:rsid w:val="00CA51F8"/>
    <w:rsid w:val="00CA5E22"/>
    <w:rsid w:val="00CA6027"/>
    <w:rsid w:val="00CA6707"/>
    <w:rsid w:val="00CA75C6"/>
    <w:rsid w:val="00CA7B52"/>
    <w:rsid w:val="00CB0236"/>
    <w:rsid w:val="00CB0A23"/>
    <w:rsid w:val="00CB1455"/>
    <w:rsid w:val="00CB159F"/>
    <w:rsid w:val="00CB15C0"/>
    <w:rsid w:val="00CB16AB"/>
    <w:rsid w:val="00CB1E18"/>
    <w:rsid w:val="00CB22D4"/>
    <w:rsid w:val="00CB278A"/>
    <w:rsid w:val="00CB2ABD"/>
    <w:rsid w:val="00CB3A8F"/>
    <w:rsid w:val="00CB3ED0"/>
    <w:rsid w:val="00CB4768"/>
    <w:rsid w:val="00CB5CDB"/>
    <w:rsid w:val="00CB5E16"/>
    <w:rsid w:val="00CB5EF4"/>
    <w:rsid w:val="00CB615A"/>
    <w:rsid w:val="00CB7BAA"/>
    <w:rsid w:val="00CB7DF3"/>
    <w:rsid w:val="00CB7E90"/>
    <w:rsid w:val="00CB7E9B"/>
    <w:rsid w:val="00CC015F"/>
    <w:rsid w:val="00CC027D"/>
    <w:rsid w:val="00CC02F9"/>
    <w:rsid w:val="00CC0CD5"/>
    <w:rsid w:val="00CC0DD2"/>
    <w:rsid w:val="00CC107D"/>
    <w:rsid w:val="00CC1363"/>
    <w:rsid w:val="00CC1983"/>
    <w:rsid w:val="00CC2B15"/>
    <w:rsid w:val="00CC3FF9"/>
    <w:rsid w:val="00CC41B5"/>
    <w:rsid w:val="00CC436B"/>
    <w:rsid w:val="00CC4FA5"/>
    <w:rsid w:val="00CC542D"/>
    <w:rsid w:val="00CC6792"/>
    <w:rsid w:val="00CC6A2D"/>
    <w:rsid w:val="00CC710C"/>
    <w:rsid w:val="00CC73D5"/>
    <w:rsid w:val="00CC751A"/>
    <w:rsid w:val="00CD0454"/>
    <w:rsid w:val="00CD04F6"/>
    <w:rsid w:val="00CD0889"/>
    <w:rsid w:val="00CD0ED4"/>
    <w:rsid w:val="00CD0FA7"/>
    <w:rsid w:val="00CD140E"/>
    <w:rsid w:val="00CD17B9"/>
    <w:rsid w:val="00CD1A73"/>
    <w:rsid w:val="00CD2499"/>
    <w:rsid w:val="00CD261E"/>
    <w:rsid w:val="00CD28B2"/>
    <w:rsid w:val="00CD2A2D"/>
    <w:rsid w:val="00CD369E"/>
    <w:rsid w:val="00CD468B"/>
    <w:rsid w:val="00CD4A0E"/>
    <w:rsid w:val="00CD4B65"/>
    <w:rsid w:val="00CD5704"/>
    <w:rsid w:val="00CD653E"/>
    <w:rsid w:val="00CD6E43"/>
    <w:rsid w:val="00CD789A"/>
    <w:rsid w:val="00CD7A49"/>
    <w:rsid w:val="00CE0198"/>
    <w:rsid w:val="00CE0455"/>
    <w:rsid w:val="00CE063A"/>
    <w:rsid w:val="00CE175B"/>
    <w:rsid w:val="00CE1B03"/>
    <w:rsid w:val="00CE1E1F"/>
    <w:rsid w:val="00CE2180"/>
    <w:rsid w:val="00CE2658"/>
    <w:rsid w:val="00CE2B01"/>
    <w:rsid w:val="00CE3402"/>
    <w:rsid w:val="00CE3662"/>
    <w:rsid w:val="00CE41F5"/>
    <w:rsid w:val="00CE4533"/>
    <w:rsid w:val="00CE46FC"/>
    <w:rsid w:val="00CE48F0"/>
    <w:rsid w:val="00CE535B"/>
    <w:rsid w:val="00CE5376"/>
    <w:rsid w:val="00CE5758"/>
    <w:rsid w:val="00CE5EF8"/>
    <w:rsid w:val="00CE63C8"/>
    <w:rsid w:val="00CE76B4"/>
    <w:rsid w:val="00CE7BB9"/>
    <w:rsid w:val="00CE7D77"/>
    <w:rsid w:val="00CE7E48"/>
    <w:rsid w:val="00CF0226"/>
    <w:rsid w:val="00CF06C4"/>
    <w:rsid w:val="00CF0A61"/>
    <w:rsid w:val="00CF1200"/>
    <w:rsid w:val="00CF1EA9"/>
    <w:rsid w:val="00CF2013"/>
    <w:rsid w:val="00CF2F3C"/>
    <w:rsid w:val="00CF40A1"/>
    <w:rsid w:val="00CF519C"/>
    <w:rsid w:val="00CF5649"/>
    <w:rsid w:val="00CF59C5"/>
    <w:rsid w:val="00CF6295"/>
    <w:rsid w:val="00CF6A60"/>
    <w:rsid w:val="00CF6CCC"/>
    <w:rsid w:val="00D000E8"/>
    <w:rsid w:val="00D0081E"/>
    <w:rsid w:val="00D0162F"/>
    <w:rsid w:val="00D02C04"/>
    <w:rsid w:val="00D02EA9"/>
    <w:rsid w:val="00D02F83"/>
    <w:rsid w:val="00D030F9"/>
    <w:rsid w:val="00D03679"/>
    <w:rsid w:val="00D03C37"/>
    <w:rsid w:val="00D03F8C"/>
    <w:rsid w:val="00D03FE1"/>
    <w:rsid w:val="00D041A5"/>
    <w:rsid w:val="00D041EE"/>
    <w:rsid w:val="00D04591"/>
    <w:rsid w:val="00D04948"/>
    <w:rsid w:val="00D04C6A"/>
    <w:rsid w:val="00D04DEC"/>
    <w:rsid w:val="00D0682A"/>
    <w:rsid w:val="00D069F8"/>
    <w:rsid w:val="00D075DE"/>
    <w:rsid w:val="00D07762"/>
    <w:rsid w:val="00D1020B"/>
    <w:rsid w:val="00D10219"/>
    <w:rsid w:val="00D10D12"/>
    <w:rsid w:val="00D11266"/>
    <w:rsid w:val="00D11622"/>
    <w:rsid w:val="00D11760"/>
    <w:rsid w:val="00D11AF6"/>
    <w:rsid w:val="00D12520"/>
    <w:rsid w:val="00D13531"/>
    <w:rsid w:val="00D13CA0"/>
    <w:rsid w:val="00D13E68"/>
    <w:rsid w:val="00D1416B"/>
    <w:rsid w:val="00D14651"/>
    <w:rsid w:val="00D148CA"/>
    <w:rsid w:val="00D14A28"/>
    <w:rsid w:val="00D15A37"/>
    <w:rsid w:val="00D15A9E"/>
    <w:rsid w:val="00D16753"/>
    <w:rsid w:val="00D16834"/>
    <w:rsid w:val="00D172C5"/>
    <w:rsid w:val="00D1778C"/>
    <w:rsid w:val="00D17948"/>
    <w:rsid w:val="00D17DC4"/>
    <w:rsid w:val="00D17FE3"/>
    <w:rsid w:val="00D20029"/>
    <w:rsid w:val="00D20671"/>
    <w:rsid w:val="00D20E33"/>
    <w:rsid w:val="00D21A2C"/>
    <w:rsid w:val="00D21A86"/>
    <w:rsid w:val="00D224E2"/>
    <w:rsid w:val="00D23C69"/>
    <w:rsid w:val="00D2496A"/>
    <w:rsid w:val="00D25DC1"/>
    <w:rsid w:val="00D272E2"/>
    <w:rsid w:val="00D27DBC"/>
    <w:rsid w:val="00D30324"/>
    <w:rsid w:val="00D306A0"/>
    <w:rsid w:val="00D30A06"/>
    <w:rsid w:val="00D31F16"/>
    <w:rsid w:val="00D32229"/>
    <w:rsid w:val="00D32307"/>
    <w:rsid w:val="00D32D89"/>
    <w:rsid w:val="00D33E18"/>
    <w:rsid w:val="00D3435E"/>
    <w:rsid w:val="00D345BA"/>
    <w:rsid w:val="00D34DAD"/>
    <w:rsid w:val="00D35A65"/>
    <w:rsid w:val="00D35B43"/>
    <w:rsid w:val="00D35DBD"/>
    <w:rsid w:val="00D37216"/>
    <w:rsid w:val="00D37C9D"/>
    <w:rsid w:val="00D40901"/>
    <w:rsid w:val="00D4174A"/>
    <w:rsid w:val="00D41B77"/>
    <w:rsid w:val="00D420B1"/>
    <w:rsid w:val="00D42C48"/>
    <w:rsid w:val="00D432BD"/>
    <w:rsid w:val="00D433D4"/>
    <w:rsid w:val="00D435D3"/>
    <w:rsid w:val="00D43DBB"/>
    <w:rsid w:val="00D446F7"/>
    <w:rsid w:val="00D44B04"/>
    <w:rsid w:val="00D45530"/>
    <w:rsid w:val="00D45EC4"/>
    <w:rsid w:val="00D46D48"/>
    <w:rsid w:val="00D46E07"/>
    <w:rsid w:val="00D470F0"/>
    <w:rsid w:val="00D471EC"/>
    <w:rsid w:val="00D478B6"/>
    <w:rsid w:val="00D47E8C"/>
    <w:rsid w:val="00D50E5A"/>
    <w:rsid w:val="00D52195"/>
    <w:rsid w:val="00D522AF"/>
    <w:rsid w:val="00D5352E"/>
    <w:rsid w:val="00D547CA"/>
    <w:rsid w:val="00D55538"/>
    <w:rsid w:val="00D55B72"/>
    <w:rsid w:val="00D56690"/>
    <w:rsid w:val="00D56DBF"/>
    <w:rsid w:val="00D56FD5"/>
    <w:rsid w:val="00D57F20"/>
    <w:rsid w:val="00D57F8A"/>
    <w:rsid w:val="00D60DD5"/>
    <w:rsid w:val="00D61164"/>
    <w:rsid w:val="00D62948"/>
    <w:rsid w:val="00D63B98"/>
    <w:rsid w:val="00D63BFB"/>
    <w:rsid w:val="00D63C60"/>
    <w:rsid w:val="00D63CF8"/>
    <w:rsid w:val="00D64416"/>
    <w:rsid w:val="00D65306"/>
    <w:rsid w:val="00D658DB"/>
    <w:rsid w:val="00D65D16"/>
    <w:rsid w:val="00D65FEB"/>
    <w:rsid w:val="00D66BD2"/>
    <w:rsid w:val="00D66FF2"/>
    <w:rsid w:val="00D67A83"/>
    <w:rsid w:val="00D67CE3"/>
    <w:rsid w:val="00D7201D"/>
    <w:rsid w:val="00D7226C"/>
    <w:rsid w:val="00D7250B"/>
    <w:rsid w:val="00D7293A"/>
    <w:rsid w:val="00D72FDA"/>
    <w:rsid w:val="00D735C2"/>
    <w:rsid w:val="00D758BF"/>
    <w:rsid w:val="00D75ADD"/>
    <w:rsid w:val="00D763F5"/>
    <w:rsid w:val="00D771E6"/>
    <w:rsid w:val="00D77CB6"/>
    <w:rsid w:val="00D77FFA"/>
    <w:rsid w:val="00D803A1"/>
    <w:rsid w:val="00D805FC"/>
    <w:rsid w:val="00D8131D"/>
    <w:rsid w:val="00D813DB"/>
    <w:rsid w:val="00D818E3"/>
    <w:rsid w:val="00D827FD"/>
    <w:rsid w:val="00D82828"/>
    <w:rsid w:val="00D8372A"/>
    <w:rsid w:val="00D840EA"/>
    <w:rsid w:val="00D84642"/>
    <w:rsid w:val="00D84E71"/>
    <w:rsid w:val="00D8507E"/>
    <w:rsid w:val="00D8512D"/>
    <w:rsid w:val="00D85E44"/>
    <w:rsid w:val="00D86E63"/>
    <w:rsid w:val="00D8714B"/>
    <w:rsid w:val="00D872E2"/>
    <w:rsid w:val="00D901C2"/>
    <w:rsid w:val="00D90901"/>
    <w:rsid w:val="00D90930"/>
    <w:rsid w:val="00D90F77"/>
    <w:rsid w:val="00D91017"/>
    <w:rsid w:val="00D921A2"/>
    <w:rsid w:val="00D92984"/>
    <w:rsid w:val="00D92A16"/>
    <w:rsid w:val="00D92FD3"/>
    <w:rsid w:val="00D930FB"/>
    <w:rsid w:val="00D9353C"/>
    <w:rsid w:val="00D93A74"/>
    <w:rsid w:val="00D93A79"/>
    <w:rsid w:val="00D93E38"/>
    <w:rsid w:val="00D93FD9"/>
    <w:rsid w:val="00D945D2"/>
    <w:rsid w:val="00D94B7D"/>
    <w:rsid w:val="00D95FD7"/>
    <w:rsid w:val="00D9681B"/>
    <w:rsid w:val="00D9684E"/>
    <w:rsid w:val="00D97131"/>
    <w:rsid w:val="00D97651"/>
    <w:rsid w:val="00DA0A48"/>
    <w:rsid w:val="00DA14D4"/>
    <w:rsid w:val="00DA1B8F"/>
    <w:rsid w:val="00DA1C1C"/>
    <w:rsid w:val="00DA1DE6"/>
    <w:rsid w:val="00DA21A0"/>
    <w:rsid w:val="00DA2A3A"/>
    <w:rsid w:val="00DA2A5D"/>
    <w:rsid w:val="00DA2DD8"/>
    <w:rsid w:val="00DA2EA9"/>
    <w:rsid w:val="00DA352F"/>
    <w:rsid w:val="00DA3B91"/>
    <w:rsid w:val="00DA433D"/>
    <w:rsid w:val="00DA486B"/>
    <w:rsid w:val="00DA49C7"/>
    <w:rsid w:val="00DA5054"/>
    <w:rsid w:val="00DA53A6"/>
    <w:rsid w:val="00DA56DD"/>
    <w:rsid w:val="00DA662B"/>
    <w:rsid w:val="00DA68D0"/>
    <w:rsid w:val="00DA6904"/>
    <w:rsid w:val="00DB1903"/>
    <w:rsid w:val="00DB19EE"/>
    <w:rsid w:val="00DB2048"/>
    <w:rsid w:val="00DB261E"/>
    <w:rsid w:val="00DB27D9"/>
    <w:rsid w:val="00DB3488"/>
    <w:rsid w:val="00DB3550"/>
    <w:rsid w:val="00DB3F70"/>
    <w:rsid w:val="00DB4885"/>
    <w:rsid w:val="00DB48F8"/>
    <w:rsid w:val="00DB4AEE"/>
    <w:rsid w:val="00DB4F01"/>
    <w:rsid w:val="00DB57BF"/>
    <w:rsid w:val="00DB64A5"/>
    <w:rsid w:val="00DB6730"/>
    <w:rsid w:val="00DB69FE"/>
    <w:rsid w:val="00DB6A22"/>
    <w:rsid w:val="00DB6D23"/>
    <w:rsid w:val="00DB6D8B"/>
    <w:rsid w:val="00DB7389"/>
    <w:rsid w:val="00DC086F"/>
    <w:rsid w:val="00DC13A5"/>
    <w:rsid w:val="00DC2204"/>
    <w:rsid w:val="00DC2658"/>
    <w:rsid w:val="00DC3C9A"/>
    <w:rsid w:val="00DC4963"/>
    <w:rsid w:val="00DC4E14"/>
    <w:rsid w:val="00DC500F"/>
    <w:rsid w:val="00DC5663"/>
    <w:rsid w:val="00DC5705"/>
    <w:rsid w:val="00DC5741"/>
    <w:rsid w:val="00DC594F"/>
    <w:rsid w:val="00DC5F19"/>
    <w:rsid w:val="00DC6D1A"/>
    <w:rsid w:val="00DC6EF3"/>
    <w:rsid w:val="00DC6F3D"/>
    <w:rsid w:val="00DC73A4"/>
    <w:rsid w:val="00DC7C42"/>
    <w:rsid w:val="00DC7F45"/>
    <w:rsid w:val="00DD08C4"/>
    <w:rsid w:val="00DD0A2E"/>
    <w:rsid w:val="00DD0FDA"/>
    <w:rsid w:val="00DD16D7"/>
    <w:rsid w:val="00DD1A75"/>
    <w:rsid w:val="00DD1E3F"/>
    <w:rsid w:val="00DD1F9B"/>
    <w:rsid w:val="00DD31CF"/>
    <w:rsid w:val="00DD3534"/>
    <w:rsid w:val="00DD38FF"/>
    <w:rsid w:val="00DD3965"/>
    <w:rsid w:val="00DD468E"/>
    <w:rsid w:val="00DD4997"/>
    <w:rsid w:val="00DD4B4E"/>
    <w:rsid w:val="00DD5011"/>
    <w:rsid w:val="00DD51B6"/>
    <w:rsid w:val="00DD55F4"/>
    <w:rsid w:val="00DD5A4B"/>
    <w:rsid w:val="00DD5D12"/>
    <w:rsid w:val="00DD63CC"/>
    <w:rsid w:val="00DD6898"/>
    <w:rsid w:val="00DD6ABF"/>
    <w:rsid w:val="00DD70FA"/>
    <w:rsid w:val="00DD7E02"/>
    <w:rsid w:val="00DE0181"/>
    <w:rsid w:val="00DE130E"/>
    <w:rsid w:val="00DE1D9C"/>
    <w:rsid w:val="00DE2164"/>
    <w:rsid w:val="00DE219A"/>
    <w:rsid w:val="00DE26AA"/>
    <w:rsid w:val="00DE2722"/>
    <w:rsid w:val="00DE3194"/>
    <w:rsid w:val="00DE3DA5"/>
    <w:rsid w:val="00DE455E"/>
    <w:rsid w:val="00DE60AB"/>
    <w:rsid w:val="00DE64C0"/>
    <w:rsid w:val="00DE6B5E"/>
    <w:rsid w:val="00DE7229"/>
    <w:rsid w:val="00DE7A80"/>
    <w:rsid w:val="00DE7ADE"/>
    <w:rsid w:val="00DF006C"/>
    <w:rsid w:val="00DF13BC"/>
    <w:rsid w:val="00DF2564"/>
    <w:rsid w:val="00DF271D"/>
    <w:rsid w:val="00DF283F"/>
    <w:rsid w:val="00DF2BDC"/>
    <w:rsid w:val="00DF2C10"/>
    <w:rsid w:val="00DF3FE9"/>
    <w:rsid w:val="00DF402E"/>
    <w:rsid w:val="00DF40AE"/>
    <w:rsid w:val="00DF4A89"/>
    <w:rsid w:val="00DF52EA"/>
    <w:rsid w:val="00DF5709"/>
    <w:rsid w:val="00DF6081"/>
    <w:rsid w:val="00DF6207"/>
    <w:rsid w:val="00DF63AE"/>
    <w:rsid w:val="00DF71E9"/>
    <w:rsid w:val="00DF7929"/>
    <w:rsid w:val="00DF7C29"/>
    <w:rsid w:val="00E00521"/>
    <w:rsid w:val="00E00E35"/>
    <w:rsid w:val="00E01270"/>
    <w:rsid w:val="00E013FE"/>
    <w:rsid w:val="00E01575"/>
    <w:rsid w:val="00E01950"/>
    <w:rsid w:val="00E01967"/>
    <w:rsid w:val="00E019FC"/>
    <w:rsid w:val="00E02012"/>
    <w:rsid w:val="00E022E4"/>
    <w:rsid w:val="00E025BE"/>
    <w:rsid w:val="00E02A0C"/>
    <w:rsid w:val="00E02A66"/>
    <w:rsid w:val="00E030FD"/>
    <w:rsid w:val="00E03354"/>
    <w:rsid w:val="00E03610"/>
    <w:rsid w:val="00E0384C"/>
    <w:rsid w:val="00E045B8"/>
    <w:rsid w:val="00E045DF"/>
    <w:rsid w:val="00E0472B"/>
    <w:rsid w:val="00E061B8"/>
    <w:rsid w:val="00E063FE"/>
    <w:rsid w:val="00E06AC0"/>
    <w:rsid w:val="00E101C5"/>
    <w:rsid w:val="00E10F7E"/>
    <w:rsid w:val="00E111F6"/>
    <w:rsid w:val="00E117A8"/>
    <w:rsid w:val="00E12423"/>
    <w:rsid w:val="00E1299B"/>
    <w:rsid w:val="00E12D75"/>
    <w:rsid w:val="00E12E89"/>
    <w:rsid w:val="00E13E37"/>
    <w:rsid w:val="00E144C2"/>
    <w:rsid w:val="00E14710"/>
    <w:rsid w:val="00E14D20"/>
    <w:rsid w:val="00E152C6"/>
    <w:rsid w:val="00E15948"/>
    <w:rsid w:val="00E15D1E"/>
    <w:rsid w:val="00E15D23"/>
    <w:rsid w:val="00E163CE"/>
    <w:rsid w:val="00E1668D"/>
    <w:rsid w:val="00E17029"/>
    <w:rsid w:val="00E17789"/>
    <w:rsid w:val="00E17C36"/>
    <w:rsid w:val="00E2078E"/>
    <w:rsid w:val="00E21183"/>
    <w:rsid w:val="00E22428"/>
    <w:rsid w:val="00E22949"/>
    <w:rsid w:val="00E22CC4"/>
    <w:rsid w:val="00E2301B"/>
    <w:rsid w:val="00E239CC"/>
    <w:rsid w:val="00E23BD9"/>
    <w:rsid w:val="00E250BB"/>
    <w:rsid w:val="00E256A2"/>
    <w:rsid w:val="00E25744"/>
    <w:rsid w:val="00E25F15"/>
    <w:rsid w:val="00E26324"/>
    <w:rsid w:val="00E2661F"/>
    <w:rsid w:val="00E27011"/>
    <w:rsid w:val="00E27268"/>
    <w:rsid w:val="00E27F94"/>
    <w:rsid w:val="00E30366"/>
    <w:rsid w:val="00E307F2"/>
    <w:rsid w:val="00E30E65"/>
    <w:rsid w:val="00E3228F"/>
    <w:rsid w:val="00E32CC0"/>
    <w:rsid w:val="00E33097"/>
    <w:rsid w:val="00E337D7"/>
    <w:rsid w:val="00E344C9"/>
    <w:rsid w:val="00E34B3B"/>
    <w:rsid w:val="00E35727"/>
    <w:rsid w:val="00E35E83"/>
    <w:rsid w:val="00E35F2F"/>
    <w:rsid w:val="00E3618F"/>
    <w:rsid w:val="00E36306"/>
    <w:rsid w:val="00E366AF"/>
    <w:rsid w:val="00E36AAB"/>
    <w:rsid w:val="00E36CDD"/>
    <w:rsid w:val="00E37876"/>
    <w:rsid w:val="00E37E4A"/>
    <w:rsid w:val="00E406A3"/>
    <w:rsid w:val="00E41227"/>
    <w:rsid w:val="00E42150"/>
    <w:rsid w:val="00E421BB"/>
    <w:rsid w:val="00E42324"/>
    <w:rsid w:val="00E42379"/>
    <w:rsid w:val="00E424FF"/>
    <w:rsid w:val="00E42520"/>
    <w:rsid w:val="00E4259C"/>
    <w:rsid w:val="00E42ADE"/>
    <w:rsid w:val="00E432EC"/>
    <w:rsid w:val="00E43D68"/>
    <w:rsid w:val="00E4470C"/>
    <w:rsid w:val="00E46335"/>
    <w:rsid w:val="00E466F9"/>
    <w:rsid w:val="00E46907"/>
    <w:rsid w:val="00E47BC1"/>
    <w:rsid w:val="00E50388"/>
    <w:rsid w:val="00E509E2"/>
    <w:rsid w:val="00E50B71"/>
    <w:rsid w:val="00E50FA1"/>
    <w:rsid w:val="00E510EF"/>
    <w:rsid w:val="00E52D6C"/>
    <w:rsid w:val="00E53C46"/>
    <w:rsid w:val="00E547A2"/>
    <w:rsid w:val="00E54C9D"/>
    <w:rsid w:val="00E555B3"/>
    <w:rsid w:val="00E5584F"/>
    <w:rsid w:val="00E57FEC"/>
    <w:rsid w:val="00E60C87"/>
    <w:rsid w:val="00E60F51"/>
    <w:rsid w:val="00E6254F"/>
    <w:rsid w:val="00E6260B"/>
    <w:rsid w:val="00E62AFD"/>
    <w:rsid w:val="00E64973"/>
    <w:rsid w:val="00E66616"/>
    <w:rsid w:val="00E66B7F"/>
    <w:rsid w:val="00E67029"/>
    <w:rsid w:val="00E67A53"/>
    <w:rsid w:val="00E705E5"/>
    <w:rsid w:val="00E70835"/>
    <w:rsid w:val="00E71735"/>
    <w:rsid w:val="00E71808"/>
    <w:rsid w:val="00E71898"/>
    <w:rsid w:val="00E722A1"/>
    <w:rsid w:val="00E730ED"/>
    <w:rsid w:val="00E7351E"/>
    <w:rsid w:val="00E735B6"/>
    <w:rsid w:val="00E736D2"/>
    <w:rsid w:val="00E753E3"/>
    <w:rsid w:val="00E75C3E"/>
    <w:rsid w:val="00E7684E"/>
    <w:rsid w:val="00E76BFB"/>
    <w:rsid w:val="00E76CDD"/>
    <w:rsid w:val="00E7757B"/>
    <w:rsid w:val="00E77E8F"/>
    <w:rsid w:val="00E77F16"/>
    <w:rsid w:val="00E80275"/>
    <w:rsid w:val="00E8060D"/>
    <w:rsid w:val="00E80864"/>
    <w:rsid w:val="00E815AD"/>
    <w:rsid w:val="00E83C55"/>
    <w:rsid w:val="00E840F2"/>
    <w:rsid w:val="00E8431A"/>
    <w:rsid w:val="00E853DE"/>
    <w:rsid w:val="00E85861"/>
    <w:rsid w:val="00E858B2"/>
    <w:rsid w:val="00E86258"/>
    <w:rsid w:val="00E863C5"/>
    <w:rsid w:val="00E86F4E"/>
    <w:rsid w:val="00E86F4F"/>
    <w:rsid w:val="00E875B2"/>
    <w:rsid w:val="00E87646"/>
    <w:rsid w:val="00E87901"/>
    <w:rsid w:val="00E87B66"/>
    <w:rsid w:val="00E87EEC"/>
    <w:rsid w:val="00E90705"/>
    <w:rsid w:val="00E90C94"/>
    <w:rsid w:val="00E90D14"/>
    <w:rsid w:val="00E9147B"/>
    <w:rsid w:val="00E91621"/>
    <w:rsid w:val="00E919F5"/>
    <w:rsid w:val="00E91B20"/>
    <w:rsid w:val="00E91CCF"/>
    <w:rsid w:val="00E92711"/>
    <w:rsid w:val="00E92F17"/>
    <w:rsid w:val="00E9375E"/>
    <w:rsid w:val="00E93FFB"/>
    <w:rsid w:val="00E948B2"/>
    <w:rsid w:val="00E94C5D"/>
    <w:rsid w:val="00E94D6F"/>
    <w:rsid w:val="00E95FB3"/>
    <w:rsid w:val="00E9647A"/>
    <w:rsid w:val="00E96C80"/>
    <w:rsid w:val="00E96D68"/>
    <w:rsid w:val="00E97430"/>
    <w:rsid w:val="00E97804"/>
    <w:rsid w:val="00E97D73"/>
    <w:rsid w:val="00EA0945"/>
    <w:rsid w:val="00EA1326"/>
    <w:rsid w:val="00EA1977"/>
    <w:rsid w:val="00EA19F8"/>
    <w:rsid w:val="00EA20E1"/>
    <w:rsid w:val="00EA2749"/>
    <w:rsid w:val="00EA2A8D"/>
    <w:rsid w:val="00EA2B56"/>
    <w:rsid w:val="00EA2DB7"/>
    <w:rsid w:val="00EA30C1"/>
    <w:rsid w:val="00EA369C"/>
    <w:rsid w:val="00EA3976"/>
    <w:rsid w:val="00EA46ED"/>
    <w:rsid w:val="00EA52BB"/>
    <w:rsid w:val="00EA56E2"/>
    <w:rsid w:val="00EA5776"/>
    <w:rsid w:val="00EA6139"/>
    <w:rsid w:val="00EA657C"/>
    <w:rsid w:val="00EA6988"/>
    <w:rsid w:val="00EA6CBE"/>
    <w:rsid w:val="00EA6FCB"/>
    <w:rsid w:val="00EA75AB"/>
    <w:rsid w:val="00EA7647"/>
    <w:rsid w:val="00EA76D3"/>
    <w:rsid w:val="00EA7DFA"/>
    <w:rsid w:val="00EB124E"/>
    <w:rsid w:val="00EB1D13"/>
    <w:rsid w:val="00EB367B"/>
    <w:rsid w:val="00EB410B"/>
    <w:rsid w:val="00EB4B27"/>
    <w:rsid w:val="00EB5952"/>
    <w:rsid w:val="00EB622B"/>
    <w:rsid w:val="00EB6B02"/>
    <w:rsid w:val="00EB6C99"/>
    <w:rsid w:val="00EB7100"/>
    <w:rsid w:val="00EB7235"/>
    <w:rsid w:val="00EB731F"/>
    <w:rsid w:val="00EC0160"/>
    <w:rsid w:val="00EC17B8"/>
    <w:rsid w:val="00EC1FDC"/>
    <w:rsid w:val="00EC205D"/>
    <w:rsid w:val="00EC2C06"/>
    <w:rsid w:val="00EC4328"/>
    <w:rsid w:val="00EC4419"/>
    <w:rsid w:val="00EC4B29"/>
    <w:rsid w:val="00EC4E36"/>
    <w:rsid w:val="00EC535E"/>
    <w:rsid w:val="00EC5765"/>
    <w:rsid w:val="00EC649A"/>
    <w:rsid w:val="00EC665F"/>
    <w:rsid w:val="00EC6B07"/>
    <w:rsid w:val="00EC6FEE"/>
    <w:rsid w:val="00ED01A9"/>
    <w:rsid w:val="00ED0530"/>
    <w:rsid w:val="00ED05AA"/>
    <w:rsid w:val="00ED0CF2"/>
    <w:rsid w:val="00ED1601"/>
    <w:rsid w:val="00ED164A"/>
    <w:rsid w:val="00ED1FD5"/>
    <w:rsid w:val="00ED2BEA"/>
    <w:rsid w:val="00ED2D1E"/>
    <w:rsid w:val="00ED3068"/>
    <w:rsid w:val="00ED33D6"/>
    <w:rsid w:val="00ED3703"/>
    <w:rsid w:val="00ED383C"/>
    <w:rsid w:val="00ED3F19"/>
    <w:rsid w:val="00ED43B7"/>
    <w:rsid w:val="00ED4499"/>
    <w:rsid w:val="00ED4ED7"/>
    <w:rsid w:val="00ED57F8"/>
    <w:rsid w:val="00ED65DF"/>
    <w:rsid w:val="00ED6708"/>
    <w:rsid w:val="00ED6AAD"/>
    <w:rsid w:val="00ED7089"/>
    <w:rsid w:val="00EE0815"/>
    <w:rsid w:val="00EE0C6B"/>
    <w:rsid w:val="00EE0CAA"/>
    <w:rsid w:val="00EE11FE"/>
    <w:rsid w:val="00EE133B"/>
    <w:rsid w:val="00EE1B4B"/>
    <w:rsid w:val="00EE1EF7"/>
    <w:rsid w:val="00EE28C1"/>
    <w:rsid w:val="00EE38C5"/>
    <w:rsid w:val="00EE42C9"/>
    <w:rsid w:val="00EE46BF"/>
    <w:rsid w:val="00EE587A"/>
    <w:rsid w:val="00EE58D6"/>
    <w:rsid w:val="00EE600F"/>
    <w:rsid w:val="00EE645A"/>
    <w:rsid w:val="00EE7906"/>
    <w:rsid w:val="00EF07E3"/>
    <w:rsid w:val="00EF0CB1"/>
    <w:rsid w:val="00EF1055"/>
    <w:rsid w:val="00EF199C"/>
    <w:rsid w:val="00EF2DA4"/>
    <w:rsid w:val="00EF2E7B"/>
    <w:rsid w:val="00EF31E8"/>
    <w:rsid w:val="00EF32CA"/>
    <w:rsid w:val="00EF3436"/>
    <w:rsid w:val="00EF35FC"/>
    <w:rsid w:val="00EF4138"/>
    <w:rsid w:val="00EF41CE"/>
    <w:rsid w:val="00EF4EE3"/>
    <w:rsid w:val="00EF5F10"/>
    <w:rsid w:val="00EF6003"/>
    <w:rsid w:val="00EF65C8"/>
    <w:rsid w:val="00EF6680"/>
    <w:rsid w:val="00EF72DB"/>
    <w:rsid w:val="00EF798F"/>
    <w:rsid w:val="00EF7E76"/>
    <w:rsid w:val="00F005DF"/>
    <w:rsid w:val="00F00D08"/>
    <w:rsid w:val="00F01441"/>
    <w:rsid w:val="00F01646"/>
    <w:rsid w:val="00F0188F"/>
    <w:rsid w:val="00F019C2"/>
    <w:rsid w:val="00F024DB"/>
    <w:rsid w:val="00F025ED"/>
    <w:rsid w:val="00F02A82"/>
    <w:rsid w:val="00F02C7F"/>
    <w:rsid w:val="00F02D75"/>
    <w:rsid w:val="00F02FA8"/>
    <w:rsid w:val="00F037A3"/>
    <w:rsid w:val="00F03AEB"/>
    <w:rsid w:val="00F043EA"/>
    <w:rsid w:val="00F049B7"/>
    <w:rsid w:val="00F04ACD"/>
    <w:rsid w:val="00F04F83"/>
    <w:rsid w:val="00F0525C"/>
    <w:rsid w:val="00F054BD"/>
    <w:rsid w:val="00F06F77"/>
    <w:rsid w:val="00F0722D"/>
    <w:rsid w:val="00F0759F"/>
    <w:rsid w:val="00F07F19"/>
    <w:rsid w:val="00F07F70"/>
    <w:rsid w:val="00F106B8"/>
    <w:rsid w:val="00F107DF"/>
    <w:rsid w:val="00F10C38"/>
    <w:rsid w:val="00F1157B"/>
    <w:rsid w:val="00F13041"/>
    <w:rsid w:val="00F1317C"/>
    <w:rsid w:val="00F13788"/>
    <w:rsid w:val="00F13D35"/>
    <w:rsid w:val="00F13F3C"/>
    <w:rsid w:val="00F15090"/>
    <w:rsid w:val="00F15453"/>
    <w:rsid w:val="00F16DD6"/>
    <w:rsid w:val="00F20FE8"/>
    <w:rsid w:val="00F22137"/>
    <w:rsid w:val="00F22A00"/>
    <w:rsid w:val="00F22EE0"/>
    <w:rsid w:val="00F2397F"/>
    <w:rsid w:val="00F240CE"/>
    <w:rsid w:val="00F2454C"/>
    <w:rsid w:val="00F24EDA"/>
    <w:rsid w:val="00F24FF2"/>
    <w:rsid w:val="00F25499"/>
    <w:rsid w:val="00F2566B"/>
    <w:rsid w:val="00F25E47"/>
    <w:rsid w:val="00F26B57"/>
    <w:rsid w:val="00F27234"/>
    <w:rsid w:val="00F272A3"/>
    <w:rsid w:val="00F2763F"/>
    <w:rsid w:val="00F27680"/>
    <w:rsid w:val="00F30167"/>
    <w:rsid w:val="00F30204"/>
    <w:rsid w:val="00F3049E"/>
    <w:rsid w:val="00F3129D"/>
    <w:rsid w:val="00F3203A"/>
    <w:rsid w:val="00F325C9"/>
    <w:rsid w:val="00F3291F"/>
    <w:rsid w:val="00F329CE"/>
    <w:rsid w:val="00F33DFB"/>
    <w:rsid w:val="00F346D9"/>
    <w:rsid w:val="00F3470E"/>
    <w:rsid w:val="00F34788"/>
    <w:rsid w:val="00F34AFC"/>
    <w:rsid w:val="00F34FDB"/>
    <w:rsid w:val="00F35187"/>
    <w:rsid w:val="00F353AE"/>
    <w:rsid w:val="00F353EF"/>
    <w:rsid w:val="00F35694"/>
    <w:rsid w:val="00F35D54"/>
    <w:rsid w:val="00F36119"/>
    <w:rsid w:val="00F363DC"/>
    <w:rsid w:val="00F36D6B"/>
    <w:rsid w:val="00F37205"/>
    <w:rsid w:val="00F37BAA"/>
    <w:rsid w:val="00F37E96"/>
    <w:rsid w:val="00F400C3"/>
    <w:rsid w:val="00F40419"/>
    <w:rsid w:val="00F41511"/>
    <w:rsid w:val="00F419B7"/>
    <w:rsid w:val="00F41C59"/>
    <w:rsid w:val="00F41E6E"/>
    <w:rsid w:val="00F42456"/>
    <w:rsid w:val="00F42531"/>
    <w:rsid w:val="00F44918"/>
    <w:rsid w:val="00F4497E"/>
    <w:rsid w:val="00F45216"/>
    <w:rsid w:val="00F45517"/>
    <w:rsid w:val="00F47197"/>
    <w:rsid w:val="00F507A7"/>
    <w:rsid w:val="00F511E4"/>
    <w:rsid w:val="00F5250F"/>
    <w:rsid w:val="00F52548"/>
    <w:rsid w:val="00F532EE"/>
    <w:rsid w:val="00F5386E"/>
    <w:rsid w:val="00F53A07"/>
    <w:rsid w:val="00F53E27"/>
    <w:rsid w:val="00F54F17"/>
    <w:rsid w:val="00F55AF2"/>
    <w:rsid w:val="00F5629D"/>
    <w:rsid w:val="00F56D65"/>
    <w:rsid w:val="00F56DC2"/>
    <w:rsid w:val="00F57766"/>
    <w:rsid w:val="00F5787C"/>
    <w:rsid w:val="00F601A3"/>
    <w:rsid w:val="00F6029E"/>
    <w:rsid w:val="00F60D0A"/>
    <w:rsid w:val="00F60F45"/>
    <w:rsid w:val="00F618A5"/>
    <w:rsid w:val="00F61C30"/>
    <w:rsid w:val="00F62664"/>
    <w:rsid w:val="00F63AD4"/>
    <w:rsid w:val="00F63EF5"/>
    <w:rsid w:val="00F643FA"/>
    <w:rsid w:val="00F65062"/>
    <w:rsid w:val="00F65847"/>
    <w:rsid w:val="00F65DDA"/>
    <w:rsid w:val="00F665D6"/>
    <w:rsid w:val="00F67E04"/>
    <w:rsid w:val="00F67F0D"/>
    <w:rsid w:val="00F703A8"/>
    <w:rsid w:val="00F710B2"/>
    <w:rsid w:val="00F710BD"/>
    <w:rsid w:val="00F71A8A"/>
    <w:rsid w:val="00F728EF"/>
    <w:rsid w:val="00F72EA7"/>
    <w:rsid w:val="00F73617"/>
    <w:rsid w:val="00F736D4"/>
    <w:rsid w:val="00F74C25"/>
    <w:rsid w:val="00F74F6C"/>
    <w:rsid w:val="00F75765"/>
    <w:rsid w:val="00F77245"/>
    <w:rsid w:val="00F77445"/>
    <w:rsid w:val="00F77762"/>
    <w:rsid w:val="00F7798E"/>
    <w:rsid w:val="00F77B4F"/>
    <w:rsid w:val="00F77EEA"/>
    <w:rsid w:val="00F80274"/>
    <w:rsid w:val="00F80612"/>
    <w:rsid w:val="00F80891"/>
    <w:rsid w:val="00F808E2"/>
    <w:rsid w:val="00F81587"/>
    <w:rsid w:val="00F81830"/>
    <w:rsid w:val="00F81A52"/>
    <w:rsid w:val="00F82AFF"/>
    <w:rsid w:val="00F82E2D"/>
    <w:rsid w:val="00F82E84"/>
    <w:rsid w:val="00F82F08"/>
    <w:rsid w:val="00F83710"/>
    <w:rsid w:val="00F838DE"/>
    <w:rsid w:val="00F83D00"/>
    <w:rsid w:val="00F83FC0"/>
    <w:rsid w:val="00F8407F"/>
    <w:rsid w:val="00F85ABB"/>
    <w:rsid w:val="00F85AE5"/>
    <w:rsid w:val="00F85B8E"/>
    <w:rsid w:val="00F86004"/>
    <w:rsid w:val="00F861AF"/>
    <w:rsid w:val="00F86266"/>
    <w:rsid w:val="00F8670A"/>
    <w:rsid w:val="00F86F1B"/>
    <w:rsid w:val="00F86FBB"/>
    <w:rsid w:val="00F87D2B"/>
    <w:rsid w:val="00F87D3A"/>
    <w:rsid w:val="00F90C3E"/>
    <w:rsid w:val="00F91827"/>
    <w:rsid w:val="00F92209"/>
    <w:rsid w:val="00F92A26"/>
    <w:rsid w:val="00F92C1E"/>
    <w:rsid w:val="00F93897"/>
    <w:rsid w:val="00F93908"/>
    <w:rsid w:val="00F93E6C"/>
    <w:rsid w:val="00F945D4"/>
    <w:rsid w:val="00F94803"/>
    <w:rsid w:val="00F951DB"/>
    <w:rsid w:val="00F958AA"/>
    <w:rsid w:val="00F95A67"/>
    <w:rsid w:val="00F95BC4"/>
    <w:rsid w:val="00F95C66"/>
    <w:rsid w:val="00F95C85"/>
    <w:rsid w:val="00F96D7D"/>
    <w:rsid w:val="00F97B6C"/>
    <w:rsid w:val="00F97C2F"/>
    <w:rsid w:val="00F97CF7"/>
    <w:rsid w:val="00FA05C3"/>
    <w:rsid w:val="00FA274C"/>
    <w:rsid w:val="00FA2C08"/>
    <w:rsid w:val="00FA3D9C"/>
    <w:rsid w:val="00FA4ADE"/>
    <w:rsid w:val="00FA4BAE"/>
    <w:rsid w:val="00FA5CA4"/>
    <w:rsid w:val="00FA60F3"/>
    <w:rsid w:val="00FA7175"/>
    <w:rsid w:val="00FA7777"/>
    <w:rsid w:val="00FA7E54"/>
    <w:rsid w:val="00FA7F84"/>
    <w:rsid w:val="00FB07C7"/>
    <w:rsid w:val="00FB0AF9"/>
    <w:rsid w:val="00FB1B28"/>
    <w:rsid w:val="00FB1B96"/>
    <w:rsid w:val="00FB20F1"/>
    <w:rsid w:val="00FB26A7"/>
    <w:rsid w:val="00FB28E1"/>
    <w:rsid w:val="00FB2AB9"/>
    <w:rsid w:val="00FB36F4"/>
    <w:rsid w:val="00FB3719"/>
    <w:rsid w:val="00FB4A9D"/>
    <w:rsid w:val="00FB65A4"/>
    <w:rsid w:val="00FB70E5"/>
    <w:rsid w:val="00FB731E"/>
    <w:rsid w:val="00FB78BE"/>
    <w:rsid w:val="00FB7C4B"/>
    <w:rsid w:val="00FB7EAE"/>
    <w:rsid w:val="00FC1051"/>
    <w:rsid w:val="00FC12EC"/>
    <w:rsid w:val="00FC1823"/>
    <w:rsid w:val="00FC2178"/>
    <w:rsid w:val="00FC37B9"/>
    <w:rsid w:val="00FC4007"/>
    <w:rsid w:val="00FC4409"/>
    <w:rsid w:val="00FC49E1"/>
    <w:rsid w:val="00FC4AD5"/>
    <w:rsid w:val="00FC5B6B"/>
    <w:rsid w:val="00FC63FE"/>
    <w:rsid w:val="00FC64FE"/>
    <w:rsid w:val="00FC7330"/>
    <w:rsid w:val="00FC73E2"/>
    <w:rsid w:val="00FC7A4D"/>
    <w:rsid w:val="00FC7C5C"/>
    <w:rsid w:val="00FC7E24"/>
    <w:rsid w:val="00FD04B7"/>
    <w:rsid w:val="00FD0BBE"/>
    <w:rsid w:val="00FD0F5E"/>
    <w:rsid w:val="00FD1537"/>
    <w:rsid w:val="00FD1B3F"/>
    <w:rsid w:val="00FD1B92"/>
    <w:rsid w:val="00FD24E9"/>
    <w:rsid w:val="00FD2775"/>
    <w:rsid w:val="00FD29C2"/>
    <w:rsid w:val="00FD34F1"/>
    <w:rsid w:val="00FD3536"/>
    <w:rsid w:val="00FD435A"/>
    <w:rsid w:val="00FD4619"/>
    <w:rsid w:val="00FD48BD"/>
    <w:rsid w:val="00FD4E03"/>
    <w:rsid w:val="00FD52C0"/>
    <w:rsid w:val="00FD64FF"/>
    <w:rsid w:val="00FD68A2"/>
    <w:rsid w:val="00FD6901"/>
    <w:rsid w:val="00FD6FCC"/>
    <w:rsid w:val="00FD782D"/>
    <w:rsid w:val="00FD7C28"/>
    <w:rsid w:val="00FE03E3"/>
    <w:rsid w:val="00FE0F9C"/>
    <w:rsid w:val="00FE1494"/>
    <w:rsid w:val="00FE1D4D"/>
    <w:rsid w:val="00FE28F1"/>
    <w:rsid w:val="00FE2F57"/>
    <w:rsid w:val="00FE3304"/>
    <w:rsid w:val="00FE37AD"/>
    <w:rsid w:val="00FE40F9"/>
    <w:rsid w:val="00FE497A"/>
    <w:rsid w:val="00FE52A4"/>
    <w:rsid w:val="00FE58FA"/>
    <w:rsid w:val="00FE5B77"/>
    <w:rsid w:val="00FE5C17"/>
    <w:rsid w:val="00FE5D3A"/>
    <w:rsid w:val="00FE62CC"/>
    <w:rsid w:val="00FE68B8"/>
    <w:rsid w:val="00FE6A54"/>
    <w:rsid w:val="00FE7763"/>
    <w:rsid w:val="00FE7D41"/>
    <w:rsid w:val="00FF0024"/>
    <w:rsid w:val="00FF0154"/>
    <w:rsid w:val="00FF05E1"/>
    <w:rsid w:val="00FF0671"/>
    <w:rsid w:val="00FF0C3A"/>
    <w:rsid w:val="00FF0E2B"/>
    <w:rsid w:val="00FF1418"/>
    <w:rsid w:val="00FF24F0"/>
    <w:rsid w:val="00FF32C1"/>
    <w:rsid w:val="00FF449C"/>
    <w:rsid w:val="00FF47E9"/>
    <w:rsid w:val="00FF550C"/>
    <w:rsid w:val="00FF5544"/>
    <w:rsid w:val="00FF5660"/>
    <w:rsid w:val="00FF687C"/>
    <w:rsid w:val="00FF6952"/>
    <w:rsid w:val="00FF7661"/>
    <w:rsid w:val="00FF7CBD"/>
    <w:rsid w:val="029EADC8"/>
    <w:rsid w:val="04EAB5D1"/>
    <w:rsid w:val="052E70EB"/>
    <w:rsid w:val="0656D668"/>
    <w:rsid w:val="081144B9"/>
    <w:rsid w:val="081C799C"/>
    <w:rsid w:val="08930F2D"/>
    <w:rsid w:val="0904A4AD"/>
    <w:rsid w:val="09256E6D"/>
    <w:rsid w:val="0971809D"/>
    <w:rsid w:val="09F57FAC"/>
    <w:rsid w:val="09FE8394"/>
    <w:rsid w:val="0D61DC77"/>
    <w:rsid w:val="0DA01E55"/>
    <w:rsid w:val="0E8FF351"/>
    <w:rsid w:val="0F7FE513"/>
    <w:rsid w:val="0FE01757"/>
    <w:rsid w:val="1007410A"/>
    <w:rsid w:val="10470ED6"/>
    <w:rsid w:val="109FBF57"/>
    <w:rsid w:val="11A16610"/>
    <w:rsid w:val="11AC5D96"/>
    <w:rsid w:val="12C1A33E"/>
    <w:rsid w:val="135E1D2E"/>
    <w:rsid w:val="1586E813"/>
    <w:rsid w:val="161F8BBD"/>
    <w:rsid w:val="18C71B64"/>
    <w:rsid w:val="1BA3A58B"/>
    <w:rsid w:val="1E752E73"/>
    <w:rsid w:val="203A6A2D"/>
    <w:rsid w:val="24FA5814"/>
    <w:rsid w:val="25C94D2B"/>
    <w:rsid w:val="25E864F3"/>
    <w:rsid w:val="261CCE6F"/>
    <w:rsid w:val="275F8BB0"/>
    <w:rsid w:val="2853B580"/>
    <w:rsid w:val="2980CBFE"/>
    <w:rsid w:val="298A19F0"/>
    <w:rsid w:val="29AE154F"/>
    <w:rsid w:val="29CD21B8"/>
    <w:rsid w:val="2B1C9C5F"/>
    <w:rsid w:val="2B54BA44"/>
    <w:rsid w:val="2FEEC75B"/>
    <w:rsid w:val="306A335E"/>
    <w:rsid w:val="313033C5"/>
    <w:rsid w:val="324F7816"/>
    <w:rsid w:val="34F95163"/>
    <w:rsid w:val="35AA9635"/>
    <w:rsid w:val="36D493BE"/>
    <w:rsid w:val="36DB41A0"/>
    <w:rsid w:val="381E6347"/>
    <w:rsid w:val="391EFF3D"/>
    <w:rsid w:val="397E697D"/>
    <w:rsid w:val="3A24B76F"/>
    <w:rsid w:val="3A47272A"/>
    <w:rsid w:val="3A81BC5F"/>
    <w:rsid w:val="3C197714"/>
    <w:rsid w:val="3ECF85D3"/>
    <w:rsid w:val="44603A17"/>
    <w:rsid w:val="474F62B7"/>
    <w:rsid w:val="477A2101"/>
    <w:rsid w:val="48732A80"/>
    <w:rsid w:val="4C50B911"/>
    <w:rsid w:val="4CEABEC9"/>
    <w:rsid w:val="50CC5B11"/>
    <w:rsid w:val="54B82AE4"/>
    <w:rsid w:val="562511B3"/>
    <w:rsid w:val="56861D1F"/>
    <w:rsid w:val="580A8599"/>
    <w:rsid w:val="595D361D"/>
    <w:rsid w:val="5A938787"/>
    <w:rsid w:val="5B0E9FC1"/>
    <w:rsid w:val="5C539E96"/>
    <w:rsid w:val="5E30A740"/>
    <w:rsid w:val="5F3B75FD"/>
    <w:rsid w:val="604ACF27"/>
    <w:rsid w:val="60F0F827"/>
    <w:rsid w:val="65993353"/>
    <w:rsid w:val="665A3C77"/>
    <w:rsid w:val="66C9FD21"/>
    <w:rsid w:val="672F7F1C"/>
    <w:rsid w:val="67825AC9"/>
    <w:rsid w:val="696E4432"/>
    <w:rsid w:val="6A3FF5AD"/>
    <w:rsid w:val="6A76A557"/>
    <w:rsid w:val="6B1DFA78"/>
    <w:rsid w:val="6D48EEDC"/>
    <w:rsid w:val="6F522333"/>
    <w:rsid w:val="6FEA88F1"/>
    <w:rsid w:val="70DA8719"/>
    <w:rsid w:val="7194C70A"/>
    <w:rsid w:val="733CAA04"/>
    <w:rsid w:val="745A7C93"/>
    <w:rsid w:val="74AEC213"/>
    <w:rsid w:val="76797D9C"/>
    <w:rsid w:val="77AACF0B"/>
    <w:rsid w:val="77E831B4"/>
    <w:rsid w:val="7A839069"/>
    <w:rsid w:val="7D5763D2"/>
    <w:rsid w:val="7F145A8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92C5B"/>
  <w15:chartTrackingRefBased/>
  <w15:docId w15:val="{C267382F-1237-4524-9E75-EF1928FB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qFormat="1"/>
    <w:lsdException w:name="annotation text" w:uiPriority="99"/>
    <w:lsdException w:name="header" w:uiPriority="99"/>
    <w:lsdException w:name="caption" w:semiHidden="1" w:unhideWhenUsed="1" w:qFormat="1"/>
    <w:lsdException w:name="footnote reference"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iPriority="99"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2C7F"/>
    <w:pPr>
      <w:jc w:val="both"/>
    </w:pPr>
    <w:rPr>
      <w:rFonts w:cs="Angsana New"/>
      <w:sz w:val="22"/>
      <w:szCs w:val="24"/>
      <w:lang w:val="en-GB" w:eastAsia="en-US"/>
    </w:rPr>
  </w:style>
  <w:style w:type="paragraph" w:styleId="Titre1">
    <w:name w:val="heading 1"/>
    <w:basedOn w:val="Normal"/>
    <w:next w:val="Titre2"/>
    <w:link w:val="Titre1Car"/>
    <w:qFormat/>
    <w:pPr>
      <w:keepNext/>
      <w:tabs>
        <w:tab w:val="left" w:pos="720"/>
      </w:tabs>
      <w:spacing w:before="240" w:after="120"/>
      <w:jc w:val="center"/>
      <w:outlineLvl w:val="0"/>
    </w:pPr>
    <w:rPr>
      <w:b/>
      <w:caps/>
    </w:rPr>
  </w:style>
  <w:style w:type="paragraph" w:styleId="Titre2">
    <w:name w:val="heading 2"/>
    <w:basedOn w:val="Normal"/>
    <w:next w:val="Normal"/>
    <w:link w:val="Titre2Car"/>
    <w:qFormat/>
    <w:rsid w:val="00F665D6"/>
    <w:pPr>
      <w:keepNext/>
      <w:tabs>
        <w:tab w:val="left" w:pos="720"/>
      </w:tabs>
      <w:spacing w:before="120" w:after="120"/>
      <w:jc w:val="center"/>
      <w:outlineLvl w:val="1"/>
    </w:pPr>
    <w:rPr>
      <w:b/>
      <w:bCs/>
      <w:iCs/>
    </w:rPr>
  </w:style>
  <w:style w:type="paragraph" w:styleId="Titre3">
    <w:name w:val="heading 3"/>
    <w:basedOn w:val="Normal"/>
    <w:next w:val="Normal"/>
    <w:link w:val="Titre3Car"/>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iCs/>
    </w:rPr>
  </w:style>
  <w:style w:type="paragraph" w:styleId="Titre5">
    <w:name w:val="heading 5"/>
    <w:aliases w:val="Heading 5 - GTI"/>
    <w:basedOn w:val="Normal"/>
    <w:next w:val="Normal"/>
    <w:qFormat/>
    <w:pPr>
      <w:keepNext/>
      <w:numPr>
        <w:ilvl w:val="4"/>
        <w:numId w:val="1"/>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spacing w:before="120" w:after="120"/>
      <w:ind w:firstLine="720"/>
    </w:pPr>
    <w:rPr>
      <w:iCs/>
    </w:rPr>
  </w:style>
  <w:style w:type="paragraph" w:styleId="Pieddepage">
    <w:name w:val="footer"/>
    <w:basedOn w:val="Normal"/>
    <w:pPr>
      <w:tabs>
        <w:tab w:val="center" w:pos="4320"/>
        <w:tab w:val="right" w:pos="8640"/>
      </w:tabs>
      <w:ind w:firstLine="720"/>
      <w:jc w:val="right"/>
    </w:pPr>
  </w:style>
  <w:style w:type="paragraph" w:customStyle="1" w:styleId="Para1">
    <w:name w:val="Para1"/>
    <w:basedOn w:val="Normal"/>
    <w:pPr>
      <w:spacing w:after="120"/>
    </w:pPr>
    <w:rPr>
      <w:snapToGrid w:val="0"/>
      <w:szCs w:val="18"/>
    </w:rPr>
  </w:style>
  <w:style w:type="paragraph" w:customStyle="1" w:styleId="Para20">
    <w:name w:val="Para2"/>
    <w:basedOn w:val="Para1"/>
    <w:pPr>
      <w:autoSpaceDE w:val="0"/>
      <w:autoSpaceDN w:val="0"/>
    </w:pPr>
  </w:style>
  <w:style w:type="paragraph" w:customStyle="1" w:styleId="Para3">
    <w:name w:val="Para3"/>
    <w:basedOn w:val="Normal"/>
    <w:pPr>
      <w:tabs>
        <w:tab w:val="left" w:pos="1980"/>
      </w:tabs>
      <w:spacing w:before="80" w:after="80"/>
    </w:pPr>
    <w:rPr>
      <w:szCs w:val="20"/>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qFormat/>
    <w:pPr>
      <w:keepLines/>
      <w:spacing w:after="60"/>
      <w:ind w:firstLine="720"/>
    </w:pPr>
    <w:rPr>
      <w:rFonts w:cs="Times New Roman"/>
      <w:sz w:val="18"/>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9845B7"/>
    <w:rPr>
      <w:sz w:val="18"/>
      <w:u w:val="none"/>
      <w:vertAlign w:val="superscript"/>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spacing w:before="120" w:after="120"/>
    </w:pPr>
    <w:rPr>
      <w:szCs w:val="20"/>
    </w:rPr>
  </w:style>
  <w:style w:type="paragraph" w:customStyle="1" w:styleId="Paranum">
    <w:name w:val="Paranum"/>
    <w:basedOn w:val="Para1"/>
    <w:rsid w:val="00C95E26"/>
    <w:pPr>
      <w:numPr>
        <w:numId w:val="6"/>
      </w:numPr>
      <w:spacing w:line="240" w:lineRule="exact"/>
    </w:pPr>
    <w:rPr>
      <w:snapToGrid/>
      <w:szCs w:val="20"/>
      <w:lang w:val="en-US"/>
    </w:rPr>
  </w:style>
  <w:style w:type="paragraph" w:styleId="Notedefin">
    <w:name w:val="endnote text"/>
    <w:basedOn w:val="Normal"/>
    <w:semiHidden/>
    <w:pPr>
      <w:widowControl w:val="0"/>
      <w:tabs>
        <w:tab w:val="left" w:pos="-720"/>
      </w:tabs>
      <w:suppressAutoHyphens/>
    </w:pPr>
    <w:rPr>
      <w:rFonts w:ascii="Courier New" w:hAnsi="Courier New"/>
    </w:rPr>
  </w:style>
  <w:style w:type="character" w:styleId="Appeldenotedefin">
    <w:name w:val="endnote reference"/>
    <w:semiHidden/>
    <w:rPr>
      <w:vertAlign w:val="superscript"/>
    </w:rPr>
  </w:style>
  <w:style w:type="character" w:styleId="Numrodepage">
    <w:name w:val="page number"/>
    <w:rPr>
      <w:rFonts w:ascii="Times New Roman" w:hAnsi="Times New Roman"/>
      <w:sz w:val="22"/>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Normal"/>
    <w:pPr>
      <w:spacing w:before="120"/>
      <w:ind w:left="1843" w:right="998" w:hanging="567"/>
      <w:jc w:val="left"/>
    </w:pPr>
    <w:rPr>
      <w:i/>
      <w:iCs/>
      <w:caps w:val="0"/>
    </w:rPr>
  </w:style>
  <w:style w:type="paragraph" w:customStyle="1" w:styleId="Heading3multiline">
    <w:name w:val="Heading 3 (multiline)"/>
    <w:basedOn w:val="Titre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Titre1"/>
    <w:pPr>
      <w:ind w:left="1843" w:hanging="1134"/>
      <w:jc w:val="left"/>
    </w:pPr>
  </w:style>
  <w:style w:type="paragraph" w:styleId="Retraitcorpsdetexte">
    <w:name w:val="Body Text Indent"/>
    <w:basedOn w:val="Normal"/>
    <w:pPr>
      <w:spacing w:before="120" w:after="120"/>
      <w:ind w:left="1440" w:hanging="720"/>
      <w:jc w:val="left"/>
    </w:pPr>
  </w:style>
  <w:style w:type="paragraph" w:customStyle="1" w:styleId="Heading-plainbold">
    <w:name w:val="Heading-plain bold"/>
    <w:basedOn w:val="Corpsdetexte"/>
    <w:pPr>
      <w:ind w:firstLine="0"/>
      <w:jc w:val="center"/>
    </w:pPr>
    <w:rPr>
      <w:b/>
      <w:bCs/>
      <w:i/>
      <w:iCs w:val="0"/>
    </w:rPr>
  </w:style>
  <w:style w:type="paragraph" w:customStyle="1" w:styleId="Heading-plainitalic">
    <w:name w:val="Heading-plain italic"/>
    <w:basedOn w:val="Heading-plainbold"/>
    <w:rPr>
      <w:b w:val="0"/>
      <w:bCs w:val="0"/>
    </w:rPr>
  </w:style>
  <w:style w:type="paragraph" w:styleId="TM1">
    <w:name w:val="toc 1"/>
    <w:basedOn w:val="Normal"/>
    <w:next w:val="Normal"/>
    <w:autoRedefine/>
    <w:uiPriority w:val="39"/>
    <w:pPr>
      <w:spacing w:before="120"/>
      <w:jc w:val="left"/>
    </w:pPr>
    <w:rPr>
      <w:rFonts w:ascii="Calibri" w:hAnsi="Calibri"/>
      <w:b/>
      <w:color w:val="548DD4"/>
      <w:sz w:val="24"/>
    </w:rPr>
  </w:style>
  <w:style w:type="paragraph" w:styleId="TM2">
    <w:name w:val="toc 2"/>
    <w:basedOn w:val="Normal"/>
    <w:next w:val="Normal"/>
    <w:autoRedefine/>
    <w:uiPriority w:val="39"/>
    <w:pPr>
      <w:jc w:val="left"/>
    </w:pPr>
    <w:rPr>
      <w:rFonts w:ascii="Cambria" w:hAnsi="Cambria"/>
      <w:szCs w:val="22"/>
    </w:rPr>
  </w:style>
  <w:style w:type="paragraph" w:styleId="TM3">
    <w:name w:val="toc 3"/>
    <w:basedOn w:val="Normal"/>
    <w:next w:val="Normal"/>
    <w:autoRedefine/>
    <w:uiPriority w:val="39"/>
    <w:pPr>
      <w:ind w:left="220"/>
      <w:jc w:val="left"/>
    </w:pPr>
    <w:rPr>
      <w:rFonts w:ascii="Cambria" w:hAnsi="Cambria"/>
      <w:i/>
      <w:szCs w:val="22"/>
    </w:rPr>
  </w:style>
  <w:style w:type="paragraph" w:styleId="En-tte">
    <w:name w:val="header"/>
    <w:basedOn w:val="Normal"/>
    <w:link w:val="En-tteCar"/>
    <w:uiPriority w:val="99"/>
    <w:pPr>
      <w:tabs>
        <w:tab w:val="center" w:pos="4320"/>
        <w:tab w:val="right" w:pos="8640"/>
      </w:tabs>
    </w:pPr>
    <w:rPr>
      <w:rFonts w:cs="Times New Roman"/>
    </w:rPr>
  </w:style>
  <w:style w:type="paragraph" w:customStyle="1" w:styleId="HEADINGNOTFORTOC">
    <w:name w:val="HEADING (NOT FOR TOC)"/>
    <w:basedOn w:val="Titre1"/>
    <w:next w:val="Titre2"/>
  </w:style>
  <w:style w:type="character" w:customStyle="1" w:styleId="Document5">
    <w:name w:val="Document 5"/>
    <w:basedOn w:val="Policepardfaut"/>
  </w:style>
  <w:style w:type="paragraph" w:customStyle="1" w:styleId="Paragraph">
    <w:name w:val="Paragraph"/>
    <w:basedOn w:val="Normal"/>
    <w:pPr>
      <w:spacing w:before="120" w:after="120"/>
    </w:pPr>
  </w:style>
  <w:style w:type="character" w:styleId="Lienhypertexte">
    <w:name w:val="Hyperlink"/>
    <w:uiPriority w:val="99"/>
    <w:rPr>
      <w:color w:val="0000FF"/>
      <w:u w:val="single"/>
    </w:rPr>
  </w:style>
  <w:style w:type="paragraph" w:styleId="Retraitcorpsdetexte2">
    <w:name w:val="Body Text Indent 2"/>
    <w:basedOn w:val="Normal"/>
    <w:pPr>
      <w:ind w:firstLine="720"/>
    </w:pPr>
  </w:style>
  <w:style w:type="paragraph" w:styleId="Textedebulles">
    <w:name w:val="Balloon Text"/>
    <w:basedOn w:val="Normal"/>
    <w:link w:val="TextedebullesCar"/>
    <w:uiPriority w:val="99"/>
    <w:semiHidden/>
    <w:rPr>
      <w:rFonts w:ascii="Tahoma" w:hAnsi="Tahoma" w:cs="Tahoma"/>
      <w:sz w:val="16"/>
      <w:szCs w:val="16"/>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styleId="Corpsdetexte2">
    <w:name w:val="Body Text 2"/>
    <w:basedOn w:val="Normal"/>
    <w:rPr>
      <w:i/>
      <w:iCs/>
    </w:rPr>
  </w:style>
  <w:style w:type="paragraph" w:styleId="Corpsdetexte3">
    <w:name w:val="Body Text 3"/>
    <w:basedOn w:val="Normal"/>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Corpsdetexte"/>
    <w:rPr>
      <w:i/>
      <w:iCs w:val="0"/>
    </w:rPr>
  </w:style>
  <w:style w:type="paragraph" w:customStyle="1" w:styleId="boxbody">
    <w:name w:val="boxbody"/>
    <w:basedOn w:val="Normal"/>
    <w:pPr>
      <w:spacing w:before="100" w:beforeAutospacing="1" w:after="100" w:afterAutospacing="1"/>
      <w:ind w:left="612" w:right="612"/>
    </w:pPr>
    <w:rPr>
      <w:rFonts w:ascii="Helvetica" w:eastAsia="Arial Unicode MS" w:hAnsi="Helvetica" w:cs="Arial Unicode MS"/>
      <w:sz w:val="18"/>
      <w:szCs w:val="18"/>
    </w:rPr>
  </w:style>
  <w:style w:type="character" w:styleId="Lienhypertextesuivivisit">
    <w:name w:val="FollowedHyperlink"/>
    <w:rPr>
      <w:color w:val="800080"/>
      <w:u w:val="single"/>
    </w:rPr>
  </w:style>
  <w:style w:type="paragraph" w:customStyle="1" w:styleId="HEADING">
    <w:name w:val="HEADING"/>
    <w:basedOn w:val="Normal"/>
    <w:pPr>
      <w:keepNext/>
      <w:tabs>
        <w:tab w:val="left" w:pos="426"/>
      </w:tabs>
      <w:spacing w:before="120" w:after="120"/>
      <w:jc w:val="center"/>
    </w:pPr>
    <w:rPr>
      <w:rFonts w:ascii="Times New Roman Bold" w:hAnsi="Times New Roman Bold" w:cs="Times New Roman"/>
      <w:b/>
      <w:bCs/>
      <w:caps/>
    </w:rPr>
  </w:style>
  <w:style w:type="paragraph" w:customStyle="1" w:styleId="Heading-plain">
    <w:name w:val="Heading - plain"/>
    <w:basedOn w:val="Titre2"/>
    <w:next w:val="Corpsdetexte"/>
    <w:pPr>
      <w:tabs>
        <w:tab w:val="clear" w:pos="720"/>
        <w:tab w:val="left" w:pos="900"/>
      </w:tabs>
    </w:pPr>
    <w:rPr>
      <w:rFonts w:eastAsia="Batang" w:cs="Times New Roman"/>
      <w:b w:val="0"/>
      <w:bCs w:val="0"/>
      <w:szCs w:val="20"/>
    </w:rPr>
  </w:style>
  <w:style w:type="paragraph" w:customStyle="1" w:styleId="Heading2noletter">
    <w:name w:val="Heading 2 (no letter)"/>
    <w:basedOn w:val="Titre2"/>
    <w:pPr>
      <w:tabs>
        <w:tab w:val="clear" w:pos="720"/>
      </w:tabs>
    </w:pPr>
    <w:rPr>
      <w:rFonts w:cs="Times New Roman"/>
    </w:r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uiPriority w:val="99"/>
    <w:pPr>
      <w:spacing w:before="100" w:beforeAutospacing="1" w:after="100" w:afterAutospacing="1"/>
      <w:jc w:val="left"/>
    </w:pPr>
    <w:rPr>
      <w:rFonts w:ascii="Verdana" w:hAnsi="Verdana"/>
      <w:color w:val="000000"/>
      <w:sz w:val="18"/>
      <w:szCs w:val="18"/>
      <w:lang w:val="en-US"/>
    </w:rPr>
  </w:style>
  <w:style w:type="paragraph" w:customStyle="1" w:styleId="Para10">
    <w:name w:val="Para 1"/>
    <w:basedOn w:val="Corpsdetexte"/>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2"/>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3"/>
      </w:numPr>
      <w:spacing w:after="120"/>
    </w:pPr>
    <w:rPr>
      <w:rFonts w:cs="Times New Roman"/>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lev">
    <w:name w:val="Strong"/>
    <w:uiPriority w:val="22"/>
    <w:qFormat/>
    <w:rPr>
      <w:b/>
      <w:bCs/>
    </w:rPr>
  </w:style>
  <w:style w:type="paragraph" w:customStyle="1" w:styleId="StyleBodyTextTimesNewRoman11ptCharChar">
    <w:name w:val="Style Body Text + Times New Roman 11 pt Char Char"/>
    <w:basedOn w:val="Corpsdetexte"/>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tabs>
        <w:tab w:val="num" w:pos="360"/>
      </w:tabs>
    </w:pPr>
    <w:rPr>
      <w:szCs w:val="20"/>
    </w:rPr>
  </w:style>
  <w:style w:type="paragraph" w:styleId="Titre">
    <w:name w:val="Title"/>
    <w:basedOn w:val="Normal"/>
    <w:qFormat/>
    <w:pPr>
      <w:jc w:val="center"/>
    </w:pPr>
    <w:rPr>
      <w:i/>
      <w:iCs/>
    </w:rPr>
  </w:style>
  <w:style w:type="paragraph" w:styleId="TM5">
    <w:name w:val="toc 5"/>
    <w:basedOn w:val="Normal"/>
    <w:next w:val="Normal"/>
    <w:autoRedefine/>
    <w:semiHidden/>
    <w:pPr>
      <w:pBdr>
        <w:between w:val="double" w:sz="6" w:space="0" w:color="auto"/>
      </w:pBdr>
      <w:ind w:left="660"/>
      <w:jc w:val="left"/>
    </w:pPr>
    <w:rPr>
      <w:rFonts w:ascii="Cambria" w:hAnsi="Cambria"/>
      <w:sz w:val="20"/>
      <w:szCs w:val="20"/>
    </w:rPr>
  </w:style>
  <w:style w:type="character" w:styleId="Marquedecommentaire">
    <w:name w:val="annotation reference"/>
    <w:uiPriority w:val="99"/>
    <w:semiHidden/>
    <w:rsid w:val="00231E35"/>
    <w:rPr>
      <w:sz w:val="16"/>
      <w:szCs w:val="16"/>
    </w:rPr>
  </w:style>
  <w:style w:type="paragraph" w:styleId="Commentaire">
    <w:name w:val="annotation text"/>
    <w:basedOn w:val="Normal"/>
    <w:link w:val="CommentaireCar"/>
    <w:uiPriority w:val="99"/>
    <w:rsid w:val="00231E35"/>
    <w:rPr>
      <w:rFonts w:cs="Times New Roman"/>
      <w:sz w:val="20"/>
      <w:szCs w:val="20"/>
    </w:rPr>
  </w:style>
  <w:style w:type="paragraph" w:styleId="Objetducommentaire">
    <w:name w:val="annotation subject"/>
    <w:basedOn w:val="Commentaire"/>
    <w:next w:val="Commentaire"/>
    <w:semiHidden/>
    <w:rsid w:val="00231E35"/>
    <w:rPr>
      <w:b/>
      <w:bCs/>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rsid w:val="00762037"/>
    <w:rPr>
      <w:rFonts w:cs="Angsana New"/>
      <w:sz w:val="18"/>
      <w:szCs w:val="24"/>
      <w:lang w:val="en-GB" w:eastAsia="en-US"/>
    </w:rPr>
  </w:style>
  <w:style w:type="character" w:customStyle="1" w:styleId="En-tteCar">
    <w:name w:val="En-tête Car"/>
    <w:link w:val="En-tte"/>
    <w:uiPriority w:val="99"/>
    <w:rsid w:val="00B271B0"/>
    <w:rPr>
      <w:rFonts w:cs="Angsana New"/>
      <w:sz w:val="22"/>
      <w:szCs w:val="24"/>
      <w:lang w:val="en-GB" w:eastAsia="en-US"/>
    </w:rPr>
  </w:style>
  <w:style w:type="paragraph" w:customStyle="1" w:styleId="ColorfulList-Accent11">
    <w:name w:val="Colorful List - Accent 11"/>
    <w:basedOn w:val="Normal"/>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CommentaireCar">
    <w:name w:val="Commentaire Car"/>
    <w:link w:val="Commentaire"/>
    <w:uiPriority w:val="99"/>
    <w:rsid w:val="00857D63"/>
    <w:rPr>
      <w:rFonts w:cs="Angsana New"/>
      <w:lang w:val="en-GB" w:eastAsia="en-US"/>
    </w:rPr>
  </w:style>
  <w:style w:type="character" w:customStyle="1" w:styleId="mw-headline">
    <w:name w:val="mw-headline"/>
    <w:basedOn w:val="Policepardfaut"/>
    <w:rsid w:val="005402B1"/>
  </w:style>
  <w:style w:type="paragraph" w:styleId="TM9">
    <w:name w:val="toc 9"/>
    <w:basedOn w:val="Normal"/>
    <w:next w:val="Normal"/>
    <w:autoRedefine/>
    <w:rsid w:val="0032017A"/>
    <w:pPr>
      <w:pBdr>
        <w:between w:val="double" w:sz="6" w:space="0" w:color="auto"/>
      </w:pBdr>
      <w:ind w:left="1540"/>
      <w:jc w:val="left"/>
    </w:pPr>
    <w:rPr>
      <w:rFonts w:ascii="Cambria" w:hAnsi="Cambria"/>
      <w:sz w:val="20"/>
      <w:szCs w:val="20"/>
    </w:rPr>
  </w:style>
  <w:style w:type="paragraph" w:customStyle="1" w:styleId="Default">
    <w:name w:val="Default"/>
    <w:rsid w:val="00DB6D8B"/>
    <w:pPr>
      <w:autoSpaceDE w:val="0"/>
      <w:autoSpaceDN w:val="0"/>
      <w:adjustRightInd w:val="0"/>
    </w:pPr>
    <w:rPr>
      <w:rFonts w:eastAsia="Calibri"/>
      <w:color w:val="000000"/>
      <w:sz w:val="24"/>
      <w:szCs w:val="24"/>
      <w:lang w:val="en-US" w:eastAsia="en-US"/>
    </w:rPr>
  </w:style>
  <w:style w:type="character" w:customStyle="1" w:styleId="CharChar5">
    <w:name w:val="Char Char5"/>
    <w:semiHidden/>
    <w:rsid w:val="00C16C14"/>
    <w:rPr>
      <w:sz w:val="18"/>
      <w:szCs w:val="24"/>
      <w:lang w:val="en-GB" w:eastAsia="en-US"/>
    </w:rPr>
  </w:style>
  <w:style w:type="character" w:styleId="Accentuation">
    <w:name w:val="Emphasis"/>
    <w:uiPriority w:val="20"/>
    <w:qFormat/>
    <w:rsid w:val="004C12B8"/>
    <w:rPr>
      <w:i/>
    </w:rPr>
  </w:style>
  <w:style w:type="paragraph" w:customStyle="1" w:styleId="ColorfulShading-Accent11">
    <w:name w:val="Colorful Shading - Accent 11"/>
    <w:hidden/>
    <w:uiPriority w:val="99"/>
    <w:semiHidden/>
    <w:rsid w:val="004A2346"/>
    <w:rPr>
      <w:rFonts w:cs="Angsana New"/>
      <w:sz w:val="22"/>
      <w:szCs w:val="24"/>
      <w:lang w:val="en-GB" w:eastAsia="en-US"/>
    </w:rPr>
  </w:style>
  <w:style w:type="character" w:customStyle="1" w:styleId="apple-converted-space">
    <w:name w:val="apple-converted-space"/>
    <w:basedOn w:val="Policepardfaut"/>
    <w:rsid w:val="00B51C0B"/>
  </w:style>
  <w:style w:type="numbering" w:customStyle="1" w:styleId="List1">
    <w:name w:val="List 1"/>
    <w:basedOn w:val="Aucuneliste"/>
    <w:rsid w:val="00FB07C7"/>
    <w:pPr>
      <w:numPr>
        <w:numId w:val="7"/>
      </w:numPr>
    </w:pPr>
  </w:style>
  <w:style w:type="numbering" w:customStyle="1" w:styleId="List10">
    <w:name w:val="List 10"/>
    <w:basedOn w:val="Aucuneliste"/>
    <w:rsid w:val="009827E0"/>
    <w:pPr>
      <w:numPr>
        <w:numId w:val="9"/>
      </w:numPr>
    </w:pPr>
  </w:style>
  <w:style w:type="numbering" w:customStyle="1" w:styleId="List17">
    <w:name w:val="List 17"/>
    <w:basedOn w:val="Aucuneliste"/>
    <w:rsid w:val="009827E0"/>
    <w:pPr>
      <w:numPr>
        <w:numId w:val="10"/>
      </w:numPr>
    </w:pPr>
  </w:style>
  <w:style w:type="numbering" w:customStyle="1" w:styleId="List18">
    <w:name w:val="List 18"/>
    <w:basedOn w:val="Aucuneliste"/>
    <w:rsid w:val="009827E0"/>
    <w:pPr>
      <w:numPr>
        <w:numId w:val="11"/>
      </w:numPr>
    </w:pPr>
  </w:style>
  <w:style w:type="character" w:styleId="VariableHTML">
    <w:name w:val="HTML Variable"/>
    <w:uiPriority w:val="99"/>
    <w:unhideWhenUsed/>
    <w:rsid w:val="00851463"/>
    <w:rPr>
      <w:i/>
      <w:iCs/>
    </w:rPr>
  </w:style>
  <w:style w:type="numbering" w:customStyle="1" w:styleId="List21">
    <w:name w:val="List 21"/>
    <w:basedOn w:val="Aucuneliste"/>
    <w:rsid w:val="00320CFC"/>
    <w:pPr>
      <w:numPr>
        <w:numId w:val="12"/>
      </w:numPr>
    </w:pPr>
  </w:style>
  <w:style w:type="character" w:customStyle="1" w:styleId="Titre1Car">
    <w:name w:val="Titre 1 Car"/>
    <w:link w:val="Titre1"/>
    <w:rsid w:val="00BB6F0A"/>
    <w:rPr>
      <w:rFonts w:cs="Angsana New"/>
      <w:b/>
      <w:caps/>
      <w:sz w:val="22"/>
      <w:szCs w:val="24"/>
      <w:lang w:val="en-GB"/>
    </w:rPr>
  </w:style>
  <w:style w:type="character" w:customStyle="1" w:styleId="Titre2Car">
    <w:name w:val="Titre 2 Car"/>
    <w:link w:val="Titre2"/>
    <w:rsid w:val="00F665D6"/>
    <w:rPr>
      <w:rFonts w:cs="Angsana New"/>
      <w:b/>
      <w:bCs/>
      <w:iCs/>
      <w:sz w:val="22"/>
      <w:szCs w:val="24"/>
      <w:lang w:eastAsia="en-US"/>
    </w:rPr>
  </w:style>
  <w:style w:type="paragraph" w:customStyle="1" w:styleId="CBD-Para">
    <w:name w:val="CBD-Para"/>
    <w:basedOn w:val="Normal"/>
    <w:rsid w:val="00112D54"/>
    <w:pPr>
      <w:keepLines/>
      <w:numPr>
        <w:numId w:val="13"/>
      </w:numPr>
      <w:spacing w:before="120" w:after="120"/>
    </w:pPr>
    <w:rPr>
      <w:rFonts w:cs="Times New Roman"/>
      <w:szCs w:val="22"/>
      <w:lang w:val="en-US"/>
    </w:rPr>
  </w:style>
  <w:style w:type="paragraph" w:customStyle="1" w:styleId="CBD-Para-a">
    <w:name w:val="CBD-Para-a"/>
    <w:basedOn w:val="CBD-Para"/>
    <w:rsid w:val="00112D54"/>
    <w:pPr>
      <w:numPr>
        <w:ilvl w:val="1"/>
      </w:numPr>
      <w:tabs>
        <w:tab w:val="clear" w:pos="1080"/>
        <w:tab w:val="num" w:pos="3690"/>
      </w:tabs>
      <w:spacing w:before="60" w:after="60"/>
    </w:pPr>
  </w:style>
  <w:style w:type="numbering" w:customStyle="1" w:styleId="List6">
    <w:name w:val="List 6"/>
    <w:basedOn w:val="Aucuneliste"/>
    <w:rsid w:val="007B5D33"/>
    <w:pPr>
      <w:numPr>
        <w:numId w:val="15"/>
      </w:numPr>
    </w:pPr>
  </w:style>
  <w:style w:type="character" w:customStyle="1" w:styleId="Hyperlink0">
    <w:name w:val="Hyperlink.0"/>
    <w:rsid w:val="007B5D33"/>
    <w:rPr>
      <w:color w:val="0000FF"/>
      <w:sz w:val="18"/>
      <w:szCs w:val="18"/>
      <w:u w:val="single" w:color="0000FF"/>
    </w:rPr>
  </w:style>
  <w:style w:type="table" w:styleId="Grilledutableau">
    <w:name w:val="Table Grid"/>
    <w:basedOn w:val="TableauNormal"/>
    <w:uiPriority w:val="59"/>
    <w:rsid w:val="00173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211">
    <w:name w:val="List 211"/>
    <w:basedOn w:val="Aucuneliste"/>
    <w:rsid w:val="002A0872"/>
    <w:pPr>
      <w:numPr>
        <w:numId w:val="8"/>
      </w:numPr>
    </w:pPr>
  </w:style>
  <w:style w:type="character" w:customStyle="1" w:styleId="Titre3Car">
    <w:name w:val="Titre 3 Car"/>
    <w:link w:val="Titre3"/>
    <w:uiPriority w:val="9"/>
    <w:locked/>
    <w:rsid w:val="00041238"/>
    <w:rPr>
      <w:rFonts w:cs="Angsana New"/>
      <w:i/>
      <w:iCs/>
      <w:sz w:val="22"/>
      <w:szCs w:val="24"/>
      <w:lang w:val="en-GB"/>
    </w:rPr>
  </w:style>
  <w:style w:type="numbering" w:customStyle="1" w:styleId="ImportedStyle3">
    <w:name w:val="Imported Style 3"/>
    <w:rsid w:val="00095933"/>
    <w:pPr>
      <w:numPr>
        <w:numId w:val="14"/>
      </w:numPr>
    </w:pPr>
  </w:style>
  <w:style w:type="character" w:customStyle="1" w:styleId="TextedebullesCar">
    <w:name w:val="Texte de bulles Car"/>
    <w:link w:val="Textedebulles"/>
    <w:uiPriority w:val="99"/>
    <w:semiHidden/>
    <w:rsid w:val="002C69D1"/>
    <w:rPr>
      <w:rFonts w:ascii="Tahoma" w:hAnsi="Tahoma" w:cs="Tahoma"/>
      <w:sz w:val="16"/>
      <w:szCs w:val="16"/>
      <w:lang w:val="en-GB" w:eastAsia="en-US"/>
    </w:rPr>
  </w:style>
  <w:style w:type="character" w:styleId="Mentionnonrsolue">
    <w:name w:val="Unresolved Mention"/>
    <w:uiPriority w:val="99"/>
    <w:semiHidden/>
    <w:unhideWhenUsed/>
    <w:rsid w:val="000E4D2F"/>
    <w:rPr>
      <w:color w:val="808080"/>
      <w:shd w:val="clear" w:color="auto" w:fill="E6E6E6"/>
    </w:rPr>
  </w:style>
  <w:style w:type="paragraph" w:customStyle="1" w:styleId="GridTable31">
    <w:name w:val="Grid Table 31"/>
    <w:basedOn w:val="Titre1"/>
    <w:next w:val="Normal"/>
    <w:uiPriority w:val="39"/>
    <w:unhideWhenUsed/>
    <w:qFormat/>
    <w:rsid w:val="00567FF5"/>
    <w:pPr>
      <w:keepLines/>
      <w:tabs>
        <w:tab w:val="clear" w:pos="720"/>
      </w:tabs>
      <w:spacing w:before="480" w:after="0" w:line="276" w:lineRule="auto"/>
      <w:jc w:val="left"/>
      <w:outlineLvl w:val="9"/>
    </w:pPr>
    <w:rPr>
      <w:rFonts w:ascii="Calibri" w:eastAsia="MS Gothic" w:hAnsi="Calibri" w:cs="Times New Roman"/>
      <w:bCs/>
      <w:caps w:val="0"/>
      <w:color w:val="365F91"/>
      <w:sz w:val="28"/>
      <w:szCs w:val="28"/>
      <w:lang w:val="en-US"/>
    </w:rPr>
  </w:style>
  <w:style w:type="paragraph" w:styleId="TM4">
    <w:name w:val="toc 4"/>
    <w:basedOn w:val="Normal"/>
    <w:next w:val="Normal"/>
    <w:autoRedefine/>
    <w:rsid w:val="00567FF5"/>
    <w:pPr>
      <w:pBdr>
        <w:between w:val="double" w:sz="6" w:space="0" w:color="auto"/>
      </w:pBdr>
      <w:ind w:left="440"/>
      <w:jc w:val="left"/>
    </w:pPr>
    <w:rPr>
      <w:rFonts w:ascii="Cambria" w:hAnsi="Cambria"/>
      <w:sz w:val="20"/>
      <w:szCs w:val="20"/>
    </w:rPr>
  </w:style>
  <w:style w:type="paragraph" w:styleId="TM6">
    <w:name w:val="toc 6"/>
    <w:basedOn w:val="Normal"/>
    <w:next w:val="Normal"/>
    <w:autoRedefine/>
    <w:rsid w:val="00567FF5"/>
    <w:pPr>
      <w:pBdr>
        <w:between w:val="double" w:sz="6" w:space="0" w:color="auto"/>
      </w:pBdr>
      <w:ind w:left="880"/>
      <w:jc w:val="left"/>
    </w:pPr>
    <w:rPr>
      <w:rFonts w:ascii="Cambria" w:hAnsi="Cambria"/>
      <w:sz w:val="20"/>
      <w:szCs w:val="20"/>
    </w:rPr>
  </w:style>
  <w:style w:type="paragraph" w:styleId="TM7">
    <w:name w:val="toc 7"/>
    <w:basedOn w:val="Normal"/>
    <w:next w:val="Normal"/>
    <w:autoRedefine/>
    <w:rsid w:val="00567FF5"/>
    <w:pPr>
      <w:pBdr>
        <w:between w:val="double" w:sz="6" w:space="0" w:color="auto"/>
      </w:pBdr>
      <w:ind w:left="1100"/>
      <w:jc w:val="left"/>
    </w:pPr>
    <w:rPr>
      <w:rFonts w:ascii="Cambria" w:hAnsi="Cambria"/>
      <w:sz w:val="20"/>
      <w:szCs w:val="20"/>
    </w:rPr>
  </w:style>
  <w:style w:type="paragraph" w:styleId="TM8">
    <w:name w:val="toc 8"/>
    <w:basedOn w:val="Normal"/>
    <w:next w:val="Normal"/>
    <w:autoRedefine/>
    <w:rsid w:val="00567FF5"/>
    <w:pPr>
      <w:pBdr>
        <w:between w:val="double" w:sz="6" w:space="0" w:color="auto"/>
      </w:pBdr>
      <w:ind w:left="1320"/>
      <w:jc w:val="left"/>
    </w:pPr>
    <w:rPr>
      <w:rFonts w:ascii="Cambria" w:hAnsi="Cambria"/>
      <w:sz w:val="20"/>
      <w:szCs w:val="20"/>
    </w:rPr>
  </w:style>
  <w:style w:type="character" w:styleId="Textedelespacerserv">
    <w:name w:val="Placeholder Text"/>
    <w:basedOn w:val="Policepardfaut"/>
    <w:uiPriority w:val="99"/>
    <w:rsid w:val="00AD6A8A"/>
    <w:rPr>
      <w:color w:val="808080"/>
    </w:rPr>
  </w:style>
  <w:style w:type="paragraph" w:styleId="Rvision">
    <w:name w:val="Revision"/>
    <w:hidden/>
    <w:uiPriority w:val="99"/>
    <w:semiHidden/>
    <w:rsid w:val="00F02D75"/>
    <w:rPr>
      <w:rFonts w:cs="Angsana New"/>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9B6BFB"/>
    <w:pPr>
      <w:spacing w:after="160" w:line="240" w:lineRule="exact"/>
    </w:pPr>
    <w:rPr>
      <w:rFonts w:cs="Times New Roman"/>
      <w:sz w:val="18"/>
      <w:szCs w:val="20"/>
      <w:vertAlign w:val="superscript"/>
      <w:lang w:val="en-CA" w:eastAsia="en-CA"/>
    </w:rPr>
  </w:style>
  <w:style w:type="character" w:customStyle="1" w:styleId="normaltextrun">
    <w:name w:val="normaltextrun"/>
    <w:basedOn w:val="Policepardfaut"/>
    <w:rsid w:val="00905DD7"/>
  </w:style>
  <w:style w:type="character" w:customStyle="1" w:styleId="eop">
    <w:name w:val="eop"/>
    <w:basedOn w:val="Policepardfaut"/>
    <w:rsid w:val="00905DD7"/>
  </w:style>
  <w:style w:type="paragraph" w:styleId="Paragraphedeliste">
    <w:name w:val="List Paragraph"/>
    <w:basedOn w:val="Normal"/>
    <w:link w:val="ParagraphedelisteCar"/>
    <w:uiPriority w:val="34"/>
    <w:qFormat/>
    <w:rsid w:val="0098426A"/>
    <w:pPr>
      <w:ind w:left="720"/>
      <w:contextualSpacing/>
    </w:pPr>
    <w:rPr>
      <w:rFonts w:cs="Times New Roman"/>
    </w:rPr>
  </w:style>
  <w:style w:type="character" w:customStyle="1" w:styleId="ParagraphedelisteCar">
    <w:name w:val="Paragraphe de liste Car"/>
    <w:basedOn w:val="Policepardfaut"/>
    <w:link w:val="Paragraphedeliste"/>
    <w:uiPriority w:val="34"/>
    <w:rsid w:val="0098426A"/>
    <w:rPr>
      <w:sz w:val="22"/>
      <w:szCs w:val="24"/>
      <w:lang w:val="en-GB" w:eastAsia="en-US"/>
    </w:rPr>
  </w:style>
  <w:style w:type="table" w:customStyle="1" w:styleId="TableGrid1">
    <w:name w:val="Table Grid1"/>
    <w:basedOn w:val="TableauNormal"/>
    <w:next w:val="Grilledutableau"/>
    <w:uiPriority w:val="59"/>
    <w:rsid w:val="002D2C57"/>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03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565068508">
      <w:bodyDiv w:val="1"/>
      <w:marLeft w:val="0"/>
      <w:marRight w:val="0"/>
      <w:marTop w:val="0"/>
      <w:marBottom w:val="0"/>
      <w:divBdr>
        <w:top w:val="none" w:sz="0" w:space="0" w:color="auto"/>
        <w:left w:val="none" w:sz="0" w:space="0" w:color="auto"/>
        <w:bottom w:val="none" w:sz="0" w:space="0" w:color="auto"/>
        <w:right w:val="none" w:sz="0" w:space="0" w:color="auto"/>
      </w:divBdr>
    </w:div>
    <w:div w:id="718164627">
      <w:bodyDiv w:val="1"/>
      <w:marLeft w:val="0"/>
      <w:marRight w:val="0"/>
      <w:marTop w:val="0"/>
      <w:marBottom w:val="0"/>
      <w:divBdr>
        <w:top w:val="none" w:sz="0" w:space="0" w:color="auto"/>
        <w:left w:val="none" w:sz="0" w:space="0" w:color="auto"/>
        <w:bottom w:val="none" w:sz="0" w:space="0" w:color="auto"/>
        <w:right w:val="none" w:sz="0" w:space="0" w:color="auto"/>
      </w:divBdr>
    </w:div>
    <w:div w:id="771359351">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57371639">
      <w:bodyDiv w:val="1"/>
      <w:marLeft w:val="0"/>
      <w:marRight w:val="0"/>
      <w:marTop w:val="0"/>
      <w:marBottom w:val="0"/>
      <w:divBdr>
        <w:top w:val="none" w:sz="0" w:space="0" w:color="auto"/>
        <w:left w:val="none" w:sz="0" w:space="0" w:color="auto"/>
        <w:bottom w:val="none" w:sz="0" w:space="0" w:color="auto"/>
        <w:right w:val="none" w:sz="0" w:space="0" w:color="auto"/>
      </w:divBdr>
    </w:div>
    <w:div w:id="957445293">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27024885">
      <w:bodyDiv w:val="1"/>
      <w:marLeft w:val="0"/>
      <w:marRight w:val="0"/>
      <w:marTop w:val="0"/>
      <w:marBottom w:val="0"/>
      <w:divBdr>
        <w:top w:val="none" w:sz="0" w:space="0" w:color="auto"/>
        <w:left w:val="none" w:sz="0" w:space="0" w:color="auto"/>
        <w:bottom w:val="none" w:sz="0" w:space="0" w:color="auto"/>
        <w:right w:val="none" w:sz="0" w:space="0" w:color="auto"/>
      </w:divBdr>
    </w:div>
    <w:div w:id="1105463014">
      <w:bodyDiv w:val="1"/>
      <w:marLeft w:val="0"/>
      <w:marRight w:val="0"/>
      <w:marTop w:val="0"/>
      <w:marBottom w:val="0"/>
      <w:divBdr>
        <w:top w:val="none" w:sz="0" w:space="0" w:color="auto"/>
        <w:left w:val="none" w:sz="0" w:space="0" w:color="auto"/>
        <w:bottom w:val="none" w:sz="0" w:space="0" w:color="auto"/>
        <w:right w:val="none" w:sz="0" w:space="0" w:color="auto"/>
      </w:divBdr>
    </w:div>
    <w:div w:id="1119833582">
      <w:bodyDiv w:val="1"/>
      <w:marLeft w:val="0"/>
      <w:marRight w:val="0"/>
      <w:marTop w:val="0"/>
      <w:marBottom w:val="0"/>
      <w:divBdr>
        <w:top w:val="none" w:sz="0" w:space="0" w:color="auto"/>
        <w:left w:val="none" w:sz="0" w:space="0" w:color="auto"/>
        <w:bottom w:val="none" w:sz="0" w:space="0" w:color="auto"/>
        <w:right w:val="none" w:sz="0" w:space="0" w:color="auto"/>
      </w:divBdr>
      <w:divsChild>
        <w:div w:id="32970601">
          <w:marLeft w:val="0"/>
          <w:marRight w:val="0"/>
          <w:marTop w:val="0"/>
          <w:marBottom w:val="0"/>
          <w:divBdr>
            <w:top w:val="none" w:sz="0" w:space="0" w:color="auto"/>
            <w:left w:val="none" w:sz="0" w:space="0" w:color="auto"/>
            <w:bottom w:val="none" w:sz="0" w:space="0" w:color="auto"/>
            <w:right w:val="none" w:sz="0" w:space="0" w:color="auto"/>
          </w:divBdr>
        </w:div>
        <w:div w:id="259995780">
          <w:marLeft w:val="0"/>
          <w:marRight w:val="0"/>
          <w:marTop w:val="0"/>
          <w:marBottom w:val="0"/>
          <w:divBdr>
            <w:top w:val="none" w:sz="0" w:space="0" w:color="auto"/>
            <w:left w:val="none" w:sz="0" w:space="0" w:color="auto"/>
            <w:bottom w:val="none" w:sz="0" w:space="0" w:color="auto"/>
            <w:right w:val="none" w:sz="0" w:space="0" w:color="auto"/>
          </w:divBdr>
        </w:div>
        <w:div w:id="311911160">
          <w:marLeft w:val="0"/>
          <w:marRight w:val="0"/>
          <w:marTop w:val="0"/>
          <w:marBottom w:val="0"/>
          <w:divBdr>
            <w:top w:val="none" w:sz="0" w:space="0" w:color="auto"/>
            <w:left w:val="none" w:sz="0" w:space="0" w:color="auto"/>
            <w:bottom w:val="none" w:sz="0" w:space="0" w:color="auto"/>
            <w:right w:val="none" w:sz="0" w:space="0" w:color="auto"/>
          </w:divBdr>
        </w:div>
        <w:div w:id="352611948">
          <w:marLeft w:val="0"/>
          <w:marRight w:val="0"/>
          <w:marTop w:val="0"/>
          <w:marBottom w:val="0"/>
          <w:divBdr>
            <w:top w:val="none" w:sz="0" w:space="0" w:color="auto"/>
            <w:left w:val="none" w:sz="0" w:space="0" w:color="auto"/>
            <w:bottom w:val="none" w:sz="0" w:space="0" w:color="auto"/>
            <w:right w:val="none" w:sz="0" w:space="0" w:color="auto"/>
          </w:divBdr>
        </w:div>
        <w:div w:id="454520112">
          <w:marLeft w:val="0"/>
          <w:marRight w:val="0"/>
          <w:marTop w:val="0"/>
          <w:marBottom w:val="0"/>
          <w:divBdr>
            <w:top w:val="none" w:sz="0" w:space="0" w:color="auto"/>
            <w:left w:val="none" w:sz="0" w:space="0" w:color="auto"/>
            <w:bottom w:val="none" w:sz="0" w:space="0" w:color="auto"/>
            <w:right w:val="none" w:sz="0" w:space="0" w:color="auto"/>
          </w:divBdr>
        </w:div>
        <w:div w:id="544024314">
          <w:marLeft w:val="0"/>
          <w:marRight w:val="0"/>
          <w:marTop w:val="0"/>
          <w:marBottom w:val="0"/>
          <w:divBdr>
            <w:top w:val="none" w:sz="0" w:space="0" w:color="auto"/>
            <w:left w:val="none" w:sz="0" w:space="0" w:color="auto"/>
            <w:bottom w:val="none" w:sz="0" w:space="0" w:color="auto"/>
            <w:right w:val="none" w:sz="0" w:space="0" w:color="auto"/>
          </w:divBdr>
        </w:div>
        <w:div w:id="649675579">
          <w:marLeft w:val="0"/>
          <w:marRight w:val="0"/>
          <w:marTop w:val="0"/>
          <w:marBottom w:val="0"/>
          <w:divBdr>
            <w:top w:val="none" w:sz="0" w:space="0" w:color="auto"/>
            <w:left w:val="none" w:sz="0" w:space="0" w:color="auto"/>
            <w:bottom w:val="none" w:sz="0" w:space="0" w:color="auto"/>
            <w:right w:val="none" w:sz="0" w:space="0" w:color="auto"/>
          </w:divBdr>
        </w:div>
        <w:div w:id="738747988">
          <w:marLeft w:val="0"/>
          <w:marRight w:val="0"/>
          <w:marTop w:val="0"/>
          <w:marBottom w:val="0"/>
          <w:divBdr>
            <w:top w:val="none" w:sz="0" w:space="0" w:color="auto"/>
            <w:left w:val="none" w:sz="0" w:space="0" w:color="auto"/>
            <w:bottom w:val="none" w:sz="0" w:space="0" w:color="auto"/>
            <w:right w:val="none" w:sz="0" w:space="0" w:color="auto"/>
          </w:divBdr>
        </w:div>
        <w:div w:id="780105033">
          <w:marLeft w:val="0"/>
          <w:marRight w:val="0"/>
          <w:marTop w:val="0"/>
          <w:marBottom w:val="0"/>
          <w:divBdr>
            <w:top w:val="none" w:sz="0" w:space="0" w:color="auto"/>
            <w:left w:val="none" w:sz="0" w:space="0" w:color="auto"/>
            <w:bottom w:val="none" w:sz="0" w:space="0" w:color="auto"/>
            <w:right w:val="none" w:sz="0" w:space="0" w:color="auto"/>
          </w:divBdr>
        </w:div>
        <w:div w:id="905409015">
          <w:marLeft w:val="0"/>
          <w:marRight w:val="0"/>
          <w:marTop w:val="0"/>
          <w:marBottom w:val="0"/>
          <w:divBdr>
            <w:top w:val="none" w:sz="0" w:space="0" w:color="auto"/>
            <w:left w:val="none" w:sz="0" w:space="0" w:color="auto"/>
            <w:bottom w:val="none" w:sz="0" w:space="0" w:color="auto"/>
            <w:right w:val="none" w:sz="0" w:space="0" w:color="auto"/>
          </w:divBdr>
        </w:div>
        <w:div w:id="1196112574">
          <w:marLeft w:val="0"/>
          <w:marRight w:val="0"/>
          <w:marTop w:val="0"/>
          <w:marBottom w:val="0"/>
          <w:divBdr>
            <w:top w:val="none" w:sz="0" w:space="0" w:color="auto"/>
            <w:left w:val="none" w:sz="0" w:space="0" w:color="auto"/>
            <w:bottom w:val="none" w:sz="0" w:space="0" w:color="auto"/>
            <w:right w:val="none" w:sz="0" w:space="0" w:color="auto"/>
          </w:divBdr>
        </w:div>
        <w:div w:id="1220550745">
          <w:marLeft w:val="0"/>
          <w:marRight w:val="0"/>
          <w:marTop w:val="0"/>
          <w:marBottom w:val="0"/>
          <w:divBdr>
            <w:top w:val="none" w:sz="0" w:space="0" w:color="auto"/>
            <w:left w:val="none" w:sz="0" w:space="0" w:color="auto"/>
            <w:bottom w:val="none" w:sz="0" w:space="0" w:color="auto"/>
            <w:right w:val="none" w:sz="0" w:space="0" w:color="auto"/>
          </w:divBdr>
        </w:div>
        <w:div w:id="1362393200">
          <w:marLeft w:val="0"/>
          <w:marRight w:val="0"/>
          <w:marTop w:val="0"/>
          <w:marBottom w:val="0"/>
          <w:divBdr>
            <w:top w:val="none" w:sz="0" w:space="0" w:color="auto"/>
            <w:left w:val="none" w:sz="0" w:space="0" w:color="auto"/>
            <w:bottom w:val="none" w:sz="0" w:space="0" w:color="auto"/>
            <w:right w:val="none" w:sz="0" w:space="0" w:color="auto"/>
          </w:divBdr>
        </w:div>
        <w:div w:id="2028747004">
          <w:marLeft w:val="0"/>
          <w:marRight w:val="0"/>
          <w:marTop w:val="0"/>
          <w:marBottom w:val="0"/>
          <w:divBdr>
            <w:top w:val="none" w:sz="0" w:space="0" w:color="auto"/>
            <w:left w:val="none" w:sz="0" w:space="0" w:color="auto"/>
            <w:bottom w:val="none" w:sz="0" w:space="0" w:color="auto"/>
            <w:right w:val="none" w:sz="0" w:space="0" w:color="auto"/>
          </w:divBdr>
        </w:div>
        <w:div w:id="2079092441">
          <w:marLeft w:val="0"/>
          <w:marRight w:val="0"/>
          <w:marTop w:val="0"/>
          <w:marBottom w:val="0"/>
          <w:divBdr>
            <w:top w:val="none" w:sz="0" w:space="0" w:color="auto"/>
            <w:left w:val="none" w:sz="0" w:space="0" w:color="auto"/>
            <w:bottom w:val="none" w:sz="0" w:space="0" w:color="auto"/>
            <w:right w:val="none" w:sz="0" w:space="0" w:color="auto"/>
          </w:divBdr>
        </w:div>
      </w:divsChild>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272205941">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422681975">
      <w:bodyDiv w:val="1"/>
      <w:marLeft w:val="0"/>
      <w:marRight w:val="0"/>
      <w:marTop w:val="0"/>
      <w:marBottom w:val="0"/>
      <w:divBdr>
        <w:top w:val="none" w:sz="0" w:space="0" w:color="auto"/>
        <w:left w:val="none" w:sz="0" w:space="0" w:color="auto"/>
        <w:bottom w:val="none" w:sz="0" w:space="0" w:color="auto"/>
        <w:right w:val="none" w:sz="0" w:space="0" w:color="auto"/>
      </w:divBdr>
    </w:div>
    <w:div w:id="1448505692">
      <w:bodyDiv w:val="1"/>
      <w:marLeft w:val="0"/>
      <w:marRight w:val="0"/>
      <w:marTop w:val="0"/>
      <w:marBottom w:val="0"/>
      <w:divBdr>
        <w:top w:val="none" w:sz="0" w:space="0" w:color="auto"/>
        <w:left w:val="none" w:sz="0" w:space="0" w:color="auto"/>
        <w:bottom w:val="none" w:sz="0" w:space="0" w:color="auto"/>
        <w:right w:val="none" w:sz="0" w:space="0" w:color="auto"/>
      </w:divBdr>
    </w:div>
    <w:div w:id="1451513706">
      <w:bodyDiv w:val="1"/>
      <w:marLeft w:val="0"/>
      <w:marRight w:val="0"/>
      <w:marTop w:val="0"/>
      <w:marBottom w:val="0"/>
      <w:divBdr>
        <w:top w:val="none" w:sz="0" w:space="0" w:color="auto"/>
        <w:left w:val="none" w:sz="0" w:space="0" w:color="auto"/>
        <w:bottom w:val="none" w:sz="0" w:space="0" w:color="auto"/>
        <w:right w:val="none" w:sz="0" w:space="0" w:color="auto"/>
      </w:divBdr>
      <w:divsChild>
        <w:div w:id="182208016">
          <w:marLeft w:val="0"/>
          <w:marRight w:val="0"/>
          <w:marTop w:val="105"/>
          <w:marBottom w:val="105"/>
          <w:divBdr>
            <w:top w:val="none" w:sz="0" w:space="0" w:color="auto"/>
            <w:left w:val="none" w:sz="0" w:space="0" w:color="auto"/>
            <w:bottom w:val="none" w:sz="0" w:space="0" w:color="auto"/>
            <w:right w:val="none" w:sz="0" w:space="0" w:color="auto"/>
          </w:divBdr>
        </w:div>
        <w:div w:id="1847161686">
          <w:marLeft w:val="0"/>
          <w:marRight w:val="0"/>
          <w:marTop w:val="105"/>
          <w:marBottom w:val="105"/>
          <w:divBdr>
            <w:top w:val="none" w:sz="0" w:space="0" w:color="auto"/>
            <w:left w:val="none" w:sz="0" w:space="0" w:color="auto"/>
            <w:bottom w:val="none" w:sz="0" w:space="0" w:color="auto"/>
            <w:right w:val="none" w:sz="0" w:space="0" w:color="auto"/>
          </w:divBdr>
        </w:div>
      </w:divsChild>
    </w:div>
    <w:div w:id="1541672740">
      <w:bodyDiv w:val="1"/>
      <w:marLeft w:val="0"/>
      <w:marRight w:val="0"/>
      <w:marTop w:val="0"/>
      <w:marBottom w:val="0"/>
      <w:divBdr>
        <w:top w:val="none" w:sz="0" w:space="0" w:color="auto"/>
        <w:left w:val="none" w:sz="0" w:space="0" w:color="auto"/>
        <w:bottom w:val="none" w:sz="0" w:space="0" w:color="auto"/>
        <w:right w:val="none" w:sz="0" w:space="0" w:color="auto"/>
      </w:divBdr>
    </w:div>
    <w:div w:id="1669206651">
      <w:bodyDiv w:val="1"/>
      <w:marLeft w:val="0"/>
      <w:marRight w:val="0"/>
      <w:marTop w:val="0"/>
      <w:marBottom w:val="0"/>
      <w:divBdr>
        <w:top w:val="none" w:sz="0" w:space="0" w:color="auto"/>
        <w:left w:val="none" w:sz="0" w:space="0" w:color="auto"/>
        <w:bottom w:val="none" w:sz="0" w:space="0" w:color="auto"/>
        <w:right w:val="none" w:sz="0" w:space="0" w:color="auto"/>
      </w:divBdr>
      <w:divsChild>
        <w:div w:id="43067991">
          <w:marLeft w:val="0"/>
          <w:marRight w:val="0"/>
          <w:marTop w:val="0"/>
          <w:marBottom w:val="0"/>
          <w:divBdr>
            <w:top w:val="none" w:sz="0" w:space="0" w:color="auto"/>
            <w:left w:val="none" w:sz="0" w:space="0" w:color="auto"/>
            <w:bottom w:val="none" w:sz="0" w:space="0" w:color="auto"/>
            <w:right w:val="none" w:sz="0" w:space="0" w:color="auto"/>
          </w:divBdr>
        </w:div>
        <w:div w:id="165750783">
          <w:marLeft w:val="0"/>
          <w:marRight w:val="0"/>
          <w:marTop w:val="0"/>
          <w:marBottom w:val="0"/>
          <w:divBdr>
            <w:top w:val="none" w:sz="0" w:space="0" w:color="auto"/>
            <w:left w:val="none" w:sz="0" w:space="0" w:color="auto"/>
            <w:bottom w:val="none" w:sz="0" w:space="0" w:color="auto"/>
            <w:right w:val="none" w:sz="0" w:space="0" w:color="auto"/>
          </w:divBdr>
        </w:div>
      </w:divsChild>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63531703">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112431791">
      <w:bodyDiv w:val="1"/>
      <w:marLeft w:val="0"/>
      <w:marRight w:val="0"/>
      <w:marTop w:val="0"/>
      <w:marBottom w:val="0"/>
      <w:divBdr>
        <w:top w:val="none" w:sz="0" w:space="0" w:color="auto"/>
        <w:left w:val="none" w:sz="0" w:space="0" w:color="auto"/>
        <w:bottom w:val="none" w:sz="0" w:space="0" w:color="auto"/>
        <w:right w:val="none" w:sz="0" w:space="0" w:color="auto"/>
      </w:divBdr>
    </w:div>
    <w:div w:id="2146653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1/np-mop-01-dec-09-fr.pdf" TargetMode="Externa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hyperlink" Target="https://www.cbd.int/doc/recommendations/sbi-03/sbi-03-rec-08-fr.docx"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np-mop-02/np-mop-02-dec-08-fr.pdf" TargetMode="External"/><Relationship Id="rId25" Type="http://schemas.openxmlformats.org/officeDocument/2006/relationships/chart" Target="charts/chart4.xm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01-fr.pdf" TargetMode="External"/><Relationship Id="rId20" Type="http://schemas.openxmlformats.org/officeDocument/2006/relationships/hyperlink" Target="https://www.cbd.int/doc/decisions/cop-14/cop-14-dec-24-fr.pdf" TargetMode="Externa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chart" Target="charts/chart3.xml"/><Relationship Id="rId32" Type="http://schemas.openxmlformats.org/officeDocument/2006/relationships/hyperlink" Target="https://www.cbd.int/doc/recommendations/sbi-03/sbi-03-rec-09-fr.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3/np-mop-03-dec-05-fr.pdf" TargetMode="External"/><Relationship Id="rId23" Type="http://schemas.openxmlformats.org/officeDocument/2006/relationships/chart" Target="charts/chart2.xml"/><Relationship Id="rId28" Type="http://schemas.openxmlformats.org/officeDocument/2006/relationships/chart" Target="charts/chart6.xm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decisions/np-mop-03/np-mop-03-dec-06-fr.docx" TargetMode="External"/><Relationship Id="rId31" Type="http://schemas.openxmlformats.org/officeDocument/2006/relationships/hyperlink" Target="https://www.cbd.int/doc/notifications/2021/ntf-2021-037-abs-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8-fr.pdf" TargetMode="External"/><Relationship Id="rId22" Type="http://schemas.openxmlformats.org/officeDocument/2006/relationships/chart" Target="charts/chart1.xml"/><Relationship Id="rId27" Type="http://schemas.openxmlformats.org/officeDocument/2006/relationships/hyperlink" Target="https://www.cbd.int/doc/decisions/np-mop-01/np-mop-01-dec-02-en.pdf" TargetMode="External"/><Relationship Id="rId30" Type="http://schemas.openxmlformats.org/officeDocument/2006/relationships/hyperlink" Target="https://www.cbd.int/abs/doc/cepa-toolkit-fr.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xJ0ZjpY0VQo" TargetMode="External"/><Relationship Id="rId13" Type="http://schemas.openxmlformats.org/officeDocument/2006/relationships/hyperlink" Target="https://www.cbd.int/abs/doc/cepa-toolkit-fr.pdf" TargetMode="External"/><Relationship Id="rId3" Type="http://schemas.openxmlformats.org/officeDocument/2006/relationships/hyperlink" Target="https://www.cbd.int/dsi-gr/forum.shtml" TargetMode="External"/><Relationship Id="rId7" Type="http://schemas.openxmlformats.org/officeDocument/2006/relationships/hyperlink" Target="https://vimeo.com/263320356/513f748f8a" TargetMode="External"/><Relationship Id="rId12" Type="http://schemas.openxmlformats.org/officeDocument/2006/relationships/hyperlink" Target="https://www.cbd.int/abs/doc/cepa-toolkit-fr.pdf" TargetMode="External"/><Relationship Id="rId2" Type="http://schemas.openxmlformats.org/officeDocument/2006/relationships/hyperlink" Target="https://www.cbd.int/article/dsi-webinar-series-2020" TargetMode="External"/><Relationship Id="rId1" Type="http://schemas.openxmlformats.org/officeDocument/2006/relationships/hyperlink" Target="https://www.cbd.int/doc/c/3641/529d/6c2a79ecba9a6fa1fa276aa1/np-cb-ws-2019-01-02-en.pdf" TargetMode="External"/><Relationship Id="rId6" Type="http://schemas.openxmlformats.org/officeDocument/2006/relationships/hyperlink" Target="https://scbd.unssc.org/course/index.php?categoryid=4" TargetMode="External"/><Relationship Id="rId11" Type="http://schemas.openxmlformats.org/officeDocument/2006/relationships/hyperlink" Target="https://absch.cbd.int/fr/" TargetMode="External"/><Relationship Id="rId5" Type="http://schemas.openxmlformats.org/officeDocument/2006/relationships/hyperlink" Target="https://www.cbd.int/biobridge/projects/selected" TargetMode="External"/><Relationship Id="rId10" Type="http://schemas.openxmlformats.org/officeDocument/2006/relationships/hyperlink" Target="https://www.abs-biotrade.info/" TargetMode="External"/><Relationship Id="rId4" Type="http://schemas.openxmlformats.org/officeDocument/2006/relationships/hyperlink" Target="https://www.cbd.int/biobridge/" TargetMode="External"/><Relationship Id="rId9" Type="http://schemas.openxmlformats.org/officeDocument/2006/relationships/hyperlink" Target="https://www.cbd.int/doc/c/ad17/76f8/cab36f3adfecf8328605e346/np-cbiac-2019-01-02-fr.doc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Copie%20de%20Copy%20of%20Complete%20Matrix%20-%20CB%20projects%202021ES%20REVISED%20FOR%20EDITORS-1194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Copie%20de%20Copy%20of%20Complete%20Matrix%20-%20CB%20projects%202021ES%20REVISED%20FOR%20EDITORS-1194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Copie%20de%20Copy%20of%20Complete%20Matrix%20-%20CB%20projects%202021ES%20REVISED%20FOR%20EDITORS-1194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Copie%20de%20Copy%20of%20Complete%20Matrix%20-%20CB%20projects%202021ES%20REVISED%20FOR%20EDITORS-1194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esktop\Copie%20de%20Copy%20of%20Complete%20Matrix%20-%20CB%20projects%202021ES%20REVISED%20FOR%20EDITORS-1194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esktop\Copie%20de%20List%20of%20cb%20resources%202021-11944.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User\Desktop\Copie%20de%20List%20of%20cb%20resources%202021-11944.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r>
              <a:rPr lang="en-US" sz="1100" b="1" cap="none" baseline="0">
                <a:solidFill>
                  <a:sysClr val="windowText" lastClr="000000"/>
                </a:solidFill>
                <a:latin typeface="Times New Roman" panose="02020603050405020304" pitchFamily="18" charset="0"/>
                <a:cs typeface="Times New Roman" panose="02020603050405020304" pitchFamily="18" charset="0"/>
              </a:rPr>
              <a:t>Figure 1 : État d'avancement des initiatives de renforcement des capacités</a:t>
            </a:r>
          </a:p>
          <a:p>
            <a:pPr>
              <a:defRPr>
                <a:solidFill>
                  <a:sysClr val="windowText" lastClr="000000"/>
                </a:solidFill>
              </a:defRPr>
            </a:pPr>
            <a:r>
              <a:rPr lang="en-US" sz="1100" b="1" cap="none" baseline="0">
                <a:solidFill>
                  <a:sysClr val="windowText" lastClr="000000"/>
                </a:solidFill>
                <a:latin typeface="Times New Roman" panose="02020603050405020304" pitchFamily="18" charset="0"/>
                <a:cs typeface="Times New Roman" panose="02020603050405020304" pitchFamily="18" charset="0"/>
              </a:rPr>
              <a:t>(n = 103)</a:t>
            </a:r>
          </a:p>
        </c:rich>
      </c:tx>
      <c:layout>
        <c:manualLayout>
          <c:xMode val="edge"/>
          <c:yMode val="edge"/>
          <c:x val="0.12551995886444209"/>
          <c:y val="1.2043793889908344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endParaRPr lang="fr-FR"/>
        </a:p>
      </c:txPr>
    </c:title>
    <c:autoTitleDeleted val="0"/>
    <c:plotArea>
      <c:layout>
        <c:manualLayout>
          <c:layoutTarget val="inner"/>
          <c:xMode val="edge"/>
          <c:yMode val="edge"/>
          <c:x val="0.39947249951885666"/>
          <c:y val="0.36241306579721722"/>
          <c:w val="0.24826445312826864"/>
          <c:h val="0.63725272884260986"/>
        </c:manualLayout>
      </c:layout>
      <c:pieChart>
        <c:varyColors val="1"/>
        <c:ser>
          <c:idx val="0"/>
          <c:order val="0"/>
          <c:dPt>
            <c:idx val="0"/>
            <c:bubble3D val="0"/>
            <c:spPr>
              <a:pattFill prst="dkUpDiag">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49D4-4897-81D0-81043EF54F8B}"/>
              </c:ext>
            </c:extLst>
          </c:dPt>
          <c:dPt>
            <c:idx val="1"/>
            <c:bubble3D val="0"/>
            <c:spPr>
              <a:pattFill prst="pct5">
                <a:fgClr>
                  <a:schemeClr val="bg1">
                    <a:lumMod val="65000"/>
                  </a:schemeClr>
                </a:fgClr>
                <a:bgClr>
                  <a:schemeClr val="bg1"/>
                </a:bgClr>
              </a:patt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49D4-4897-81D0-81043EF54F8B}"/>
              </c:ext>
            </c:extLst>
          </c:dPt>
          <c:dPt>
            <c:idx val="2"/>
            <c:bubble3D val="0"/>
            <c:spPr>
              <a:solidFill>
                <a:schemeClr val="bg1">
                  <a:lumMod val="75000"/>
                </a:schemeClr>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49D4-4897-81D0-81043EF54F8B}"/>
              </c:ext>
            </c:extLst>
          </c:dPt>
          <c:dPt>
            <c:idx val="3"/>
            <c:bubble3D val="0"/>
            <c:spPr>
              <a:solidFill>
                <a:schemeClr val="tx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49D4-4897-81D0-81043EF54F8B}"/>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0"/>
              <c:showCatName val="1"/>
              <c:showSerName val="0"/>
              <c:showPercent val="1"/>
              <c:showBubbleSize val="0"/>
              <c:extLst>
                <c:ext xmlns:c16="http://schemas.microsoft.com/office/drawing/2014/chart" uri="{C3380CC4-5D6E-409C-BE32-E72D297353CC}">
                  <c16:uniqueId val="{00000001-49D4-4897-81D0-81043EF54F8B}"/>
                </c:ext>
              </c:extLst>
            </c:dLbl>
            <c:dLbl>
              <c:idx val="1"/>
              <c:layout>
                <c:manualLayout>
                  <c:x val="2.7495872912776378E-3"/>
                  <c:y val="3.613138166972505E-2"/>
                </c:manualLayout>
              </c:layout>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49D4-4897-81D0-81043EF54F8B}"/>
                </c:ext>
              </c:extLst>
            </c:dLbl>
            <c:dLbl>
              <c:idx val="2"/>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0"/>
              <c:showCatName val="1"/>
              <c:showSerName val="0"/>
              <c:showPercent val="1"/>
              <c:showBubbleSize val="0"/>
              <c:extLst>
                <c:ext xmlns:c16="http://schemas.microsoft.com/office/drawing/2014/chart" uri="{C3380CC4-5D6E-409C-BE32-E72D297353CC}">
                  <c16:uniqueId val="{00000005-49D4-4897-81D0-81043EF54F8B}"/>
                </c:ext>
              </c:extLst>
            </c:dLbl>
            <c:dLbl>
              <c:idx val="3"/>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0"/>
              <c:showCatName val="1"/>
              <c:showSerName val="0"/>
              <c:showPercent val="1"/>
              <c:showBubbleSize val="0"/>
              <c:extLst>
                <c:ext xmlns:c16="http://schemas.microsoft.com/office/drawing/2014/chart" uri="{C3380CC4-5D6E-409C-BE32-E72D297353CC}">
                  <c16:uniqueId val="{00000007-49D4-4897-81D0-81043EF54F8B}"/>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extLst>
          </c:dLbls>
          <c:cat>
            <c:strRef>
              <c:f>'Analysis 2021'!$C$4:$F$4</c:f>
              <c:strCache>
                <c:ptCount val="4"/>
                <c:pt idx="0">
                  <c:v>Proposées</c:v>
                </c:pt>
                <c:pt idx="1">
                  <c:v>Approuvées</c:v>
                </c:pt>
                <c:pt idx="2">
                  <c:v>En cours</c:v>
                </c:pt>
                <c:pt idx="3">
                  <c:v>Terminées</c:v>
                </c:pt>
              </c:strCache>
            </c:strRef>
          </c:cat>
          <c:val>
            <c:numRef>
              <c:f>'Analysis 2021'!$C$10:$F$10</c:f>
              <c:numCache>
                <c:formatCode>General</c:formatCode>
                <c:ptCount val="4"/>
                <c:pt idx="0">
                  <c:v>3</c:v>
                </c:pt>
                <c:pt idx="1">
                  <c:v>8</c:v>
                </c:pt>
                <c:pt idx="2">
                  <c:v>24</c:v>
                </c:pt>
                <c:pt idx="3">
                  <c:v>68</c:v>
                </c:pt>
              </c:numCache>
            </c:numRef>
          </c:val>
          <c:extLst>
            <c:ext xmlns:c16="http://schemas.microsoft.com/office/drawing/2014/chart" uri="{C3380CC4-5D6E-409C-BE32-E72D297353CC}">
              <c16:uniqueId val="{00000008-49D4-4897-81D0-81043EF54F8B}"/>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000" b="0" i="0" u="none" strike="noStrike" baseline="0">
                <a:solidFill>
                  <a:srgbClr val="000000"/>
                </a:solidFill>
                <a:latin typeface="Times New Roman"/>
                <a:ea typeface="Times New Roman"/>
                <a:cs typeface="Times New Roman"/>
              </a:defRPr>
            </a:pPr>
            <a:r>
              <a:rPr lang="en-US" sz="1100" b="1" i="0" u="none" strike="noStrike" baseline="0">
                <a:solidFill>
                  <a:srgbClr val="000000"/>
                </a:solidFill>
                <a:latin typeface="Times New Roman"/>
                <a:cs typeface="Times New Roman"/>
              </a:rPr>
              <a:t>Figure 2 : Initiatives de renforcement des capacités par type et par région</a:t>
            </a:r>
            <a:br>
              <a:rPr lang="en-US" sz="1100" b="1" i="0" u="none" strike="noStrike" baseline="0">
                <a:solidFill>
                  <a:srgbClr val="000000"/>
                </a:solidFill>
                <a:latin typeface="Times New Roman"/>
                <a:cs typeface="Times New Roman"/>
              </a:rPr>
            </a:br>
            <a:r>
              <a:rPr lang="en-US" sz="1100" b="1" i="0" u="none" strike="noStrike" baseline="0">
                <a:solidFill>
                  <a:srgbClr val="000000"/>
                </a:solidFill>
                <a:latin typeface="Times New Roman"/>
                <a:cs typeface="Times New Roman"/>
              </a:rPr>
              <a:t>(n=103)</a:t>
            </a:r>
          </a:p>
        </c:rich>
      </c:tx>
      <c:overlay val="0"/>
    </c:title>
    <c:autoTitleDeleted val="0"/>
    <c:plotArea>
      <c:layout>
        <c:manualLayout>
          <c:layoutTarget val="inner"/>
          <c:xMode val="edge"/>
          <c:yMode val="edge"/>
          <c:x val="0.10907391977664842"/>
          <c:y val="0.29214129483814522"/>
          <c:w val="0.88205605601238923"/>
          <c:h val="0.4785345581802275"/>
        </c:manualLayout>
      </c:layout>
      <c:barChart>
        <c:barDir val="col"/>
        <c:grouping val="stacked"/>
        <c:varyColors val="0"/>
        <c:ser>
          <c:idx val="0"/>
          <c:order val="0"/>
          <c:tx>
            <c:strRef>
              <c:f>'Analysis 2021'!$C$38</c:f>
              <c:strCache>
                <c:ptCount val="1"/>
                <c:pt idx="0">
                  <c:v>Nationales</c:v>
                </c:pt>
              </c:strCache>
            </c:strRef>
          </c:tx>
          <c:spPr>
            <a:solidFill>
              <a:schemeClr val="bg1">
                <a:lumMod val="75000"/>
              </a:schemeClr>
            </a:solidFill>
          </c:spPr>
          <c:invertIfNegative val="0"/>
          <c:dLbls>
            <c:dLbl>
              <c:idx val="4"/>
              <c:delete val="1"/>
              <c:extLst>
                <c:ext xmlns:c15="http://schemas.microsoft.com/office/drawing/2012/chart" uri="{CE6537A1-D6FC-4f65-9D91-7224C49458BB}"/>
                <c:ext xmlns:c16="http://schemas.microsoft.com/office/drawing/2014/chart" uri="{C3380CC4-5D6E-409C-BE32-E72D297353CC}">
                  <c16:uniqueId val="{00000000-0BBF-4E73-A3F1-E95692DAB7F2}"/>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Afrique</c:v>
                </c:pt>
                <c:pt idx="1">
                  <c:v>Asie-Pacifique</c:v>
                </c:pt>
                <c:pt idx="2">
                  <c:v>PECO</c:v>
                </c:pt>
                <c:pt idx="3">
                  <c:v>GRULAC</c:v>
                </c:pt>
                <c:pt idx="4">
                  <c:v>Monde</c:v>
                </c:pt>
              </c:strCache>
            </c:strRef>
          </c:cat>
          <c:val>
            <c:numRef>
              <c:f>'Analysis 2021'!$C$39:$C$43</c:f>
              <c:numCache>
                <c:formatCode>General</c:formatCode>
                <c:ptCount val="5"/>
                <c:pt idx="0">
                  <c:v>37</c:v>
                </c:pt>
                <c:pt idx="1">
                  <c:v>27</c:v>
                </c:pt>
                <c:pt idx="2">
                  <c:v>1</c:v>
                </c:pt>
                <c:pt idx="3">
                  <c:v>17</c:v>
                </c:pt>
                <c:pt idx="4">
                  <c:v>0</c:v>
                </c:pt>
              </c:numCache>
            </c:numRef>
          </c:val>
          <c:extLst>
            <c:ext xmlns:c16="http://schemas.microsoft.com/office/drawing/2014/chart" uri="{C3380CC4-5D6E-409C-BE32-E72D297353CC}">
              <c16:uniqueId val="{00000001-0BBF-4E73-A3F1-E95692DAB7F2}"/>
            </c:ext>
          </c:extLst>
        </c:ser>
        <c:ser>
          <c:idx val="1"/>
          <c:order val="1"/>
          <c:tx>
            <c:strRef>
              <c:f>'Analysis 2021'!$D$38</c:f>
              <c:strCache>
                <c:ptCount val="1"/>
                <c:pt idx="0">
                  <c:v>Régionales/Infrarégionales</c:v>
                </c:pt>
              </c:strCache>
            </c:strRef>
          </c:tx>
          <c:spPr>
            <a:pattFill prst="pct25">
              <a:fgClr>
                <a:schemeClr val="tx1">
                  <a:lumMod val="50000"/>
                  <a:lumOff val="50000"/>
                </a:schemeClr>
              </a:fgClr>
              <a:bgClr>
                <a:schemeClr val="bg1"/>
              </a:bgClr>
            </a:pattFill>
            <a:ln>
              <a:noFill/>
            </a:ln>
          </c:spPr>
          <c:invertIfNegative val="0"/>
          <c:dLbls>
            <c:dLbl>
              <c:idx val="2"/>
              <c:layout>
                <c:manualLayout>
                  <c:x val="0"/>
                  <c:y val="-6.9444444444444448E-2"/>
                </c:manualLayout>
              </c:layout>
              <c:spPr/>
              <c:txPr>
                <a:bodyPr/>
                <a:lstStyle/>
                <a:p>
                  <a:pPr>
                    <a:defRPr sz="1000" b="0" i="0" u="none" strike="noStrike" baseline="0">
                      <a:solidFill>
                        <a:srgbClr val="000000"/>
                      </a:solidFill>
                      <a:latin typeface="Times New Roman"/>
                      <a:ea typeface="Times New Roman"/>
                      <a:cs typeface="Times New Roman"/>
                    </a:defRPr>
                  </a:pPr>
                  <a:endParaRPr lang="fr-FR"/>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BF-4E73-A3F1-E95692DAB7F2}"/>
                </c:ext>
              </c:extLst>
            </c:dLbl>
            <c:dLbl>
              <c:idx val="4"/>
              <c:delete val="1"/>
              <c:extLst>
                <c:ext xmlns:c15="http://schemas.microsoft.com/office/drawing/2012/chart" uri="{CE6537A1-D6FC-4f65-9D91-7224C49458BB}"/>
                <c:ext xmlns:c16="http://schemas.microsoft.com/office/drawing/2014/chart" uri="{C3380CC4-5D6E-409C-BE32-E72D297353CC}">
                  <c16:uniqueId val="{00000003-0BBF-4E73-A3F1-E95692DAB7F2}"/>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Afrique</c:v>
                </c:pt>
                <c:pt idx="1">
                  <c:v>Asie-Pacifique</c:v>
                </c:pt>
                <c:pt idx="2">
                  <c:v>PECO</c:v>
                </c:pt>
                <c:pt idx="3">
                  <c:v>GRULAC</c:v>
                </c:pt>
                <c:pt idx="4">
                  <c:v>Monde</c:v>
                </c:pt>
              </c:strCache>
            </c:strRef>
          </c:cat>
          <c:val>
            <c:numRef>
              <c:f>'Analysis 2021'!$D$39:$D$43</c:f>
              <c:numCache>
                <c:formatCode>General</c:formatCode>
                <c:ptCount val="5"/>
                <c:pt idx="0">
                  <c:v>8</c:v>
                </c:pt>
                <c:pt idx="1">
                  <c:v>6</c:v>
                </c:pt>
                <c:pt idx="3">
                  <c:v>4</c:v>
                </c:pt>
                <c:pt idx="4">
                  <c:v>0</c:v>
                </c:pt>
              </c:numCache>
            </c:numRef>
          </c:val>
          <c:extLst>
            <c:ext xmlns:c16="http://schemas.microsoft.com/office/drawing/2014/chart" uri="{C3380CC4-5D6E-409C-BE32-E72D297353CC}">
              <c16:uniqueId val="{00000004-0BBF-4E73-A3F1-E95692DAB7F2}"/>
            </c:ext>
          </c:extLst>
        </c:ser>
        <c:ser>
          <c:idx val="2"/>
          <c:order val="2"/>
          <c:tx>
            <c:strRef>
              <c:f>'Analysis 2021'!$E$38</c:f>
              <c:strCache>
                <c:ptCount val="1"/>
                <c:pt idx="0">
                  <c:v>Mondiales</c:v>
                </c:pt>
              </c:strCache>
            </c:strRef>
          </c:tx>
          <c:spPr>
            <a:pattFill prst="pct80">
              <a:fgClr>
                <a:schemeClr val="tx1">
                  <a:lumMod val="50000"/>
                  <a:lumOff val="50000"/>
                </a:schemeClr>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fr-FR"/>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BBF-4E73-A3F1-E95692DAB7F2}"/>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2021'!$B$39:$B$43</c:f>
              <c:strCache>
                <c:ptCount val="5"/>
                <c:pt idx="0">
                  <c:v>Afrique</c:v>
                </c:pt>
                <c:pt idx="1">
                  <c:v>Asie-Pacifique</c:v>
                </c:pt>
                <c:pt idx="2">
                  <c:v>PECO</c:v>
                </c:pt>
                <c:pt idx="3">
                  <c:v>GRULAC</c:v>
                </c:pt>
                <c:pt idx="4">
                  <c:v>Monde</c:v>
                </c:pt>
              </c:strCache>
            </c:strRef>
          </c:cat>
          <c:val>
            <c:numRef>
              <c:f>'Analysis 2021'!$E$39:$E$43</c:f>
              <c:numCache>
                <c:formatCode>General</c:formatCode>
                <c:ptCount val="5"/>
                <c:pt idx="4">
                  <c:v>3</c:v>
                </c:pt>
              </c:numCache>
            </c:numRef>
          </c:val>
          <c:extLst>
            <c:ext xmlns:c16="http://schemas.microsoft.com/office/drawing/2014/chart" uri="{C3380CC4-5D6E-409C-BE32-E72D297353CC}">
              <c16:uniqueId val="{00000006-0BBF-4E73-A3F1-E95692DAB7F2}"/>
            </c:ext>
          </c:extLst>
        </c:ser>
        <c:dLbls>
          <c:showLegendKey val="0"/>
          <c:showVal val="0"/>
          <c:showCatName val="0"/>
          <c:showSerName val="0"/>
          <c:showPercent val="0"/>
          <c:showBubbleSize val="0"/>
        </c:dLbls>
        <c:gapWidth val="75"/>
        <c:overlap val="100"/>
        <c:axId val="434687776"/>
        <c:axId val="1"/>
      </c:barChart>
      <c:catAx>
        <c:axId val="434687776"/>
        <c:scaling>
          <c:orientation val="minMax"/>
        </c:scaling>
        <c:delete val="0"/>
        <c:axPos val="b"/>
        <c:numFmt formatCode="General" sourceLinked="1"/>
        <c:majorTickMark val="none"/>
        <c:minorTickMark val="none"/>
        <c:tickLblPos val="nextTo"/>
        <c:txPr>
          <a:bodyPr rot="0" vert="horz"/>
          <a:lstStyle/>
          <a:p>
            <a:pPr>
              <a:defRPr sz="1100" b="0" i="0" u="none" strike="noStrike" baseline="0">
                <a:solidFill>
                  <a:srgbClr val="000000"/>
                </a:solidFill>
                <a:latin typeface="Times New Roman"/>
                <a:ea typeface="Times New Roman"/>
                <a:cs typeface="Times New Roman"/>
              </a:defRPr>
            </a:pPr>
            <a:endParaRPr lang="fr-FR"/>
          </a:p>
        </c:txPr>
        <c:crossAx val="1"/>
        <c:crosses val="autoZero"/>
        <c:auto val="1"/>
        <c:lblAlgn val="ctr"/>
        <c:lblOffset val="100"/>
        <c:noMultiLvlLbl val="0"/>
      </c:catAx>
      <c:valAx>
        <c:axId val="1"/>
        <c:scaling>
          <c:orientation val="minMax"/>
        </c:scaling>
        <c:delete val="0"/>
        <c:axPos val="l"/>
        <c:majorGridlines>
          <c:spPr>
            <a:ln>
              <a:noFill/>
            </a:ln>
          </c:spPr>
        </c:majorGridlines>
        <c:title>
          <c:tx>
            <c:rich>
              <a:bodyPr/>
              <a:lstStyle/>
              <a:p>
                <a:pPr>
                  <a:defRPr sz="1100" b="1" i="0" u="none" strike="noStrike" baseline="0">
                    <a:solidFill>
                      <a:srgbClr val="000000"/>
                    </a:solidFill>
                    <a:latin typeface="Times New Roman"/>
                    <a:ea typeface="Times New Roman"/>
                    <a:cs typeface="Times New Roman"/>
                  </a:defRPr>
                </a:pPr>
                <a:r>
                  <a:rPr lang="en-CA"/>
                  <a:t>Nombre d'initiatives</a:t>
                </a:r>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fr-FR"/>
          </a:p>
        </c:txPr>
        <c:crossAx val="434687776"/>
        <c:crosses val="autoZero"/>
        <c:crossBetween val="between"/>
        <c:majorUnit val="5"/>
      </c:valAx>
      <c:spPr>
        <a:ln>
          <a:noFill/>
        </a:ln>
      </c:spPr>
    </c:plotArea>
    <c:legend>
      <c:legendPos val="b"/>
      <c:layout>
        <c:manualLayout>
          <c:xMode val="edge"/>
          <c:yMode val="edge"/>
          <c:x val="0.1783443649372051"/>
          <c:y val="0.90724713758606268"/>
          <c:w val="0.82165563506279493"/>
          <c:h val="6.0869565217391286E-2"/>
        </c:manualLayout>
      </c:layout>
      <c:overlay val="0"/>
      <c:txPr>
        <a:bodyPr/>
        <a:lstStyle/>
        <a:p>
          <a:pPr>
            <a:defRPr sz="1100" b="0" i="0" u="none" strike="noStrike" baseline="0">
              <a:solidFill>
                <a:srgbClr val="000000"/>
              </a:solidFill>
              <a:latin typeface="Times New Roman"/>
              <a:ea typeface="Times New Roman"/>
              <a:cs typeface="Times New Roman"/>
            </a:defRPr>
          </a:pPr>
          <a:endParaRPr lang="fr-FR"/>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fr-F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100" b="1" i="0" u="none" strike="noStrike" baseline="0">
                <a:solidFill>
                  <a:srgbClr val="000000"/>
                </a:solidFill>
                <a:latin typeface="Times New Roman"/>
                <a:cs typeface="Times New Roman"/>
              </a:rPr>
              <a:t>Figure 3 : Initiatives de renforcement des capacités par durée</a:t>
            </a:r>
            <a:br>
              <a:rPr lang="en-US" sz="1100" b="1" i="0" u="none" strike="noStrike" baseline="0">
                <a:solidFill>
                  <a:srgbClr val="000000"/>
                </a:solidFill>
                <a:latin typeface="Times New Roman"/>
                <a:cs typeface="Times New Roman"/>
              </a:rPr>
            </a:br>
            <a:r>
              <a:rPr lang="en-US" sz="1100" b="1" i="0" u="none" strike="noStrike" baseline="0">
                <a:solidFill>
                  <a:srgbClr val="000000"/>
                </a:solidFill>
                <a:latin typeface="Times New Roman"/>
                <a:cs typeface="Times New Roman"/>
              </a:rPr>
              <a:t>(n = 103)</a:t>
            </a:r>
          </a:p>
        </c:rich>
      </c:tx>
      <c:overlay val="0"/>
    </c:title>
    <c:autoTitleDeleted val="0"/>
    <c:plotArea>
      <c:layout/>
      <c:barChart>
        <c:barDir val="bar"/>
        <c:grouping val="stacked"/>
        <c:varyColors val="0"/>
        <c:ser>
          <c:idx val="0"/>
          <c:order val="0"/>
          <c:tx>
            <c:strRef>
              <c:f>'Analysis 2021'!$B$23</c:f>
              <c:strCache>
                <c:ptCount val="1"/>
                <c:pt idx="0">
                  <c:v>Afrique</c:v>
                </c:pt>
              </c:strCache>
            </c:strRef>
          </c:tx>
          <c:spPr>
            <a:solidFill>
              <a:schemeClr val="tx1">
                <a:lumMod val="50000"/>
                <a:lumOff val="50000"/>
              </a:schemeClr>
            </a:solidFill>
            <a:ln>
              <a:noFill/>
            </a:ln>
          </c:spPr>
          <c:invertIfNegative val="0"/>
          <c:dLbls>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ans</c:v>
                </c:pt>
                <c:pt idx="1">
                  <c:v>2-5 ans</c:v>
                </c:pt>
                <c:pt idx="2">
                  <c:v>&gt; 5 ans</c:v>
                </c:pt>
              </c:strCache>
            </c:strRef>
          </c:cat>
          <c:val>
            <c:numRef>
              <c:f>'Analysis 2021'!$C$23:$E$23</c:f>
              <c:numCache>
                <c:formatCode>General</c:formatCode>
                <c:ptCount val="3"/>
                <c:pt idx="0">
                  <c:v>7</c:v>
                </c:pt>
                <c:pt idx="1">
                  <c:v>31</c:v>
                </c:pt>
                <c:pt idx="2">
                  <c:v>7</c:v>
                </c:pt>
              </c:numCache>
            </c:numRef>
          </c:val>
          <c:extLst>
            <c:ext xmlns:c16="http://schemas.microsoft.com/office/drawing/2014/chart" uri="{C3380CC4-5D6E-409C-BE32-E72D297353CC}">
              <c16:uniqueId val="{00000000-9CF7-41D9-A8D4-13057736AA63}"/>
            </c:ext>
          </c:extLst>
        </c:ser>
        <c:ser>
          <c:idx val="1"/>
          <c:order val="1"/>
          <c:tx>
            <c:strRef>
              <c:f>'Analysis 2021'!$B$24</c:f>
              <c:strCache>
                <c:ptCount val="1"/>
                <c:pt idx="0">
                  <c:v>Asie-Pacifique</c:v>
                </c:pt>
              </c:strCache>
            </c:strRef>
          </c:tx>
          <c:spPr>
            <a:pattFill prst="pct10">
              <a:fgClr>
                <a:schemeClr val="tx1"/>
              </a:fgClr>
              <a:bgClr>
                <a:schemeClr val="bg1">
                  <a:lumMod val="85000"/>
                </a:schemeClr>
              </a:bgClr>
            </a:pattFill>
            <a:ln>
              <a:noFill/>
            </a:ln>
          </c:spPr>
          <c:invertIfNegative val="0"/>
          <c:dLbls>
            <c:spPr>
              <a:noFill/>
              <a:ln w="25400">
                <a:noFill/>
              </a:ln>
            </c:spPr>
            <c:txPr>
              <a:bodyPr wrap="square" lIns="38100" tIns="19050" rIns="38100" bIns="19050" anchor="ctr">
                <a:spAutoFit/>
              </a:bodyPr>
              <a:lstStyle/>
              <a:p>
                <a:pPr>
                  <a:defRPr sz="1000" b="0" i="0" u="none" strike="noStrike" baseline="0">
                    <a:solidFill>
                      <a:sysClr val="windowText" lastClr="000000"/>
                    </a:solidFill>
                    <a:latin typeface="Calibri"/>
                    <a:ea typeface="Calibri"/>
                    <a:cs typeface="Calibri"/>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ans</c:v>
                </c:pt>
                <c:pt idx="1">
                  <c:v>2-5 ans</c:v>
                </c:pt>
                <c:pt idx="2">
                  <c:v>&gt; 5 ans</c:v>
                </c:pt>
              </c:strCache>
            </c:strRef>
          </c:cat>
          <c:val>
            <c:numRef>
              <c:f>'Analysis 2021'!$C$24:$E$24</c:f>
              <c:numCache>
                <c:formatCode>General</c:formatCode>
                <c:ptCount val="3"/>
                <c:pt idx="0">
                  <c:v>4</c:v>
                </c:pt>
                <c:pt idx="1">
                  <c:v>27</c:v>
                </c:pt>
                <c:pt idx="2">
                  <c:v>2</c:v>
                </c:pt>
              </c:numCache>
            </c:numRef>
          </c:val>
          <c:extLst>
            <c:ext xmlns:c16="http://schemas.microsoft.com/office/drawing/2014/chart" uri="{C3380CC4-5D6E-409C-BE32-E72D297353CC}">
              <c16:uniqueId val="{00000001-9CF7-41D9-A8D4-13057736AA63}"/>
            </c:ext>
          </c:extLst>
        </c:ser>
        <c:ser>
          <c:idx val="2"/>
          <c:order val="2"/>
          <c:tx>
            <c:strRef>
              <c:f>'Analysis 2021'!$B$25</c:f>
              <c:strCache>
                <c:ptCount val="1"/>
                <c:pt idx="0">
                  <c:v>PECO</c:v>
                </c:pt>
              </c:strCache>
            </c:strRef>
          </c:tx>
          <c:spPr>
            <a:solidFill>
              <a:schemeClr val="bg1">
                <a:lumMod val="75000"/>
              </a:schemeClr>
            </a:solidFill>
            <a:ln>
              <a:noFill/>
            </a:ln>
          </c:spPr>
          <c:invertIfNegative val="0"/>
          <c:cat>
            <c:strRef>
              <c:f>'Analysis 2021'!$C$22:$E$22</c:f>
              <c:strCache>
                <c:ptCount val="3"/>
                <c:pt idx="0">
                  <c:v>&lt; 2 ans</c:v>
                </c:pt>
                <c:pt idx="1">
                  <c:v>2-5 ans</c:v>
                </c:pt>
                <c:pt idx="2">
                  <c:v>&gt; 5 ans</c:v>
                </c:pt>
              </c:strCache>
            </c:strRef>
          </c:cat>
          <c:val>
            <c:numRef>
              <c:f>'Analysis 2021'!$C$25:$E$25</c:f>
              <c:numCache>
                <c:formatCode>General</c:formatCode>
                <c:ptCount val="3"/>
                <c:pt idx="0">
                  <c:v>0</c:v>
                </c:pt>
                <c:pt idx="1">
                  <c:v>0</c:v>
                </c:pt>
                <c:pt idx="2">
                  <c:v>1</c:v>
                </c:pt>
              </c:numCache>
            </c:numRef>
          </c:val>
          <c:extLst>
            <c:ext xmlns:c16="http://schemas.microsoft.com/office/drawing/2014/chart" uri="{C3380CC4-5D6E-409C-BE32-E72D297353CC}">
              <c16:uniqueId val="{00000002-9CF7-41D9-A8D4-13057736AA63}"/>
            </c:ext>
          </c:extLst>
        </c:ser>
        <c:ser>
          <c:idx val="3"/>
          <c:order val="3"/>
          <c:tx>
            <c:strRef>
              <c:f>'Analysis 2021'!$B$26</c:f>
              <c:strCache>
                <c:ptCount val="1"/>
                <c:pt idx="0">
                  <c:v>GRULAC</c:v>
                </c:pt>
              </c:strCache>
            </c:strRef>
          </c:tx>
          <c:spPr>
            <a:solidFill>
              <a:schemeClr val="tx1"/>
            </a:solidFill>
            <a:ln>
              <a:noFill/>
            </a:ln>
          </c:spPr>
          <c:invertIfNegative val="0"/>
          <c:dLbls>
            <c:dLbl>
              <c:idx val="2"/>
              <c:layout>
                <c:manualLayout>
                  <c:x val="0"/>
                  <c:y val="-9.6789716990787061E-2"/>
                </c:manualLayout>
              </c:layout>
              <c:spPr>
                <a:noFill/>
                <a:ln w="25400">
                  <a:noFill/>
                </a:ln>
              </c:spPr>
              <c:txPr>
                <a:bodyPr wrap="square" lIns="38100" tIns="19050" rIns="38100" bIns="19050" anchor="ctr">
                  <a:spAutoFit/>
                </a:bodyPr>
                <a:lstStyle/>
                <a:p>
                  <a:pPr>
                    <a:defRPr sz="1000" b="0" i="0" u="none" strike="noStrike" baseline="0">
                      <a:solidFill>
                        <a:schemeClr val="tx1"/>
                      </a:solidFill>
                      <a:latin typeface="Calibri"/>
                      <a:ea typeface="Calibri"/>
                      <a:cs typeface="Calibri"/>
                    </a:defRPr>
                  </a:pPr>
                  <a:endParaRPr lang="fr-FR"/>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CF7-41D9-A8D4-13057736AA63}"/>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ans</c:v>
                </c:pt>
                <c:pt idx="1">
                  <c:v>2-5 ans</c:v>
                </c:pt>
                <c:pt idx="2">
                  <c:v>&gt; 5 ans</c:v>
                </c:pt>
              </c:strCache>
            </c:strRef>
          </c:cat>
          <c:val>
            <c:numRef>
              <c:f>'Analysis 2021'!$C$26:$E$26</c:f>
              <c:numCache>
                <c:formatCode>General</c:formatCode>
                <c:ptCount val="3"/>
                <c:pt idx="0">
                  <c:v>2</c:v>
                </c:pt>
                <c:pt idx="1">
                  <c:v>18</c:v>
                </c:pt>
                <c:pt idx="2">
                  <c:v>1</c:v>
                </c:pt>
              </c:numCache>
            </c:numRef>
          </c:val>
          <c:extLst>
            <c:ext xmlns:c16="http://schemas.microsoft.com/office/drawing/2014/chart" uri="{C3380CC4-5D6E-409C-BE32-E72D297353CC}">
              <c16:uniqueId val="{00000004-9CF7-41D9-A8D4-13057736AA63}"/>
            </c:ext>
          </c:extLst>
        </c:ser>
        <c:ser>
          <c:idx val="4"/>
          <c:order val="4"/>
          <c:tx>
            <c:strRef>
              <c:f>'Analysis 2021'!$B$27</c:f>
              <c:strCache>
                <c:ptCount val="1"/>
                <c:pt idx="0">
                  <c:v>Monde</c:v>
                </c:pt>
              </c:strCache>
            </c:strRef>
          </c:tx>
          <c:spPr>
            <a:pattFill prst="pct60">
              <a:fgClr>
                <a:schemeClr val="bg1">
                  <a:lumMod val="75000"/>
                </a:schemeClr>
              </a:fgClr>
              <a:bgClr>
                <a:schemeClr val="tx1">
                  <a:lumMod val="50000"/>
                  <a:lumOff val="50000"/>
                </a:schemeClr>
              </a:bgClr>
            </a:pattFill>
            <a:ln>
              <a:noFill/>
            </a:ln>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5-9CF7-41D9-A8D4-13057736AA63}"/>
                </c:ext>
              </c:extLst>
            </c:dLbl>
            <c:dLbl>
              <c:idx val="2"/>
              <c:delete val="1"/>
              <c:extLst>
                <c:ext xmlns:c15="http://schemas.microsoft.com/office/drawing/2012/chart" uri="{CE6537A1-D6FC-4f65-9D91-7224C49458BB}"/>
                <c:ext xmlns:c16="http://schemas.microsoft.com/office/drawing/2014/chart" uri="{C3380CC4-5D6E-409C-BE32-E72D297353CC}">
                  <c16:uniqueId val="{00000006-9CF7-41D9-A8D4-13057736AA63}"/>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2021'!$C$22:$E$22</c:f>
              <c:strCache>
                <c:ptCount val="3"/>
                <c:pt idx="0">
                  <c:v>&lt; 2 ans</c:v>
                </c:pt>
                <c:pt idx="1">
                  <c:v>2-5 ans</c:v>
                </c:pt>
                <c:pt idx="2">
                  <c:v>&gt; 5 ans</c:v>
                </c:pt>
              </c:strCache>
            </c:strRef>
          </c:cat>
          <c:val>
            <c:numRef>
              <c:f>'Analysis 2021'!$C$27:$E$27</c:f>
              <c:numCache>
                <c:formatCode>General</c:formatCode>
                <c:ptCount val="3"/>
                <c:pt idx="0">
                  <c:v>0</c:v>
                </c:pt>
                <c:pt idx="1">
                  <c:v>2</c:v>
                </c:pt>
                <c:pt idx="2">
                  <c:v>1</c:v>
                </c:pt>
              </c:numCache>
            </c:numRef>
          </c:val>
          <c:extLst>
            <c:ext xmlns:c16="http://schemas.microsoft.com/office/drawing/2014/chart" uri="{C3380CC4-5D6E-409C-BE32-E72D297353CC}">
              <c16:uniqueId val="{00000007-9CF7-41D9-A8D4-13057736AA63}"/>
            </c:ext>
          </c:extLst>
        </c:ser>
        <c:dLbls>
          <c:showLegendKey val="0"/>
          <c:showVal val="0"/>
          <c:showCatName val="0"/>
          <c:showSerName val="0"/>
          <c:showPercent val="0"/>
          <c:showBubbleSize val="0"/>
        </c:dLbls>
        <c:gapWidth val="55"/>
        <c:overlap val="100"/>
        <c:axId val="434688432"/>
        <c:axId val="1"/>
      </c:barChart>
      <c:catAx>
        <c:axId val="434688432"/>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Durée (en années)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fr-FR"/>
          </a:p>
        </c:txPr>
        <c:crossAx val="1"/>
        <c:crosses val="autoZero"/>
        <c:auto val="1"/>
        <c:lblAlgn val="ctr"/>
        <c:lblOffset val="100"/>
        <c:noMultiLvlLbl val="0"/>
      </c:catAx>
      <c:valAx>
        <c:axId val="1"/>
        <c:scaling>
          <c:orientation val="minMax"/>
        </c:scaling>
        <c:delete val="0"/>
        <c:axPos val="b"/>
        <c:majorGridlines>
          <c:spPr>
            <a:ln>
              <a:noFill/>
            </a:ln>
          </c:spPr>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fr-FR"/>
          </a:p>
        </c:txPr>
        <c:crossAx val="434688432"/>
        <c:crosses val="autoZero"/>
        <c:crossBetween val="between"/>
      </c:valAx>
    </c:plotArea>
    <c:legend>
      <c:legendPos val="r"/>
      <c:layout>
        <c:manualLayout>
          <c:xMode val="edge"/>
          <c:yMode val="edge"/>
          <c:x val="0.84666399291964711"/>
          <c:y val="0.23317426445683795"/>
          <c:w val="0.13692512323773845"/>
          <c:h val="0.70322407055176817"/>
        </c:manualLayout>
      </c:layout>
      <c:overlay val="0"/>
      <c:txPr>
        <a:bodyPr/>
        <a:lstStyle/>
        <a:p>
          <a:pPr>
            <a:defRPr sz="1000" b="0" i="0" u="none" strike="noStrike" baseline="0">
              <a:solidFill>
                <a:srgbClr val="000000"/>
              </a:solidFill>
              <a:latin typeface="Times New Roman"/>
              <a:ea typeface="Times New Roman"/>
              <a:cs typeface="Times New Roman"/>
            </a:defRPr>
          </a:pPr>
          <a:endParaRPr lang="fr-FR"/>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US" sz="1100" b="1" i="0" u="none" strike="noStrike" baseline="0">
                <a:solidFill>
                  <a:srgbClr val="000000"/>
                </a:solidFill>
                <a:latin typeface="Times New Roman"/>
                <a:cs typeface="Times New Roman"/>
              </a:rPr>
              <a:t>Figure 4 : Volume de financement de base des initiatives de renforcement des capacités (projets nationaux uniquement)</a:t>
            </a:r>
            <a:br>
              <a:rPr lang="en-US" sz="1100" b="1" i="0" u="none" strike="noStrike" baseline="0">
                <a:solidFill>
                  <a:srgbClr val="000000"/>
                </a:solidFill>
                <a:latin typeface="Times New Roman"/>
                <a:cs typeface="Times New Roman"/>
              </a:rPr>
            </a:br>
            <a:r>
              <a:rPr lang="en-US" sz="1100" b="1" i="0" u="none" strike="noStrike" baseline="0">
                <a:solidFill>
                  <a:srgbClr val="000000"/>
                </a:solidFill>
                <a:latin typeface="Times New Roman"/>
                <a:cs typeface="Times New Roman"/>
              </a:rPr>
              <a:t>(n = 81) </a:t>
            </a:r>
          </a:p>
        </c:rich>
      </c:tx>
      <c:overlay val="0"/>
    </c:title>
    <c:autoTitleDeleted val="0"/>
    <c:plotArea>
      <c:layout/>
      <c:barChart>
        <c:barDir val="bar"/>
        <c:grouping val="stacked"/>
        <c:varyColors val="0"/>
        <c:ser>
          <c:idx val="3"/>
          <c:order val="0"/>
          <c:tx>
            <c:strRef>
              <c:f>'Analysis 2021'!$B$56</c:f>
              <c:strCache>
                <c:ptCount val="1"/>
                <c:pt idx="0">
                  <c:v>Afrique</c:v>
                </c:pt>
              </c:strCache>
            </c:strRef>
          </c:tx>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USD</c:v>
                </c:pt>
                <c:pt idx="1">
                  <c:v>500 000 -
2 000 000 USD</c:v>
                </c:pt>
                <c:pt idx="2">
                  <c:v>&gt; 2 000 000 USD</c:v>
                </c:pt>
              </c:strCache>
            </c:strRef>
          </c:cat>
          <c:val>
            <c:numRef>
              <c:f>'Analysis 2021'!$C$56:$F$56</c:f>
              <c:numCache>
                <c:formatCode>General</c:formatCode>
                <c:ptCount val="4"/>
                <c:pt idx="0">
                  <c:v>18</c:v>
                </c:pt>
                <c:pt idx="1">
                  <c:v>8</c:v>
                </c:pt>
                <c:pt idx="2">
                  <c:v>11</c:v>
                </c:pt>
              </c:numCache>
            </c:numRef>
          </c:val>
          <c:extLst>
            <c:ext xmlns:c16="http://schemas.microsoft.com/office/drawing/2014/chart" uri="{C3380CC4-5D6E-409C-BE32-E72D297353CC}">
              <c16:uniqueId val="{00000000-F2D1-45C0-82C7-9DB9B5EC7472}"/>
            </c:ext>
          </c:extLst>
        </c:ser>
        <c:ser>
          <c:idx val="0"/>
          <c:order val="1"/>
          <c:tx>
            <c:strRef>
              <c:f>'Analysis 2021'!$B$57</c:f>
              <c:strCache>
                <c:ptCount val="1"/>
                <c:pt idx="0">
                  <c:v>Asie-Pacifique</c:v>
                </c:pt>
              </c:strCache>
            </c:strRef>
          </c:tx>
          <c:spPr>
            <a:pattFill prst="pct20">
              <a:fgClr>
                <a:schemeClr val="tx1">
                  <a:lumMod val="50000"/>
                  <a:lumOff val="50000"/>
                </a:schemeClr>
              </a:fgClr>
              <a:bgClr>
                <a:schemeClr val="bg1">
                  <a:lumMod val="85000"/>
                </a:schemeClr>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USD</c:v>
                </c:pt>
                <c:pt idx="1">
                  <c:v>500 000 -
2 000 000 USD</c:v>
                </c:pt>
                <c:pt idx="2">
                  <c:v>&gt; 2 000 000 USD</c:v>
                </c:pt>
              </c:strCache>
            </c:strRef>
          </c:cat>
          <c:val>
            <c:numRef>
              <c:f>'Analysis 2021'!$C$57:$F$57</c:f>
              <c:numCache>
                <c:formatCode>General</c:formatCode>
                <c:ptCount val="4"/>
                <c:pt idx="0">
                  <c:v>11</c:v>
                </c:pt>
                <c:pt idx="1">
                  <c:v>8</c:v>
                </c:pt>
                <c:pt idx="2">
                  <c:v>7</c:v>
                </c:pt>
              </c:numCache>
            </c:numRef>
          </c:val>
          <c:extLst>
            <c:ext xmlns:c16="http://schemas.microsoft.com/office/drawing/2014/chart" uri="{C3380CC4-5D6E-409C-BE32-E72D297353CC}">
              <c16:uniqueId val="{00000001-F2D1-45C0-82C7-9DB9B5EC7472}"/>
            </c:ext>
          </c:extLst>
        </c:ser>
        <c:ser>
          <c:idx val="1"/>
          <c:order val="2"/>
          <c:tx>
            <c:strRef>
              <c:f>'Analysis 2021'!$B$58</c:f>
              <c:strCache>
                <c:ptCount val="1"/>
                <c:pt idx="0">
                  <c:v>PECO</c:v>
                </c:pt>
              </c:strCache>
            </c:strRef>
          </c:tx>
          <c:spPr>
            <a:pattFill prst="wdUpDiag">
              <a:fgClr>
                <a:schemeClr val="tx1"/>
              </a:fgClr>
              <a:bgClr>
                <a:schemeClr val="bg1"/>
              </a:bgClr>
            </a:pattFill>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F2D1-45C0-82C7-9DB9B5EC7472}"/>
                </c:ext>
              </c:extLst>
            </c:dLbl>
            <c:dLbl>
              <c:idx val="2"/>
              <c:delete val="1"/>
              <c:extLst>
                <c:ext xmlns:c15="http://schemas.microsoft.com/office/drawing/2012/chart" uri="{CE6537A1-D6FC-4f65-9D91-7224C49458BB}"/>
                <c:ext xmlns:c16="http://schemas.microsoft.com/office/drawing/2014/chart" uri="{C3380CC4-5D6E-409C-BE32-E72D297353CC}">
                  <c16:uniqueId val="{00000003-F2D1-45C0-82C7-9DB9B5EC7472}"/>
                </c:ext>
              </c:extLst>
            </c:dLbl>
            <c:dLbl>
              <c:idx val="3"/>
              <c:delete val="1"/>
              <c:extLst>
                <c:ext xmlns:c15="http://schemas.microsoft.com/office/drawing/2012/chart" uri="{CE6537A1-D6FC-4f65-9D91-7224C49458BB}"/>
                <c:ext xmlns:c16="http://schemas.microsoft.com/office/drawing/2014/chart" uri="{C3380CC4-5D6E-409C-BE32-E72D297353CC}">
                  <c16:uniqueId val="{00000004-F2D1-45C0-82C7-9DB9B5EC7472}"/>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USD</c:v>
                </c:pt>
                <c:pt idx="1">
                  <c:v>500 000 -
2 000 000 USD</c:v>
                </c:pt>
                <c:pt idx="2">
                  <c:v>&gt; 2 000 000 USD</c:v>
                </c:pt>
              </c:strCache>
            </c:strRef>
          </c:cat>
          <c:val>
            <c:numRef>
              <c:f>'Analysis 2021'!$C$58:$F$58</c:f>
              <c:numCache>
                <c:formatCode>General</c:formatCode>
                <c:ptCount val="4"/>
                <c:pt idx="0">
                  <c:v>0</c:v>
                </c:pt>
                <c:pt idx="1">
                  <c:v>1</c:v>
                </c:pt>
                <c:pt idx="2">
                  <c:v>0</c:v>
                </c:pt>
              </c:numCache>
            </c:numRef>
          </c:val>
          <c:extLst>
            <c:ext xmlns:c16="http://schemas.microsoft.com/office/drawing/2014/chart" uri="{C3380CC4-5D6E-409C-BE32-E72D297353CC}">
              <c16:uniqueId val="{00000005-F2D1-45C0-82C7-9DB9B5EC7472}"/>
            </c:ext>
          </c:extLst>
        </c:ser>
        <c:ser>
          <c:idx val="2"/>
          <c:order val="3"/>
          <c:tx>
            <c:strRef>
              <c:f>'Analysis 2021'!$B$59</c:f>
              <c:strCache>
                <c:ptCount val="1"/>
                <c:pt idx="0">
                  <c:v>GRULAC</c:v>
                </c:pt>
              </c:strCache>
            </c:strRef>
          </c:tx>
          <c:spPr>
            <a:solidFill>
              <a:schemeClr val="tx1"/>
            </a:solidFill>
          </c:spPr>
          <c:invertIfNegative val="0"/>
          <c:dLbls>
            <c:dLbl>
              <c:idx val="3"/>
              <c:delete val="1"/>
              <c:extLst>
                <c:ext xmlns:c15="http://schemas.microsoft.com/office/drawing/2012/chart" uri="{CE6537A1-D6FC-4f65-9D91-7224C49458BB}"/>
                <c:ext xmlns:c16="http://schemas.microsoft.com/office/drawing/2014/chart" uri="{C3380CC4-5D6E-409C-BE32-E72D297353CC}">
                  <c16:uniqueId val="{00000006-F2D1-45C0-82C7-9DB9B5EC7472}"/>
                </c:ext>
              </c:extLst>
            </c:dLbl>
            <c:spPr>
              <a:noFill/>
              <a:ln w="25400">
                <a:noFill/>
              </a:ln>
            </c:spPr>
            <c:txPr>
              <a:bodyPr wrap="square" lIns="38100" tIns="19050" rIns="38100" bIns="19050" anchor="ctr">
                <a:spAutoFit/>
              </a:bodyPr>
              <a:lstStyle/>
              <a:p>
                <a:pPr>
                  <a:defRPr sz="1000" b="0" i="0" u="none" strike="noStrike" baseline="0">
                    <a:solidFill>
                      <a:srgbClr val="FFFFFF"/>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2021'!$C$55:$F$55</c:f>
              <c:strCache>
                <c:ptCount val="3"/>
                <c:pt idx="0">
                  <c:v>&lt; 500 000 USD</c:v>
                </c:pt>
                <c:pt idx="1">
                  <c:v>500 000 -
2 000 000 USD</c:v>
                </c:pt>
                <c:pt idx="2">
                  <c:v>&gt; 2 000 000 USD</c:v>
                </c:pt>
              </c:strCache>
            </c:strRef>
          </c:cat>
          <c:val>
            <c:numRef>
              <c:f>'Analysis 2021'!$C$59:$F$59</c:f>
              <c:numCache>
                <c:formatCode>General</c:formatCode>
                <c:ptCount val="4"/>
                <c:pt idx="0">
                  <c:v>3</c:v>
                </c:pt>
                <c:pt idx="1">
                  <c:v>7</c:v>
                </c:pt>
                <c:pt idx="2">
                  <c:v>7</c:v>
                </c:pt>
              </c:numCache>
            </c:numRef>
          </c:val>
          <c:extLst>
            <c:ext xmlns:c16="http://schemas.microsoft.com/office/drawing/2014/chart" uri="{C3380CC4-5D6E-409C-BE32-E72D297353CC}">
              <c16:uniqueId val="{00000007-F2D1-45C0-82C7-9DB9B5EC7472}"/>
            </c:ext>
          </c:extLst>
        </c:ser>
        <c:dLbls>
          <c:showLegendKey val="0"/>
          <c:showVal val="0"/>
          <c:showCatName val="0"/>
          <c:showSerName val="0"/>
          <c:showPercent val="0"/>
          <c:showBubbleSize val="0"/>
        </c:dLbls>
        <c:gapWidth val="55"/>
        <c:overlap val="100"/>
        <c:axId val="435083560"/>
        <c:axId val="1"/>
      </c:barChart>
      <c:catAx>
        <c:axId val="435083560"/>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en-CA"/>
                  <a:t>Financement de base (en USD)</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fr-FR"/>
          </a:p>
        </c:txPr>
        <c:crossAx val="1"/>
        <c:crosses val="autoZero"/>
        <c:auto val="1"/>
        <c:lblAlgn val="ctr"/>
        <c:lblOffset val="100"/>
        <c:noMultiLvlLbl val="0"/>
      </c:catAx>
      <c:valAx>
        <c:axId val="1"/>
        <c:scaling>
          <c:orientation val="minMax"/>
        </c:scaling>
        <c:delete val="0"/>
        <c:axPos val="b"/>
        <c:majorGridlines/>
        <c:title>
          <c:tx>
            <c:rich>
              <a:bodyPr/>
              <a:lstStyle/>
              <a:p>
                <a:pPr>
                  <a:defRPr sz="1100" b="1" i="0" u="none" strike="noStrike" baseline="0">
                    <a:solidFill>
                      <a:srgbClr val="000000"/>
                    </a:solidFill>
                    <a:latin typeface="Times New Roman"/>
                    <a:ea typeface="Times New Roman"/>
                    <a:cs typeface="Times New Roman"/>
                  </a:defRPr>
                </a:pPr>
                <a:r>
                  <a:rPr lang="en-CA"/>
                  <a:t>Nombre d'initiatives nationales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fr-FR"/>
          </a:p>
        </c:txPr>
        <c:crossAx val="435083560"/>
        <c:crosses val="autoZero"/>
        <c:crossBetween val="between"/>
      </c:valAx>
    </c:plotArea>
    <c:legend>
      <c:legendPos val="r"/>
      <c:layout>
        <c:manualLayout>
          <c:xMode val="edge"/>
          <c:yMode val="edge"/>
          <c:x val="0.82868605135331597"/>
          <c:y val="0.30633134453554128"/>
          <c:w val="0.16152216048087673"/>
          <c:h val="0.58341281759883112"/>
        </c:manualLayout>
      </c:layout>
      <c:overlay val="0"/>
      <c:txPr>
        <a:bodyPr/>
        <a:lstStyle/>
        <a:p>
          <a:pPr>
            <a:defRPr sz="1100" b="0" i="0" u="none" strike="noStrike" baseline="0">
              <a:solidFill>
                <a:srgbClr val="000000"/>
              </a:solidFill>
              <a:latin typeface="Times New Roman"/>
              <a:ea typeface="Times New Roman"/>
              <a:cs typeface="Times New Roman"/>
            </a:defRPr>
          </a:pPr>
          <a:endParaRPr lang="fr-FR"/>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en-CA" sz="1100" b="1" i="0" u="none" strike="noStrike" baseline="0">
                <a:solidFill>
                  <a:srgbClr val="000000"/>
                </a:solidFill>
                <a:latin typeface="Times New Roman"/>
                <a:cs typeface="Times New Roman"/>
              </a:rPr>
              <a:t>Figure 5 : Couverture des domaines clés du cadre stratégique</a:t>
            </a:r>
          </a:p>
          <a:p>
            <a:pPr>
              <a:defRPr sz="1000" b="0" i="0" u="none" strike="noStrike" baseline="0">
                <a:solidFill>
                  <a:srgbClr val="000000"/>
                </a:solidFill>
                <a:latin typeface="Calibri"/>
                <a:ea typeface="Calibri"/>
                <a:cs typeface="Calibri"/>
              </a:defRPr>
            </a:pPr>
            <a:r>
              <a:rPr lang="en-CA" sz="1100" b="1" i="0" u="none" strike="noStrike" baseline="0">
                <a:solidFill>
                  <a:srgbClr val="000000"/>
                </a:solidFill>
                <a:latin typeface="Times New Roman"/>
                <a:cs typeface="Times New Roman"/>
              </a:rPr>
              <a:t>(n = 101) </a:t>
            </a:r>
          </a:p>
        </c:rich>
      </c:tx>
      <c:overlay val="0"/>
    </c:title>
    <c:autoTitleDeleted val="0"/>
    <c:plotArea>
      <c:layout>
        <c:manualLayout>
          <c:layoutTarget val="inner"/>
          <c:xMode val="edge"/>
          <c:yMode val="edge"/>
          <c:x val="0.11005871862171075"/>
          <c:y val="0.14937335092348286"/>
          <c:w val="0.81566289790699242"/>
          <c:h val="0.45155013192612137"/>
        </c:manualLayout>
      </c:layout>
      <c:barChart>
        <c:barDir val="col"/>
        <c:grouping val="clustered"/>
        <c:varyColors val="0"/>
        <c:ser>
          <c:idx val="0"/>
          <c:order val="0"/>
          <c:tx>
            <c:strRef>
              <c:f>'Analysis 2021'!$C$72</c:f>
              <c:strCache>
                <c:ptCount val="1"/>
                <c:pt idx="0">
                  <c:v>Domaine clé 1  - Capacité à appliquer le Protocole et à s'y conformer</c:v>
                </c:pt>
              </c:strCache>
            </c:strRef>
          </c:tx>
          <c:spPr>
            <a:solidFill>
              <a:schemeClr val="tx1"/>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2021'!$C$78</c:f>
              <c:numCache>
                <c:formatCode>General</c:formatCode>
                <c:ptCount val="1"/>
                <c:pt idx="0">
                  <c:v>71</c:v>
                </c:pt>
              </c:numCache>
            </c:numRef>
          </c:val>
          <c:extLst>
            <c:ext xmlns:c16="http://schemas.microsoft.com/office/drawing/2014/chart" uri="{C3380CC4-5D6E-409C-BE32-E72D297353CC}">
              <c16:uniqueId val="{00000000-13C5-497A-8A2C-F154528C5A2C}"/>
            </c:ext>
          </c:extLst>
        </c:ser>
        <c:ser>
          <c:idx val="1"/>
          <c:order val="1"/>
          <c:tx>
            <c:strRef>
              <c:f>'Analysis 2021'!$D$72</c:f>
              <c:strCache>
                <c:ptCount val="1"/>
                <c:pt idx="0">
                  <c:v>Domaine clé 2 - Capacité à développer, mettre en œuvre et à appliquer des mesures </c:v>
                </c:pt>
              </c:strCache>
            </c:strRef>
          </c:tx>
          <c:spPr>
            <a:pattFill prst="ltUp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2021'!$D$78</c:f>
              <c:numCache>
                <c:formatCode>General</c:formatCode>
                <c:ptCount val="1"/>
                <c:pt idx="0">
                  <c:v>88</c:v>
                </c:pt>
              </c:numCache>
            </c:numRef>
          </c:val>
          <c:extLst>
            <c:ext xmlns:c16="http://schemas.microsoft.com/office/drawing/2014/chart" uri="{C3380CC4-5D6E-409C-BE32-E72D297353CC}">
              <c16:uniqueId val="{00000001-13C5-497A-8A2C-F154528C5A2C}"/>
            </c:ext>
          </c:extLst>
        </c:ser>
        <c:ser>
          <c:idx val="2"/>
          <c:order val="2"/>
          <c:tx>
            <c:strRef>
              <c:f>'Analysis 2021'!$E$72</c:f>
              <c:strCache>
                <c:ptCount val="1"/>
                <c:pt idx="0">
                  <c:v>Domaine clé 3 - Capacité à négocier les CCCA</c:v>
                </c:pt>
              </c:strCache>
            </c:strRef>
          </c:tx>
          <c:spPr>
            <a:solidFill>
              <a:schemeClr val="bg1">
                <a:lumMod val="6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2021'!$E$78</c:f>
              <c:numCache>
                <c:formatCode>General</c:formatCode>
                <c:ptCount val="1"/>
                <c:pt idx="0">
                  <c:v>56</c:v>
                </c:pt>
              </c:numCache>
            </c:numRef>
          </c:val>
          <c:extLst>
            <c:ext xmlns:c16="http://schemas.microsoft.com/office/drawing/2014/chart" uri="{C3380CC4-5D6E-409C-BE32-E72D297353CC}">
              <c16:uniqueId val="{00000002-13C5-497A-8A2C-F154528C5A2C}"/>
            </c:ext>
          </c:extLst>
        </c:ser>
        <c:ser>
          <c:idx val="3"/>
          <c:order val="3"/>
          <c:tx>
            <c:strRef>
              <c:f>'Analysis 2021'!$F$72</c:f>
              <c:strCache>
                <c:ptCount val="1"/>
                <c:pt idx="0">
                  <c:v>Domaine clé 4 - Capacité des PACL et des parties prenantes à appliquer le Protocole</c:v>
                </c:pt>
              </c:strCache>
            </c:strRef>
          </c:tx>
          <c:spPr>
            <a:pattFill prst="wdDn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2021'!$F$78</c:f>
              <c:numCache>
                <c:formatCode>General</c:formatCode>
                <c:ptCount val="1"/>
                <c:pt idx="0">
                  <c:v>78</c:v>
                </c:pt>
              </c:numCache>
            </c:numRef>
          </c:val>
          <c:extLst>
            <c:ext xmlns:c16="http://schemas.microsoft.com/office/drawing/2014/chart" uri="{C3380CC4-5D6E-409C-BE32-E72D297353CC}">
              <c16:uniqueId val="{00000003-13C5-497A-8A2C-F154528C5A2C}"/>
            </c:ext>
          </c:extLst>
        </c:ser>
        <c:ser>
          <c:idx val="4"/>
          <c:order val="4"/>
          <c:tx>
            <c:strRef>
              <c:f>'Analysis 2021'!$G$72</c:f>
              <c:strCache>
                <c:ptCount val="1"/>
                <c:pt idx="0">
                  <c:v>Domaine clé 5 - Capacité à développer des capacités de recherche endogènes</c:v>
                </c:pt>
              </c:strCache>
            </c:strRef>
          </c:tx>
          <c:spPr>
            <a:solidFill>
              <a:schemeClr val="tx1">
                <a:lumMod val="75000"/>
                <a:lumOff val="2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2021'!$G$78</c:f>
              <c:numCache>
                <c:formatCode>General</c:formatCode>
                <c:ptCount val="1"/>
                <c:pt idx="0">
                  <c:v>59</c:v>
                </c:pt>
              </c:numCache>
            </c:numRef>
          </c:val>
          <c:extLst>
            <c:ext xmlns:c16="http://schemas.microsoft.com/office/drawing/2014/chart" uri="{C3380CC4-5D6E-409C-BE32-E72D297353CC}">
              <c16:uniqueId val="{00000004-13C5-497A-8A2C-F154528C5A2C}"/>
            </c:ext>
          </c:extLst>
        </c:ser>
        <c:dLbls>
          <c:showLegendKey val="0"/>
          <c:showVal val="0"/>
          <c:showCatName val="0"/>
          <c:showSerName val="0"/>
          <c:showPercent val="0"/>
          <c:showBubbleSize val="0"/>
        </c:dLbls>
        <c:gapWidth val="115"/>
        <c:overlap val="-40"/>
        <c:axId val="435085200"/>
        <c:axId val="1"/>
      </c:barChart>
      <c:catAx>
        <c:axId val="435085200"/>
        <c:scaling>
          <c:orientation val="minMax"/>
        </c:scaling>
        <c:delete val="0"/>
        <c:axPos val="b"/>
        <c:majorTickMark val="out"/>
        <c:minorTickMark val="none"/>
        <c:tickLblPos val="none"/>
        <c:crossAx val="1"/>
        <c:crosses val="autoZero"/>
        <c:auto val="1"/>
        <c:lblAlgn val="ctr"/>
        <c:lblOffset val="100"/>
        <c:noMultiLvlLbl val="0"/>
      </c:catAx>
      <c:valAx>
        <c:axId val="1"/>
        <c:scaling>
          <c:orientation val="minMax"/>
        </c:scaling>
        <c:delete val="0"/>
        <c:axPos val="l"/>
        <c:majorGridlines>
          <c:spPr>
            <a:ln>
              <a:noFill/>
            </a:ln>
          </c:spPr>
        </c:majorGridlines>
        <c:title>
          <c:tx>
            <c:rich>
              <a:bodyPr/>
              <a:lstStyle/>
              <a:p>
                <a:pPr>
                  <a:defRPr sz="1000" b="1" i="0" u="none" strike="noStrike" baseline="0">
                    <a:solidFill>
                      <a:srgbClr val="000000"/>
                    </a:solidFill>
                    <a:latin typeface="Times New Roman"/>
                    <a:ea typeface="Times New Roman"/>
                    <a:cs typeface="Times New Roman"/>
                  </a:defRPr>
                </a:pPr>
                <a:r>
                  <a:rPr lang="en-CA"/>
                  <a:t>Nombre d'initiatives</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fr-FR"/>
          </a:p>
        </c:txPr>
        <c:crossAx val="435085200"/>
        <c:crosses val="autoZero"/>
        <c:crossBetween val="between"/>
      </c:valAx>
    </c:plotArea>
    <c:legend>
      <c:legendPos val="b"/>
      <c:layout>
        <c:manualLayout>
          <c:xMode val="edge"/>
          <c:yMode val="edge"/>
          <c:x val="6.0301332525741963E-2"/>
          <c:y val="0.67372272783042342"/>
          <c:w val="0.85161938892253852"/>
          <c:h val="0.32627727216957642"/>
        </c:manualLayout>
      </c:layout>
      <c:overlay val="0"/>
      <c:txPr>
        <a:bodyPr/>
        <a:lstStyle/>
        <a:p>
          <a:pPr>
            <a:defRPr sz="1100" b="0" i="0" u="none" strike="noStrike" baseline="0">
              <a:solidFill>
                <a:srgbClr val="000000"/>
              </a:solidFill>
              <a:latin typeface="Times New Roman"/>
              <a:ea typeface="Times New Roman"/>
              <a:cs typeface="Times New Roman"/>
            </a:defRPr>
          </a:pPr>
          <a:endParaRPr lang="fr-FR"/>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fr-FR" sz="1100"/>
              <a:t>Figure 6: Répartition des ressources selon leur objectif principal</a:t>
            </a:r>
          </a:p>
        </c:rich>
      </c:tx>
      <c:overlay val="0"/>
    </c:title>
    <c:autoTitleDeleted val="0"/>
    <c:plotArea>
      <c:layout/>
      <c:barChart>
        <c:barDir val="col"/>
        <c:grouping val="clustered"/>
        <c:varyColors val="0"/>
        <c:ser>
          <c:idx val="0"/>
          <c:order val="0"/>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2021'!$B$4:$F$4</c:f>
              <c:strCache>
                <c:ptCount val="5"/>
                <c:pt idx="0">
                  <c:v>Évaluation des besoins de renforcement de capacités (1)</c:v>
                </c:pt>
                <c:pt idx="1">
                  <c:v>Sensibilisation
(5)</c:v>
                </c:pt>
                <c:pt idx="2">
                  <c:v>Suivi et évaluation (2)</c:v>
                </c:pt>
                <c:pt idx="3">
                  <c:v>Formation et apprentissage 
(3)</c:v>
                </c:pt>
                <c:pt idx="4">
                  <c:v>Fourniture de conseils technique 
(4)</c:v>
                </c:pt>
              </c:strCache>
            </c:strRef>
          </c:cat>
          <c:val>
            <c:numRef>
              <c:f>'Analysis 2021'!$B$6:$F$6</c:f>
              <c:numCache>
                <c:formatCode>0%</c:formatCode>
                <c:ptCount val="5"/>
                <c:pt idx="0">
                  <c:v>1.6666666666666666E-2</c:v>
                </c:pt>
                <c:pt idx="1">
                  <c:v>0.4</c:v>
                </c:pt>
                <c:pt idx="2">
                  <c:v>8.3333333333333332E-3</c:v>
                </c:pt>
                <c:pt idx="3">
                  <c:v>0.1</c:v>
                </c:pt>
                <c:pt idx="4">
                  <c:v>0.47499999999999998</c:v>
                </c:pt>
              </c:numCache>
            </c:numRef>
          </c:val>
          <c:extLst>
            <c:ext xmlns:c16="http://schemas.microsoft.com/office/drawing/2014/chart" uri="{C3380CC4-5D6E-409C-BE32-E72D297353CC}">
              <c16:uniqueId val="{00000000-21B0-4E78-9228-B873678AF921}"/>
            </c:ext>
          </c:extLst>
        </c:ser>
        <c:dLbls>
          <c:showLegendKey val="0"/>
          <c:showVal val="0"/>
          <c:showCatName val="0"/>
          <c:showSerName val="0"/>
          <c:showPercent val="0"/>
          <c:showBubbleSize val="0"/>
        </c:dLbls>
        <c:gapWidth val="150"/>
        <c:axId val="635018632"/>
        <c:axId val="1"/>
      </c:barChart>
      <c:catAx>
        <c:axId val="635018632"/>
        <c:scaling>
          <c:orientation val="minMax"/>
        </c:scaling>
        <c:delete val="0"/>
        <c:axPos val="b"/>
        <c:numFmt formatCode="General" sourceLinked="1"/>
        <c:majorTickMark val="none"/>
        <c:minorTickMark val="none"/>
        <c:tickLblPos val="nextTo"/>
        <c:txPr>
          <a:bodyPr rot="0" vert="horz"/>
          <a:lstStyle/>
          <a:p>
            <a:pPr>
              <a:defRPr sz="1050" b="0" i="0" u="none" strike="noStrike" baseline="0">
                <a:solidFill>
                  <a:srgbClr val="000000"/>
                </a:solidFill>
                <a:latin typeface="Times New Roman"/>
                <a:ea typeface="Times New Roman"/>
                <a:cs typeface="Times New Roman"/>
              </a:defRPr>
            </a:pPr>
            <a:endParaRPr lang="fr-FR"/>
          </a:p>
        </c:txPr>
        <c:crossAx val="1"/>
        <c:crosses val="autoZero"/>
        <c:auto val="0"/>
        <c:lblAlgn val="ctr"/>
        <c:lblOffset val="100"/>
        <c:noMultiLvlLbl val="0"/>
      </c:catAx>
      <c:valAx>
        <c:axId val="1"/>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fr-FR"/>
                  <a:t>Pourcentage (%)</a:t>
                </a:r>
              </a:p>
            </c:rich>
          </c:tx>
          <c:overlay val="0"/>
        </c:title>
        <c:numFmt formatCode="0%"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fr-FR"/>
          </a:p>
        </c:txPr>
        <c:crossAx val="635018632"/>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fr-FR" sz="1100"/>
              <a:t>Figure 7: Ressources existantes par domaine clé du cadre stratégique</a:t>
            </a:r>
          </a:p>
        </c:rich>
      </c:tx>
      <c:layout>
        <c:manualLayout>
          <c:xMode val="edge"/>
          <c:yMode val="edge"/>
          <c:x val="0.17435351508896438"/>
          <c:y val="4.4742632559531099E-2"/>
        </c:manualLayout>
      </c:layout>
      <c:overlay val="0"/>
    </c:title>
    <c:autoTitleDeleted val="0"/>
    <c:plotArea>
      <c:layout>
        <c:manualLayout>
          <c:layoutTarget val="inner"/>
          <c:xMode val="edge"/>
          <c:yMode val="edge"/>
          <c:x val="7.9479133848034914E-2"/>
          <c:y val="0.18004192561536581"/>
          <c:w val="0.89643293742218544"/>
          <c:h val="0.42129110154739596"/>
        </c:manualLayout>
      </c:layout>
      <c:barChart>
        <c:barDir val="col"/>
        <c:grouping val="clustered"/>
        <c:varyColors val="0"/>
        <c:ser>
          <c:idx val="0"/>
          <c:order val="0"/>
          <c:tx>
            <c:strRef>
              <c:f>'Analysis 2021'!$B$22</c:f>
              <c:strCache>
                <c:ptCount val="1"/>
                <c:pt idx="0">
                  <c:v>Domaine clé 1  - Capacité à appliquer le Protocole et à s'y conformer</c:v>
                </c:pt>
              </c:strCache>
            </c:strRef>
          </c:tx>
          <c:spPr>
            <a:solidFill>
              <a:schemeClr val="tx1"/>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2021'!$B$23</c:f>
              <c:numCache>
                <c:formatCode>General</c:formatCode>
                <c:ptCount val="1"/>
                <c:pt idx="0">
                  <c:v>83</c:v>
                </c:pt>
              </c:numCache>
            </c:numRef>
          </c:val>
          <c:extLst>
            <c:ext xmlns:c16="http://schemas.microsoft.com/office/drawing/2014/chart" uri="{C3380CC4-5D6E-409C-BE32-E72D297353CC}">
              <c16:uniqueId val="{00000000-0342-48D8-9C4C-B8815FE3B7B7}"/>
            </c:ext>
          </c:extLst>
        </c:ser>
        <c:ser>
          <c:idx val="1"/>
          <c:order val="1"/>
          <c:tx>
            <c:strRef>
              <c:f>'Analysis 2021'!$C$22</c:f>
              <c:strCache>
                <c:ptCount val="1"/>
                <c:pt idx="0">
                  <c:v>Domaine clé 2 - Capacité à développer, mettre en œuvre et à appliquer des mesures </c:v>
                </c:pt>
              </c:strCache>
            </c:strRef>
          </c:tx>
          <c:spPr>
            <a:pattFill prst="ltUp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2021'!$C$23</c:f>
              <c:numCache>
                <c:formatCode>General</c:formatCode>
                <c:ptCount val="1"/>
                <c:pt idx="0">
                  <c:v>40</c:v>
                </c:pt>
              </c:numCache>
            </c:numRef>
          </c:val>
          <c:extLst>
            <c:ext xmlns:c16="http://schemas.microsoft.com/office/drawing/2014/chart" uri="{C3380CC4-5D6E-409C-BE32-E72D297353CC}">
              <c16:uniqueId val="{00000001-0342-48D8-9C4C-B8815FE3B7B7}"/>
            </c:ext>
          </c:extLst>
        </c:ser>
        <c:ser>
          <c:idx val="2"/>
          <c:order val="2"/>
          <c:tx>
            <c:strRef>
              <c:f>'Analysis 2021'!$D$22</c:f>
              <c:strCache>
                <c:ptCount val="1"/>
                <c:pt idx="0">
                  <c:v>Domaine clé 3 - Capacité à négocier les CCCA</c:v>
                </c:pt>
              </c:strCache>
            </c:strRef>
          </c:tx>
          <c:spPr>
            <a:solidFill>
              <a:schemeClr val="bg1">
                <a:lumMod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2021'!$D$23</c:f>
              <c:numCache>
                <c:formatCode>General</c:formatCode>
                <c:ptCount val="1"/>
                <c:pt idx="0">
                  <c:v>23</c:v>
                </c:pt>
              </c:numCache>
            </c:numRef>
          </c:val>
          <c:extLst>
            <c:ext xmlns:c16="http://schemas.microsoft.com/office/drawing/2014/chart" uri="{C3380CC4-5D6E-409C-BE32-E72D297353CC}">
              <c16:uniqueId val="{00000002-0342-48D8-9C4C-B8815FE3B7B7}"/>
            </c:ext>
          </c:extLst>
        </c:ser>
        <c:ser>
          <c:idx val="3"/>
          <c:order val="3"/>
          <c:tx>
            <c:strRef>
              <c:f>'Analysis 2021'!$E$22</c:f>
              <c:strCache>
                <c:ptCount val="1"/>
                <c:pt idx="0">
                  <c:v>Domaine clé 4 - Capacité des PACL et des parties prenantes à appliquer le Protocole</c:v>
                </c:pt>
              </c:strCache>
            </c:strRef>
          </c:tx>
          <c:spPr>
            <a:pattFill prst="wdDn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2021'!$E$23</c:f>
              <c:numCache>
                <c:formatCode>General</c:formatCode>
                <c:ptCount val="1"/>
                <c:pt idx="0">
                  <c:v>36</c:v>
                </c:pt>
              </c:numCache>
            </c:numRef>
          </c:val>
          <c:extLst>
            <c:ext xmlns:c16="http://schemas.microsoft.com/office/drawing/2014/chart" uri="{C3380CC4-5D6E-409C-BE32-E72D297353CC}">
              <c16:uniqueId val="{00000003-0342-48D8-9C4C-B8815FE3B7B7}"/>
            </c:ext>
          </c:extLst>
        </c:ser>
        <c:ser>
          <c:idx val="4"/>
          <c:order val="4"/>
          <c:tx>
            <c:strRef>
              <c:f>'Analysis 2021'!$F$22</c:f>
              <c:strCache>
                <c:ptCount val="1"/>
                <c:pt idx="0">
                  <c:v>Domaine clé 5 - Capacité à développer des capacités de recherche endogènes</c:v>
                </c:pt>
              </c:strCache>
            </c:strRef>
          </c:tx>
          <c:spPr>
            <a:solidFill>
              <a:schemeClr val="tx1">
                <a:lumMod val="65000"/>
                <a:lumOff val="3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fr-F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2021'!$F$23</c:f>
              <c:numCache>
                <c:formatCode>General</c:formatCode>
                <c:ptCount val="1"/>
                <c:pt idx="0">
                  <c:v>12</c:v>
                </c:pt>
              </c:numCache>
            </c:numRef>
          </c:val>
          <c:extLst>
            <c:ext xmlns:c16="http://schemas.microsoft.com/office/drawing/2014/chart" uri="{C3380CC4-5D6E-409C-BE32-E72D297353CC}">
              <c16:uniqueId val="{00000004-0342-48D8-9C4C-B8815FE3B7B7}"/>
            </c:ext>
          </c:extLst>
        </c:ser>
        <c:dLbls>
          <c:showLegendKey val="0"/>
          <c:showVal val="0"/>
          <c:showCatName val="0"/>
          <c:showSerName val="0"/>
          <c:showPercent val="0"/>
          <c:showBubbleSize val="0"/>
        </c:dLbls>
        <c:gapWidth val="114"/>
        <c:overlap val="-50"/>
        <c:axId val="635016992"/>
        <c:axId val="1"/>
      </c:barChart>
      <c:catAx>
        <c:axId val="635016992"/>
        <c:scaling>
          <c:orientation val="minMax"/>
        </c:scaling>
        <c:delete val="0"/>
        <c:axPos val="b"/>
        <c:numFmt formatCode="General" sourceLinked="1"/>
        <c:majorTickMark val="out"/>
        <c:minorTickMark val="none"/>
        <c:tickLblPos val="none"/>
        <c:txPr>
          <a:bodyPr rot="0" vert="horz"/>
          <a:lstStyle/>
          <a:p>
            <a:pPr>
              <a:defRPr sz="1000" b="0" i="0" u="none" strike="noStrike" baseline="0">
                <a:solidFill>
                  <a:srgbClr val="000000"/>
                </a:solidFill>
                <a:latin typeface="Calibri"/>
                <a:ea typeface="Calibri"/>
                <a:cs typeface="Calibri"/>
              </a:defRPr>
            </a:pPr>
            <a:endParaRPr lang="fr-FR"/>
          </a:p>
        </c:txPr>
        <c:crossAx val="1"/>
        <c:crosses val="autoZero"/>
        <c:auto val="1"/>
        <c:lblAlgn val="ctr"/>
        <c:lblOffset val="100"/>
        <c:noMultiLvlLbl val="0"/>
      </c:catAx>
      <c:valAx>
        <c:axId val="1"/>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fr-FR"/>
                  <a:t>Nombre de ressources (n=113)</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fr-FR"/>
          </a:p>
        </c:txPr>
        <c:crossAx val="635016992"/>
        <c:crosses val="autoZero"/>
        <c:crossBetween val="between"/>
      </c:valAx>
    </c:plotArea>
    <c:legend>
      <c:legendPos val="r"/>
      <c:layout>
        <c:manualLayout>
          <c:xMode val="edge"/>
          <c:yMode val="edge"/>
          <c:x val="6.1693319262927192E-5"/>
          <c:y val="0.67938503801014516"/>
          <c:w val="0.98368141382006224"/>
          <c:h val="0.32061510655476627"/>
        </c:manualLayout>
      </c:layout>
      <c:overlay val="0"/>
      <c:txPr>
        <a:bodyPr/>
        <a:lstStyle/>
        <a:p>
          <a:pPr>
            <a:defRPr sz="1100" b="0" i="0" u="none" strike="noStrike" baseline="0">
              <a:solidFill>
                <a:srgbClr val="000000"/>
              </a:solidFill>
              <a:latin typeface="Times New Roman"/>
              <a:ea typeface="Times New Roman"/>
              <a:cs typeface="Times New Roman"/>
            </a:defRPr>
          </a:pPr>
          <a:endParaRPr lang="fr-FR"/>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fr-F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915236FEF74CF3B02ABE95C030FF82"/>
        <w:category>
          <w:name w:val="Général"/>
          <w:gallery w:val="placeholder"/>
        </w:category>
        <w:types>
          <w:type w:val="bbPlcHdr"/>
        </w:types>
        <w:behaviors>
          <w:behavior w:val="content"/>
        </w:behaviors>
        <w:guid w:val="{8518C96A-088A-461F-9B1B-2D2C38631A41}"/>
      </w:docPartPr>
      <w:docPartBody>
        <w:p w:rsidR="00104DFF" w:rsidRDefault="00BD4037" w:rsidP="00BD4037">
          <w:pPr>
            <w:pStyle w:val="73915236FEF74CF3B02ABE95C030FF82"/>
          </w:pPr>
          <w:r w:rsidRPr="007E02EB">
            <w:rPr>
              <w:rStyle w:val="Textedelespacerserv"/>
            </w:rPr>
            <w:t>[Status]</w:t>
          </w:r>
        </w:p>
      </w:docPartBody>
    </w:docPart>
    <w:docPart>
      <w:docPartPr>
        <w:name w:val="1C5CA8857CE34D92B5C3E9D7662F81FD"/>
        <w:category>
          <w:name w:val="Général"/>
          <w:gallery w:val="placeholder"/>
        </w:category>
        <w:types>
          <w:type w:val="bbPlcHdr"/>
        </w:types>
        <w:behaviors>
          <w:behavior w:val="content"/>
        </w:behaviors>
        <w:guid w:val="{4327832C-3835-47C8-82EA-C412A34A588B}"/>
      </w:docPartPr>
      <w:docPartBody>
        <w:p w:rsidR="00104DFF" w:rsidRDefault="00BD4037" w:rsidP="00BD4037">
          <w:pPr>
            <w:pStyle w:val="1C5CA8857CE34D92B5C3E9D7662F81FD"/>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ngsana New">
    <w:altName w:val="Angsana New"/>
    <w:panose1 w:val="02020603050405020304"/>
    <w:charset w:val="DE"/>
    <w:family w:val="roman"/>
    <w:pitch w:val="variable"/>
    <w:sig w:usb0="81000003" w:usb1="00000000" w:usb2="00000000" w:usb3="00000000" w:csb0="00010001"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3B1"/>
    <w:rsid w:val="00075A4E"/>
    <w:rsid w:val="00086E67"/>
    <w:rsid w:val="000F4F7D"/>
    <w:rsid w:val="00104DFF"/>
    <w:rsid w:val="00105C44"/>
    <w:rsid w:val="001B3FAE"/>
    <w:rsid w:val="001F2A04"/>
    <w:rsid w:val="002273B1"/>
    <w:rsid w:val="00292796"/>
    <w:rsid w:val="0035637B"/>
    <w:rsid w:val="003D549E"/>
    <w:rsid w:val="00415D99"/>
    <w:rsid w:val="00463F30"/>
    <w:rsid w:val="00470C40"/>
    <w:rsid w:val="00493906"/>
    <w:rsid w:val="00611334"/>
    <w:rsid w:val="006B0EF3"/>
    <w:rsid w:val="007537B3"/>
    <w:rsid w:val="008C222C"/>
    <w:rsid w:val="008E20D4"/>
    <w:rsid w:val="00906BA4"/>
    <w:rsid w:val="00932A80"/>
    <w:rsid w:val="00A77E02"/>
    <w:rsid w:val="00A83892"/>
    <w:rsid w:val="00BD4037"/>
    <w:rsid w:val="00C91EAA"/>
    <w:rsid w:val="00D61ABD"/>
    <w:rsid w:val="00DC2BA9"/>
    <w:rsid w:val="00E10169"/>
    <w:rsid w:val="00EE29CA"/>
    <w:rsid w:val="00EF0E65"/>
    <w:rsid w:val="00F079E5"/>
    <w:rsid w:val="00FE20E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D4037"/>
    <w:rPr>
      <w:color w:val="808080"/>
    </w:rPr>
  </w:style>
  <w:style w:type="paragraph" w:customStyle="1" w:styleId="73915236FEF74CF3B02ABE95C030FF82">
    <w:name w:val="73915236FEF74CF3B02ABE95C030FF82"/>
    <w:rsid w:val="00BD4037"/>
    <w:rPr>
      <w:lang w:val="fr-FR" w:eastAsia="fr-FR"/>
    </w:rPr>
  </w:style>
  <w:style w:type="paragraph" w:customStyle="1" w:styleId="1C5CA8857CE34D92B5C3E9D7662F81FD">
    <w:name w:val="1C5CA8857CE34D92B5C3E9D7662F81FD"/>
    <w:rsid w:val="00BD4037"/>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2DCE20B4A46324F91882C0B469D095E" ma:contentTypeVersion="19" ma:contentTypeDescription="Create a new document." ma:contentTypeScope="" ma:versionID="43d647584e625e465372923cda0a78e5">
  <xsd:schema xmlns:xsd="http://www.w3.org/2001/XMLSchema" xmlns:xs="http://www.w3.org/2001/XMLSchema" xmlns:p="http://schemas.microsoft.com/office/2006/metadata/properties" xmlns:ns2="394bbfa8-7490-4a48-8e49-faa91c2d11d7" xmlns:ns3="600c1254-847a-46ac-8186-5eb644b4cfcd" xmlns:ns4="985ec44e-1bab-4c0b-9df0-6ba128686fc9" targetNamespace="http://schemas.microsoft.com/office/2006/metadata/properties" ma:root="true" ma:fieldsID="cd686753dad5bcc47018caf29106c0ba" ns2:_="" ns3:_="" ns4:_="">
    <xsd:import namespace="394bbfa8-7490-4a48-8e49-faa91c2d11d7"/>
    <xsd:import namespace="600c1254-847a-46ac-8186-5eb644b4cfc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BriefDescription" minOccurs="0"/>
                <xsd:element ref="ns2:Language"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bfa8-7490-4a48-8e49-faa91c2d1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BriefDescription" ma:index="21" nillable="true" ma:displayName="Brief Description" ma:format="Dropdown" ma:internalName="BriefDescription">
      <xsd:simpleType>
        <xsd:restriction base="dms:Note">
          <xsd:maxLength value="255"/>
        </xsd:restriction>
      </xsd:simpleType>
    </xsd:element>
    <xsd:element name="Language" ma:index="22" nillable="true" ma:displayName="Language" ma:default="English" ma:format="Dropdown" ma:internalName="Language">
      <xsd:simpleType>
        <xsd:union memberTypes="dms:Text">
          <xsd:simpleType>
            <xsd:restriction base="dms:Choice">
              <xsd:enumeration value="English"/>
              <xsd:enumeration value="Spanish"/>
              <xsd:enumeration value="French"/>
            </xsd:restriction>
          </xsd:simpleType>
        </xsd:un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0c1254-847a-46ac-8186-5eb644b4cf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9690f9b9-1ae4-40e3-a9a8-43f7a1514ebe}" ma:internalName="TaxCatchAll" ma:showField="CatchAllData" ma:web="600c1254-847a-46ac-8186-5eb644b4c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anguage xmlns="394bbfa8-7490-4a48-8e49-faa91c2d11d7">English</Language>
    <BriefDescription xmlns="394bbfa8-7490-4a48-8e49-faa91c2d11d7" xsi:nil="true"/>
    <TaxCatchAll xmlns="985ec44e-1bab-4c0b-9df0-6ba128686fc9" xsi:nil="true"/>
    <lcf76f155ced4ddcb4097134ff3c332f xmlns="394bbfa8-7490-4a48-8e49-faa91c2d11d7">
      <Terms xmlns="http://schemas.microsoft.com/office/infopath/2007/PartnerControls"/>
    </lcf76f155ced4ddcb4097134ff3c332f>
    <SharedWithUsers xmlns="600c1254-847a-46ac-8186-5eb644b4cfcd">
      <UserInfo>
        <DisplayName>MEA-CBD-Nagoya Members</DisplayName>
        <AccountId>7</AccountId>
        <AccountType/>
      </UserInfo>
      <UserInfo>
        <DisplayName>Kristina Taboulchanas</DisplayName>
        <AccountId>14</AccountId>
        <AccountType/>
      </UserInfo>
      <UserInfo>
        <DisplayName>Alexandra Coelho</DisplayName>
        <AccountId>27</AccountId>
        <AccountType/>
      </UserInfo>
    </SharedWithUsers>
  </documentManagement>
</p:properties>
</file>

<file path=customXml/itemProps1.xml><?xml version="1.0" encoding="utf-8"?>
<ds:datastoreItem xmlns:ds="http://schemas.openxmlformats.org/officeDocument/2006/customXml" ds:itemID="{63E2E088-7BE7-43F5-A02D-7B8F7517C817}">
  <ds:schemaRefs>
    <ds:schemaRef ds:uri="http://schemas.openxmlformats.org/officeDocument/2006/bibliography"/>
  </ds:schemaRefs>
</ds:datastoreItem>
</file>

<file path=customXml/itemProps2.xml><?xml version="1.0" encoding="utf-8"?>
<ds:datastoreItem xmlns:ds="http://schemas.openxmlformats.org/officeDocument/2006/customXml" ds:itemID="{EDC242D4-4384-4B31-994D-3F8C5BF5D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bfa8-7490-4a48-8e49-faa91c2d11d7"/>
    <ds:schemaRef ds:uri="600c1254-847a-46ac-8186-5eb644b4cfc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DF599C-D186-4471-B0BE-627AA4E6F29C}">
  <ds:schemaRefs>
    <ds:schemaRef ds:uri="http://schemas.microsoft.com/sharepoint/v3/contenttype/forms"/>
  </ds:schemaRefs>
</ds:datastoreItem>
</file>

<file path=customXml/itemProps4.xml><?xml version="1.0" encoding="utf-8"?>
<ds:datastoreItem xmlns:ds="http://schemas.openxmlformats.org/officeDocument/2006/customXml" ds:itemID="{01B7E55D-927B-4D27-B701-4751E521A195}">
  <ds:schemaRefs>
    <ds:schemaRef ds:uri="http://schemas.microsoft.com/office/2006/metadata/properties"/>
    <ds:schemaRef ds:uri="http://schemas.microsoft.com/office/infopath/2007/PartnerControls"/>
    <ds:schemaRef ds:uri="394bbfa8-7490-4a48-8e49-faa91c2d11d7"/>
    <ds:schemaRef ds:uri="985ec44e-1bab-4c0b-9df0-6ba128686fc9"/>
    <ds:schemaRef ds:uri="600c1254-847a-46ac-8186-5eb644b4cfc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16</Pages>
  <Words>7082</Words>
  <Characters>38957</Characters>
  <Application>Microsoft Office Word</Application>
  <DocSecurity>0</DocSecurity>
  <Lines>324</Lines>
  <Paragraphs>91</Paragraphs>
  <ScaleCrop>false</ScaleCrop>
  <HeadingPairs>
    <vt:vector size="2" baseType="variant">
      <vt:variant>
        <vt:lpstr>Titre</vt:lpstr>
      </vt:variant>
      <vt:variant>
        <vt:i4>1</vt:i4>
      </vt:variant>
    </vt:vector>
  </HeadingPairs>
  <TitlesOfParts>
    <vt:vector size="1" baseType="lpstr">
      <vt:lpstr>Progress report on measures to assist in capacity-building and capacity development (Article 22)</vt:lpstr>
    </vt:vector>
  </TitlesOfParts>
  <Company>SCBD</Company>
  <LinksUpToDate>false</LinksUpToDate>
  <CharactersWithSpaces>45948</CharactersWithSpaces>
  <SharedDoc>false</SharedDoc>
  <HLinks>
    <vt:vector size="240" baseType="variant">
      <vt:variant>
        <vt:i4>1245268</vt:i4>
      </vt:variant>
      <vt:variant>
        <vt:i4>111</vt:i4>
      </vt:variant>
      <vt:variant>
        <vt:i4>0</vt:i4>
      </vt:variant>
      <vt:variant>
        <vt:i4>5</vt:i4>
      </vt:variant>
      <vt:variant>
        <vt:lpwstr>https://www.cbd.int/doc/recommendations/sbi-03/sbi-03-rec-09-en.docx</vt:lpwstr>
      </vt:variant>
      <vt:variant>
        <vt:lpwstr/>
      </vt:variant>
      <vt:variant>
        <vt:i4>1179732</vt:i4>
      </vt:variant>
      <vt:variant>
        <vt:i4>108</vt:i4>
      </vt:variant>
      <vt:variant>
        <vt:i4>0</vt:i4>
      </vt:variant>
      <vt:variant>
        <vt:i4>5</vt:i4>
      </vt:variant>
      <vt:variant>
        <vt:lpwstr>https://www.cbd.int/doc/recommendations/sbi-03/sbi-03-rec-08-en.docx</vt:lpwstr>
      </vt:variant>
      <vt:variant>
        <vt:lpwstr/>
      </vt:variant>
      <vt:variant>
        <vt:i4>6750248</vt:i4>
      </vt:variant>
      <vt:variant>
        <vt:i4>105</vt:i4>
      </vt:variant>
      <vt:variant>
        <vt:i4>0</vt:i4>
      </vt:variant>
      <vt:variant>
        <vt:i4>5</vt:i4>
      </vt:variant>
      <vt:variant>
        <vt:lpwstr>https://www.cbd.int/abs/doc/cepa-toolkit-en.pdf</vt:lpwstr>
      </vt:variant>
      <vt:variant>
        <vt:lpwstr/>
      </vt:variant>
      <vt:variant>
        <vt:i4>6750248</vt:i4>
      </vt:variant>
      <vt:variant>
        <vt:i4>102</vt:i4>
      </vt:variant>
      <vt:variant>
        <vt:i4>0</vt:i4>
      </vt:variant>
      <vt:variant>
        <vt:i4>5</vt:i4>
      </vt:variant>
      <vt:variant>
        <vt:lpwstr>https://www.cbd.int/abs/doc/cepa-toolkit-en.pdf</vt:lpwstr>
      </vt:variant>
      <vt:variant>
        <vt:lpwstr/>
      </vt:variant>
      <vt:variant>
        <vt:i4>3014759</vt:i4>
      </vt:variant>
      <vt:variant>
        <vt:i4>99</vt:i4>
      </vt:variant>
      <vt:variant>
        <vt:i4>0</vt:i4>
      </vt:variant>
      <vt:variant>
        <vt:i4>5</vt:i4>
      </vt:variant>
      <vt:variant>
        <vt:lpwstr>https://www.cbd.int/doc/notifications/2021/ntf-2021-037-abs-en.pdf</vt:lpwstr>
      </vt:variant>
      <vt:variant>
        <vt:lpwstr/>
      </vt:variant>
      <vt:variant>
        <vt:i4>6750248</vt:i4>
      </vt:variant>
      <vt:variant>
        <vt:i4>96</vt:i4>
      </vt:variant>
      <vt:variant>
        <vt:i4>0</vt:i4>
      </vt:variant>
      <vt:variant>
        <vt:i4>5</vt:i4>
      </vt:variant>
      <vt:variant>
        <vt:lpwstr>https://www.cbd.int/abs/doc/cepa-toolkit-en.pdf</vt:lpwstr>
      </vt:variant>
      <vt:variant>
        <vt:lpwstr/>
      </vt:variant>
      <vt:variant>
        <vt:i4>4784205</vt:i4>
      </vt:variant>
      <vt:variant>
        <vt:i4>93</vt:i4>
      </vt:variant>
      <vt:variant>
        <vt:i4>0</vt:i4>
      </vt:variant>
      <vt:variant>
        <vt:i4>5</vt:i4>
      </vt:variant>
      <vt:variant>
        <vt:lpwstr>https://www.cbd.int/doc/c/3e5d/b75c/c9902079d65a1bc886daf45e/np-cbiac-2019-01-04-en.docx</vt:lpwstr>
      </vt:variant>
      <vt:variant>
        <vt:lpwstr/>
      </vt:variant>
      <vt:variant>
        <vt:i4>3342368</vt:i4>
      </vt:variant>
      <vt:variant>
        <vt:i4>90</vt:i4>
      </vt:variant>
      <vt:variant>
        <vt:i4>0</vt:i4>
      </vt:variant>
      <vt:variant>
        <vt:i4>5</vt:i4>
      </vt:variant>
      <vt:variant>
        <vt:lpwstr>https://absch.cbd.int/</vt:lpwstr>
      </vt:variant>
      <vt:variant>
        <vt:lpwstr/>
      </vt:variant>
      <vt:variant>
        <vt:i4>7733297</vt:i4>
      </vt:variant>
      <vt:variant>
        <vt:i4>87</vt:i4>
      </vt:variant>
      <vt:variant>
        <vt:i4>0</vt:i4>
      </vt:variant>
      <vt:variant>
        <vt:i4>5</vt:i4>
      </vt:variant>
      <vt:variant>
        <vt:lpwstr>https://www.cbd.int/doc/decisions/np-mop-01/np-mop-01-dec-02-en.pdf</vt:lpwstr>
      </vt:variant>
      <vt:variant>
        <vt:lpwstr/>
      </vt:variant>
      <vt:variant>
        <vt:i4>8126513</vt:i4>
      </vt:variant>
      <vt:variant>
        <vt:i4>84</vt:i4>
      </vt:variant>
      <vt:variant>
        <vt:i4>0</vt:i4>
      </vt:variant>
      <vt:variant>
        <vt:i4>5</vt:i4>
      </vt:variant>
      <vt:variant>
        <vt:lpwstr>https://www.cbd.int/doc/decisions/np-mop-01/np-mop-01-dec-08-en.pdf</vt:lpwstr>
      </vt:variant>
      <vt:variant>
        <vt:lpwstr/>
      </vt:variant>
      <vt:variant>
        <vt:i4>2097272</vt:i4>
      </vt:variant>
      <vt:variant>
        <vt:i4>81</vt:i4>
      </vt:variant>
      <vt:variant>
        <vt:i4>0</vt:i4>
      </vt:variant>
      <vt:variant>
        <vt:i4>5</vt:i4>
      </vt:variant>
      <vt:variant>
        <vt:lpwstr>https://www.giz.de/en/</vt:lpwstr>
      </vt:variant>
      <vt:variant>
        <vt:lpwstr/>
      </vt:variant>
      <vt:variant>
        <vt:i4>8192103</vt:i4>
      </vt:variant>
      <vt:variant>
        <vt:i4>78</vt:i4>
      </vt:variant>
      <vt:variant>
        <vt:i4>0</vt:i4>
      </vt:variant>
      <vt:variant>
        <vt:i4>5</vt:i4>
      </vt:variant>
      <vt:variant>
        <vt:lpwstr>http://www.abs-initiative.info/</vt:lpwstr>
      </vt:variant>
      <vt:variant>
        <vt:lpwstr/>
      </vt:variant>
      <vt:variant>
        <vt:i4>4063267</vt:i4>
      </vt:variant>
      <vt:variant>
        <vt:i4>75</vt:i4>
      </vt:variant>
      <vt:variant>
        <vt:i4>0</vt:i4>
      </vt:variant>
      <vt:variant>
        <vt:i4>5</vt:i4>
      </vt:variant>
      <vt:variant>
        <vt:lpwstr>https://www.unenvironment.org/</vt:lpwstr>
      </vt:variant>
      <vt:variant>
        <vt:lpwstr/>
      </vt:variant>
      <vt:variant>
        <vt:i4>4784198</vt:i4>
      </vt:variant>
      <vt:variant>
        <vt:i4>72</vt:i4>
      </vt:variant>
      <vt:variant>
        <vt:i4>0</vt:i4>
      </vt:variant>
      <vt:variant>
        <vt:i4>5</vt:i4>
      </vt:variant>
      <vt:variant>
        <vt:lpwstr>http://www.undp.org/</vt:lpwstr>
      </vt:variant>
      <vt:variant>
        <vt:lpwstr/>
      </vt:variant>
      <vt:variant>
        <vt:i4>2687080</vt:i4>
      </vt:variant>
      <vt:variant>
        <vt:i4>69</vt:i4>
      </vt:variant>
      <vt:variant>
        <vt:i4>0</vt:i4>
      </vt:variant>
      <vt:variant>
        <vt:i4>5</vt:i4>
      </vt:variant>
      <vt:variant>
        <vt:lpwstr>https://www.thegef.org/</vt:lpwstr>
      </vt:variant>
      <vt:variant>
        <vt:lpwstr/>
      </vt:variant>
      <vt:variant>
        <vt:i4>131142</vt:i4>
      </vt:variant>
      <vt:variant>
        <vt:i4>66</vt:i4>
      </vt:variant>
      <vt:variant>
        <vt:i4>0</vt:i4>
      </vt:variant>
      <vt:variant>
        <vt:i4>5</vt:i4>
      </vt:variant>
      <vt:variant>
        <vt:lpwstr>https://www.cbd.int/doc/decisions/np-mop-03/np-mop-03-dec-05-en.docx</vt:lpwstr>
      </vt:variant>
      <vt:variant>
        <vt:lpwstr/>
      </vt:variant>
      <vt:variant>
        <vt:i4>7798821</vt:i4>
      </vt:variant>
      <vt:variant>
        <vt:i4>63</vt:i4>
      </vt:variant>
      <vt:variant>
        <vt:i4>0</vt:i4>
      </vt:variant>
      <vt:variant>
        <vt:i4>5</vt:i4>
      </vt:variant>
      <vt:variant>
        <vt:lpwstr>https://www.cbd.int/doc/decisions/np-mop-01/np-mop-01-dec-08-en.doc</vt:lpwstr>
      </vt:variant>
      <vt:variant>
        <vt:lpwstr/>
      </vt:variant>
      <vt:variant>
        <vt:i4>196693</vt:i4>
      </vt:variant>
      <vt:variant>
        <vt:i4>60</vt:i4>
      </vt:variant>
      <vt:variant>
        <vt:i4>0</vt:i4>
      </vt:variant>
      <vt:variant>
        <vt:i4>5</vt:i4>
      </vt:variant>
      <vt:variant>
        <vt:lpwstr>https://youtu.be/xJ0ZjpY0VQo</vt:lpwstr>
      </vt:variant>
      <vt:variant>
        <vt:lpwstr/>
      </vt:variant>
      <vt:variant>
        <vt:i4>3670077</vt:i4>
      </vt:variant>
      <vt:variant>
        <vt:i4>57</vt:i4>
      </vt:variant>
      <vt:variant>
        <vt:i4>0</vt:i4>
      </vt:variant>
      <vt:variant>
        <vt:i4>5</vt:i4>
      </vt:variant>
      <vt:variant>
        <vt:lpwstr>https://vimeo.com/263320356/513f748f8a</vt:lpwstr>
      </vt:variant>
      <vt:variant>
        <vt:lpwstr/>
      </vt:variant>
      <vt:variant>
        <vt:i4>65610</vt:i4>
      </vt:variant>
      <vt:variant>
        <vt:i4>54</vt:i4>
      </vt:variant>
      <vt:variant>
        <vt:i4>0</vt:i4>
      </vt:variant>
      <vt:variant>
        <vt:i4>5</vt:i4>
      </vt:variant>
      <vt:variant>
        <vt:lpwstr>https://scbd.unssc.org/course/index.php?categoryid=4</vt:lpwstr>
      </vt:variant>
      <vt:variant>
        <vt:lpwstr/>
      </vt:variant>
      <vt:variant>
        <vt:i4>8257649</vt:i4>
      </vt:variant>
      <vt:variant>
        <vt:i4>51</vt:i4>
      </vt:variant>
      <vt:variant>
        <vt:i4>0</vt:i4>
      </vt:variant>
      <vt:variant>
        <vt:i4>5</vt:i4>
      </vt:variant>
      <vt:variant>
        <vt:lpwstr>https://www.cbd.int/biobridge/projects/selected</vt:lpwstr>
      </vt:variant>
      <vt:variant>
        <vt:lpwstr/>
      </vt:variant>
      <vt:variant>
        <vt:i4>7274532</vt:i4>
      </vt:variant>
      <vt:variant>
        <vt:i4>48</vt:i4>
      </vt:variant>
      <vt:variant>
        <vt:i4>0</vt:i4>
      </vt:variant>
      <vt:variant>
        <vt:i4>5</vt:i4>
      </vt:variant>
      <vt:variant>
        <vt:lpwstr>https://www.cbd.int/biobridge/</vt:lpwstr>
      </vt:variant>
      <vt:variant>
        <vt:lpwstr/>
      </vt:variant>
      <vt:variant>
        <vt:i4>1310726</vt:i4>
      </vt:variant>
      <vt:variant>
        <vt:i4>45</vt:i4>
      </vt:variant>
      <vt:variant>
        <vt:i4>0</vt:i4>
      </vt:variant>
      <vt:variant>
        <vt:i4>5</vt:i4>
      </vt:variant>
      <vt:variant>
        <vt:lpwstr>https://www.cbd.int/doc/c/a48b/812d/cae5e667c7c76aefbcc9e440/np-mop-04-06-en.docx</vt:lpwstr>
      </vt:variant>
      <vt:variant>
        <vt:lpwstr/>
      </vt:variant>
      <vt:variant>
        <vt:i4>8060974</vt:i4>
      </vt:variant>
      <vt:variant>
        <vt:i4>42</vt:i4>
      </vt:variant>
      <vt:variant>
        <vt:i4>0</vt:i4>
      </vt:variant>
      <vt:variant>
        <vt:i4>5</vt:i4>
      </vt:variant>
      <vt:variant>
        <vt:lpwstr>https://www.cbd.int/dsi-gr/forum.shtml</vt:lpwstr>
      </vt:variant>
      <vt:variant>
        <vt:lpwstr/>
      </vt:variant>
      <vt:variant>
        <vt:i4>8126516</vt:i4>
      </vt:variant>
      <vt:variant>
        <vt:i4>39</vt:i4>
      </vt:variant>
      <vt:variant>
        <vt:i4>0</vt:i4>
      </vt:variant>
      <vt:variant>
        <vt:i4>5</vt:i4>
      </vt:variant>
      <vt:variant>
        <vt:lpwstr>https://www.cbd.int/article/dsi-webinar-series-2020</vt:lpwstr>
      </vt:variant>
      <vt:variant>
        <vt:lpwstr/>
      </vt:variant>
      <vt:variant>
        <vt:i4>2621501</vt:i4>
      </vt:variant>
      <vt:variant>
        <vt:i4>36</vt:i4>
      </vt:variant>
      <vt:variant>
        <vt:i4>0</vt:i4>
      </vt:variant>
      <vt:variant>
        <vt:i4>5</vt:i4>
      </vt:variant>
      <vt:variant>
        <vt:lpwstr>https://community.abs-sustainabledevelopment.net/event/global-abs-conference-2020/</vt:lpwstr>
      </vt:variant>
      <vt:variant>
        <vt:lpwstr/>
      </vt:variant>
      <vt:variant>
        <vt:i4>983069</vt:i4>
      </vt:variant>
      <vt:variant>
        <vt:i4>33</vt:i4>
      </vt:variant>
      <vt:variant>
        <vt:i4>0</vt:i4>
      </vt:variant>
      <vt:variant>
        <vt:i4>5</vt:i4>
      </vt:variant>
      <vt:variant>
        <vt:lpwstr>https://www.cbd.int/doc/c/d210/94de/84895ba809c4f701330279d0/np-cb-ws-2019-01-02-en.docx</vt:lpwstr>
      </vt:variant>
      <vt:variant>
        <vt:lpwstr/>
      </vt:variant>
      <vt:variant>
        <vt:i4>3014759</vt:i4>
      </vt:variant>
      <vt:variant>
        <vt:i4>30</vt:i4>
      </vt:variant>
      <vt:variant>
        <vt:i4>0</vt:i4>
      </vt:variant>
      <vt:variant>
        <vt:i4>5</vt:i4>
      </vt:variant>
      <vt:variant>
        <vt:lpwstr>https://www.cbd.int/doc/notifications/2021/ntf-2021-037-abs-en.pdf</vt:lpwstr>
      </vt:variant>
      <vt:variant>
        <vt:lpwstr/>
      </vt:variant>
      <vt:variant>
        <vt:i4>4784205</vt:i4>
      </vt:variant>
      <vt:variant>
        <vt:i4>27</vt:i4>
      </vt:variant>
      <vt:variant>
        <vt:i4>0</vt:i4>
      </vt:variant>
      <vt:variant>
        <vt:i4>5</vt:i4>
      </vt:variant>
      <vt:variant>
        <vt:lpwstr>https://www.cbd.int/doc/c/3e5d/b75c/c9902079d65a1bc886daf45e/np-cbiac-2019-01-04-en.docx</vt:lpwstr>
      </vt:variant>
      <vt:variant>
        <vt:lpwstr/>
      </vt:variant>
      <vt:variant>
        <vt:i4>1179732</vt:i4>
      </vt:variant>
      <vt:variant>
        <vt:i4>24</vt:i4>
      </vt:variant>
      <vt:variant>
        <vt:i4>0</vt:i4>
      </vt:variant>
      <vt:variant>
        <vt:i4>5</vt:i4>
      </vt:variant>
      <vt:variant>
        <vt:lpwstr>https://www.cbd.int/doc/recommendations/sbi-03/sbi-03-rec-08-en.docx</vt:lpwstr>
      </vt:variant>
      <vt:variant>
        <vt:lpwstr/>
      </vt:variant>
      <vt:variant>
        <vt:i4>720968</vt:i4>
      </vt:variant>
      <vt:variant>
        <vt:i4>21</vt:i4>
      </vt:variant>
      <vt:variant>
        <vt:i4>0</vt:i4>
      </vt:variant>
      <vt:variant>
        <vt:i4>5</vt:i4>
      </vt:variant>
      <vt:variant>
        <vt:lpwstr>https://www.cbd.int/doc/decisions/cop-14/cop-14-dec-24-en.pdf</vt:lpwstr>
      </vt:variant>
      <vt:variant>
        <vt:lpwstr/>
      </vt:variant>
      <vt:variant>
        <vt:i4>65606</vt:i4>
      </vt:variant>
      <vt:variant>
        <vt:i4>18</vt:i4>
      </vt:variant>
      <vt:variant>
        <vt:i4>0</vt:i4>
      </vt:variant>
      <vt:variant>
        <vt:i4>5</vt:i4>
      </vt:variant>
      <vt:variant>
        <vt:lpwstr>https://www.cbd.int/doc/decisions/np-mop-03/np-mop-03-dec-06-en.docx</vt:lpwstr>
      </vt:variant>
      <vt:variant>
        <vt:lpwstr/>
      </vt:variant>
      <vt:variant>
        <vt:i4>8192049</vt:i4>
      </vt:variant>
      <vt:variant>
        <vt:i4>15</vt:i4>
      </vt:variant>
      <vt:variant>
        <vt:i4>0</vt:i4>
      </vt:variant>
      <vt:variant>
        <vt:i4>5</vt:i4>
      </vt:variant>
      <vt:variant>
        <vt:lpwstr>https://www.cbd.int/doc/decisions/np-mop-01/np-mop-01-dec-09-en.pdf</vt:lpwstr>
      </vt:variant>
      <vt:variant>
        <vt:lpwstr/>
      </vt:variant>
      <vt:variant>
        <vt:i4>7798821</vt:i4>
      </vt:variant>
      <vt:variant>
        <vt:i4>12</vt:i4>
      </vt:variant>
      <vt:variant>
        <vt:i4>0</vt:i4>
      </vt:variant>
      <vt:variant>
        <vt:i4>5</vt:i4>
      </vt:variant>
      <vt:variant>
        <vt:lpwstr>https://www.cbd.int/doc/decisions/np-mop-02/np-mop-02-dec-08-en.doc</vt:lpwstr>
      </vt:variant>
      <vt:variant>
        <vt:lpwstr/>
      </vt:variant>
      <vt:variant>
        <vt:i4>131142</vt:i4>
      </vt:variant>
      <vt:variant>
        <vt:i4>9</vt:i4>
      </vt:variant>
      <vt:variant>
        <vt:i4>0</vt:i4>
      </vt:variant>
      <vt:variant>
        <vt:i4>5</vt:i4>
      </vt:variant>
      <vt:variant>
        <vt:lpwstr>https://www.cbd.int/doc/decisions/np-mop-03/np-mop-03-dec-05-en.docx</vt:lpwstr>
      </vt:variant>
      <vt:variant>
        <vt:lpwstr/>
      </vt:variant>
      <vt:variant>
        <vt:i4>393286</vt:i4>
      </vt:variant>
      <vt:variant>
        <vt:i4>6</vt:i4>
      </vt:variant>
      <vt:variant>
        <vt:i4>0</vt:i4>
      </vt:variant>
      <vt:variant>
        <vt:i4>5</vt:i4>
      </vt:variant>
      <vt:variant>
        <vt:lpwstr>https://www.cbd.int/doc/decisions/np-mop-03/np-mop-03-dec-01-en.docx</vt:lpwstr>
      </vt:variant>
      <vt:variant>
        <vt:lpwstr/>
      </vt:variant>
      <vt:variant>
        <vt:i4>131142</vt:i4>
      </vt:variant>
      <vt:variant>
        <vt:i4>3</vt:i4>
      </vt:variant>
      <vt:variant>
        <vt:i4>0</vt:i4>
      </vt:variant>
      <vt:variant>
        <vt:i4>5</vt:i4>
      </vt:variant>
      <vt:variant>
        <vt:lpwstr>https://www.cbd.int/doc/decisions/np-mop-03/np-mop-03-dec-05-en.docx</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ariant>
        <vt:i4>8126513</vt:i4>
      </vt:variant>
      <vt:variant>
        <vt:i4>3</vt:i4>
      </vt:variant>
      <vt:variant>
        <vt:i4>0</vt:i4>
      </vt:variant>
      <vt:variant>
        <vt:i4>5</vt:i4>
      </vt:variant>
      <vt:variant>
        <vt:lpwstr>https://www.cbd.int/doc/decisions/np-mop-01/np-mop-01-dec-08-en.pdf</vt:lpwstr>
      </vt:variant>
      <vt:variant>
        <vt:lpwstr/>
      </vt:variant>
      <vt:variant>
        <vt:i4>4980763</vt:i4>
      </vt:variant>
      <vt:variant>
        <vt:i4>0</vt:i4>
      </vt:variant>
      <vt:variant>
        <vt:i4>0</vt:i4>
      </vt:variant>
      <vt:variant>
        <vt:i4>5</vt:i4>
      </vt:variant>
      <vt:variant>
        <vt:lpwstr>https://www.cbd.int/doc/c/ad17/76f8/cab36f3adfecf8328605e346/np-cbiac-2019-01-02-en.docx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measures to assist in capacity-building and capacity development (Article 22)</dc:title>
  <dc:subject>CBD/NP/MOP/4/5</dc:subject>
  <dc:creator>SCBD</dc:creator>
  <cp:keywords/>
  <cp:lastModifiedBy>Lucas Magdalena</cp:lastModifiedBy>
  <cp:revision>15</cp:revision>
  <cp:lastPrinted>2018-09-27T02:46:00Z</cp:lastPrinted>
  <dcterms:created xsi:type="dcterms:W3CDTF">2022-11-05T15:40:00Z</dcterms:created>
  <dcterms:modified xsi:type="dcterms:W3CDTF">2022-11-06T12:19:00Z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ies>
</file>