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bottom w:val="single" w:sz="30" w:space="0" w:color="000000"/>
        </w:tblBorders>
        <w:tblLook w:val="0000" w:firstRow="0" w:lastRow="0" w:firstColumn="0" w:lastColumn="0" w:noHBand="0" w:noVBand="0"/>
      </w:tblPr>
      <w:tblGrid>
        <w:gridCol w:w="1477"/>
        <w:gridCol w:w="1439"/>
        <w:gridCol w:w="2327"/>
        <w:gridCol w:w="1531"/>
        <w:gridCol w:w="2586"/>
      </w:tblGrid>
      <w:tr w:rsidR="00892228" w:rsidRPr="0054373A" w14:paraId="51431A64" w14:textId="77777777" w:rsidTr="000E0809">
        <w:tc>
          <w:tcPr>
            <w:tcW w:w="671" w:type="pct"/>
            <w:tcBorders>
              <w:bottom w:val="single" w:sz="12" w:space="0" w:color="000000"/>
            </w:tcBorders>
          </w:tcPr>
          <w:p w14:paraId="480F92DC" w14:textId="77777777" w:rsidR="00892228" w:rsidRPr="0054373A" w:rsidRDefault="00892228" w:rsidP="000E0809">
            <w:pPr>
              <w:rPr>
                <w:noProof/>
                <w:sz w:val="24"/>
              </w:rPr>
            </w:pPr>
            <w:r w:rsidRPr="0054373A">
              <w:rPr>
                <w:noProof/>
                <w:sz w:val="24"/>
                <w:lang w:val="en-US"/>
              </w:rPr>
              <w:drawing>
                <wp:anchor distT="0" distB="0" distL="114300" distR="114300" simplePos="0" relativeHeight="251660288" behindDoc="0" locked="1" layoutInCell="1" allowOverlap="0" wp14:anchorId="33EFF4CD" wp14:editId="178F2648">
                  <wp:simplePos x="0" y="0"/>
                  <wp:positionH relativeFrom="column">
                    <wp:posOffset>-3175</wp:posOffset>
                  </wp:positionH>
                  <wp:positionV relativeFrom="page">
                    <wp:posOffset>118745</wp:posOffset>
                  </wp:positionV>
                  <wp:extent cx="752475" cy="588645"/>
                  <wp:effectExtent l="19050" t="19050" r="28575" b="20955"/>
                  <wp:wrapSquare wrapText="bothSides"/>
                  <wp:docPr id="5" name="Pictur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2" r="44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88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4" w:type="pct"/>
            <w:tcBorders>
              <w:bottom w:val="single" w:sz="12" w:space="0" w:color="000000"/>
            </w:tcBorders>
          </w:tcPr>
          <w:p w14:paraId="1881E61B" w14:textId="77777777" w:rsidR="00892228" w:rsidRPr="0054373A" w:rsidRDefault="00892228" w:rsidP="000E0809">
            <w:pPr>
              <w:rPr>
                <w:sz w:val="24"/>
              </w:rPr>
            </w:pPr>
            <w:r w:rsidRPr="0054373A">
              <w:rPr>
                <w:noProof/>
                <w:sz w:val="24"/>
                <w:lang w:val="en-US"/>
              </w:rPr>
              <w:drawing>
                <wp:anchor distT="0" distB="0" distL="114300" distR="114300" simplePos="0" relativeHeight="251659264" behindDoc="0" locked="1" layoutInCell="1" allowOverlap="0" wp14:anchorId="69BC4868" wp14:editId="7732BD15">
                  <wp:simplePos x="0" y="0"/>
                  <wp:positionH relativeFrom="column">
                    <wp:posOffset>1905</wp:posOffset>
                  </wp:positionH>
                  <wp:positionV relativeFrom="page">
                    <wp:posOffset>166370</wp:posOffset>
                  </wp:positionV>
                  <wp:extent cx="485775" cy="541655"/>
                  <wp:effectExtent l="19050" t="19050" r="28575" b="10795"/>
                  <wp:wrapSquare wrapText="bothSides"/>
                  <wp:docPr id="6" name="Pictur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4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36" w:type="pct"/>
            <w:gridSpan w:val="3"/>
            <w:tcBorders>
              <w:bottom w:val="single" w:sz="12" w:space="0" w:color="000000"/>
            </w:tcBorders>
          </w:tcPr>
          <w:p w14:paraId="4A6547AA" w14:textId="77777777" w:rsidR="00892228" w:rsidRPr="004B3551" w:rsidRDefault="00892228" w:rsidP="000E0809">
            <w:pPr>
              <w:pStyle w:val="Heading8"/>
              <w:spacing w:beforeLines="30" w:before="72"/>
              <w:rPr>
                <w:rFonts w:ascii="Arial" w:hAnsi="Arial"/>
                <w:b w:val="0"/>
              </w:rPr>
            </w:pPr>
            <w:r w:rsidRPr="004B3551">
              <w:rPr>
                <w:rFonts w:ascii="Arial" w:hAnsi="Arial"/>
              </w:rPr>
              <w:t>CBD</w:t>
            </w:r>
          </w:p>
          <w:p w14:paraId="2A7B24E4" w14:textId="77777777" w:rsidR="00892228" w:rsidRPr="0054373A" w:rsidRDefault="00892228" w:rsidP="000E0809">
            <w:pPr>
              <w:jc w:val="right"/>
              <w:rPr>
                <w:b/>
                <w:sz w:val="24"/>
              </w:rPr>
            </w:pPr>
          </w:p>
        </w:tc>
      </w:tr>
      <w:tr w:rsidR="00892228" w:rsidRPr="0054373A" w14:paraId="68E300C4" w14:textId="77777777" w:rsidTr="000E0809">
        <w:trPr>
          <w:trHeight w:val="1693"/>
        </w:trPr>
        <w:tc>
          <w:tcPr>
            <w:tcW w:w="2742" w:type="pct"/>
            <w:gridSpan w:val="3"/>
          </w:tcPr>
          <w:p w14:paraId="165846D2" w14:textId="77777777" w:rsidR="00892228" w:rsidRPr="0054373A" w:rsidRDefault="00892228" w:rsidP="000E0809">
            <w:pPr>
              <w:rPr>
                <w:sz w:val="24"/>
              </w:rPr>
            </w:pPr>
          </w:p>
          <w:p w14:paraId="53A1AD9F" w14:textId="77777777" w:rsidR="00892228" w:rsidRPr="0054373A" w:rsidRDefault="00892228" w:rsidP="000E0809">
            <w:pPr>
              <w:rPr>
                <w:b/>
                <w:sz w:val="24"/>
              </w:rPr>
            </w:pPr>
            <w:r w:rsidRPr="0054373A">
              <w:rPr>
                <w:b/>
                <w:noProof/>
                <w:sz w:val="24"/>
                <w:lang w:val="en-US"/>
              </w:rPr>
              <w:drawing>
                <wp:inline distT="0" distB="0" distL="0" distR="0" wp14:anchorId="708CBFC5" wp14:editId="62A5CD31">
                  <wp:extent cx="3017520" cy="1188720"/>
                  <wp:effectExtent l="0" t="0" r="0" b="0"/>
                  <wp:docPr id="4" name="Picture 4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E839A" w14:textId="77777777" w:rsidR="00892228" w:rsidRPr="0054373A" w:rsidRDefault="00892228" w:rsidP="000E0809">
            <w:pPr>
              <w:rPr>
                <w:b/>
                <w:sz w:val="24"/>
              </w:rPr>
            </w:pPr>
          </w:p>
        </w:tc>
        <w:tc>
          <w:tcPr>
            <w:tcW w:w="847" w:type="pct"/>
          </w:tcPr>
          <w:p w14:paraId="025B98CB" w14:textId="77777777" w:rsidR="00892228" w:rsidRPr="0054373A" w:rsidRDefault="00892228" w:rsidP="000E0809">
            <w:pPr>
              <w:rPr>
                <w:sz w:val="24"/>
              </w:rPr>
            </w:pPr>
          </w:p>
        </w:tc>
        <w:tc>
          <w:tcPr>
            <w:tcW w:w="1410" w:type="pct"/>
          </w:tcPr>
          <w:p w14:paraId="0F016251" w14:textId="77777777" w:rsidR="00892228" w:rsidRPr="0054373A" w:rsidRDefault="00892228" w:rsidP="000E0809">
            <w:pPr>
              <w:spacing w:before="120"/>
              <w:rPr>
                <w:sz w:val="24"/>
              </w:rPr>
            </w:pPr>
            <w:r w:rsidRPr="0054373A">
              <w:rPr>
                <w:sz w:val="24"/>
              </w:rPr>
              <w:t>Distr.</w:t>
            </w:r>
          </w:p>
          <w:p w14:paraId="4325643E" w14:textId="77777777" w:rsidR="00892228" w:rsidRPr="0054373A" w:rsidRDefault="00892228" w:rsidP="000E0809">
            <w:pPr>
              <w:rPr>
                <w:sz w:val="24"/>
              </w:rPr>
            </w:pPr>
            <w:r>
              <w:rPr>
                <w:sz w:val="24"/>
              </w:rPr>
              <w:t>LIMITED</w:t>
            </w:r>
          </w:p>
          <w:p w14:paraId="0C836C74" w14:textId="77777777" w:rsidR="00892228" w:rsidRPr="0054373A" w:rsidRDefault="00892228" w:rsidP="000E0809">
            <w:pPr>
              <w:rPr>
                <w:sz w:val="24"/>
              </w:rPr>
            </w:pPr>
          </w:p>
          <w:p w14:paraId="28E44E06" w14:textId="45B768A8" w:rsidR="00892228" w:rsidRPr="0054373A" w:rsidRDefault="00892228" w:rsidP="000E0809">
            <w:pPr>
              <w:overflowPunct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CBD/CP-</w:t>
            </w:r>
            <w:r w:rsidRPr="0054373A">
              <w:rPr>
                <w:sz w:val="24"/>
              </w:rPr>
              <w:t>MOP/</w:t>
            </w:r>
            <w:r w:rsidRPr="0054373A">
              <w:rPr>
                <w:rFonts w:hint="eastAsia"/>
                <w:sz w:val="24"/>
              </w:rPr>
              <w:t>9</w:t>
            </w:r>
            <w:r>
              <w:rPr>
                <w:sz w:val="24"/>
              </w:rPr>
              <w:t>/L.16</w:t>
            </w:r>
          </w:p>
          <w:p w14:paraId="5991F247" w14:textId="59A552F1" w:rsidR="00892228" w:rsidRPr="0054373A" w:rsidRDefault="00892228" w:rsidP="000E0809">
            <w:pPr>
              <w:overflowPunct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z w:val="24"/>
              </w:rPr>
              <w:t xml:space="preserve"> Nov</w:t>
            </w:r>
            <w:r w:rsidRPr="0054373A">
              <w:rPr>
                <w:sz w:val="24"/>
              </w:rPr>
              <w:t>ember 20</w:t>
            </w:r>
            <w:r w:rsidRPr="0054373A">
              <w:rPr>
                <w:rFonts w:hint="eastAsia"/>
                <w:sz w:val="24"/>
              </w:rPr>
              <w:t>1</w:t>
            </w:r>
            <w:r w:rsidRPr="0054373A">
              <w:rPr>
                <w:sz w:val="24"/>
              </w:rPr>
              <w:t>8</w:t>
            </w:r>
          </w:p>
          <w:p w14:paraId="4F086D2D" w14:textId="77777777" w:rsidR="00892228" w:rsidRPr="0054373A" w:rsidRDefault="00892228" w:rsidP="000E0809">
            <w:pPr>
              <w:rPr>
                <w:sz w:val="24"/>
              </w:rPr>
            </w:pPr>
          </w:p>
          <w:p w14:paraId="115139F5" w14:textId="77777777" w:rsidR="00892228" w:rsidRPr="0054373A" w:rsidRDefault="00892228" w:rsidP="000E0809">
            <w:pPr>
              <w:rPr>
                <w:sz w:val="24"/>
              </w:rPr>
            </w:pPr>
            <w:r w:rsidRPr="0054373A">
              <w:rPr>
                <w:rFonts w:hint="eastAsia"/>
                <w:sz w:val="24"/>
              </w:rPr>
              <w:t>CHINESE</w:t>
            </w:r>
          </w:p>
          <w:p w14:paraId="742920FA" w14:textId="77777777" w:rsidR="00892228" w:rsidRPr="0054373A" w:rsidRDefault="00892228" w:rsidP="000E0809">
            <w:pPr>
              <w:rPr>
                <w:rFonts w:ascii="Courier New" w:hAnsi="Courier New"/>
                <w:sz w:val="24"/>
              </w:rPr>
            </w:pPr>
            <w:r w:rsidRPr="0054373A">
              <w:rPr>
                <w:sz w:val="24"/>
              </w:rPr>
              <w:t>ORIGINAL: ENGLISH</w:t>
            </w:r>
          </w:p>
        </w:tc>
      </w:tr>
    </w:tbl>
    <w:p w14:paraId="5A25DF8D" w14:textId="77777777" w:rsidR="00AE7242" w:rsidRPr="0099685E" w:rsidRDefault="00AE7242" w:rsidP="007B27F3">
      <w:pPr>
        <w:spacing w:before="60"/>
        <w:ind w:right="4406"/>
        <w:jc w:val="left"/>
        <w:rPr>
          <w:color w:val="000000"/>
          <w:kern w:val="20"/>
          <w:sz w:val="24"/>
        </w:rPr>
      </w:pPr>
      <w:r w:rsidRPr="0099685E">
        <w:rPr>
          <w:rFonts w:hAnsi="SimSun" w:hint="eastAsia"/>
          <w:sz w:val="24"/>
        </w:rPr>
        <w:t>作为</w:t>
      </w:r>
      <w:r w:rsidRPr="0099685E">
        <w:rPr>
          <w:rFonts w:hAnsi="SimSun" w:hint="eastAsia"/>
          <w:color w:val="000000"/>
          <w:kern w:val="20"/>
          <w:sz w:val="24"/>
        </w:rPr>
        <w:t>卡塔赫纳生物安全议定书缔约方会议</w:t>
      </w:r>
      <w:r w:rsidRPr="0099685E">
        <w:rPr>
          <w:rFonts w:eastAsia="SimHei"/>
          <w:sz w:val="24"/>
        </w:rPr>
        <w:br/>
      </w:r>
      <w:r w:rsidRPr="0099685E">
        <w:rPr>
          <w:rFonts w:hAnsi="SimSun" w:hint="eastAsia"/>
          <w:color w:val="000000"/>
          <w:kern w:val="20"/>
          <w:sz w:val="24"/>
        </w:rPr>
        <w:t>的生物多样性公约缔约方大会</w:t>
      </w:r>
    </w:p>
    <w:p w14:paraId="79FE142A" w14:textId="77777777" w:rsidR="00AE7242" w:rsidRPr="0099685E" w:rsidRDefault="003E5D69" w:rsidP="007B27F3">
      <w:pPr>
        <w:ind w:right="4398"/>
        <w:jc w:val="left"/>
        <w:rPr>
          <w:rFonts w:eastAsia="Malgun Gothic"/>
          <w:sz w:val="24"/>
        </w:rPr>
      </w:pPr>
      <w:r>
        <w:rPr>
          <w:rFonts w:hAnsi="SimSun" w:hint="eastAsia"/>
          <w:sz w:val="24"/>
        </w:rPr>
        <w:t>第九</w:t>
      </w:r>
      <w:r w:rsidR="00AE7242" w:rsidRPr="0099685E">
        <w:rPr>
          <w:rFonts w:hAnsi="SimSun" w:hint="eastAsia"/>
          <w:sz w:val="24"/>
        </w:rPr>
        <w:t>次会议</w:t>
      </w:r>
    </w:p>
    <w:p w14:paraId="23588E57" w14:textId="77777777" w:rsidR="003E5D69" w:rsidRPr="00FA2E6B" w:rsidRDefault="003E5D69" w:rsidP="007B27F3">
      <w:pPr>
        <w:pStyle w:val="Cornernotation"/>
        <w:ind w:left="0" w:right="3168" w:firstLine="0"/>
        <w:rPr>
          <w:bCs/>
          <w:iCs/>
          <w:sz w:val="24"/>
        </w:rPr>
      </w:pPr>
      <w:r w:rsidRPr="00FA2E6B">
        <w:rPr>
          <w:bCs/>
          <w:iCs/>
          <w:sz w:val="24"/>
        </w:rPr>
        <w:t>2018</w:t>
      </w:r>
      <w:r w:rsidRPr="00FA2E6B">
        <w:rPr>
          <w:bCs/>
          <w:iCs/>
          <w:sz w:val="24"/>
        </w:rPr>
        <w:t>年</w:t>
      </w:r>
      <w:r w:rsidRPr="00FA2E6B">
        <w:rPr>
          <w:bCs/>
          <w:iCs/>
          <w:sz w:val="24"/>
        </w:rPr>
        <w:t>11</w:t>
      </w:r>
      <w:r w:rsidRPr="00FA2E6B">
        <w:rPr>
          <w:bCs/>
          <w:iCs/>
          <w:sz w:val="24"/>
        </w:rPr>
        <w:t>月</w:t>
      </w:r>
      <w:r w:rsidRPr="00FA2E6B">
        <w:rPr>
          <w:bCs/>
          <w:iCs/>
          <w:sz w:val="24"/>
        </w:rPr>
        <w:t>17</w:t>
      </w:r>
      <w:r w:rsidRPr="00FA2E6B">
        <w:rPr>
          <w:bCs/>
          <w:iCs/>
          <w:sz w:val="24"/>
        </w:rPr>
        <w:t>日至</w:t>
      </w:r>
      <w:r w:rsidRPr="00FA2E6B">
        <w:rPr>
          <w:bCs/>
          <w:iCs/>
          <w:sz w:val="24"/>
        </w:rPr>
        <w:t>29</w:t>
      </w:r>
      <w:r w:rsidRPr="00FA2E6B">
        <w:rPr>
          <w:bCs/>
          <w:iCs/>
          <w:sz w:val="24"/>
        </w:rPr>
        <w:t>日，埃及沙姆沙伊赫</w:t>
      </w:r>
    </w:p>
    <w:p w14:paraId="1759557B" w14:textId="589B1A12" w:rsidR="00666863" w:rsidRDefault="00666863" w:rsidP="007B27F3">
      <w:pPr>
        <w:pStyle w:val="Cornernotation"/>
        <w:ind w:left="0" w:right="3548" w:firstLine="0"/>
        <w:rPr>
          <w:rFonts w:ascii="Univers" w:hAnsi="Univers" w:cs="Times New Roman"/>
          <w:kern w:val="22"/>
        </w:rPr>
      </w:pPr>
      <w:r>
        <w:rPr>
          <w:rFonts w:ascii="SimSun" w:cs="Times New Roman" w:hint="eastAsia"/>
          <w:noProof/>
          <w:sz w:val="24"/>
        </w:rPr>
        <w:t>议程项</w:t>
      </w:r>
      <w:r w:rsidRPr="00EF36C9">
        <w:rPr>
          <w:rFonts w:ascii="SimSun" w:cs="Times New Roman" w:hint="eastAsia"/>
          <w:noProof/>
          <w:sz w:val="24"/>
        </w:rPr>
        <w:t>目</w:t>
      </w:r>
      <w:r w:rsidR="00FF3EB6">
        <w:rPr>
          <w:rFonts w:cs="Times New Roman"/>
          <w:noProof/>
          <w:sz w:val="24"/>
        </w:rPr>
        <w:t>14</w:t>
      </w:r>
    </w:p>
    <w:p w14:paraId="59E981A6" w14:textId="7387A98C" w:rsidR="00CC7B35" w:rsidRPr="00960F34" w:rsidRDefault="00CC7B35" w:rsidP="004148C8">
      <w:pPr>
        <w:tabs>
          <w:tab w:val="left" w:pos="720"/>
        </w:tabs>
        <w:spacing w:line="240" w:lineRule="atLeast"/>
        <w:jc w:val="left"/>
        <w:rPr>
          <w:rFonts w:ascii="SimSun" w:hAnsi="SimSun" w:cs="SimSun"/>
          <w:color w:val="000000"/>
          <w:sz w:val="24"/>
          <w:lang w:val="en-US"/>
        </w:rPr>
      </w:pPr>
      <w:bookmarkStart w:id="0" w:name="_Ref314474052"/>
    </w:p>
    <w:p w14:paraId="6DF86D09" w14:textId="368047F0" w:rsidR="00FF3EB6" w:rsidRDefault="00121E6A" w:rsidP="00FF3EB6">
      <w:pPr>
        <w:keepNext/>
        <w:tabs>
          <w:tab w:val="left" w:pos="1980"/>
        </w:tabs>
        <w:spacing w:before="240" w:after="240"/>
        <w:ind w:left="1980" w:right="720" w:hanging="1080"/>
        <w:jc w:val="left"/>
        <w:outlineLvl w:val="1"/>
        <w:rPr>
          <w:rFonts w:ascii="KaiTi" w:eastAsia="KaiTi" w:hAnsi="KaiTi"/>
          <w:snapToGrid w:val="0"/>
          <w:kern w:val="20"/>
          <w:sz w:val="24"/>
        </w:rPr>
      </w:pPr>
      <w:r w:rsidRPr="00121E6A">
        <w:rPr>
          <w:rFonts w:hint="eastAsia"/>
          <w:b/>
          <w:bCs/>
          <w:iCs/>
          <w:sz w:val="24"/>
        </w:rPr>
        <w:t>筹备《</w:t>
      </w:r>
      <w:r w:rsidRPr="00121E6A">
        <w:rPr>
          <w:rFonts w:hint="eastAsia"/>
          <w:b/>
          <w:bCs/>
          <w:iCs/>
          <w:sz w:val="24"/>
        </w:rPr>
        <w:t>2011-2020</w:t>
      </w:r>
      <w:r w:rsidRPr="00121E6A">
        <w:rPr>
          <w:rFonts w:hint="eastAsia"/>
          <w:b/>
          <w:bCs/>
          <w:iCs/>
          <w:sz w:val="24"/>
        </w:rPr>
        <w:t>年生</w:t>
      </w:r>
      <w:bookmarkStart w:id="1" w:name="_GoBack"/>
      <w:bookmarkEnd w:id="1"/>
      <w:r w:rsidRPr="00121E6A">
        <w:rPr>
          <w:rFonts w:hint="eastAsia"/>
          <w:b/>
          <w:bCs/>
          <w:iCs/>
          <w:sz w:val="24"/>
        </w:rPr>
        <w:t>物多样性战略计划》和《</w:t>
      </w:r>
      <w:r w:rsidRPr="00121E6A">
        <w:rPr>
          <w:rFonts w:hint="eastAsia"/>
          <w:b/>
          <w:bCs/>
          <w:iCs/>
          <w:sz w:val="24"/>
        </w:rPr>
        <w:t>2011-2020</w:t>
      </w:r>
      <w:r w:rsidRPr="00121E6A">
        <w:rPr>
          <w:rFonts w:hint="eastAsia"/>
          <w:b/>
          <w:bCs/>
          <w:iCs/>
          <w:sz w:val="24"/>
        </w:rPr>
        <w:t>年卡塔赫纳生物安全议定书战略计划》的后续行动</w:t>
      </w:r>
      <w:r w:rsidR="00FF3EB6">
        <w:rPr>
          <w:rFonts w:ascii="KaiTi" w:eastAsia="KaiTi" w:hAnsi="KaiTi" w:hint="eastAsia"/>
          <w:snapToGrid w:val="0"/>
          <w:kern w:val="20"/>
          <w:sz w:val="24"/>
        </w:rPr>
        <w:t xml:space="preserve"> </w:t>
      </w:r>
    </w:p>
    <w:p w14:paraId="72549821" w14:textId="14560575" w:rsidR="00FF3EB6" w:rsidRPr="00526013" w:rsidRDefault="00FF3EB6" w:rsidP="00FF3EB6">
      <w:pPr>
        <w:keepNext/>
        <w:tabs>
          <w:tab w:val="left" w:pos="1980"/>
        </w:tabs>
        <w:spacing w:before="240" w:after="240"/>
        <w:ind w:left="1980" w:right="720" w:hanging="1080"/>
        <w:jc w:val="center"/>
        <w:outlineLvl w:val="1"/>
        <w:rPr>
          <w:rFonts w:ascii="KaiTi" w:eastAsia="KaiTi" w:hAnsi="KaiTi"/>
          <w:b/>
          <w:snapToGrid w:val="0"/>
          <w:kern w:val="20"/>
          <w:sz w:val="24"/>
        </w:rPr>
      </w:pPr>
      <w:r w:rsidRPr="00526013">
        <w:rPr>
          <w:rFonts w:ascii="SimSun" w:cs="Times New Roman" w:hint="eastAsia"/>
          <w:b/>
          <w:noProof/>
          <w:kern w:val="22"/>
          <w:sz w:val="24"/>
        </w:rPr>
        <w:t>主席提交的决定草案</w:t>
      </w:r>
    </w:p>
    <w:p w14:paraId="7DD68DBC" w14:textId="59214F9F" w:rsidR="00121E6A" w:rsidRPr="00121E6A" w:rsidRDefault="00121E6A" w:rsidP="001A49E9">
      <w:pPr>
        <w:keepNext/>
        <w:tabs>
          <w:tab w:val="left" w:pos="1980"/>
        </w:tabs>
        <w:adjustRightInd w:val="0"/>
        <w:snapToGrid w:val="0"/>
        <w:spacing w:before="240" w:after="240"/>
        <w:ind w:firstLine="720"/>
        <w:jc w:val="left"/>
        <w:outlineLvl w:val="1"/>
        <w:rPr>
          <w:rFonts w:ascii="KaiTi" w:eastAsia="KaiTi" w:hAnsi="KaiTi"/>
          <w:kern w:val="22"/>
          <w:sz w:val="24"/>
        </w:rPr>
      </w:pPr>
      <w:r w:rsidRPr="00121E6A">
        <w:rPr>
          <w:rFonts w:ascii="KaiTi" w:eastAsia="KaiTi" w:hAnsi="KaiTi" w:hint="eastAsia"/>
          <w:kern w:val="22"/>
          <w:sz w:val="24"/>
        </w:rPr>
        <w:t>作为卡塔赫纳生物安全议定书缔约方会议的缔约方大会，</w:t>
      </w:r>
    </w:p>
    <w:p w14:paraId="2B085C5C" w14:textId="5DD6C03C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 w:line="320" w:lineRule="atLeast"/>
        <w:ind w:left="0" w:firstLine="720"/>
        <w:rPr>
          <w:color w:val="000000"/>
          <w:kern w:val="22"/>
          <w:sz w:val="24"/>
        </w:rPr>
      </w:pP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表示注意到</w:t>
      </w:r>
      <w:r w:rsidRPr="00121E6A">
        <w:rPr>
          <w:rFonts w:hint="eastAsia"/>
          <w:color w:val="000000"/>
          <w:kern w:val="22"/>
          <w:sz w:val="24"/>
        </w:rPr>
        <w:t>拟议的作为《</w:t>
      </w:r>
      <w:r w:rsidRPr="00121E6A">
        <w:rPr>
          <w:rFonts w:hint="eastAsia"/>
          <w:color w:val="000000"/>
          <w:kern w:val="22"/>
          <w:sz w:val="24"/>
        </w:rPr>
        <w:t>2011-2020</w:t>
      </w:r>
      <w:r w:rsidRPr="00121E6A">
        <w:rPr>
          <w:rFonts w:hint="eastAsia"/>
          <w:color w:val="000000"/>
          <w:kern w:val="22"/>
          <w:sz w:val="24"/>
        </w:rPr>
        <w:t>年生物多样性战略计划》后续行动的</w:t>
      </w:r>
      <w:r w:rsidRPr="00121E6A">
        <w:rPr>
          <w:rFonts w:hint="eastAsia"/>
          <w:color w:val="000000"/>
          <w:kern w:val="22"/>
          <w:sz w:val="24"/>
        </w:rPr>
        <w:t>2020</w:t>
      </w:r>
      <w:r w:rsidRPr="00121E6A">
        <w:rPr>
          <w:rFonts w:hint="eastAsia"/>
          <w:color w:val="000000"/>
          <w:kern w:val="22"/>
          <w:sz w:val="24"/>
        </w:rPr>
        <w:t>年后全球生物多样性框架的筹备进程，并</w:t>
      </w:r>
      <w:r w:rsidRPr="00121E6A">
        <w:rPr>
          <w:rFonts w:eastAsia="KaiTi" w:hint="eastAsia"/>
          <w:color w:val="000000"/>
          <w:kern w:val="22"/>
          <w:sz w:val="24"/>
        </w:rPr>
        <w:t>欢迎</w:t>
      </w:r>
      <w:r w:rsidRPr="00121E6A">
        <w:rPr>
          <w:rFonts w:hint="eastAsia"/>
          <w:color w:val="000000"/>
          <w:kern w:val="22"/>
          <w:sz w:val="24"/>
        </w:rPr>
        <w:t>缔约方大会第</w:t>
      </w:r>
      <w:r w:rsidRPr="00121E6A">
        <w:rPr>
          <w:rFonts w:hint="eastAsia"/>
          <w:color w:val="000000"/>
          <w:kern w:val="22"/>
          <w:sz w:val="24"/>
        </w:rPr>
        <w:t>14/--</w:t>
      </w:r>
      <w:r w:rsidRPr="00121E6A">
        <w:rPr>
          <w:rFonts w:hint="eastAsia"/>
          <w:color w:val="000000"/>
          <w:kern w:val="22"/>
          <w:sz w:val="24"/>
        </w:rPr>
        <w:t>号决定；</w:t>
      </w:r>
    </w:p>
    <w:p w14:paraId="7ACC0105" w14:textId="229F2A96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/>
        <w:ind w:left="0" w:firstLine="720"/>
        <w:rPr>
          <w:rFonts w:cs="Times New Roman"/>
          <w:color w:val="000000"/>
          <w:kern w:val="22"/>
          <w:sz w:val="24"/>
        </w:rPr>
      </w:pPr>
      <w:r w:rsidRPr="00121E6A">
        <w:rPr>
          <w:rFonts w:ascii="KaiTi" w:eastAsia="KaiTi" w:hAnsi="KaiTi" w:cs="Times New Roman" w:hint="eastAsia"/>
          <w:color w:val="000000"/>
          <w:kern w:val="22"/>
          <w:sz w:val="24"/>
        </w:rPr>
        <w:t>注意到</w:t>
      </w:r>
      <w:r w:rsidRPr="00121E6A">
        <w:rPr>
          <w:rFonts w:cs="Times New Roman" w:hint="eastAsia"/>
          <w:color w:val="000000"/>
          <w:kern w:val="22"/>
          <w:sz w:val="24"/>
        </w:rPr>
        <w:t>将生物安全纳入</w:t>
      </w:r>
      <w:r w:rsidRPr="00121E6A">
        <w:rPr>
          <w:rFonts w:cs="Times New Roman" w:hint="eastAsia"/>
          <w:color w:val="000000"/>
          <w:kern w:val="22"/>
          <w:sz w:val="24"/>
        </w:rPr>
        <w:t>2020</w:t>
      </w:r>
      <w:r w:rsidRPr="00121E6A">
        <w:rPr>
          <w:rFonts w:cs="Times New Roman" w:hint="eastAsia"/>
          <w:color w:val="000000"/>
          <w:kern w:val="22"/>
          <w:sz w:val="24"/>
        </w:rPr>
        <w:t>年后全球生物多样性框架以及制定</w:t>
      </w:r>
      <w:r w:rsidR="00D67B1F">
        <w:rPr>
          <w:rFonts w:cs="Times New Roman" w:hint="eastAsia"/>
          <w:color w:val="000000"/>
          <w:kern w:val="22"/>
          <w:sz w:val="24"/>
        </w:rPr>
        <w:t>《</w:t>
      </w:r>
      <w:r w:rsidRPr="00121E6A">
        <w:rPr>
          <w:rFonts w:cs="Times New Roman" w:hint="eastAsia"/>
          <w:color w:val="000000"/>
          <w:kern w:val="22"/>
          <w:sz w:val="24"/>
        </w:rPr>
        <w:t>2011-2020</w:t>
      </w:r>
      <w:r w:rsidRPr="00121E6A">
        <w:rPr>
          <w:rFonts w:cs="Times New Roman" w:hint="eastAsia"/>
          <w:color w:val="000000"/>
          <w:kern w:val="22"/>
          <w:sz w:val="24"/>
        </w:rPr>
        <w:t>年卡塔赫纳生物安全议定书战略计划》具体后续行动的价值；</w:t>
      </w:r>
    </w:p>
    <w:p w14:paraId="7F502794" w14:textId="77777777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/>
        <w:ind w:left="0" w:firstLine="720"/>
        <w:rPr>
          <w:rFonts w:cs="Times New Roman"/>
          <w:color w:val="000000"/>
          <w:kern w:val="22"/>
          <w:sz w:val="24"/>
        </w:rPr>
      </w:pPr>
      <w:r w:rsidRPr="00121E6A">
        <w:rPr>
          <w:rFonts w:ascii="KaiTi" w:eastAsia="KaiTi" w:hAnsi="KaiTi" w:cs="Times New Roman" w:hint="eastAsia"/>
          <w:color w:val="000000"/>
          <w:kern w:val="22"/>
          <w:sz w:val="24"/>
        </w:rPr>
        <w:t>又注意到</w:t>
      </w:r>
      <w:r w:rsidRPr="00121E6A">
        <w:rPr>
          <w:rFonts w:cs="Times New Roman" w:hint="eastAsia"/>
          <w:color w:val="000000"/>
          <w:kern w:val="22"/>
          <w:sz w:val="24"/>
        </w:rPr>
        <w:t>生物安全专家，包括具有《名古屋</w:t>
      </w:r>
      <w:r w:rsidRPr="00121E6A">
        <w:rPr>
          <w:rFonts w:cs="Times New Roman" w:hint="eastAsia"/>
          <w:color w:val="000000"/>
          <w:kern w:val="22"/>
          <w:sz w:val="24"/>
        </w:rPr>
        <w:t>-</w:t>
      </w:r>
      <w:r w:rsidRPr="00121E6A">
        <w:rPr>
          <w:rFonts w:cs="Times New Roman" w:hint="eastAsia"/>
          <w:color w:val="000000"/>
          <w:kern w:val="22"/>
          <w:sz w:val="24"/>
        </w:rPr>
        <w:t>吉隆坡赔偿责任和补救问题补充议定书》专门知识的专家积极参与制定</w:t>
      </w:r>
      <w:r w:rsidRPr="00121E6A">
        <w:rPr>
          <w:rFonts w:cs="Times New Roman" w:hint="eastAsia"/>
          <w:color w:val="000000"/>
          <w:kern w:val="22"/>
          <w:sz w:val="24"/>
        </w:rPr>
        <w:t>2020</w:t>
      </w:r>
      <w:r w:rsidRPr="00121E6A">
        <w:rPr>
          <w:rFonts w:cs="Times New Roman" w:hint="eastAsia"/>
          <w:color w:val="000000"/>
          <w:kern w:val="22"/>
          <w:sz w:val="24"/>
        </w:rPr>
        <w:t>年后全球生物多样性框架的重要性；</w:t>
      </w:r>
    </w:p>
    <w:p w14:paraId="410B6841" w14:textId="77777777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 w:line="320" w:lineRule="atLeast"/>
        <w:ind w:left="0" w:firstLine="720"/>
        <w:rPr>
          <w:rFonts w:cs="Times New Roman"/>
          <w:color w:val="222222"/>
          <w:sz w:val="24"/>
          <w:shd w:val="clear" w:color="auto" w:fill="FFFFFF"/>
        </w:rPr>
      </w:pP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邀请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各缔约方参与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2020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年后全球生物多样性框架的制定进程；</w:t>
      </w:r>
    </w:p>
    <w:p w14:paraId="6DAB5975" w14:textId="009CBF0A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 w:line="320" w:lineRule="atLeast"/>
        <w:ind w:left="0" w:firstLine="720"/>
        <w:rPr>
          <w:rFonts w:cs="Times New Roman"/>
          <w:color w:val="222222"/>
          <w:sz w:val="24"/>
          <w:shd w:val="clear" w:color="auto" w:fill="FFFFFF"/>
        </w:rPr>
      </w:pP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决定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制订与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2020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年后全球生物多样性框架互补的</w:t>
      </w:r>
      <w:r w:rsidR="00D67B1F">
        <w:rPr>
          <w:rFonts w:cs="Times New Roman" w:hint="eastAsia"/>
          <w:color w:val="222222"/>
          <w:sz w:val="24"/>
          <w:shd w:val="clear" w:color="auto" w:fill="FFFFFF"/>
        </w:rPr>
        <w:t>《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2011-2020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年卡塔赫纳生物安全议定书战略计划》的具体后续行动，并</w:t>
      </w: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请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执行秘书为拟定其要素提供便利；</w:t>
      </w:r>
    </w:p>
    <w:p w14:paraId="6193C128" w14:textId="1DD9EC25" w:rsidR="00121E6A" w:rsidRPr="00D92BB2" w:rsidRDefault="00892228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eastAsia="MS Mincho"/>
          <w:snapToGrid w:val="0"/>
          <w:color w:val="000000"/>
          <w:kern w:val="22"/>
          <w:sz w:val="24"/>
        </w:rPr>
      </w:pPr>
      <w:r>
        <w:rPr>
          <w:rFonts w:ascii="KaiTi" w:eastAsia="KaiTi" w:hAnsi="KaiTi" w:hint="eastAsia"/>
          <w:snapToGrid w:val="0"/>
          <w:color w:val="000000"/>
          <w:kern w:val="22"/>
          <w:sz w:val="24"/>
        </w:rPr>
        <w:t>又</w:t>
      </w:r>
      <w:r>
        <w:rPr>
          <w:rFonts w:ascii="KaiTi" w:eastAsia="KaiTi" w:hAnsi="KaiTi"/>
          <w:snapToGrid w:val="0"/>
          <w:color w:val="000000"/>
          <w:kern w:val="22"/>
          <w:sz w:val="24"/>
        </w:rPr>
        <w:t>决定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>《卡塔赫纳议定书战略计划》的具体后续行动将：</w:t>
      </w:r>
      <w:r w:rsidR="00121E6A" w:rsidRPr="00121E6A">
        <w:rPr>
          <w:rFonts w:eastAsia="MS Mincho" w:hint="eastAsia"/>
          <w:snapToGrid w:val="0"/>
          <w:color w:val="000000"/>
          <w:kern w:val="22"/>
          <w:sz w:val="24"/>
        </w:rPr>
        <w:t>(a) 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>作为一种实施工具制定；</w:t>
      </w:r>
      <w:r w:rsidR="00121E6A" w:rsidRPr="00121E6A">
        <w:rPr>
          <w:rFonts w:eastAsia="MS Mincho" w:hint="eastAsia"/>
          <w:snapToGrid w:val="0"/>
          <w:color w:val="000000"/>
          <w:kern w:val="22"/>
          <w:sz w:val="24"/>
        </w:rPr>
        <w:t>(b) 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>反映</w:t>
      </w:r>
      <w:r w:rsidR="00D67B1F">
        <w:rPr>
          <w:rFonts w:hint="eastAsia"/>
          <w:snapToGrid w:val="0"/>
          <w:color w:val="000000"/>
          <w:kern w:val="22"/>
          <w:sz w:val="24"/>
        </w:rPr>
        <w:t>《</w:t>
      </w:r>
      <w:r w:rsidR="00121E6A" w:rsidRPr="00121E6A">
        <w:rPr>
          <w:rFonts w:eastAsia="MS Mincho" w:hint="eastAsia"/>
          <w:snapToGrid w:val="0"/>
          <w:color w:val="000000"/>
          <w:kern w:val="22"/>
          <w:sz w:val="24"/>
        </w:rPr>
        <w:t>2011-2020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>年</w:t>
      </w:r>
      <w:r w:rsidR="00121E6A" w:rsidRPr="00121E6A">
        <w:rPr>
          <w:rFonts w:ascii="SimSun" w:hAnsi="SimSun" w:hint="eastAsia"/>
          <w:snapToGrid w:val="0"/>
          <w:color w:val="000000"/>
          <w:kern w:val="22"/>
          <w:sz w:val="24"/>
        </w:rPr>
        <w:t>卡塔赫</w:t>
      </w:r>
      <w:r w:rsidR="00121E6A"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纳议</w:t>
      </w:r>
      <w:r w:rsidR="00121E6A"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定</w:t>
      </w:r>
      <w:r w:rsidR="00121E6A"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书战</w:t>
      </w:r>
      <w:r w:rsidR="00121E6A"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略</w:t>
      </w:r>
      <w:r w:rsidR="00121E6A"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计</w:t>
      </w:r>
      <w:r w:rsidR="00121E6A"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划》的要素，这些要素在确保有足够的灵活性，能在顾及新的发展的同时，仍然具有相关性；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>以及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 xml:space="preserve"> </w:t>
      </w:r>
      <w:r w:rsidR="00121E6A" w:rsidRPr="00121E6A">
        <w:rPr>
          <w:rFonts w:eastAsia="MS Mincho" w:hint="eastAsia"/>
          <w:snapToGrid w:val="0"/>
          <w:color w:val="000000"/>
          <w:kern w:val="22"/>
          <w:sz w:val="24"/>
        </w:rPr>
        <w:t>(c) </w:t>
      </w:r>
      <w:r w:rsidR="00121E6A" w:rsidRPr="00121E6A">
        <w:rPr>
          <w:rFonts w:hint="eastAsia"/>
          <w:snapToGrid w:val="0"/>
          <w:color w:val="000000"/>
          <w:kern w:val="22"/>
          <w:sz w:val="24"/>
        </w:rPr>
        <w:t>包含既简单又容易衡量的指标，以便于审查执行《议定书》的进展情况；</w:t>
      </w:r>
    </w:p>
    <w:p w14:paraId="35592906" w14:textId="6618C647" w:rsidR="00D92BB2" w:rsidRPr="00121E6A" w:rsidRDefault="00892228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snapToGrid w:val="0"/>
          <w:color w:val="000000"/>
          <w:kern w:val="22"/>
          <w:sz w:val="24"/>
        </w:rPr>
      </w:pPr>
      <w:r>
        <w:rPr>
          <w:rFonts w:eastAsia="KaiTi" w:hint="eastAsia"/>
          <w:snapToGrid w:val="0"/>
          <w:color w:val="000000"/>
          <w:kern w:val="22"/>
          <w:sz w:val="24"/>
        </w:rPr>
        <w:t>还</w:t>
      </w:r>
      <w:r w:rsidR="00D92BB2" w:rsidRPr="00D92BB2">
        <w:rPr>
          <w:rFonts w:eastAsia="KaiTi" w:hint="eastAsia"/>
          <w:snapToGrid w:val="0"/>
          <w:color w:val="000000"/>
          <w:kern w:val="22"/>
          <w:sz w:val="24"/>
        </w:rPr>
        <w:t>决定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扩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大</w:t>
      </w:r>
      <w:r w:rsid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附件所述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生物安全能力建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设</w:t>
      </w:r>
      <w:r w:rsid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问题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联络</w:t>
      </w:r>
      <w:r w:rsid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小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组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的任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务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和范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围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，包括关于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执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行</w:t>
      </w:r>
      <w:r w:rsid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《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议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定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书</w:t>
      </w:r>
      <w:r w:rsid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》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和生物安全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问题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的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实际经验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的具体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专门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知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识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，同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时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考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虑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到地域代表性和不同意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见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，并</w:t>
      </w:r>
      <w:r w:rsid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将其</w:t>
      </w:r>
      <w:r w:rsidR="00D67B1F">
        <w:rPr>
          <w:rFonts w:ascii="MS Mincho" w:hAnsi="MS Mincho" w:cs="MS Mincho" w:hint="eastAsia"/>
          <w:snapToGrid w:val="0"/>
          <w:color w:val="000000"/>
          <w:kern w:val="22"/>
          <w:sz w:val="24"/>
        </w:rPr>
        <w:t>更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名</w:t>
      </w:r>
      <w:r w:rsid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为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“卡塔赫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纳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生物安全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议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定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书联络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小</w:t>
      </w:r>
      <w:r w:rsidR="00D92BB2"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组</w:t>
      </w:r>
      <w:r w:rsidR="00D92BB2"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”</w:t>
      </w:r>
      <w:r w:rsidR="00D92BB2">
        <w:rPr>
          <w:rFonts w:hint="eastAsia"/>
          <w:snapToGrid w:val="0"/>
          <w:color w:val="000000"/>
          <w:kern w:val="22"/>
          <w:sz w:val="24"/>
        </w:rPr>
        <w:t>；</w:t>
      </w:r>
    </w:p>
    <w:p w14:paraId="7C660BD8" w14:textId="32568F87" w:rsidR="00121E6A" w:rsidRPr="00121E6A" w:rsidRDefault="00121E6A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eastAsia="MS Mincho"/>
          <w:snapToGrid w:val="0"/>
          <w:kern w:val="22"/>
          <w:sz w:val="24"/>
        </w:rPr>
      </w:pPr>
      <w:r w:rsidRPr="00121E6A">
        <w:rPr>
          <w:rFonts w:ascii="KaiTi" w:eastAsia="KaiTi" w:hAnsi="KaiTi" w:hint="eastAsia"/>
          <w:snapToGrid w:val="0"/>
          <w:color w:val="000000"/>
          <w:kern w:val="22"/>
          <w:sz w:val="24"/>
        </w:rPr>
        <w:lastRenderedPageBreak/>
        <w:t>请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联络小组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与不限名额工作组</w:t>
      </w:r>
      <w:r w:rsidR="001A49E9">
        <w:rPr>
          <w:rFonts w:ascii="SimSun" w:hAnsi="SimSun" w:cs="SimSun" w:hint="eastAsia"/>
          <w:snapToGrid w:val="0"/>
          <w:color w:val="000000"/>
          <w:kern w:val="22"/>
          <w:sz w:val="24"/>
        </w:rPr>
        <w:t>共同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主席协商，</w:t>
      </w:r>
      <w:r w:rsidR="00A3388A" w:rsidRPr="00D67B1F">
        <w:rPr>
          <w:rStyle w:val="FootnoteReference"/>
          <w:rFonts w:ascii="SimSun" w:hAnsi="SimSun"/>
          <w:snapToGrid w:val="0"/>
          <w:color w:val="000000"/>
          <w:kern w:val="22"/>
          <w:sz w:val="24"/>
          <w:u w:val="none"/>
          <w:vertAlign w:val="superscript"/>
        </w:rPr>
        <w:footnoteReference w:id="1"/>
      </w:r>
      <w:r w:rsidR="00D67B1F">
        <w:rPr>
          <w:rFonts w:ascii="SimSun" w:hAnsi="SimSun" w:cs="SimSun" w:hint="eastAsia"/>
          <w:snapToGrid w:val="0"/>
          <w:color w:val="000000"/>
          <w:kern w:val="22"/>
          <w:sz w:val="24"/>
        </w:rPr>
        <w:t xml:space="preserve"> 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协助拟订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2020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年后全球生物多样性框架的生物安全组成部分</w:t>
      </w:r>
      <w:r w:rsidR="00D92BB2">
        <w:rPr>
          <w:rFonts w:ascii="SimSun" w:hAnsi="SimSun" w:cs="SimSun" w:hint="eastAsia"/>
          <w:snapToGrid w:val="0"/>
          <w:color w:val="000000"/>
          <w:kern w:val="22"/>
          <w:sz w:val="24"/>
        </w:rPr>
        <w:t>的有关</w:t>
      </w:r>
      <w:r w:rsidR="001A49E9">
        <w:rPr>
          <w:rFonts w:ascii="SimSun" w:hAnsi="SimSun" w:cs="SimSun" w:hint="eastAsia"/>
          <w:snapToGrid w:val="0"/>
          <w:color w:val="000000"/>
          <w:kern w:val="22"/>
          <w:sz w:val="24"/>
        </w:rPr>
        <w:t>要素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，并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协助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拟订《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2011-2020</w:t>
      </w:r>
      <w:r w:rsidRPr="00121E6A">
        <w:rPr>
          <w:rFonts w:hint="eastAsia"/>
          <w:snapToGrid w:val="0"/>
          <w:color w:val="000000"/>
          <w:kern w:val="22"/>
          <w:sz w:val="24"/>
        </w:rPr>
        <w:t>年</w:t>
      </w:r>
      <w:r w:rsidRPr="00121E6A">
        <w:rPr>
          <w:rFonts w:ascii="SimSun" w:hAnsi="SimSun" w:hint="eastAsia"/>
          <w:snapToGrid w:val="0"/>
          <w:color w:val="000000"/>
          <w:kern w:val="22"/>
          <w:sz w:val="24"/>
        </w:rPr>
        <w:t>卡塔赫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纳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  <w:lang w:val="en-US"/>
        </w:rPr>
        <w:t>生物安全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议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定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书战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略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计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划》的具体后续行动，以辅助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2020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年后全球生物多样性框架</w:t>
      </w:r>
      <w:r w:rsidRPr="00121E6A">
        <w:rPr>
          <w:rFonts w:hint="eastAsia"/>
          <w:snapToGrid w:val="0"/>
          <w:color w:val="000000"/>
          <w:kern w:val="22"/>
          <w:sz w:val="24"/>
        </w:rPr>
        <w:t>；</w:t>
      </w:r>
    </w:p>
    <w:p w14:paraId="71E16862" w14:textId="77777777" w:rsidR="00121E6A" w:rsidRPr="00121E6A" w:rsidRDefault="00121E6A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eastAsia="MS Mincho"/>
          <w:snapToGrid w:val="0"/>
          <w:kern w:val="22"/>
          <w:sz w:val="24"/>
        </w:rPr>
      </w:pPr>
      <w:r w:rsidRPr="00121E6A">
        <w:rPr>
          <w:rFonts w:ascii="KaiTi" w:eastAsia="KaiTi" w:hAnsi="KaiTi" w:hint="eastAsia"/>
          <w:snapToGrid w:val="0"/>
          <w:color w:val="000000"/>
          <w:kern w:val="22"/>
          <w:sz w:val="24"/>
        </w:rPr>
        <w:t>请</w:t>
      </w:r>
      <w:r w:rsidRPr="00121E6A">
        <w:rPr>
          <w:rFonts w:ascii="SimSun" w:hAnsi="SimSun" w:cs="SimSun" w:hint="eastAsia"/>
          <w:snapToGrid w:val="0"/>
          <w:kern w:val="22"/>
          <w:sz w:val="24"/>
        </w:rPr>
        <w:t>执行秘书：</w:t>
      </w:r>
    </w:p>
    <w:p w14:paraId="6F6E6ECF" w14:textId="5D73BDF0" w:rsidR="00121E6A" w:rsidRPr="001A49E9" w:rsidRDefault="00121E6A" w:rsidP="001A49E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snapToGrid w:val="0"/>
          <w:kern w:val="22"/>
          <w:sz w:val="24"/>
        </w:rPr>
      </w:pPr>
      <w:r w:rsidRPr="001A49E9">
        <w:rPr>
          <w:rFonts w:hint="eastAsia"/>
          <w:snapToGrid w:val="0"/>
          <w:kern w:val="22"/>
          <w:sz w:val="24"/>
        </w:rPr>
        <w:t>协助和支持将生物安全组成部分纳入</w:t>
      </w:r>
      <w:r w:rsidRPr="001A49E9">
        <w:rPr>
          <w:rFonts w:hint="eastAsia"/>
          <w:snapToGrid w:val="0"/>
          <w:kern w:val="22"/>
          <w:sz w:val="24"/>
        </w:rPr>
        <w:t>2020</w:t>
      </w:r>
      <w:r w:rsidRPr="001A49E9">
        <w:rPr>
          <w:rFonts w:hint="eastAsia"/>
          <w:snapToGrid w:val="0"/>
          <w:kern w:val="22"/>
          <w:sz w:val="24"/>
        </w:rPr>
        <w:t>年后全球生物多样性框架；</w:t>
      </w:r>
    </w:p>
    <w:p w14:paraId="7825CE99" w14:textId="6FCE967E" w:rsidR="001A49E9" w:rsidRPr="001A49E9" w:rsidRDefault="001A49E9" w:rsidP="001A49E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snapToGrid w:val="0"/>
          <w:kern w:val="22"/>
          <w:sz w:val="24"/>
        </w:rPr>
      </w:pPr>
      <w:r w:rsidRPr="001A49E9">
        <w:rPr>
          <w:rFonts w:hint="eastAsia"/>
          <w:snapToGrid w:val="0"/>
          <w:kern w:val="22"/>
          <w:sz w:val="24"/>
        </w:rPr>
        <w:t>与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联络小组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和不限成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员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名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额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工作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组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共同主席合作，就</w:t>
      </w:r>
      <w:r w:rsidRPr="001A49E9">
        <w:rPr>
          <w:rFonts w:asciiTheme="minorEastAsia" w:hAnsiTheme="minorEastAsia" w:cs="MS Mincho" w:hint="eastAsia"/>
          <w:snapToGrid w:val="0"/>
          <w:kern w:val="22"/>
          <w:sz w:val="24"/>
        </w:rPr>
        <w:t>《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议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定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书</w:t>
      </w:r>
      <w:r>
        <w:rPr>
          <w:rFonts w:ascii="Microsoft YaHei" w:hAnsi="Microsoft YaHei" w:cs="Microsoft YaHei" w:hint="eastAsia"/>
          <w:snapToGrid w:val="0"/>
          <w:kern w:val="22"/>
          <w:sz w:val="24"/>
        </w:rPr>
        <w:t>》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缔约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方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对</w:t>
      </w:r>
      <w:r w:rsidRPr="001A49E9">
        <w:rPr>
          <w:rFonts w:hint="eastAsia"/>
          <w:snapToGrid w:val="0"/>
          <w:kern w:val="22"/>
          <w:sz w:val="24"/>
        </w:rPr>
        <w:t>2020</w:t>
      </w:r>
      <w:r w:rsidRPr="001A49E9">
        <w:rPr>
          <w:rFonts w:hint="eastAsia"/>
          <w:snapToGrid w:val="0"/>
          <w:kern w:val="22"/>
          <w:sz w:val="24"/>
        </w:rPr>
        <w:t>年后全球生物多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样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性的生物安全相关要素的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贡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献制定明确的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补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充</w:t>
      </w:r>
      <w:r w:rsidRPr="001A49E9">
        <w:rPr>
          <w:rFonts w:hint="eastAsia"/>
          <w:snapToGrid w:val="0"/>
          <w:kern w:val="22"/>
          <w:sz w:val="24"/>
        </w:rPr>
        <w:t>时间表</w:t>
      </w:r>
      <w:r>
        <w:rPr>
          <w:rFonts w:hint="eastAsia"/>
          <w:snapToGrid w:val="0"/>
          <w:kern w:val="22"/>
          <w:sz w:val="24"/>
        </w:rPr>
        <w:t>；</w:t>
      </w:r>
    </w:p>
    <w:p w14:paraId="7A9DFB19" w14:textId="5FA5D700" w:rsidR="00121E6A" w:rsidRPr="00121E6A" w:rsidRDefault="00121E6A" w:rsidP="00A2072B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snapToGrid w:val="0"/>
          <w:kern w:val="22"/>
          <w:sz w:val="24"/>
        </w:rPr>
      </w:pPr>
      <w:r w:rsidRPr="00121E6A">
        <w:rPr>
          <w:rFonts w:hint="eastAsia"/>
          <w:snapToGrid w:val="0"/>
          <w:kern w:val="22"/>
          <w:sz w:val="24"/>
        </w:rPr>
        <w:t>确保在第</w:t>
      </w:r>
      <w:r w:rsidRPr="00121E6A">
        <w:rPr>
          <w:rFonts w:eastAsia="MS Mincho" w:hint="eastAsia"/>
          <w:snapToGrid w:val="0"/>
          <w:kern w:val="22"/>
          <w:sz w:val="24"/>
        </w:rPr>
        <w:t>4/--</w:t>
      </w:r>
      <w:r w:rsidRPr="00121E6A">
        <w:rPr>
          <w:rFonts w:hint="eastAsia"/>
          <w:snapToGrid w:val="0"/>
          <w:kern w:val="22"/>
          <w:sz w:val="24"/>
        </w:rPr>
        <w:t>号决定</w:t>
      </w:r>
      <w:r w:rsidR="00D67B1F">
        <w:rPr>
          <w:rFonts w:hint="eastAsia"/>
          <w:snapToGrid w:val="0"/>
          <w:kern w:val="22"/>
          <w:sz w:val="24"/>
        </w:rPr>
        <w:t>所述</w:t>
      </w:r>
      <w:r w:rsidRPr="00121E6A">
        <w:rPr>
          <w:rFonts w:hint="eastAsia"/>
          <w:snapToGrid w:val="0"/>
          <w:kern w:val="22"/>
          <w:sz w:val="24"/>
        </w:rPr>
        <w:t>全球协商讲习班期间召开专门会议讨论生物安全事项；</w:t>
      </w:r>
    </w:p>
    <w:p w14:paraId="19B6F0AF" w14:textId="40C52909" w:rsidR="00121E6A" w:rsidRPr="00121E6A" w:rsidRDefault="00121E6A" w:rsidP="00A2072B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eastAsia="MS Mincho"/>
          <w:snapToGrid w:val="0"/>
          <w:kern w:val="22"/>
          <w:sz w:val="24"/>
        </w:rPr>
      </w:pPr>
      <w:r w:rsidRPr="00121E6A">
        <w:rPr>
          <w:rFonts w:hint="eastAsia"/>
          <w:snapToGrid w:val="0"/>
          <w:kern w:val="22"/>
          <w:sz w:val="24"/>
        </w:rPr>
        <w:t>协助足够多的生物安全问题专家包括拥有</w:t>
      </w:r>
      <w:r w:rsidRPr="00121E6A">
        <w:rPr>
          <w:rFonts w:ascii="SimSun" w:hAnsi="SimSun" w:hint="eastAsia"/>
          <w:snapToGrid w:val="0"/>
          <w:kern w:val="22"/>
          <w:sz w:val="24"/>
        </w:rPr>
        <w:t>《</w:t>
      </w:r>
      <w:r w:rsidRPr="00121E6A">
        <w:rPr>
          <w:rFonts w:ascii="SimSun" w:hAnsi="SimSun" w:hint="eastAsia"/>
          <w:snapToGrid w:val="0"/>
          <w:spacing w:val="-20"/>
          <w:sz w:val="24"/>
        </w:rPr>
        <w:t>关于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赔偿责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任和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补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救的名古屋</w:t>
      </w:r>
      <w:r w:rsidRPr="00121E6A">
        <w:rPr>
          <w:rFonts w:ascii="SimSun" w:hAnsi="SimSun" w:hint="eastAsia"/>
          <w:snapToGrid w:val="0"/>
          <w:spacing w:val="-20"/>
          <w:sz w:val="24"/>
        </w:rPr>
        <w:t>-吉隆坡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补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充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议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定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书</w:t>
      </w:r>
      <w:r w:rsidRPr="00121E6A">
        <w:rPr>
          <w:rFonts w:hint="eastAsia"/>
          <w:snapToGrid w:val="0"/>
          <w:spacing w:val="-20"/>
          <w:kern w:val="22"/>
          <w:sz w:val="24"/>
        </w:rPr>
        <w:t>》专门知识的专家参与拟订</w:t>
      </w:r>
      <w:r w:rsidRPr="00121E6A">
        <w:rPr>
          <w:rFonts w:hint="eastAsia"/>
          <w:snapToGrid w:val="0"/>
          <w:spacing w:val="-20"/>
          <w:kern w:val="22"/>
          <w:sz w:val="24"/>
        </w:rPr>
        <w:t>2020</w:t>
      </w:r>
      <w:r w:rsidRPr="00121E6A">
        <w:rPr>
          <w:rFonts w:hint="eastAsia"/>
          <w:snapToGrid w:val="0"/>
          <w:spacing w:val="-20"/>
          <w:kern w:val="22"/>
          <w:sz w:val="24"/>
        </w:rPr>
        <w:t>年后全球生物多样性框架，包括参与相关协商讲习班；</w:t>
      </w:r>
    </w:p>
    <w:p w14:paraId="6E1FA886" w14:textId="6677F12E" w:rsidR="00616615" w:rsidRPr="008554F9" w:rsidRDefault="00A2072B" w:rsidP="00535A9D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 w:line="240" w:lineRule="atLeast"/>
        <w:ind w:left="0" w:firstLine="720"/>
        <w:contextualSpacing w:val="0"/>
        <w:jc w:val="left"/>
        <w:rPr>
          <w:rFonts w:ascii="SimSun" w:hAnsi="SimSun" w:cs="Arial"/>
          <w:color w:val="000000"/>
          <w:sz w:val="24"/>
        </w:rPr>
      </w:pPr>
      <w:r w:rsidRPr="008554F9">
        <w:rPr>
          <w:rFonts w:hint="eastAsia"/>
          <w:snapToGrid w:val="0"/>
          <w:kern w:val="22"/>
          <w:sz w:val="24"/>
        </w:rPr>
        <w:t>汇编缔约方、其他国家政府、土著人民和地方社区及相关组织提交的以下意见呈件：（一）《卡塔赫纳议定书》现行战略计划后续行动的结构和内容，即</w:t>
      </w:r>
      <w:r w:rsidRPr="008554F9">
        <w:rPr>
          <w:rFonts w:hint="eastAsia"/>
          <w:snapToGrid w:val="0"/>
          <w:kern w:val="22"/>
          <w:sz w:val="24"/>
        </w:rPr>
        <w:t>2020</w:t>
      </w:r>
      <w:r w:rsidRPr="008554F9">
        <w:rPr>
          <w:rFonts w:hint="eastAsia"/>
          <w:snapToGrid w:val="0"/>
          <w:kern w:val="22"/>
          <w:sz w:val="24"/>
        </w:rPr>
        <w:t>年后《卡塔赫纳议定书》执行计划，（二）</w:t>
      </w:r>
      <w:r w:rsidRPr="008554F9">
        <w:rPr>
          <w:rFonts w:hint="eastAsia"/>
          <w:snapToGrid w:val="0"/>
          <w:kern w:val="22"/>
          <w:sz w:val="24"/>
        </w:rPr>
        <w:t>2020</w:t>
      </w:r>
      <w:r w:rsidRPr="008554F9">
        <w:rPr>
          <w:rFonts w:hint="eastAsia"/>
          <w:snapToGrid w:val="0"/>
          <w:kern w:val="22"/>
          <w:sz w:val="24"/>
        </w:rPr>
        <w:t>年后全球生物多样性框架的生物安全部分的相关要素</w:t>
      </w:r>
      <w:r w:rsidR="00121E6A" w:rsidRPr="00121E6A">
        <w:rPr>
          <w:rFonts w:hint="eastAsia"/>
          <w:snapToGrid w:val="0"/>
          <w:kern w:val="22"/>
          <w:sz w:val="24"/>
        </w:rPr>
        <w:t>；</w:t>
      </w:r>
    </w:p>
    <w:p w14:paraId="46C78793" w14:textId="2A8FB8CF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酌情</w:t>
      </w:r>
      <w:r>
        <w:rPr>
          <w:rFonts w:ascii="SimSun" w:hAnsi="SimSun" w:cs="Arial" w:hint="eastAsia"/>
          <w:color w:val="000000"/>
          <w:sz w:val="24"/>
        </w:rPr>
        <w:t>召开</w:t>
      </w:r>
      <w:r w:rsidRPr="00186EDB">
        <w:rPr>
          <w:rFonts w:ascii="SimSun" w:hAnsi="SimSun" w:cs="Arial" w:hint="eastAsia"/>
          <w:color w:val="000000"/>
          <w:sz w:val="24"/>
        </w:rPr>
        <w:t>联络小组在线讨论，审议上文（e）㈡段所述</w:t>
      </w:r>
      <w:r>
        <w:rPr>
          <w:rFonts w:ascii="SimSun" w:hAnsi="SimSun" w:cs="Arial" w:hint="eastAsia"/>
          <w:color w:val="000000"/>
          <w:sz w:val="24"/>
        </w:rPr>
        <w:t>呈件</w:t>
      </w:r>
      <w:r w:rsidRPr="00186EDB">
        <w:rPr>
          <w:rFonts w:ascii="SimSun" w:hAnsi="SimSun" w:cs="Arial" w:hint="eastAsia"/>
          <w:color w:val="000000"/>
          <w:sz w:val="24"/>
        </w:rPr>
        <w:t>，为制定2020年后全球生物多样性</w:t>
      </w:r>
      <w:r>
        <w:rPr>
          <w:rFonts w:ascii="SimSun" w:hAnsi="SimSun" w:cs="Arial" w:hint="eastAsia"/>
          <w:color w:val="000000"/>
          <w:sz w:val="24"/>
        </w:rPr>
        <w:t>框架</w:t>
      </w:r>
      <w:r w:rsidRPr="00186EDB">
        <w:rPr>
          <w:rFonts w:ascii="SimSun" w:hAnsi="SimSun" w:cs="Arial" w:hint="eastAsia"/>
          <w:color w:val="000000"/>
          <w:sz w:val="24"/>
        </w:rPr>
        <w:t>生物安全部分的相关要素提供投入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6FA8EFD6" w14:textId="3E74D886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>
        <w:rPr>
          <w:rFonts w:ascii="SimSun" w:hAnsi="SimSun" w:cs="Arial" w:hint="eastAsia"/>
          <w:color w:val="000000"/>
          <w:sz w:val="24"/>
        </w:rPr>
        <w:t>以</w:t>
      </w:r>
      <w:r w:rsidRPr="00186EDB">
        <w:rPr>
          <w:rFonts w:ascii="SimSun" w:hAnsi="SimSun" w:cs="Arial" w:hint="eastAsia"/>
          <w:color w:val="000000"/>
          <w:sz w:val="24"/>
        </w:rPr>
        <w:t>上文（e）㈠段提交的呈件</w:t>
      </w:r>
      <w:r>
        <w:rPr>
          <w:rFonts w:ascii="SimSun" w:hAnsi="SimSun" w:cs="Arial" w:hint="eastAsia"/>
          <w:color w:val="000000"/>
          <w:sz w:val="24"/>
        </w:rPr>
        <w:t>为基础</w:t>
      </w:r>
      <w:r w:rsidRPr="00186EDB">
        <w:rPr>
          <w:rFonts w:ascii="SimSun" w:hAnsi="SimSun" w:cs="Arial" w:hint="eastAsia"/>
          <w:color w:val="000000"/>
          <w:sz w:val="24"/>
        </w:rPr>
        <w:t>编制2020年后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3F05D1FD" w14:textId="658722D0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就上文（g）段</w:t>
      </w:r>
      <w:r>
        <w:rPr>
          <w:rFonts w:ascii="SimSun" w:hAnsi="SimSun" w:cs="Arial" w:hint="eastAsia"/>
          <w:color w:val="000000"/>
          <w:sz w:val="24"/>
        </w:rPr>
        <w:t>所述</w:t>
      </w:r>
      <w:r w:rsidRPr="00186EDB">
        <w:rPr>
          <w:rFonts w:ascii="SimSun" w:hAnsi="SimSun" w:cs="Arial" w:hint="eastAsia"/>
          <w:color w:val="000000"/>
          <w:sz w:val="24"/>
        </w:rPr>
        <w:t>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计划草案召开缔约方和其他利益攸关方不限成员名额在线讨论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5D55AA74" w14:textId="6347F74C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于2019年</w:t>
      </w:r>
      <w:r>
        <w:rPr>
          <w:rFonts w:ascii="SimSun" w:hAnsi="SimSun" w:cs="Arial" w:hint="eastAsia"/>
          <w:color w:val="000000"/>
          <w:sz w:val="24"/>
        </w:rPr>
        <w:t>召开</w:t>
      </w:r>
      <w:r w:rsidRPr="00186EDB">
        <w:rPr>
          <w:rFonts w:ascii="SimSun" w:hAnsi="SimSun" w:cs="Arial" w:hint="eastAsia"/>
          <w:color w:val="000000"/>
          <w:sz w:val="24"/>
        </w:rPr>
        <w:t>联络小组面对面会议，以（</w:t>
      </w:r>
      <w:r>
        <w:rPr>
          <w:rFonts w:ascii="SimSun" w:hAnsi="SimSun" w:cs="Arial" w:hint="eastAsia"/>
          <w:color w:val="000000"/>
          <w:sz w:val="24"/>
        </w:rPr>
        <w:t>一</w:t>
      </w:r>
      <w:r w:rsidRPr="00186EDB">
        <w:rPr>
          <w:rFonts w:ascii="SimSun" w:hAnsi="SimSun" w:cs="Arial" w:hint="eastAsia"/>
          <w:color w:val="000000"/>
          <w:sz w:val="24"/>
        </w:rPr>
        <w:t>）编制2020年后全球生物多样性框架</w:t>
      </w:r>
      <w:r>
        <w:rPr>
          <w:rFonts w:ascii="SimSun" w:hAnsi="SimSun" w:cs="Arial" w:hint="eastAsia"/>
          <w:color w:val="000000"/>
          <w:sz w:val="24"/>
        </w:rPr>
        <w:t>中与《</w:t>
      </w:r>
      <w:r w:rsidRPr="00186EDB">
        <w:rPr>
          <w:rFonts w:ascii="SimSun" w:hAnsi="SimSun" w:cs="Arial" w:hint="eastAsia"/>
          <w:color w:val="000000"/>
          <w:sz w:val="24"/>
        </w:rPr>
        <w:t>卡塔赫纳议定书</w:t>
      </w:r>
      <w:r>
        <w:rPr>
          <w:rFonts w:ascii="SimSun" w:hAnsi="SimSun" w:cs="Arial" w:hint="eastAsia"/>
          <w:color w:val="000000"/>
          <w:sz w:val="24"/>
        </w:rPr>
        <w:t>》相关的</w:t>
      </w:r>
      <w:r w:rsidRPr="00186EDB">
        <w:rPr>
          <w:rFonts w:ascii="SimSun" w:hAnsi="SimSun" w:cs="Arial" w:hint="eastAsia"/>
          <w:color w:val="000000"/>
          <w:sz w:val="24"/>
        </w:rPr>
        <w:t>生物安全部分草案，（</w:t>
      </w:r>
      <w:r>
        <w:rPr>
          <w:rFonts w:ascii="SimSun" w:hAnsi="SimSun" w:cs="Arial" w:hint="eastAsia"/>
          <w:color w:val="000000"/>
          <w:sz w:val="24"/>
        </w:rPr>
        <w:t>二</w:t>
      </w:r>
      <w:r w:rsidRPr="00186EDB">
        <w:rPr>
          <w:rFonts w:ascii="SimSun" w:hAnsi="SimSun" w:cs="Arial" w:hint="eastAsia"/>
          <w:color w:val="000000"/>
          <w:sz w:val="24"/>
        </w:rPr>
        <w:t>）审查上文（g）段</w:t>
      </w:r>
      <w:r>
        <w:rPr>
          <w:rFonts w:ascii="SimSun" w:hAnsi="SimSun" w:cs="Arial" w:hint="eastAsia"/>
          <w:color w:val="000000"/>
          <w:sz w:val="24"/>
        </w:rPr>
        <w:t>所述</w:t>
      </w:r>
      <w:r w:rsidRPr="00186EDB">
        <w:rPr>
          <w:rFonts w:ascii="SimSun" w:hAnsi="SimSun" w:cs="Arial" w:hint="eastAsia"/>
          <w:color w:val="000000"/>
          <w:sz w:val="24"/>
        </w:rPr>
        <w:t>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3A791249" w14:textId="09E772EC" w:rsidR="00186EDB" w:rsidRPr="00186EDB" w:rsidRDefault="008554F9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>
        <w:rPr>
          <w:rFonts w:ascii="SimSun" w:hAnsi="SimSun" w:cs="Arial" w:hint="eastAsia"/>
          <w:color w:val="000000"/>
          <w:sz w:val="24"/>
        </w:rPr>
        <w:t>召集《</w:t>
      </w:r>
      <w:r w:rsidR="00186EDB" w:rsidRPr="00186EDB">
        <w:rPr>
          <w:rFonts w:ascii="SimSun" w:hAnsi="SimSun" w:cs="Arial" w:hint="eastAsia"/>
          <w:color w:val="000000"/>
          <w:sz w:val="24"/>
        </w:rPr>
        <w:t>卡塔赫纳议定书</w:t>
      </w:r>
      <w:r>
        <w:rPr>
          <w:rFonts w:ascii="SimSun" w:hAnsi="SimSun" w:cs="Arial" w:hint="eastAsia"/>
          <w:color w:val="000000"/>
          <w:sz w:val="24"/>
        </w:rPr>
        <w:t>》</w:t>
      </w:r>
      <w:r w:rsidR="00186EDB" w:rsidRPr="00186EDB">
        <w:rPr>
          <w:rFonts w:ascii="SimSun" w:hAnsi="SimSun" w:cs="Arial" w:hint="eastAsia"/>
          <w:color w:val="000000"/>
          <w:sz w:val="24"/>
        </w:rPr>
        <w:t>缔约方对2020年后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="00186EDB"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="00186EDB" w:rsidRPr="00186EDB">
        <w:rPr>
          <w:rFonts w:ascii="SimSun" w:hAnsi="SimSun" w:cs="Arial" w:hint="eastAsia"/>
          <w:color w:val="000000"/>
          <w:sz w:val="24"/>
        </w:rPr>
        <w:t>计划草案进行同行审查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51BF54CF" w14:textId="208FA0C6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提交2020年后</w:t>
      </w:r>
      <w:r w:rsidR="008554F9"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 w:rsidR="008554F9"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计划最后草案，供执行问题附属机构第三次会议审议</w:t>
      </w:r>
      <w:r w:rsidR="008554F9">
        <w:rPr>
          <w:rFonts w:ascii="SimSun" w:hAnsi="SimSun" w:cs="Arial" w:hint="eastAsia"/>
          <w:color w:val="000000"/>
          <w:sz w:val="24"/>
        </w:rPr>
        <w:t>；</w:t>
      </w:r>
    </w:p>
    <w:p w14:paraId="4006C811" w14:textId="77777777" w:rsidR="0079668E" w:rsidRDefault="00186EDB" w:rsidP="0079668E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ascii="SimSun" w:hAnsi="SimSun" w:cs="Arial"/>
          <w:color w:val="000000"/>
          <w:sz w:val="24"/>
        </w:rPr>
      </w:pPr>
      <w:r w:rsidRPr="008554F9">
        <w:rPr>
          <w:rFonts w:ascii="SimSun" w:eastAsia="KaiTi" w:hAnsi="SimSun" w:cs="Arial" w:hint="eastAsia"/>
          <w:color w:val="000000"/>
          <w:sz w:val="24"/>
        </w:rPr>
        <w:t>请</w:t>
      </w:r>
      <w:r w:rsidRPr="00186EDB">
        <w:rPr>
          <w:rFonts w:ascii="SimSun" w:hAnsi="SimSun" w:cs="Arial" w:hint="eastAsia"/>
          <w:color w:val="000000"/>
          <w:sz w:val="24"/>
        </w:rPr>
        <w:t>执行问题附属机构第三次会议审查2020年后</w:t>
      </w:r>
      <w:r w:rsidR="008554F9"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 w:rsidR="008554F9"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计划草案，并编写一份建议供作为</w:t>
      </w:r>
      <w:r w:rsidR="008554F9" w:rsidRPr="00186EDB">
        <w:rPr>
          <w:rFonts w:ascii="SimSun" w:hAnsi="SimSun" w:cs="Arial" w:hint="eastAsia"/>
          <w:color w:val="000000"/>
          <w:sz w:val="24"/>
        </w:rPr>
        <w:t>卡塔赫纳议定书</w:t>
      </w:r>
      <w:r w:rsidRPr="00186EDB">
        <w:rPr>
          <w:rFonts w:ascii="SimSun" w:hAnsi="SimSun" w:cs="Arial" w:hint="eastAsia"/>
          <w:color w:val="000000"/>
          <w:sz w:val="24"/>
        </w:rPr>
        <w:t>缔约方会议</w:t>
      </w:r>
      <w:r w:rsidR="008554F9">
        <w:rPr>
          <w:rFonts w:ascii="SimSun" w:hAnsi="SimSun" w:cs="Arial" w:hint="eastAsia"/>
          <w:color w:val="000000"/>
          <w:sz w:val="24"/>
        </w:rPr>
        <w:t>的缔约方大会</w:t>
      </w:r>
      <w:r w:rsidRPr="00186EDB">
        <w:rPr>
          <w:rFonts w:ascii="SimSun" w:hAnsi="SimSun" w:cs="Arial" w:hint="eastAsia"/>
          <w:color w:val="000000"/>
          <w:sz w:val="24"/>
        </w:rPr>
        <w:t>第十次会议</w:t>
      </w:r>
      <w:r w:rsidR="008554F9">
        <w:rPr>
          <w:rFonts w:ascii="SimSun" w:hAnsi="SimSun" w:cs="Arial" w:hint="eastAsia"/>
          <w:color w:val="000000"/>
          <w:sz w:val="24"/>
        </w:rPr>
        <w:t>审议</w:t>
      </w:r>
      <w:r w:rsidRPr="00186EDB">
        <w:rPr>
          <w:rFonts w:ascii="SimSun" w:hAnsi="SimSun" w:cs="Arial" w:hint="eastAsia"/>
          <w:color w:val="000000"/>
          <w:sz w:val="24"/>
        </w:rPr>
        <w:t>。</w:t>
      </w:r>
      <w:bookmarkEnd w:id="0"/>
    </w:p>
    <w:p w14:paraId="21D837C4" w14:textId="77777777" w:rsidR="005F4244" w:rsidRPr="006C39E5" w:rsidRDefault="005F4244" w:rsidP="005F4244">
      <w:pPr>
        <w:tabs>
          <w:tab w:val="left" w:pos="1418"/>
        </w:tabs>
        <w:spacing w:before="120" w:after="120"/>
        <w:jc w:val="center"/>
        <w:rPr>
          <w:rFonts w:ascii="KaiTi" w:eastAsia="KaiTi" w:hAnsi="KaiTi"/>
          <w:kern w:val="22"/>
          <w:sz w:val="24"/>
          <w:szCs w:val="18"/>
        </w:rPr>
      </w:pPr>
      <w:r w:rsidRPr="006C39E5">
        <w:rPr>
          <w:rFonts w:ascii="KaiTi" w:eastAsia="KaiTi" w:hAnsi="KaiTi" w:hint="eastAsia"/>
          <w:kern w:val="22"/>
          <w:sz w:val="24"/>
          <w:szCs w:val="18"/>
        </w:rPr>
        <w:t>附件</w:t>
      </w:r>
    </w:p>
    <w:p w14:paraId="7EE01252" w14:textId="77777777" w:rsidR="005F4244" w:rsidRPr="00200B00" w:rsidRDefault="005F4244" w:rsidP="005F4244">
      <w:pPr>
        <w:tabs>
          <w:tab w:val="left" w:pos="1418"/>
        </w:tabs>
        <w:spacing w:before="120" w:after="120"/>
        <w:jc w:val="center"/>
        <w:rPr>
          <w:rFonts w:eastAsiaTheme="minorEastAsia"/>
          <w:b/>
          <w:kern w:val="22"/>
          <w:sz w:val="24"/>
          <w:szCs w:val="18"/>
        </w:rPr>
      </w:pPr>
      <w:r>
        <w:rPr>
          <w:rFonts w:eastAsiaTheme="minorEastAsia" w:hint="eastAsia"/>
          <w:b/>
          <w:kern w:val="22"/>
          <w:sz w:val="24"/>
          <w:szCs w:val="18"/>
        </w:rPr>
        <w:t>卡塔赫纳</w:t>
      </w:r>
      <w:r>
        <w:rPr>
          <w:rFonts w:eastAsiaTheme="minorEastAsia"/>
          <w:b/>
          <w:kern w:val="22"/>
          <w:sz w:val="24"/>
          <w:szCs w:val="18"/>
        </w:rPr>
        <w:t>生物安全议定书问题联络小组的职权范围</w:t>
      </w:r>
    </w:p>
    <w:p w14:paraId="752BD5DD" w14:textId="41EF9BE7" w:rsidR="005F4244" w:rsidRPr="001C1CD8" w:rsidRDefault="005F4244" w:rsidP="005F4244">
      <w:pPr>
        <w:pStyle w:val="ListParagraph"/>
        <w:numPr>
          <w:ilvl w:val="0"/>
          <w:numId w:val="35"/>
        </w:numPr>
        <w:tabs>
          <w:tab w:val="left" w:pos="1418"/>
        </w:tabs>
        <w:spacing w:before="120" w:after="120"/>
        <w:ind w:left="0" w:firstLine="709"/>
        <w:contextualSpacing w:val="0"/>
        <w:rPr>
          <w:rFonts w:eastAsiaTheme="minorEastAsia"/>
          <w:kern w:val="22"/>
          <w:sz w:val="24"/>
          <w:szCs w:val="18"/>
        </w:rPr>
      </w:pPr>
      <w:r w:rsidRPr="001C1CD8">
        <w:rPr>
          <w:rFonts w:eastAsiaTheme="minorEastAsia" w:hint="eastAsia"/>
          <w:kern w:val="22"/>
          <w:sz w:val="24"/>
          <w:szCs w:val="18"/>
        </w:rPr>
        <w:lastRenderedPageBreak/>
        <w:t>联络小组</w:t>
      </w:r>
      <w:r w:rsidRPr="001C1CD8">
        <w:rPr>
          <w:rFonts w:eastAsiaTheme="minorEastAsia"/>
          <w:kern w:val="22"/>
          <w:sz w:val="24"/>
          <w:szCs w:val="18"/>
        </w:rPr>
        <w:t>将</w:t>
      </w:r>
      <w:r w:rsidR="00892228">
        <w:rPr>
          <w:rFonts w:eastAsiaTheme="minorEastAsia" w:hint="eastAsia"/>
          <w:kern w:val="22"/>
          <w:sz w:val="24"/>
          <w:szCs w:val="18"/>
        </w:rPr>
        <w:t>向</w:t>
      </w:r>
      <w:r w:rsidR="00892228">
        <w:rPr>
          <w:rFonts w:eastAsiaTheme="minorEastAsia"/>
          <w:kern w:val="22"/>
          <w:sz w:val="24"/>
          <w:szCs w:val="18"/>
        </w:rPr>
        <w:t>执行秘书提供以下专家意见</w:t>
      </w:r>
      <w:r w:rsidRPr="001C1CD8">
        <w:rPr>
          <w:rFonts w:eastAsiaTheme="minorEastAsia" w:hint="eastAsia"/>
          <w:kern w:val="22"/>
          <w:sz w:val="24"/>
          <w:szCs w:val="18"/>
        </w:rPr>
        <w:t>：</w:t>
      </w:r>
      <w:r w:rsidRPr="001C1CD8">
        <w:rPr>
          <w:rFonts w:eastAsiaTheme="minorEastAsia" w:hint="eastAsia"/>
          <w:kern w:val="22"/>
          <w:sz w:val="24"/>
          <w:szCs w:val="18"/>
        </w:rPr>
        <w:t>(a)</w:t>
      </w:r>
      <w:r w:rsidRPr="001C1CD8">
        <w:rPr>
          <w:rFonts w:eastAsiaTheme="minorEastAsia"/>
          <w:kern w:val="22"/>
          <w:sz w:val="24"/>
          <w:szCs w:val="18"/>
        </w:rPr>
        <w:t xml:space="preserve"> </w:t>
      </w:r>
      <w:r w:rsidRPr="001C1CD8">
        <w:rPr>
          <w:rFonts w:eastAsiaTheme="minorEastAsia" w:hint="eastAsia"/>
          <w:kern w:val="22"/>
          <w:sz w:val="24"/>
          <w:szCs w:val="18"/>
        </w:rPr>
        <w:t>加强</w:t>
      </w:r>
      <w:r w:rsidRPr="001C1CD8">
        <w:rPr>
          <w:rFonts w:eastAsiaTheme="minorEastAsia"/>
          <w:kern w:val="22"/>
          <w:sz w:val="24"/>
          <w:szCs w:val="18"/>
        </w:rPr>
        <w:t>《卡塔赫纳生物安全议定书</w:t>
      </w:r>
      <w:r w:rsidRPr="001C1CD8">
        <w:rPr>
          <w:rFonts w:eastAsiaTheme="minorEastAsia" w:hint="eastAsia"/>
          <w:kern w:val="22"/>
          <w:sz w:val="24"/>
          <w:szCs w:val="18"/>
        </w:rPr>
        <w:t>》的协调</w:t>
      </w:r>
      <w:r w:rsidRPr="001C1CD8">
        <w:rPr>
          <w:rFonts w:eastAsiaTheme="minorEastAsia"/>
          <w:kern w:val="22"/>
          <w:sz w:val="24"/>
          <w:szCs w:val="18"/>
        </w:rPr>
        <w:t>和有效执行</w:t>
      </w:r>
      <w:r w:rsidRPr="001C1CD8">
        <w:rPr>
          <w:rFonts w:eastAsiaTheme="minorEastAsia" w:hint="eastAsia"/>
          <w:kern w:val="22"/>
          <w:sz w:val="24"/>
          <w:szCs w:val="18"/>
        </w:rPr>
        <w:t>的</w:t>
      </w:r>
      <w:r w:rsidRPr="001C1CD8">
        <w:rPr>
          <w:rFonts w:eastAsiaTheme="minorEastAsia"/>
          <w:kern w:val="22"/>
          <w:sz w:val="24"/>
          <w:szCs w:val="18"/>
        </w:rPr>
        <w:t>方式方法</w:t>
      </w:r>
      <w:r w:rsidRPr="001C1CD8">
        <w:rPr>
          <w:rFonts w:eastAsiaTheme="minorEastAsia" w:hint="eastAsia"/>
          <w:kern w:val="22"/>
          <w:sz w:val="24"/>
          <w:szCs w:val="18"/>
        </w:rPr>
        <w:t>，</w:t>
      </w:r>
      <w:r w:rsidRPr="001C1CD8">
        <w:rPr>
          <w:rFonts w:eastAsiaTheme="minorEastAsia"/>
          <w:kern w:val="22"/>
          <w:sz w:val="24"/>
          <w:szCs w:val="18"/>
        </w:rPr>
        <w:t>以及</w:t>
      </w:r>
      <w:r w:rsidRPr="001C1CD8">
        <w:rPr>
          <w:rFonts w:eastAsiaTheme="minorEastAsia" w:hint="eastAsia"/>
          <w:kern w:val="22"/>
          <w:sz w:val="24"/>
          <w:szCs w:val="18"/>
        </w:rPr>
        <w:t xml:space="preserve"> (b) </w:t>
      </w:r>
      <w:r w:rsidRPr="001C1CD8">
        <w:rPr>
          <w:rFonts w:eastAsiaTheme="minorEastAsia" w:hint="eastAsia"/>
          <w:kern w:val="22"/>
          <w:sz w:val="24"/>
          <w:szCs w:val="18"/>
        </w:rPr>
        <w:t>加强</w:t>
      </w:r>
      <w:r w:rsidRPr="001C1CD8">
        <w:rPr>
          <w:rFonts w:eastAsiaTheme="minorEastAsia"/>
          <w:kern w:val="22"/>
          <w:sz w:val="24"/>
          <w:szCs w:val="18"/>
        </w:rPr>
        <w:t>《卡塔赫纳生物安全议定书</w:t>
      </w:r>
      <w:r w:rsidRPr="001C1CD8">
        <w:rPr>
          <w:rFonts w:eastAsiaTheme="minorEastAsia" w:hint="eastAsia"/>
          <w:kern w:val="22"/>
          <w:sz w:val="24"/>
          <w:szCs w:val="18"/>
        </w:rPr>
        <w:t>》的协调</w:t>
      </w:r>
      <w:r w:rsidRPr="001C1CD8">
        <w:rPr>
          <w:rFonts w:eastAsiaTheme="minorEastAsia"/>
          <w:kern w:val="22"/>
          <w:sz w:val="24"/>
          <w:szCs w:val="18"/>
        </w:rPr>
        <w:t>和有效执行</w:t>
      </w:r>
      <w:r w:rsidRPr="001C1CD8">
        <w:rPr>
          <w:rFonts w:eastAsiaTheme="minorEastAsia" w:hint="eastAsia"/>
          <w:kern w:val="22"/>
          <w:sz w:val="24"/>
          <w:szCs w:val="18"/>
        </w:rPr>
        <w:t>的</w:t>
      </w:r>
      <w:r w:rsidRPr="001C1CD8">
        <w:rPr>
          <w:rFonts w:eastAsiaTheme="minorEastAsia"/>
          <w:kern w:val="22"/>
          <w:sz w:val="24"/>
          <w:szCs w:val="18"/>
        </w:rPr>
        <w:t>整体战略办法及概念和实际运作措施，包括能力建设活动</w:t>
      </w:r>
      <w:r w:rsidRPr="001C1CD8">
        <w:rPr>
          <w:rFonts w:eastAsiaTheme="minorEastAsia" w:hint="eastAsia"/>
          <w:kern w:val="22"/>
          <w:sz w:val="24"/>
          <w:szCs w:val="18"/>
        </w:rPr>
        <w:t>等。</w:t>
      </w:r>
    </w:p>
    <w:p w14:paraId="2DB865B7" w14:textId="77777777" w:rsidR="005F4244" w:rsidRPr="000D7CC5" w:rsidRDefault="005F4244" w:rsidP="005F4244">
      <w:pPr>
        <w:pStyle w:val="ListParagraph"/>
        <w:numPr>
          <w:ilvl w:val="0"/>
          <w:numId w:val="35"/>
        </w:numPr>
        <w:tabs>
          <w:tab w:val="left" w:pos="1418"/>
        </w:tabs>
        <w:spacing w:before="120" w:after="120"/>
        <w:ind w:left="0" w:firstLine="709"/>
        <w:contextualSpacing w:val="0"/>
        <w:rPr>
          <w:rFonts w:eastAsiaTheme="minorEastAsia"/>
          <w:kern w:val="22"/>
          <w:sz w:val="24"/>
          <w:szCs w:val="18"/>
        </w:rPr>
      </w:pPr>
      <w:r w:rsidRPr="000D7CC5">
        <w:rPr>
          <w:rFonts w:eastAsiaTheme="minorEastAsia" w:hint="eastAsia"/>
          <w:kern w:val="22"/>
          <w:sz w:val="24"/>
          <w:szCs w:val="18"/>
        </w:rPr>
        <w:t>联络小组</w:t>
      </w:r>
      <w:r w:rsidRPr="000D7CC5">
        <w:rPr>
          <w:rFonts w:eastAsiaTheme="minorEastAsia"/>
          <w:kern w:val="22"/>
          <w:sz w:val="24"/>
          <w:szCs w:val="18"/>
        </w:rPr>
        <w:t>成员</w:t>
      </w:r>
      <w:r w:rsidRPr="000D7CC5">
        <w:rPr>
          <w:rFonts w:eastAsiaTheme="minorEastAsia" w:hint="eastAsia"/>
          <w:kern w:val="22"/>
          <w:sz w:val="24"/>
          <w:szCs w:val="18"/>
        </w:rPr>
        <w:t>的</w:t>
      </w:r>
      <w:r w:rsidRPr="000D7CC5">
        <w:rPr>
          <w:rFonts w:eastAsiaTheme="minorEastAsia"/>
          <w:kern w:val="22"/>
          <w:sz w:val="24"/>
          <w:szCs w:val="18"/>
        </w:rPr>
        <w:t>遴选将依据</w:t>
      </w:r>
      <w:r w:rsidRPr="000D7CC5">
        <w:rPr>
          <w:rFonts w:eastAsiaTheme="minorEastAsia" w:hint="eastAsia"/>
          <w:kern w:val="22"/>
          <w:sz w:val="24"/>
          <w:szCs w:val="18"/>
        </w:rPr>
        <w:t>这些</w:t>
      </w:r>
      <w:r w:rsidRPr="000D7CC5">
        <w:rPr>
          <w:rFonts w:eastAsiaTheme="minorEastAsia"/>
          <w:kern w:val="22"/>
          <w:sz w:val="24"/>
          <w:szCs w:val="18"/>
        </w:rPr>
        <w:t>成员在执行《卡塔赫纳生物安全议定书</w:t>
      </w:r>
      <w:r w:rsidRPr="000D7CC5">
        <w:rPr>
          <w:rFonts w:eastAsiaTheme="minorEastAsia" w:hint="eastAsia"/>
          <w:kern w:val="22"/>
          <w:sz w:val="24"/>
          <w:szCs w:val="18"/>
        </w:rPr>
        <w:t>》</w:t>
      </w:r>
      <w:r w:rsidRPr="000D7CC5">
        <w:rPr>
          <w:rFonts w:eastAsiaTheme="minorEastAsia"/>
          <w:kern w:val="22"/>
          <w:sz w:val="24"/>
          <w:szCs w:val="18"/>
        </w:rPr>
        <w:t>和《赔偿</w:t>
      </w:r>
      <w:r w:rsidRPr="000D7CC5">
        <w:rPr>
          <w:rFonts w:eastAsiaTheme="minorEastAsia" w:hint="eastAsia"/>
          <w:kern w:val="22"/>
          <w:sz w:val="24"/>
          <w:szCs w:val="18"/>
        </w:rPr>
        <w:t>责任</w:t>
      </w:r>
      <w:r w:rsidRPr="000D7CC5">
        <w:rPr>
          <w:rFonts w:eastAsiaTheme="minorEastAsia"/>
          <w:kern w:val="22"/>
          <w:sz w:val="24"/>
          <w:szCs w:val="18"/>
        </w:rPr>
        <w:t>和补救名古屋</w:t>
      </w:r>
      <w:r w:rsidRPr="000D7CC5">
        <w:rPr>
          <w:rFonts w:eastAsiaTheme="minorEastAsia" w:hint="eastAsia"/>
          <w:kern w:val="22"/>
          <w:sz w:val="24"/>
          <w:szCs w:val="18"/>
        </w:rPr>
        <w:t>-</w:t>
      </w:r>
      <w:r w:rsidRPr="000D7CC5">
        <w:rPr>
          <w:rFonts w:eastAsiaTheme="minorEastAsia" w:hint="eastAsia"/>
          <w:kern w:val="22"/>
          <w:sz w:val="24"/>
          <w:szCs w:val="18"/>
        </w:rPr>
        <w:t>吉隆坡</w:t>
      </w:r>
      <w:r w:rsidRPr="000D7CC5">
        <w:rPr>
          <w:rFonts w:eastAsiaTheme="minorEastAsia"/>
          <w:kern w:val="22"/>
          <w:sz w:val="24"/>
          <w:szCs w:val="18"/>
        </w:rPr>
        <w:t>补充议定书</w:t>
      </w:r>
      <w:r w:rsidRPr="000D7CC5">
        <w:rPr>
          <w:rFonts w:eastAsiaTheme="minorEastAsia" w:hint="eastAsia"/>
          <w:kern w:val="22"/>
          <w:sz w:val="24"/>
          <w:szCs w:val="18"/>
        </w:rPr>
        <w:t>》</w:t>
      </w:r>
      <w:r w:rsidRPr="000D7CC5">
        <w:rPr>
          <w:rFonts w:eastAsiaTheme="minorEastAsia"/>
          <w:kern w:val="22"/>
          <w:sz w:val="24"/>
          <w:szCs w:val="18"/>
        </w:rPr>
        <w:t>方面</w:t>
      </w:r>
      <w:r w:rsidRPr="000D7CC5">
        <w:rPr>
          <w:rFonts w:eastAsiaTheme="minorEastAsia" w:hint="eastAsia"/>
          <w:kern w:val="22"/>
          <w:sz w:val="24"/>
          <w:szCs w:val="18"/>
        </w:rPr>
        <w:t>已显露</w:t>
      </w:r>
      <w:r>
        <w:rPr>
          <w:rFonts w:eastAsiaTheme="minorEastAsia" w:hint="eastAsia"/>
          <w:kern w:val="22"/>
          <w:sz w:val="24"/>
          <w:szCs w:val="18"/>
        </w:rPr>
        <w:t>的</w:t>
      </w:r>
      <w:r w:rsidRPr="000D7CC5">
        <w:rPr>
          <w:rFonts w:eastAsiaTheme="minorEastAsia"/>
          <w:kern w:val="22"/>
          <w:sz w:val="24"/>
          <w:szCs w:val="18"/>
        </w:rPr>
        <w:t>专门知识和经验</w:t>
      </w:r>
      <w:r w:rsidRPr="000D7CC5">
        <w:rPr>
          <w:rFonts w:eastAsiaTheme="minorEastAsia" w:hint="eastAsia"/>
          <w:kern w:val="22"/>
          <w:sz w:val="24"/>
          <w:szCs w:val="18"/>
        </w:rPr>
        <w:t>，同时顾及地域</w:t>
      </w:r>
      <w:r w:rsidRPr="000D7CC5">
        <w:rPr>
          <w:rFonts w:eastAsiaTheme="minorEastAsia"/>
          <w:kern w:val="22"/>
          <w:sz w:val="24"/>
          <w:szCs w:val="18"/>
        </w:rPr>
        <w:t>代表性、性别均衡</w:t>
      </w:r>
      <w:r w:rsidRPr="000D7CC5">
        <w:rPr>
          <w:rFonts w:eastAsiaTheme="minorEastAsia" w:hint="eastAsia"/>
          <w:kern w:val="22"/>
          <w:sz w:val="24"/>
          <w:szCs w:val="18"/>
        </w:rPr>
        <w:t>和</w:t>
      </w:r>
      <w:r w:rsidRPr="000D7CC5">
        <w:rPr>
          <w:rFonts w:eastAsiaTheme="minorEastAsia"/>
          <w:kern w:val="22"/>
          <w:sz w:val="24"/>
          <w:szCs w:val="18"/>
        </w:rPr>
        <w:t>相关利益攸关方的公平代表性。</w:t>
      </w:r>
    </w:p>
    <w:p w14:paraId="38B478AA" w14:textId="77777777" w:rsidR="00892228" w:rsidRDefault="00892228" w:rsidP="005F4244">
      <w:p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720"/>
        <w:jc w:val="center"/>
        <w:rPr>
          <w:rFonts w:eastAsia="Univers" w:cs="Times New Roman"/>
          <w:kern w:val="22"/>
          <w:sz w:val="24"/>
        </w:rPr>
      </w:pPr>
    </w:p>
    <w:p w14:paraId="778D861A" w14:textId="05EF5BBC" w:rsidR="00666863" w:rsidRPr="0079668E" w:rsidRDefault="00666863" w:rsidP="005F4244">
      <w:p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720"/>
        <w:jc w:val="center"/>
        <w:rPr>
          <w:rFonts w:ascii="SimSun" w:hAnsi="SimSun" w:cs="Arial"/>
          <w:color w:val="000000"/>
          <w:sz w:val="24"/>
        </w:rPr>
      </w:pPr>
      <w:r w:rsidRPr="0079668E">
        <w:rPr>
          <w:rFonts w:eastAsia="Univers" w:cs="Times New Roman"/>
          <w:kern w:val="22"/>
          <w:sz w:val="24"/>
        </w:rPr>
        <w:t>_________</w:t>
      </w:r>
    </w:p>
    <w:sectPr w:rsidR="00666863" w:rsidRPr="0079668E" w:rsidSect="00FF196E">
      <w:headerReference w:type="even" r:id="rId11"/>
      <w:headerReference w:type="default" r:id="rId12"/>
      <w:type w:val="continuous"/>
      <w:pgSz w:w="12240" w:h="15840" w:code="1"/>
      <w:pgMar w:top="864" w:right="1440" w:bottom="864" w:left="1440" w:header="461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BFB9E" w14:textId="77777777" w:rsidR="005643C6" w:rsidRDefault="005643C6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endnote>
  <w:endnote w:type="continuationSeparator" w:id="0">
    <w:p w14:paraId="24EE0119" w14:textId="77777777" w:rsidR="005643C6" w:rsidRDefault="005643C6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854DA" w14:textId="77777777" w:rsidR="005643C6" w:rsidRDefault="005643C6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footnote>
  <w:footnote w:type="continuationSeparator" w:id="0">
    <w:p w14:paraId="0E81BEBF" w14:textId="77777777" w:rsidR="005643C6" w:rsidRDefault="005643C6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footnote>
  <w:footnote w:id="1">
    <w:p w14:paraId="439ADEDB" w14:textId="390E1F62" w:rsidR="00A3388A" w:rsidRPr="00A3388A" w:rsidRDefault="00A3388A" w:rsidP="00A3388A">
      <w:pPr>
        <w:pStyle w:val="FootnoteText"/>
        <w:ind w:firstLine="0"/>
        <w:rPr>
          <w:lang w:eastAsia="zh-CN"/>
        </w:rPr>
      </w:pPr>
      <w:r w:rsidRPr="00A3388A">
        <w:rPr>
          <w:rStyle w:val="FootnoteReference"/>
          <w:u w:val="none"/>
        </w:rPr>
        <w:footnoteRef/>
      </w:r>
      <w:r w:rsidRPr="00A3388A">
        <w:t xml:space="preserve"> </w:t>
      </w:r>
      <w:r>
        <w:t xml:space="preserve">      </w:t>
      </w:r>
      <w:r w:rsidRPr="00A3388A">
        <w:rPr>
          <w:rFonts w:hint="eastAsia"/>
          <w:sz w:val="20"/>
          <w:szCs w:val="20"/>
          <w:lang w:eastAsia="zh-CN"/>
        </w:rPr>
        <w:t>第</w:t>
      </w:r>
      <w:r w:rsidRPr="00A3388A">
        <w:rPr>
          <w:sz w:val="20"/>
          <w:szCs w:val="20"/>
          <w:lang w:val="en-CA"/>
        </w:rPr>
        <w:t>14/--</w:t>
      </w:r>
      <w:r w:rsidRPr="00A3388A">
        <w:rPr>
          <w:rFonts w:hint="eastAsia"/>
          <w:sz w:val="20"/>
          <w:szCs w:val="20"/>
          <w:lang w:val="en-CA" w:eastAsia="zh-CN"/>
        </w:rPr>
        <w:t>号决定，附件</w:t>
      </w:r>
      <w:r>
        <w:rPr>
          <w:rFonts w:hint="eastAsia"/>
          <w:lang w:val="en-CA" w:eastAsia="zh-CN"/>
        </w:rPr>
        <w:t>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A56E19" w14:textId="48C7EBF9" w:rsidR="003E5D69" w:rsidRDefault="003E5D69" w:rsidP="003E5D69">
    <w:pPr>
      <w:rPr>
        <w:rFonts w:ascii="Univers" w:hAnsi="Univers" w:cs="Times New Roman"/>
        <w:kern w:val="22"/>
      </w:rPr>
    </w:pPr>
    <w:r w:rsidRPr="004D1C8A">
      <w:rPr>
        <w:sz w:val="24"/>
      </w:rPr>
      <w:t>C</w:t>
    </w:r>
    <w:r w:rsidR="00616615">
      <w:rPr>
        <w:sz w:val="24"/>
      </w:rPr>
      <w:t>BD/CP</w:t>
    </w:r>
    <w:r w:rsidR="00D92BB2">
      <w:rPr>
        <w:sz w:val="24"/>
      </w:rPr>
      <w:t>/</w:t>
    </w:r>
    <w:r w:rsidRPr="004D1C8A">
      <w:rPr>
        <w:sz w:val="24"/>
      </w:rPr>
      <w:t>MOP</w:t>
    </w:r>
    <w:r w:rsidRPr="00110D2C">
      <w:rPr>
        <w:color w:val="000000"/>
        <w:kern w:val="20"/>
        <w:sz w:val="24"/>
        <w:szCs w:val="22"/>
      </w:rPr>
      <w:t>/</w:t>
    </w:r>
    <w:r>
      <w:rPr>
        <w:color w:val="000000"/>
        <w:kern w:val="20"/>
        <w:sz w:val="24"/>
        <w:szCs w:val="22"/>
      </w:rPr>
      <w:t>9</w:t>
    </w:r>
    <w:r>
      <w:rPr>
        <w:rFonts w:cs="Times New Roman"/>
        <w:noProof/>
        <w:kern w:val="22"/>
      </w:rPr>
      <w:t>/</w:t>
    </w:r>
    <w:r w:rsidR="00892228">
      <w:rPr>
        <w:rFonts w:cs="Times New Roman"/>
        <w:noProof/>
        <w:kern w:val="22"/>
      </w:rPr>
      <w:t>L.16</w:t>
    </w:r>
  </w:p>
  <w:p w14:paraId="4A109E4C" w14:textId="08FB7B9C" w:rsidR="0017652F" w:rsidRPr="00367DF4" w:rsidRDefault="00660A89" w:rsidP="00660A89">
    <w:pPr>
      <w:pStyle w:val="Header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526013">
      <w:rPr>
        <w:noProof/>
        <w:sz w:val="24"/>
        <w:szCs w:val="22"/>
      </w:rPr>
      <w:t>2</w:t>
    </w:r>
    <w:r w:rsidRPr="00367DF4">
      <w:rPr>
        <w:sz w:val="24"/>
        <w:szCs w:val="22"/>
      </w:rPr>
      <w:fldChar w:fldCharType="end"/>
    </w:r>
  </w:p>
  <w:p w14:paraId="7A95A9AA" w14:textId="77777777" w:rsidR="00660A89" w:rsidRDefault="00660A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9F1E2C" w14:textId="659A85E3" w:rsidR="003E5D69" w:rsidRDefault="003E5D69" w:rsidP="003E5D69">
    <w:pPr>
      <w:ind w:left="252"/>
      <w:jc w:val="right"/>
      <w:rPr>
        <w:rFonts w:ascii="Univers" w:hAnsi="Univers" w:cs="Times New Roman"/>
        <w:kern w:val="22"/>
      </w:rPr>
    </w:pPr>
    <w:r w:rsidRPr="004D1C8A">
      <w:rPr>
        <w:sz w:val="24"/>
      </w:rPr>
      <w:t>C</w:t>
    </w:r>
    <w:r w:rsidR="00616615">
      <w:rPr>
        <w:sz w:val="24"/>
      </w:rPr>
      <w:t>BD/CP</w:t>
    </w:r>
    <w:r w:rsidR="00846B03">
      <w:rPr>
        <w:rFonts w:hint="eastAsia"/>
        <w:sz w:val="24"/>
      </w:rPr>
      <w:t>/</w:t>
    </w:r>
    <w:r w:rsidRPr="004D1C8A">
      <w:rPr>
        <w:sz w:val="24"/>
      </w:rPr>
      <w:t>MOP</w:t>
    </w:r>
    <w:r w:rsidRPr="00110D2C">
      <w:rPr>
        <w:color w:val="000000"/>
        <w:kern w:val="20"/>
        <w:sz w:val="24"/>
        <w:szCs w:val="22"/>
      </w:rPr>
      <w:t>/</w:t>
    </w:r>
    <w:r>
      <w:rPr>
        <w:color w:val="000000"/>
        <w:kern w:val="20"/>
        <w:sz w:val="24"/>
        <w:szCs w:val="22"/>
      </w:rPr>
      <w:t>9</w:t>
    </w:r>
    <w:r>
      <w:rPr>
        <w:rFonts w:cs="Times New Roman"/>
        <w:noProof/>
        <w:kern w:val="22"/>
      </w:rPr>
      <w:t>/</w:t>
    </w:r>
    <w:r w:rsidR="00892228">
      <w:rPr>
        <w:rFonts w:cs="Times New Roman"/>
        <w:noProof/>
        <w:kern w:val="22"/>
      </w:rPr>
      <w:t>L.16</w:t>
    </w:r>
  </w:p>
  <w:p w14:paraId="5055258C" w14:textId="77777777" w:rsidR="0017652F" w:rsidRDefault="0017652F" w:rsidP="00526DA7">
    <w:pPr>
      <w:pStyle w:val="Header"/>
      <w:jc w:val="right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526013">
      <w:rPr>
        <w:noProof/>
        <w:sz w:val="24"/>
        <w:szCs w:val="22"/>
      </w:rPr>
      <w:t>3</w:t>
    </w:r>
    <w:r w:rsidRPr="00367DF4">
      <w:rPr>
        <w:sz w:val="24"/>
        <w:szCs w:val="22"/>
      </w:rPr>
      <w:fldChar w:fldCharType="end"/>
    </w:r>
  </w:p>
  <w:p w14:paraId="6D8E421A" w14:textId="77777777" w:rsidR="00660A89" w:rsidRDefault="00660A89">
    <w:pPr>
      <w:pStyle w:val="Header"/>
    </w:pPr>
  </w:p>
  <w:p w14:paraId="058AC760" w14:textId="77777777" w:rsidR="0017652F" w:rsidRDefault="001765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134DB"/>
    <w:multiLevelType w:val="multilevel"/>
    <w:tmpl w:val="D02A5E1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380"/>
        </w:tabs>
        <w:ind w:left="-60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AA92F02"/>
    <w:multiLevelType w:val="multilevel"/>
    <w:tmpl w:val="1204829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 w15:restartNumberingAfterBreak="0">
    <w:nsid w:val="1859376B"/>
    <w:multiLevelType w:val="singleLevel"/>
    <w:tmpl w:val="35D0F268"/>
    <w:lvl w:ilvl="0">
      <w:start w:val="1"/>
      <w:numFmt w:val="decimal"/>
      <w:lvlText w:val="%1."/>
      <w:lvlJc w:val="left"/>
      <w:pPr>
        <w:tabs>
          <w:tab w:val="num" w:pos="4860"/>
        </w:tabs>
        <w:ind w:left="4500" w:firstLine="0"/>
      </w:pPr>
    </w:lvl>
  </w:abstractNum>
  <w:abstractNum w:abstractNumId="3" w15:restartNumberingAfterBreak="0">
    <w:nsid w:val="211854C8"/>
    <w:multiLevelType w:val="hybridMultilevel"/>
    <w:tmpl w:val="79E008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396814BD"/>
    <w:multiLevelType w:val="hybridMultilevel"/>
    <w:tmpl w:val="0E067840"/>
    <w:lvl w:ilvl="0" w:tplc="F89AE9DE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cs="Times New Roman"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7" w15:restartNumberingAfterBreak="0">
    <w:nsid w:val="3C4A13CA"/>
    <w:multiLevelType w:val="hybridMultilevel"/>
    <w:tmpl w:val="F1DC25D8"/>
    <w:lvl w:ilvl="0" w:tplc="3140AB5E">
      <w:start w:val="1"/>
      <w:numFmt w:val="lowerLetter"/>
      <w:lvlText w:val="(%1)"/>
      <w:lvlJc w:val="left"/>
      <w:pPr>
        <w:ind w:left="1440" w:hanging="72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429637AA"/>
    <w:multiLevelType w:val="multilevel"/>
    <w:tmpl w:val="8726330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80"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900"/>
        </w:tabs>
        <w:ind w:left="190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44CC7FBB"/>
    <w:multiLevelType w:val="hybridMultilevel"/>
    <w:tmpl w:val="DC8ED5BA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476777F8"/>
    <w:multiLevelType w:val="hybridMultilevel"/>
    <w:tmpl w:val="CE1EDFBE"/>
    <w:lvl w:ilvl="0" w:tplc="380A5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A6E2604"/>
    <w:multiLevelType w:val="multilevel"/>
    <w:tmpl w:val="53F67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4" w15:restartNumberingAfterBreak="0">
    <w:nsid w:val="4E0442B4"/>
    <w:multiLevelType w:val="multilevel"/>
    <w:tmpl w:val="B97E9A7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50F04460"/>
    <w:multiLevelType w:val="hybridMultilevel"/>
    <w:tmpl w:val="12B4C0EC"/>
    <w:lvl w:ilvl="0" w:tplc="90800732">
      <w:start w:val="1"/>
      <w:numFmt w:val="decimal"/>
      <w:lvlText w:val="%1."/>
      <w:lvlJc w:val="left"/>
      <w:pPr>
        <w:ind w:left="1440" w:hanging="72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 w15:restartNumberingAfterBreak="0">
    <w:nsid w:val="58B97B28"/>
    <w:multiLevelType w:val="hybridMultilevel"/>
    <w:tmpl w:val="F446DA98"/>
    <w:styleLink w:val="ImportedStyle6"/>
    <w:lvl w:ilvl="0" w:tplc="9DA6728C">
      <w:start w:val="1"/>
      <w:numFmt w:val="decimal"/>
      <w:lvlText w:val="%1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ACE050">
      <w:start w:val="1"/>
      <w:numFmt w:val="lowerLetter"/>
      <w:lvlText w:val="%2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2CDB66">
      <w:start w:val="1"/>
      <w:numFmt w:val="lowerRoman"/>
      <w:lvlText w:val="%3."/>
      <w:lvlJc w:val="left"/>
      <w:pPr>
        <w:tabs>
          <w:tab w:val="num" w:pos="2160"/>
        </w:tabs>
        <w:ind w:left="1440" w:firstLine="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28E55E">
      <w:start w:val="1"/>
      <w:numFmt w:val="decimal"/>
      <w:lvlText w:val="%4."/>
      <w:lvlJc w:val="left"/>
      <w:pPr>
        <w:tabs>
          <w:tab w:val="num" w:pos="288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D0422A">
      <w:start w:val="1"/>
      <w:numFmt w:val="lowerLetter"/>
      <w:lvlText w:val="%5."/>
      <w:lvlJc w:val="left"/>
      <w:pPr>
        <w:tabs>
          <w:tab w:val="num" w:pos="3600"/>
        </w:tabs>
        <w:ind w:left="28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865E30">
      <w:start w:val="1"/>
      <w:numFmt w:val="lowerRoman"/>
      <w:lvlText w:val="%6."/>
      <w:lvlJc w:val="left"/>
      <w:pPr>
        <w:tabs>
          <w:tab w:val="num" w:pos="4320"/>
        </w:tabs>
        <w:ind w:left="3600" w:firstLine="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586270">
      <w:start w:val="1"/>
      <w:numFmt w:val="decimal"/>
      <w:lvlText w:val="%7."/>
      <w:lvlJc w:val="left"/>
      <w:pPr>
        <w:tabs>
          <w:tab w:val="num" w:pos="5040"/>
        </w:tabs>
        <w:ind w:left="43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0E732A">
      <w:start w:val="1"/>
      <w:numFmt w:val="lowerLetter"/>
      <w:lvlText w:val="%8."/>
      <w:lvlJc w:val="left"/>
      <w:pPr>
        <w:tabs>
          <w:tab w:val="num" w:pos="576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89AEE">
      <w:start w:val="1"/>
      <w:numFmt w:val="lowerRoman"/>
      <w:lvlText w:val="%9."/>
      <w:lvlJc w:val="left"/>
      <w:pPr>
        <w:tabs>
          <w:tab w:val="num" w:pos="6480"/>
        </w:tabs>
        <w:ind w:left="5760" w:firstLine="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98645C3"/>
    <w:multiLevelType w:val="hybridMultilevel"/>
    <w:tmpl w:val="265E43AC"/>
    <w:lvl w:ilvl="0" w:tplc="E17AB9A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 w15:restartNumberingAfterBreak="0">
    <w:nsid w:val="708151E1"/>
    <w:multiLevelType w:val="multilevel"/>
    <w:tmpl w:val="FC4EF6E2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431"/>
        </w:tabs>
        <w:ind w:left="1431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62"/>
        </w:tabs>
        <w:ind w:left="22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33"/>
        </w:tabs>
        <w:ind w:left="303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164"/>
        </w:tabs>
        <w:ind w:left="41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35"/>
        </w:tabs>
        <w:ind w:left="49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66"/>
        </w:tabs>
        <w:ind w:left="60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37"/>
        </w:tabs>
        <w:ind w:left="683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8"/>
        </w:tabs>
        <w:ind w:left="7608" w:hanging="1440"/>
      </w:pPr>
      <w:rPr>
        <w:rFonts w:cs="Times New Roman" w:hint="default"/>
      </w:rPr>
    </w:lvl>
  </w:abstractNum>
  <w:abstractNum w:abstractNumId="22" w15:restartNumberingAfterBreak="0">
    <w:nsid w:val="7DA60DD6"/>
    <w:multiLevelType w:val="hybridMultilevel"/>
    <w:tmpl w:val="F446DA98"/>
    <w:numStyleLink w:val="ImportedStyle6"/>
  </w:abstractNum>
  <w:num w:numId="1">
    <w:abstractNumId w:val="8"/>
  </w:num>
  <w:num w:numId="2">
    <w:abstractNumId w:val="6"/>
  </w:num>
  <w:num w:numId="3">
    <w:abstractNumId w:val="4"/>
  </w:num>
  <w:num w:numId="4">
    <w:abstractNumId w:val="10"/>
  </w:num>
  <w:num w:numId="5">
    <w:abstractNumId w:val="12"/>
  </w:num>
  <w:num w:numId="6">
    <w:abstractNumId w:val="14"/>
  </w:num>
  <w:num w:numId="7">
    <w:abstractNumId w:val="20"/>
  </w:num>
  <w:num w:numId="8">
    <w:abstractNumId w:val="13"/>
  </w:num>
  <w:num w:numId="9">
    <w:abstractNumId w:val="1"/>
  </w:num>
  <w:num w:numId="10">
    <w:abstractNumId w:val="4"/>
  </w:num>
  <w:num w:numId="11">
    <w:abstractNumId w:val="19"/>
  </w:num>
  <w:num w:numId="12">
    <w:abstractNumId w:val="14"/>
  </w:num>
  <w:num w:numId="13">
    <w:abstractNumId w:val="16"/>
  </w:num>
  <w:num w:numId="14">
    <w:abstractNumId w:val="6"/>
  </w:num>
  <w:num w:numId="15">
    <w:abstractNumId w:val="14"/>
  </w:num>
  <w:num w:numId="16">
    <w:abstractNumId w:val="12"/>
  </w:num>
  <w:num w:numId="17">
    <w:abstractNumId w:val="8"/>
  </w:num>
  <w:num w:numId="18">
    <w:abstractNumId w:val="21"/>
  </w:num>
  <w:num w:numId="19">
    <w:abstractNumId w:val="9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0"/>
  </w:num>
  <w:num w:numId="25">
    <w:abstractNumId w:val="2"/>
  </w:num>
  <w:num w:numId="26">
    <w:abstractNumId w:val="5"/>
  </w:num>
  <w:num w:numId="27">
    <w:abstractNumId w:val="3"/>
  </w:num>
  <w:num w:numId="28">
    <w:abstractNumId w:val="15"/>
  </w:num>
  <w:num w:numId="29">
    <w:abstractNumId w:val="14"/>
  </w:num>
  <w:num w:numId="30">
    <w:abstractNumId w:val="14"/>
  </w:num>
  <w:num w:numId="31">
    <w:abstractNumId w:val="22"/>
  </w:num>
  <w:num w:numId="32">
    <w:abstractNumId w:val="17"/>
  </w:num>
  <w:num w:numId="33">
    <w:abstractNumId w:val="18"/>
  </w:num>
  <w:num w:numId="34">
    <w:abstractNumId w:val="7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68A"/>
    <w:rsid w:val="0009433A"/>
    <w:rsid w:val="000A5388"/>
    <w:rsid w:val="000B099A"/>
    <w:rsid w:val="000B42E0"/>
    <w:rsid w:val="00121E6A"/>
    <w:rsid w:val="001654F8"/>
    <w:rsid w:val="0017652F"/>
    <w:rsid w:val="00186EDB"/>
    <w:rsid w:val="001A18D7"/>
    <w:rsid w:val="001A4969"/>
    <w:rsid w:val="001A49E9"/>
    <w:rsid w:val="001D28F7"/>
    <w:rsid w:val="001E0563"/>
    <w:rsid w:val="001E7F85"/>
    <w:rsid w:val="001F268A"/>
    <w:rsid w:val="001F65C2"/>
    <w:rsid w:val="00220462"/>
    <w:rsid w:val="002473F7"/>
    <w:rsid w:val="0029567E"/>
    <w:rsid w:val="002A3359"/>
    <w:rsid w:val="002B4AAD"/>
    <w:rsid w:val="002F304A"/>
    <w:rsid w:val="003150CB"/>
    <w:rsid w:val="003A57C0"/>
    <w:rsid w:val="003E5D69"/>
    <w:rsid w:val="003E6ED3"/>
    <w:rsid w:val="00403279"/>
    <w:rsid w:val="004148C8"/>
    <w:rsid w:val="00474EF8"/>
    <w:rsid w:val="0049703E"/>
    <w:rsid w:val="00497336"/>
    <w:rsid w:val="00502FC2"/>
    <w:rsid w:val="005160B9"/>
    <w:rsid w:val="00526013"/>
    <w:rsid w:val="00526DA7"/>
    <w:rsid w:val="005465C3"/>
    <w:rsid w:val="005643C6"/>
    <w:rsid w:val="005940FA"/>
    <w:rsid w:val="00595CF6"/>
    <w:rsid w:val="005C132E"/>
    <w:rsid w:val="005D02E8"/>
    <w:rsid w:val="005E21D1"/>
    <w:rsid w:val="005E4552"/>
    <w:rsid w:val="005E6475"/>
    <w:rsid w:val="005F4244"/>
    <w:rsid w:val="0061237D"/>
    <w:rsid w:val="006154D2"/>
    <w:rsid w:val="00616615"/>
    <w:rsid w:val="00660A89"/>
    <w:rsid w:val="006616FA"/>
    <w:rsid w:val="00666863"/>
    <w:rsid w:val="00685EBE"/>
    <w:rsid w:val="006965B3"/>
    <w:rsid w:val="006D67C0"/>
    <w:rsid w:val="006F0B8D"/>
    <w:rsid w:val="00720748"/>
    <w:rsid w:val="0079191A"/>
    <w:rsid w:val="0079668E"/>
    <w:rsid w:val="007A4677"/>
    <w:rsid w:val="007B27F3"/>
    <w:rsid w:val="008027F1"/>
    <w:rsid w:val="00846B03"/>
    <w:rsid w:val="00853EB8"/>
    <w:rsid w:val="008554F9"/>
    <w:rsid w:val="008645B4"/>
    <w:rsid w:val="00887F31"/>
    <w:rsid w:val="00892228"/>
    <w:rsid w:val="008B1503"/>
    <w:rsid w:val="008C37AA"/>
    <w:rsid w:val="00924E62"/>
    <w:rsid w:val="00953C22"/>
    <w:rsid w:val="00955DEE"/>
    <w:rsid w:val="00960F34"/>
    <w:rsid w:val="009658E0"/>
    <w:rsid w:val="0098360A"/>
    <w:rsid w:val="009908EE"/>
    <w:rsid w:val="009B7651"/>
    <w:rsid w:val="009D2834"/>
    <w:rsid w:val="00A05940"/>
    <w:rsid w:val="00A06782"/>
    <w:rsid w:val="00A17F8C"/>
    <w:rsid w:val="00A2072B"/>
    <w:rsid w:val="00A31CA6"/>
    <w:rsid w:val="00A3388A"/>
    <w:rsid w:val="00A43CB6"/>
    <w:rsid w:val="00A57DDC"/>
    <w:rsid w:val="00A946BB"/>
    <w:rsid w:val="00AA4091"/>
    <w:rsid w:val="00AA694D"/>
    <w:rsid w:val="00AD53FC"/>
    <w:rsid w:val="00AE045D"/>
    <w:rsid w:val="00AE7242"/>
    <w:rsid w:val="00AF2F1D"/>
    <w:rsid w:val="00B042A2"/>
    <w:rsid w:val="00B22565"/>
    <w:rsid w:val="00B41009"/>
    <w:rsid w:val="00B652E6"/>
    <w:rsid w:val="00B73049"/>
    <w:rsid w:val="00BC3B1E"/>
    <w:rsid w:val="00C117E7"/>
    <w:rsid w:val="00C12149"/>
    <w:rsid w:val="00C161EB"/>
    <w:rsid w:val="00C66174"/>
    <w:rsid w:val="00C7690F"/>
    <w:rsid w:val="00C907DD"/>
    <w:rsid w:val="00C9504B"/>
    <w:rsid w:val="00C951FF"/>
    <w:rsid w:val="00C96D3B"/>
    <w:rsid w:val="00CA1A7A"/>
    <w:rsid w:val="00CC5CE1"/>
    <w:rsid w:val="00CC7B35"/>
    <w:rsid w:val="00CD3ED2"/>
    <w:rsid w:val="00D132C7"/>
    <w:rsid w:val="00D14C4B"/>
    <w:rsid w:val="00D44135"/>
    <w:rsid w:val="00D67B1F"/>
    <w:rsid w:val="00D82E38"/>
    <w:rsid w:val="00D90F93"/>
    <w:rsid w:val="00D92BB2"/>
    <w:rsid w:val="00DC550A"/>
    <w:rsid w:val="00DD4DCE"/>
    <w:rsid w:val="00DF7EF5"/>
    <w:rsid w:val="00E13B5C"/>
    <w:rsid w:val="00E33CA1"/>
    <w:rsid w:val="00E402B9"/>
    <w:rsid w:val="00E43F23"/>
    <w:rsid w:val="00E67E35"/>
    <w:rsid w:val="00E7190C"/>
    <w:rsid w:val="00E970D6"/>
    <w:rsid w:val="00EA78DB"/>
    <w:rsid w:val="00EE4356"/>
    <w:rsid w:val="00EF36C9"/>
    <w:rsid w:val="00F27144"/>
    <w:rsid w:val="00F5045B"/>
    <w:rsid w:val="00F90E0F"/>
    <w:rsid w:val="00F92321"/>
    <w:rsid w:val="00FA6E2B"/>
    <w:rsid w:val="00FF196E"/>
    <w:rsid w:val="00FF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C6BDE"/>
  <w15:chartTrackingRefBased/>
  <w15:docId w15:val="{94AA0EBD-4959-472F-A80D-4F1B1B09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cs="Angsana New"/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eastAsia="Univers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cs="Times New Roman"/>
      <w:sz w:val="16"/>
      <w:szCs w:val="16"/>
    </w:rPr>
  </w:style>
  <w:style w:type="character" w:customStyle="1" w:styleId="CharChar2">
    <w:name w:val="Char Char2"/>
    <w:semiHidden/>
    <w:locked/>
    <w:rPr>
      <w:rFonts w:ascii="Times New Roman" w:hAnsi="Times New Roman"/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numPr>
        <w:numId w:val="15"/>
      </w:numPr>
      <w:spacing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link w:val="FootnoteTextChar"/>
    <w:semiHidden/>
    <w:pPr>
      <w:keepLines/>
      <w:spacing w:after="60"/>
      <w:ind w:firstLine="720"/>
    </w:pPr>
    <w:rPr>
      <w:rFonts w:cs="Times New Roman"/>
      <w:sz w:val="18"/>
      <w:lang w:eastAsia="x-none"/>
    </w:rPr>
  </w:style>
  <w:style w:type="character" w:styleId="FootnoteReference">
    <w:name w:val="footnote reference"/>
    <w:semiHidden/>
    <w:rPr>
      <w:rFonts w:cs="Times New Roman"/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14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7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locked/>
    <w:rPr>
      <w:rFonts w:cs="Times New Roman"/>
      <w:vertAlign w:val="superscript"/>
    </w:rPr>
  </w:style>
  <w:style w:type="character" w:styleId="PageNumber">
    <w:name w:val="page number"/>
    <w:rPr>
      <w:rFonts w:ascii="Times New Roman" w:hAnsi="Times New Roman" w:cs="Times New Roman"/>
      <w:sz w:val="22"/>
    </w:rPr>
  </w:style>
  <w:style w:type="paragraph" w:customStyle="1" w:styleId="para4">
    <w:name w:val="para4"/>
    <w:basedOn w:val="Normal"/>
    <w:pPr>
      <w:numPr>
        <w:ilvl w:val="3"/>
        <w:numId w:val="1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Normal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  <w:lang w:val="en-US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cs="Times New Roman"/>
      <w:lang w:eastAsia="x-none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rPr>
      <w:rFonts w:cs="Times New Roman"/>
    </w:rPr>
  </w:style>
  <w:style w:type="paragraph" w:customStyle="1" w:styleId="Paragraph">
    <w:name w:val="Paragraph"/>
    <w:basedOn w:val="Normal"/>
    <w:pPr>
      <w:spacing w:before="120" w:after="120"/>
    </w:p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pPr>
      <w:ind w:firstLine="720"/>
    </w:pPr>
  </w:style>
  <w:style w:type="paragraph" w:customStyle="1" w:styleId="bodytextnoindent">
    <w:name w:val="body text (no indent)"/>
    <w:basedOn w:val="Normal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styleId="BodyText2">
    <w:name w:val="Body Text 2"/>
    <w:basedOn w:val="Normal"/>
    <w:rPr>
      <w:i/>
      <w:iCs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character" w:customStyle="1" w:styleId="BodyTextChar">
    <w:name w:val="Body Text Char"/>
    <w:rPr>
      <w:sz w:val="24"/>
      <w:lang w:val="en-GB"/>
    </w:rPr>
  </w:style>
  <w:style w:type="paragraph" w:customStyle="1" w:styleId="Bodytextitalic">
    <w:name w:val="Body text italic"/>
    <w:basedOn w:val="BodyText"/>
    <w:rPr>
      <w:i/>
      <w:iCs w:val="0"/>
    </w:rPr>
  </w:style>
  <w:style w:type="paragraph" w:customStyle="1" w:styleId="boxbody">
    <w:name w:val="boxbody"/>
    <w:basedOn w:val="Normal"/>
    <w:pPr>
      <w:spacing w:before="100" w:beforeAutospacing="1" w:after="100" w:afterAutospacing="1"/>
      <w:ind w:left="612" w:right="612"/>
    </w:pPr>
    <w:rPr>
      <w:rFonts w:eastAsia="Univers" w:cs="Times New Roman"/>
      <w:sz w:val="18"/>
      <w:szCs w:val="18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pPr>
      <w:keepNext/>
      <w:tabs>
        <w:tab w:val="left" w:pos="426"/>
      </w:tabs>
      <w:spacing w:before="120" w:after="120"/>
      <w:jc w:val="center"/>
    </w:pPr>
    <w:rPr>
      <w:rFonts w:cs="Times New Roman"/>
      <w:b/>
      <w:bCs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  <w:tab w:val="left" w:pos="900"/>
      </w:tabs>
    </w:pPr>
    <w:rPr>
      <w:rFonts w:eastAsia="Univers" w:cs="Times New Roman"/>
      <w:b w:val="0"/>
      <w:bCs w:val="0"/>
      <w:szCs w:val="20"/>
    </w:rPr>
  </w:style>
  <w:style w:type="paragraph" w:customStyle="1" w:styleId="Heading2noletter">
    <w:name w:val="Heading 2 (no letter)"/>
    <w:basedOn w:val="Heading2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Pr>
      <w:rFonts w:ascii="Arial" w:hAnsi="Arial"/>
      <w:b/>
      <w:i/>
      <w:sz w:val="28"/>
      <w:lang w:val="en-US"/>
    </w:r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pPr>
      <w:ind w:firstLine="0"/>
    </w:pPr>
    <w:rPr>
      <w:rFonts w:eastAsia="Univers"/>
      <w:bCs/>
      <w:iCs w:val="0"/>
      <w:szCs w:val="22"/>
    </w:rPr>
  </w:style>
  <w:style w:type="character" w:customStyle="1" w:styleId="Para1Char">
    <w:name w:val="Para 1 Char"/>
    <w:rPr>
      <w:rFonts w:eastAsia="Times New Roman"/>
      <w:sz w:val="22"/>
      <w:lang w:val="en-GB"/>
    </w:rPr>
  </w:style>
  <w:style w:type="paragraph" w:customStyle="1" w:styleId="Para2rev">
    <w:name w:val="Para 2 (rev)"/>
    <w:basedOn w:val="Normal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11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pPr>
      <w:numPr>
        <w:numId w:val="13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character" w:styleId="Strong">
    <w:name w:val="Strong"/>
    <w:qFormat/>
    <w:rPr>
      <w:rFonts w:cs="Times New Roman"/>
      <w:b/>
    </w:rPr>
  </w:style>
  <w:style w:type="paragraph" w:customStyle="1" w:styleId="StyleBodyTextTimesNewRoman11ptCharChar">
    <w:name w:val="Style Body Text + Times New Roman 11 pt Char Char"/>
    <w:basedOn w:val="BodyText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snapToGrid w:val="0"/>
      <w:color w:val="000000"/>
      <w:sz w:val="22"/>
      <w:lang w:val="en-US"/>
    </w:rPr>
  </w:style>
  <w:style w:type="paragraph" w:customStyle="1" w:styleId="StylePara1Firstline127cm">
    <w:name w:val="Style Para1 + First line:  1.27 cm"/>
    <w:basedOn w:val="Para1"/>
    <w:pPr>
      <w:numPr>
        <w:numId w:val="0"/>
      </w:numPr>
      <w:tabs>
        <w:tab w:val="num" w:pos="360"/>
      </w:tabs>
    </w:pPr>
    <w:rPr>
      <w:szCs w:val="20"/>
    </w:rPr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character" w:styleId="CommentReference">
    <w:name w:val="annotation reference"/>
    <w:rPr>
      <w:rFonts w:cs="Times New Roman"/>
      <w:sz w:val="16"/>
    </w:rPr>
  </w:style>
  <w:style w:type="paragraph" w:styleId="CommentText">
    <w:name w:val="annotation text"/>
    <w:basedOn w:val="Normal"/>
    <w:rPr>
      <w:rFonts w:cs="Times New Roman"/>
      <w:sz w:val="20"/>
      <w:szCs w:val="20"/>
    </w:rPr>
  </w:style>
  <w:style w:type="character" w:customStyle="1" w:styleId="CharChar1">
    <w:name w:val="Char Char1"/>
    <w:locked/>
    <w:rPr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rFonts w:cs="Angsana New"/>
      <w:b/>
      <w:bCs/>
    </w:rPr>
  </w:style>
  <w:style w:type="character" w:customStyle="1" w:styleId="CharChar">
    <w:name w:val="Char Char"/>
    <w:locked/>
    <w:rPr>
      <w:b/>
      <w:lang w:val="en-GB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customStyle="1" w:styleId="HeaderChar">
    <w:name w:val="Header Char"/>
    <w:link w:val="Header"/>
    <w:uiPriority w:val="99"/>
    <w:rsid w:val="00660A89"/>
    <w:rPr>
      <w:rFonts w:cs="Angsana New"/>
      <w:sz w:val="22"/>
      <w:szCs w:val="24"/>
      <w:lang w:val="en-GB"/>
    </w:rPr>
  </w:style>
  <w:style w:type="paragraph" w:customStyle="1" w:styleId="Paraa">
    <w:name w:val="Para (a)"/>
    <w:basedOn w:val="Normal"/>
    <w:rsid w:val="005E6475"/>
    <w:pPr>
      <w:tabs>
        <w:tab w:val="num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outlineLvl w:val="1"/>
    </w:pPr>
    <w:rPr>
      <w:rFonts w:cs="Times New Roman"/>
      <w:lang w:eastAsia="en-US"/>
    </w:rPr>
  </w:style>
  <w:style w:type="character" w:customStyle="1" w:styleId="shorttext">
    <w:name w:val="short_text"/>
    <w:rsid w:val="005E4552"/>
  </w:style>
  <w:style w:type="character" w:customStyle="1" w:styleId="FootnoteTextChar">
    <w:name w:val="Footnote Text Char"/>
    <w:link w:val="FootnoteText"/>
    <w:semiHidden/>
    <w:rsid w:val="005E4552"/>
    <w:rPr>
      <w:rFonts w:cs="Angsana New"/>
      <w:sz w:val="18"/>
      <w:szCs w:val="24"/>
      <w:lang w:val="en-GB"/>
    </w:rPr>
  </w:style>
  <w:style w:type="character" w:customStyle="1" w:styleId="shorttext0">
    <w:name w:val="shorttext"/>
    <w:basedOn w:val="DefaultParagraphFont"/>
    <w:rsid w:val="009B7651"/>
  </w:style>
  <w:style w:type="character" w:customStyle="1" w:styleId="shorttext1">
    <w:name w:val="short_text1"/>
    <w:rsid w:val="009B7651"/>
    <w:rPr>
      <w:sz w:val="23"/>
      <w:szCs w:val="23"/>
    </w:rPr>
  </w:style>
  <w:style w:type="numbering" w:customStyle="1" w:styleId="ImportedStyle6">
    <w:name w:val="Imported Style 6"/>
    <w:rsid w:val="00121E6A"/>
    <w:pPr>
      <w:numPr>
        <w:numId w:val="32"/>
      </w:numPr>
    </w:pPr>
  </w:style>
  <w:style w:type="character" w:customStyle="1" w:styleId="Heading8Char">
    <w:name w:val="Heading 8 Char"/>
    <w:basedOn w:val="DefaultParagraphFont"/>
    <w:link w:val="Heading8"/>
    <w:rsid w:val="00892228"/>
    <w:rPr>
      <w:rFonts w:ascii="Univers" w:hAnsi="Univers" w:cs="Angsana New"/>
      <w:b/>
      <w:sz w:val="3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649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25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737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145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0146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219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55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737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825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76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494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878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9279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C27D7-3223-47CA-9928-76C6F95E3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SCBD</Company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UNEP/CBD/BS/COP-MOP/8/CRP.</dc:subject>
  <dc:creator>SCBD</dc:creator>
  <cp:keywords/>
  <cp:lastModifiedBy>Chuansheng Li</cp:lastModifiedBy>
  <cp:revision>5</cp:revision>
  <cp:lastPrinted>2014-10-12T14:43:00Z</cp:lastPrinted>
  <dcterms:created xsi:type="dcterms:W3CDTF">2018-11-28T22:22:00Z</dcterms:created>
  <dcterms:modified xsi:type="dcterms:W3CDTF">2018-11-28T22:27:00Z</dcterms:modified>
</cp:coreProperties>
</file>