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64"/>
        <w:gridCol w:w="4267"/>
      </w:tblGrid>
      <w:tr w:rsidR="00C9161D" w:rsidRPr="00774519" w14:paraId="07F6750D" w14:textId="77777777" w:rsidTr="00CF1848">
        <w:trPr>
          <w:trHeight w:val="709"/>
        </w:trPr>
        <w:tc>
          <w:tcPr>
            <w:tcW w:w="976" w:type="dxa"/>
            <w:tcBorders>
              <w:bottom w:val="single" w:sz="12" w:space="0" w:color="auto"/>
            </w:tcBorders>
          </w:tcPr>
          <w:p w14:paraId="1DEFF495" w14:textId="77777777" w:rsidR="00C9161D" w:rsidRPr="00A9134D" w:rsidRDefault="00C9161D" w:rsidP="00A9134D">
            <w:pPr>
              <w:suppressLineNumbers/>
              <w:suppressAutoHyphens/>
              <w:rPr>
                <w:kern w:val="22"/>
              </w:rPr>
            </w:pPr>
            <w:bookmarkStart w:id="0" w:name="_GoBack"/>
            <w:bookmarkEnd w:id="0"/>
            <w:r w:rsidRPr="00A9134D">
              <w:rPr>
                <w:noProof/>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986B63F" w14:textId="77777777" w:rsidR="00C9161D" w:rsidRPr="00A9134D" w:rsidRDefault="00C9161D" w:rsidP="00A9134D">
            <w:pPr>
              <w:suppressLineNumbers/>
              <w:suppressAutoHyphens/>
              <w:rPr>
                <w:kern w:val="22"/>
              </w:rPr>
            </w:pPr>
            <w:r w:rsidRPr="00A9134D">
              <w:rPr>
                <w:noProof/>
                <w:kern w:val="22"/>
              </w:rPr>
              <w:drawing>
                <wp:inline distT="0" distB="0" distL="0" distR="0" wp14:anchorId="6AAD248E" wp14:editId="0F6047B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A9134D" w:rsidRDefault="00C9161D" w:rsidP="00A9134D">
            <w:pPr>
              <w:suppressLineNumbers/>
              <w:suppressAutoHyphens/>
              <w:jc w:val="right"/>
              <w:rPr>
                <w:rFonts w:ascii="Arial" w:hAnsi="Arial" w:cs="Arial"/>
                <w:b/>
                <w:kern w:val="22"/>
                <w:sz w:val="32"/>
                <w:szCs w:val="32"/>
              </w:rPr>
            </w:pPr>
            <w:r w:rsidRPr="00A9134D">
              <w:rPr>
                <w:rFonts w:ascii="Arial" w:hAnsi="Arial" w:cs="Arial"/>
                <w:b/>
                <w:kern w:val="22"/>
                <w:sz w:val="32"/>
                <w:szCs w:val="32"/>
              </w:rPr>
              <w:t>CBD</w:t>
            </w:r>
          </w:p>
        </w:tc>
      </w:tr>
      <w:tr w:rsidR="00C9161D" w:rsidRPr="00774519"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A9134D" w:rsidRDefault="00C9161D" w:rsidP="00A9134D">
            <w:pPr>
              <w:suppressLineNumbers/>
              <w:suppressAutoHyphens/>
              <w:rPr>
                <w:kern w:val="22"/>
              </w:rPr>
            </w:pPr>
            <w:r w:rsidRPr="00A9134D">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A9134D" w:rsidRDefault="00C9161D" w:rsidP="00A9134D">
            <w:pPr>
              <w:suppressLineNumbers/>
              <w:suppressAutoHyphens/>
              <w:ind w:left="1215"/>
              <w:rPr>
                <w:kern w:val="22"/>
                <w:szCs w:val="22"/>
              </w:rPr>
            </w:pPr>
            <w:r w:rsidRPr="00A9134D">
              <w:rPr>
                <w:kern w:val="22"/>
                <w:szCs w:val="22"/>
              </w:rPr>
              <w:t>Distr.</w:t>
            </w:r>
          </w:p>
          <w:p w14:paraId="0C21C438" w14:textId="77777777" w:rsidR="00C9161D" w:rsidRPr="00A9134D" w:rsidRDefault="00B3102E" w:rsidP="00A9134D">
            <w:pPr>
              <w:suppressLineNumbers/>
              <w:suppressAutoHyphens/>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4846" w:rsidRPr="00A9134D">
                  <w:rPr>
                    <w:caps/>
                    <w:kern w:val="22"/>
                    <w:szCs w:val="22"/>
                  </w:rPr>
                  <w:t>GENERAL</w:t>
                </w:r>
              </w:sdtContent>
            </w:sdt>
          </w:p>
          <w:p w14:paraId="06715052" w14:textId="77777777" w:rsidR="00C9161D" w:rsidRPr="00A9134D" w:rsidRDefault="00C9161D" w:rsidP="00A9134D">
            <w:pPr>
              <w:suppressLineNumbers/>
              <w:suppressAutoHyphens/>
              <w:ind w:left="1215"/>
              <w:rPr>
                <w:kern w:val="22"/>
                <w:szCs w:val="22"/>
              </w:rPr>
            </w:pPr>
          </w:p>
          <w:p w14:paraId="44230134" w14:textId="21197B3C" w:rsidR="00C9161D" w:rsidRPr="00A9134D" w:rsidRDefault="00B3102E" w:rsidP="00A9134D">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A9134D">
                  <w:rPr>
                    <w:kern w:val="22"/>
                  </w:rPr>
                  <w:t>CBD/</w:t>
                </w:r>
                <w:r w:rsidR="003B22D9" w:rsidRPr="00A9134D">
                  <w:rPr>
                    <w:kern w:val="22"/>
                  </w:rPr>
                  <w:t>POST2020/WS/2019/14/1</w:t>
                </w:r>
              </w:sdtContent>
            </w:sdt>
          </w:p>
          <w:p w14:paraId="0DF1F033" w14:textId="73A346C3" w:rsidR="00C9161D" w:rsidRPr="00A9134D" w:rsidRDefault="003B22D9" w:rsidP="00A9134D">
            <w:pPr>
              <w:suppressLineNumbers/>
              <w:suppressAutoHyphens/>
              <w:ind w:left="1215"/>
              <w:rPr>
                <w:kern w:val="22"/>
                <w:szCs w:val="22"/>
              </w:rPr>
            </w:pPr>
            <w:r w:rsidRPr="00A9134D">
              <w:rPr>
                <w:kern w:val="22"/>
                <w:szCs w:val="22"/>
              </w:rPr>
              <w:t>5 November</w:t>
            </w:r>
            <w:r w:rsidR="00F6586C" w:rsidRPr="00A9134D">
              <w:rPr>
                <w:kern w:val="22"/>
                <w:szCs w:val="22"/>
              </w:rPr>
              <w:t xml:space="preserve"> 201</w:t>
            </w:r>
            <w:r w:rsidR="00134846" w:rsidRPr="00A9134D">
              <w:rPr>
                <w:kern w:val="22"/>
                <w:szCs w:val="22"/>
              </w:rPr>
              <w:t>9</w:t>
            </w:r>
          </w:p>
          <w:p w14:paraId="159892DF" w14:textId="77777777" w:rsidR="00C9161D" w:rsidRPr="00A9134D" w:rsidRDefault="00C9161D" w:rsidP="00A9134D">
            <w:pPr>
              <w:suppressLineNumbers/>
              <w:suppressAutoHyphens/>
              <w:ind w:left="1215"/>
              <w:rPr>
                <w:kern w:val="22"/>
                <w:szCs w:val="22"/>
              </w:rPr>
            </w:pPr>
          </w:p>
          <w:p w14:paraId="19472D49" w14:textId="683987B4" w:rsidR="00C9161D" w:rsidRPr="00A9134D" w:rsidRDefault="00C9161D" w:rsidP="00A9134D">
            <w:pPr>
              <w:suppressLineNumbers/>
              <w:suppressAutoHyphens/>
              <w:ind w:left="1215"/>
              <w:rPr>
                <w:kern w:val="22"/>
                <w:szCs w:val="22"/>
              </w:rPr>
            </w:pPr>
            <w:r w:rsidRPr="00A9134D">
              <w:rPr>
                <w:kern w:val="22"/>
                <w:szCs w:val="22"/>
              </w:rPr>
              <w:t>ENGLISH</w:t>
            </w:r>
            <w:r w:rsidR="002242FB" w:rsidRPr="00A9134D">
              <w:rPr>
                <w:kern w:val="22"/>
                <w:szCs w:val="22"/>
              </w:rPr>
              <w:t xml:space="preserve"> ONLY</w:t>
            </w:r>
          </w:p>
          <w:p w14:paraId="5AA10CCE" w14:textId="77777777" w:rsidR="00C9161D" w:rsidRPr="00A9134D" w:rsidRDefault="00C9161D" w:rsidP="00A9134D">
            <w:pPr>
              <w:suppressLineNumbers/>
              <w:suppressAutoHyphens/>
              <w:rPr>
                <w:kern w:val="22"/>
              </w:rPr>
            </w:pPr>
          </w:p>
        </w:tc>
      </w:tr>
    </w:tbl>
    <w:p w14:paraId="3E2FFF21" w14:textId="41B4B2D2" w:rsidR="00C41BA8" w:rsidRPr="00774519" w:rsidRDefault="00C41BA8" w:rsidP="00A9134D">
      <w:pPr>
        <w:suppressLineNumbers/>
        <w:suppressAutoHyphens/>
        <w:ind w:left="284" w:right="4926" w:hanging="284"/>
        <w:jc w:val="left"/>
        <w:rPr>
          <w:caps/>
          <w:kern w:val="22"/>
          <w:szCs w:val="22"/>
        </w:rPr>
      </w:pPr>
      <w:r w:rsidRPr="00774519">
        <w:rPr>
          <w:caps/>
          <w:kern w:val="22"/>
          <w:szCs w:val="22"/>
        </w:rPr>
        <w:t>Workshop on the Evidence Base for the Post-2020 Global Biodiversity Framework: Fifth Edition of the Global Biodiversity Outlook and IPBES Global Assessment</w:t>
      </w:r>
    </w:p>
    <w:p w14:paraId="3CE85374" w14:textId="0217FE9A" w:rsidR="00B64E9D" w:rsidRPr="00A9134D" w:rsidRDefault="00134846" w:rsidP="00A9134D">
      <w:pPr>
        <w:suppressLineNumbers/>
        <w:suppressAutoHyphens/>
        <w:ind w:left="284" w:right="4926" w:hanging="284"/>
        <w:jc w:val="left"/>
        <w:rPr>
          <w:kern w:val="22"/>
          <w:szCs w:val="22"/>
        </w:rPr>
      </w:pPr>
      <w:r w:rsidRPr="00774519">
        <w:rPr>
          <w:snapToGrid w:val="0"/>
          <w:kern w:val="22"/>
          <w:szCs w:val="22"/>
          <w:lang w:eastAsia="nb-NO"/>
        </w:rPr>
        <w:t xml:space="preserve">Montreal, Canada, </w:t>
      </w:r>
      <w:r w:rsidR="00B64E9D" w:rsidRPr="00774519">
        <w:rPr>
          <w:snapToGrid w:val="0"/>
          <w:kern w:val="22"/>
          <w:szCs w:val="22"/>
          <w:lang w:eastAsia="nb-NO"/>
        </w:rPr>
        <w:t>23 November 2019</w:t>
      </w:r>
    </w:p>
    <w:p w14:paraId="57F6B7A1" w14:textId="46C3E9A4" w:rsidR="00C9161D" w:rsidRPr="00A9134D" w:rsidRDefault="00B3102E" w:rsidP="00A9134D">
      <w:pPr>
        <w:suppressLineNumbers/>
        <w:suppressAutoHyphens/>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548B1" w:rsidRPr="00A9134D">
            <w:rPr>
              <w:rStyle w:val="Heading2Char"/>
              <w:caps/>
              <w:kern w:val="22"/>
              <w:szCs w:val="22"/>
            </w:rPr>
            <w:t>Annotated provisional agenda</w:t>
          </w:r>
        </w:sdtContent>
      </w:sdt>
    </w:p>
    <w:p w14:paraId="5CCBD581" w14:textId="64E71CFB" w:rsidR="00B64E9D" w:rsidRPr="00A9134D" w:rsidRDefault="00B64E9D" w:rsidP="00A9134D">
      <w:pPr>
        <w:pStyle w:val="Heading2"/>
        <w:numPr>
          <w:ilvl w:val="0"/>
          <w:numId w:val="18"/>
        </w:numPr>
        <w:suppressLineNumbers/>
        <w:tabs>
          <w:tab w:val="clear" w:pos="720"/>
          <w:tab w:val="left" w:pos="426"/>
        </w:tabs>
        <w:suppressAutoHyphens/>
        <w:ind w:left="0" w:firstLine="0"/>
        <w:rPr>
          <w:rFonts w:ascii="Times New Roman Bold" w:hAnsi="Times New Roman Bold"/>
          <w:bCs w:val="0"/>
          <w:iCs w:val="0"/>
          <w:kern w:val="22"/>
          <w:szCs w:val="22"/>
        </w:rPr>
      </w:pPr>
      <w:r w:rsidRPr="00A9134D">
        <w:rPr>
          <w:rFonts w:ascii="Times New Roman Bold" w:hAnsi="Times New Roman Bold"/>
          <w:bCs w:val="0"/>
          <w:iCs w:val="0"/>
          <w:kern w:val="22"/>
          <w:szCs w:val="22"/>
        </w:rPr>
        <w:t>Background</w:t>
      </w:r>
    </w:p>
    <w:p w14:paraId="44520CBE" w14:textId="39785478" w:rsidR="00B64E9D" w:rsidRPr="00774519" w:rsidRDefault="00B64E9D" w:rsidP="00A9134D">
      <w:pPr>
        <w:pStyle w:val="Para1"/>
        <w:numPr>
          <w:ilvl w:val="0"/>
          <w:numId w:val="19"/>
        </w:numPr>
        <w:suppressLineNumbers/>
        <w:tabs>
          <w:tab w:val="clear" w:pos="360"/>
          <w:tab w:val="num" w:pos="709"/>
        </w:tabs>
        <w:suppressAutoHyphens/>
        <w:snapToGrid w:val="0"/>
        <w:rPr>
          <w:kern w:val="22"/>
          <w:szCs w:val="22"/>
        </w:rPr>
      </w:pPr>
      <w:r w:rsidRPr="00774519">
        <w:rPr>
          <w:kern w:val="22"/>
          <w:szCs w:val="22"/>
        </w:rPr>
        <w:t xml:space="preserve">In decision </w:t>
      </w:r>
      <w:hyperlink r:id="rId15" w:history="1">
        <w:r w:rsidRPr="00A9134D">
          <w:rPr>
            <w:rStyle w:val="Hyperlink"/>
            <w:rFonts w:eastAsiaTheme="majorEastAsia"/>
            <w:kern w:val="22"/>
            <w:sz w:val="22"/>
            <w:szCs w:val="22"/>
          </w:rPr>
          <w:t>14/34</w:t>
        </w:r>
      </w:hyperlink>
      <w:r w:rsidRPr="00774519">
        <w:rPr>
          <w:kern w:val="22"/>
          <w:szCs w:val="22"/>
        </w:rPr>
        <w:t>, the Conference of the Parties requested the Subsidiary Body on Scientific, Technical and Technological Advice at its twenty-third and twenty-fourth meetings to contribute to the development of the post-2020 global biodiversity framework and in support of the work of the open-ended intersessional working group (</w:t>
      </w:r>
      <w:r w:rsidR="00451025" w:rsidRPr="00774519">
        <w:rPr>
          <w:kern w:val="22"/>
          <w:szCs w:val="22"/>
        </w:rPr>
        <w:t xml:space="preserve">see </w:t>
      </w:r>
      <w:r w:rsidRPr="00774519">
        <w:rPr>
          <w:kern w:val="22"/>
          <w:szCs w:val="22"/>
        </w:rPr>
        <w:t>para.</w:t>
      </w:r>
      <w:r w:rsidR="00451025" w:rsidRPr="00774519">
        <w:rPr>
          <w:kern w:val="22"/>
          <w:szCs w:val="22"/>
        </w:rPr>
        <w:t> </w:t>
      </w:r>
      <w:r w:rsidRPr="00774519">
        <w:rPr>
          <w:kern w:val="22"/>
          <w:szCs w:val="22"/>
        </w:rPr>
        <w:t>16). Further, the preparatory process for the development of the post</w:t>
      </w:r>
      <w:r w:rsidRPr="00774519">
        <w:rPr>
          <w:kern w:val="22"/>
          <w:szCs w:val="22"/>
        </w:rPr>
        <w:noBreakHyphen/>
        <w:t xml:space="preserve">2020 global biodiversity framework adopted by decision 14/34 requires that the process be knowledge-based and that it </w:t>
      </w:r>
      <w:proofErr w:type="gramStart"/>
      <w:r w:rsidRPr="00774519">
        <w:rPr>
          <w:kern w:val="22"/>
          <w:szCs w:val="22"/>
        </w:rPr>
        <w:t>include</w:t>
      </w:r>
      <w:proofErr w:type="gramEnd"/>
      <w:r w:rsidRPr="00774519">
        <w:rPr>
          <w:kern w:val="22"/>
          <w:szCs w:val="22"/>
        </w:rPr>
        <w:t xml:space="preserve"> </w:t>
      </w:r>
      <w:r w:rsidR="00BB0C6B" w:rsidRPr="00774519">
        <w:rPr>
          <w:kern w:val="22"/>
          <w:szCs w:val="22"/>
        </w:rPr>
        <w:t xml:space="preserve">a </w:t>
      </w:r>
      <w:r w:rsidRPr="00774519">
        <w:rPr>
          <w:kern w:val="22"/>
          <w:szCs w:val="22"/>
        </w:rPr>
        <w:t xml:space="preserve">provision for analytical work prepared in accordance with recommendation SBSTTA-XXI/1 and decision 14/35. Among the key information sources identified in the preparatory process are national reports, assessments prepared by the Intergovernmental Science-Policy Platform on Biodiversity and Ecosystem Services (IPBES) and other bodies and relevant peer reviewed literature, as well as the fifth edition of the </w:t>
      </w:r>
      <w:r w:rsidRPr="00774519">
        <w:rPr>
          <w:i/>
          <w:kern w:val="22"/>
          <w:szCs w:val="22"/>
        </w:rPr>
        <w:t>Global Biodiversity Outlook</w:t>
      </w:r>
      <w:r w:rsidR="00061192">
        <w:rPr>
          <w:i/>
          <w:kern w:val="22"/>
          <w:szCs w:val="22"/>
        </w:rPr>
        <w:t xml:space="preserve"> (GBO-5)</w:t>
      </w:r>
      <w:r w:rsidRPr="00774519">
        <w:rPr>
          <w:kern w:val="22"/>
          <w:szCs w:val="22"/>
        </w:rPr>
        <w:t>.</w:t>
      </w:r>
    </w:p>
    <w:p w14:paraId="1ABFA2F4" w14:textId="77777777" w:rsidR="00B64E9D" w:rsidRPr="00A9134D" w:rsidRDefault="00B64E9D" w:rsidP="00A9134D">
      <w:pPr>
        <w:pStyle w:val="Para1"/>
        <w:numPr>
          <w:ilvl w:val="0"/>
          <w:numId w:val="19"/>
        </w:numPr>
        <w:suppressLineNumbers/>
        <w:tabs>
          <w:tab w:val="clear" w:pos="360"/>
        </w:tabs>
        <w:suppressAutoHyphens/>
        <w:snapToGrid w:val="0"/>
        <w:rPr>
          <w:spacing w:val="-3"/>
          <w:kern w:val="22"/>
          <w:szCs w:val="22"/>
        </w:rPr>
      </w:pPr>
      <w:r w:rsidRPr="00A9134D">
        <w:rPr>
          <w:spacing w:val="-3"/>
          <w:kern w:val="22"/>
          <w:szCs w:val="22"/>
        </w:rPr>
        <w:t xml:space="preserve">In decision </w:t>
      </w:r>
      <w:hyperlink r:id="rId16" w:history="1">
        <w:r w:rsidRPr="00A9134D">
          <w:rPr>
            <w:rStyle w:val="Hyperlink"/>
            <w:rFonts w:eastAsiaTheme="majorEastAsia"/>
            <w:spacing w:val="-3"/>
            <w:kern w:val="22"/>
            <w:sz w:val="22"/>
            <w:szCs w:val="22"/>
          </w:rPr>
          <w:t>14/1</w:t>
        </w:r>
      </w:hyperlink>
      <w:r w:rsidRPr="00A9134D">
        <w:rPr>
          <w:spacing w:val="-3"/>
          <w:kern w:val="22"/>
          <w:szCs w:val="22"/>
        </w:rPr>
        <w:t>, the Conference of the Parties requested the Executive Secretary to use and analyse the review of scientific information and the outcomes of all products of IPBES in the preparation of the post</w:t>
      </w:r>
      <w:r w:rsidRPr="00A9134D">
        <w:rPr>
          <w:spacing w:val="-3"/>
          <w:kern w:val="22"/>
          <w:szCs w:val="22"/>
        </w:rPr>
        <w:noBreakHyphen/>
        <w:t>2020 global biodiversity framework, and to provide the results to the Subsidiary Body on Scientific, Technical and Technological Advice at a meeting held prior to the fifteenth meeting of the Conference of the Parties.</w:t>
      </w:r>
    </w:p>
    <w:p w14:paraId="44DB2862" w14:textId="2ADA0415" w:rsidR="00B64E9D" w:rsidRPr="00774519" w:rsidRDefault="00B64E9D" w:rsidP="00A9134D">
      <w:pPr>
        <w:pStyle w:val="Para1"/>
        <w:numPr>
          <w:ilvl w:val="0"/>
          <w:numId w:val="19"/>
        </w:numPr>
        <w:suppressLineNumbers/>
        <w:tabs>
          <w:tab w:val="clear" w:pos="360"/>
          <w:tab w:val="num" w:pos="709"/>
        </w:tabs>
        <w:suppressAutoHyphens/>
        <w:snapToGrid w:val="0"/>
        <w:rPr>
          <w:kern w:val="22"/>
          <w:szCs w:val="22"/>
        </w:rPr>
      </w:pPr>
      <w:r w:rsidRPr="00774519">
        <w:rPr>
          <w:kern w:val="22"/>
          <w:szCs w:val="22"/>
        </w:rPr>
        <w:t xml:space="preserve">In decision </w:t>
      </w:r>
      <w:hyperlink r:id="rId17" w:history="1">
        <w:r w:rsidRPr="00A9134D">
          <w:rPr>
            <w:rStyle w:val="Hyperlink"/>
            <w:rFonts w:eastAsiaTheme="majorEastAsia"/>
            <w:kern w:val="22"/>
            <w:sz w:val="22"/>
            <w:szCs w:val="22"/>
          </w:rPr>
          <w:t>XIII/29</w:t>
        </w:r>
      </w:hyperlink>
      <w:r w:rsidRPr="00774519">
        <w:rPr>
          <w:kern w:val="22"/>
          <w:szCs w:val="22"/>
        </w:rPr>
        <w:t xml:space="preserve">, the Conference of the Parties decided that the fifth edition of the </w:t>
      </w:r>
      <w:r w:rsidRPr="00774519">
        <w:rPr>
          <w:i/>
          <w:kern w:val="22"/>
          <w:szCs w:val="22"/>
        </w:rPr>
        <w:t>Global Biodiversity Outlook</w:t>
      </w:r>
      <w:r w:rsidRPr="00774519">
        <w:rPr>
          <w:kern w:val="22"/>
          <w:szCs w:val="22"/>
        </w:rPr>
        <w:t xml:space="preserve"> should serve as a basis for the follow-up to the Strategic Plan for Biodiversity 2011-2020, to be considered by the Conference of the Parties at its fifteenth meeting. Subsequently, in decision </w:t>
      </w:r>
      <w:hyperlink r:id="rId18" w:history="1">
        <w:r w:rsidRPr="00A9134D">
          <w:rPr>
            <w:rStyle w:val="Hyperlink"/>
            <w:rFonts w:eastAsiaTheme="majorEastAsia"/>
            <w:kern w:val="22"/>
            <w:sz w:val="22"/>
            <w:szCs w:val="22"/>
          </w:rPr>
          <w:t>14/35</w:t>
        </w:r>
      </w:hyperlink>
      <w:r w:rsidRPr="00774519">
        <w:rPr>
          <w:kern w:val="22"/>
          <w:szCs w:val="22"/>
        </w:rPr>
        <w:t xml:space="preserve">, the Conference of the Parties took note of the plan for the preparation of the fifth edition of the </w:t>
      </w:r>
      <w:r w:rsidRPr="00A9134D">
        <w:rPr>
          <w:i/>
          <w:kern w:val="22"/>
          <w:szCs w:val="22"/>
        </w:rPr>
        <w:t>Outlook</w:t>
      </w:r>
      <w:r w:rsidR="00EB577D" w:rsidRPr="00774519">
        <w:rPr>
          <w:kern w:val="22"/>
          <w:szCs w:val="22"/>
        </w:rPr>
        <w:t>,</w:t>
      </w:r>
      <w:r w:rsidRPr="00774519">
        <w:rPr>
          <w:kern w:val="22"/>
          <w:szCs w:val="22"/>
        </w:rPr>
        <w:t xml:space="preserve"> which foresees, </w:t>
      </w:r>
      <w:r w:rsidR="00EB577D" w:rsidRPr="00774519">
        <w:rPr>
          <w:iCs/>
          <w:kern w:val="22"/>
          <w:szCs w:val="22"/>
        </w:rPr>
        <w:t>among other things</w:t>
      </w:r>
      <w:r w:rsidRPr="00774519">
        <w:rPr>
          <w:kern w:val="22"/>
          <w:szCs w:val="22"/>
        </w:rPr>
        <w:t xml:space="preserve">, that a draft of the </w:t>
      </w:r>
      <w:r w:rsidRPr="00A9134D">
        <w:rPr>
          <w:i/>
          <w:kern w:val="22"/>
          <w:szCs w:val="22"/>
        </w:rPr>
        <w:t>Outlook</w:t>
      </w:r>
      <w:r w:rsidRPr="00774519">
        <w:rPr>
          <w:kern w:val="22"/>
          <w:szCs w:val="22"/>
        </w:rPr>
        <w:t xml:space="preserve"> </w:t>
      </w:r>
      <w:r w:rsidR="00EB577D" w:rsidRPr="00774519">
        <w:rPr>
          <w:kern w:val="22"/>
          <w:szCs w:val="22"/>
        </w:rPr>
        <w:t xml:space="preserve">should be </w:t>
      </w:r>
      <w:r w:rsidRPr="00774519">
        <w:rPr>
          <w:kern w:val="22"/>
          <w:szCs w:val="22"/>
        </w:rPr>
        <w:t>available for consideration by the Subsidiary Body on Scientific, Technical and Technological Advice at its twenty-third session.</w:t>
      </w:r>
    </w:p>
    <w:p w14:paraId="26A904DB" w14:textId="77777777" w:rsidR="00B64E9D" w:rsidRPr="00774519" w:rsidRDefault="00B64E9D" w:rsidP="00A9134D">
      <w:pPr>
        <w:pStyle w:val="Para1"/>
        <w:numPr>
          <w:ilvl w:val="0"/>
          <w:numId w:val="19"/>
        </w:numPr>
        <w:suppressLineNumbers/>
        <w:tabs>
          <w:tab w:val="clear" w:pos="360"/>
          <w:tab w:val="num" w:pos="709"/>
        </w:tabs>
        <w:suppressAutoHyphens/>
        <w:snapToGrid w:val="0"/>
        <w:rPr>
          <w:kern w:val="22"/>
          <w:szCs w:val="22"/>
        </w:rPr>
      </w:pPr>
      <w:r w:rsidRPr="00774519">
        <w:rPr>
          <w:iCs/>
          <w:kern w:val="22"/>
          <w:szCs w:val="22"/>
        </w:rPr>
        <w:t>Further, the Open-ended Working Group on the Post-2020 Global Biodiversity Framework, at its first meeting in August 2019, invited</w:t>
      </w:r>
      <w:r w:rsidRPr="00774519">
        <w:rPr>
          <w:kern w:val="22"/>
          <w:szCs w:val="22"/>
        </w:rPr>
        <w:t xml:space="preserve"> the Subsidiary Body on Scientific, Technical and Technological Advice, with reference to the findings of the global assessment report of IPBES, to provide elements concerning guidance on specific goals, SMART targets, indicators, baselines, and monitoring frameworks, relating to the drivers of biodiversity loss, for achieving transformational change, within the scope of the three objectives of the Convention.</w:t>
      </w:r>
      <w:r w:rsidRPr="00774519">
        <w:rPr>
          <w:rStyle w:val="FootnoteReference"/>
          <w:kern w:val="22"/>
          <w:szCs w:val="22"/>
        </w:rPr>
        <w:footnoteReference w:id="2"/>
      </w:r>
    </w:p>
    <w:p w14:paraId="339A4782" w14:textId="2B53A025" w:rsidR="00176CEE" w:rsidRPr="00A9134D" w:rsidRDefault="00B64E9D" w:rsidP="00A9134D">
      <w:pPr>
        <w:pStyle w:val="Heading2"/>
        <w:numPr>
          <w:ilvl w:val="0"/>
          <w:numId w:val="18"/>
        </w:numPr>
        <w:suppressLineNumbers/>
        <w:tabs>
          <w:tab w:val="clear" w:pos="720"/>
          <w:tab w:val="left" w:pos="426"/>
        </w:tabs>
        <w:suppressAutoHyphens/>
        <w:ind w:left="0" w:firstLine="0"/>
        <w:rPr>
          <w:rFonts w:ascii="Times New Roman Bold" w:hAnsi="Times New Roman Bold"/>
          <w:bCs w:val="0"/>
          <w:iCs w:val="0"/>
          <w:kern w:val="22"/>
          <w:szCs w:val="22"/>
        </w:rPr>
      </w:pPr>
      <w:r w:rsidRPr="00A9134D">
        <w:rPr>
          <w:rFonts w:ascii="Times New Roman Bold" w:hAnsi="Times New Roman Bold"/>
          <w:bCs w:val="0"/>
          <w:iCs w:val="0"/>
          <w:kern w:val="22"/>
          <w:szCs w:val="22"/>
        </w:rPr>
        <w:lastRenderedPageBreak/>
        <w:t xml:space="preserve">Workshop </w:t>
      </w:r>
      <w:r w:rsidR="0038775D" w:rsidRPr="00A9134D">
        <w:rPr>
          <w:rFonts w:ascii="Times New Roman Bold" w:hAnsi="Times New Roman Bold"/>
          <w:bCs w:val="0"/>
          <w:iCs w:val="0"/>
          <w:kern w:val="22"/>
          <w:szCs w:val="22"/>
        </w:rPr>
        <w:t>o</w:t>
      </w:r>
      <w:r w:rsidRPr="00A9134D">
        <w:rPr>
          <w:rFonts w:ascii="Times New Roman Bold" w:hAnsi="Times New Roman Bold"/>
          <w:bCs w:val="0"/>
          <w:iCs w:val="0"/>
          <w:kern w:val="22"/>
          <w:szCs w:val="22"/>
        </w:rPr>
        <w:t>bjectives</w:t>
      </w:r>
    </w:p>
    <w:p w14:paraId="5BD06121" w14:textId="4D00BC42" w:rsidR="00B77863" w:rsidRPr="00A9134D" w:rsidRDefault="00B64E9D" w:rsidP="00A9134D">
      <w:pPr>
        <w:pStyle w:val="Para1"/>
        <w:numPr>
          <w:ilvl w:val="0"/>
          <w:numId w:val="19"/>
        </w:numPr>
        <w:suppressLineNumbers/>
        <w:tabs>
          <w:tab w:val="clear" w:pos="360"/>
          <w:tab w:val="num" w:pos="709"/>
        </w:tabs>
        <w:suppressAutoHyphens/>
        <w:snapToGrid w:val="0"/>
        <w:rPr>
          <w:spacing w:val="-2"/>
          <w:kern w:val="22"/>
          <w:szCs w:val="22"/>
        </w:rPr>
      </w:pPr>
      <w:r w:rsidRPr="00A9134D">
        <w:rPr>
          <w:spacing w:val="-2"/>
          <w:kern w:val="22"/>
          <w:szCs w:val="22"/>
        </w:rPr>
        <w:t>A one-day workshop will be convened on 23 November 2019, prior to the opening of the twenty</w:t>
      </w:r>
      <w:r w:rsidR="00435021" w:rsidRPr="00A9134D">
        <w:rPr>
          <w:spacing w:val="-2"/>
          <w:kern w:val="22"/>
          <w:szCs w:val="22"/>
        </w:rPr>
        <w:t>-</w:t>
      </w:r>
      <w:r w:rsidRPr="00A9134D">
        <w:rPr>
          <w:spacing w:val="-2"/>
          <w:kern w:val="22"/>
          <w:szCs w:val="22"/>
        </w:rPr>
        <w:t>third meeting of the Subsidiary Body on Scientific, Technical and Technological Advice</w:t>
      </w:r>
      <w:r w:rsidR="000B1C74" w:rsidRPr="00A9134D">
        <w:rPr>
          <w:spacing w:val="-2"/>
          <w:kern w:val="22"/>
          <w:szCs w:val="22"/>
        </w:rPr>
        <w:t>,</w:t>
      </w:r>
      <w:r w:rsidRPr="00A9134D">
        <w:rPr>
          <w:spacing w:val="-2"/>
          <w:kern w:val="22"/>
          <w:szCs w:val="22"/>
        </w:rPr>
        <w:t xml:space="preserve"> on 25 November 2019. </w:t>
      </w:r>
      <w:r w:rsidR="00B77863" w:rsidRPr="00A9134D">
        <w:rPr>
          <w:spacing w:val="-2"/>
          <w:kern w:val="22"/>
          <w:szCs w:val="22"/>
        </w:rPr>
        <w:t xml:space="preserve">Participation in the workshop </w:t>
      </w:r>
      <w:r w:rsidR="00291888" w:rsidRPr="00A9134D">
        <w:rPr>
          <w:spacing w:val="-2"/>
          <w:kern w:val="22"/>
          <w:szCs w:val="22"/>
        </w:rPr>
        <w:t xml:space="preserve">will </w:t>
      </w:r>
      <w:r w:rsidR="00B77863" w:rsidRPr="00A9134D">
        <w:rPr>
          <w:spacing w:val="-2"/>
          <w:kern w:val="22"/>
          <w:szCs w:val="22"/>
        </w:rPr>
        <w:t xml:space="preserve">be open to all registered participants in </w:t>
      </w:r>
      <w:r w:rsidR="00291888" w:rsidRPr="00A9134D">
        <w:rPr>
          <w:spacing w:val="-2"/>
          <w:kern w:val="22"/>
          <w:szCs w:val="22"/>
        </w:rPr>
        <w:t xml:space="preserve">the </w:t>
      </w:r>
      <w:r w:rsidR="00B77863" w:rsidRPr="00A9134D">
        <w:rPr>
          <w:spacing w:val="-2"/>
          <w:kern w:val="22"/>
          <w:szCs w:val="22"/>
        </w:rPr>
        <w:t>eleventh meeting of the Ad Hoc Open-ended Working Group on Article 8(j) and Related Provisions of the Convention on Biological Diversity and the twenty-third meeting of the Subsidiary Body on Scientific, Technical and Technological Advice.</w:t>
      </w:r>
    </w:p>
    <w:p w14:paraId="5B1B3000" w14:textId="0230CAA1" w:rsidR="00B64E9D" w:rsidRPr="00A9134D" w:rsidRDefault="00B64E9D" w:rsidP="00A9134D">
      <w:pPr>
        <w:pStyle w:val="Para1"/>
        <w:numPr>
          <w:ilvl w:val="0"/>
          <w:numId w:val="19"/>
        </w:numPr>
        <w:suppressLineNumbers/>
        <w:tabs>
          <w:tab w:val="clear" w:pos="360"/>
          <w:tab w:val="num" w:pos="709"/>
        </w:tabs>
        <w:suppressAutoHyphens/>
        <w:snapToGrid w:val="0"/>
        <w:rPr>
          <w:spacing w:val="-2"/>
          <w:kern w:val="22"/>
          <w:szCs w:val="22"/>
        </w:rPr>
      </w:pPr>
      <w:r w:rsidRPr="00A9134D">
        <w:rPr>
          <w:spacing w:val="-2"/>
          <w:kern w:val="22"/>
          <w:szCs w:val="22"/>
        </w:rPr>
        <w:t xml:space="preserve">The purpose of the workshop is to inform participants of the findings of the IPBES assessments – </w:t>
      </w:r>
      <w:proofErr w:type="gramStart"/>
      <w:r w:rsidRPr="00A9134D">
        <w:rPr>
          <w:spacing w:val="-2"/>
          <w:kern w:val="22"/>
          <w:szCs w:val="22"/>
        </w:rPr>
        <w:t>in particular the</w:t>
      </w:r>
      <w:proofErr w:type="gramEnd"/>
      <w:r w:rsidRPr="00A9134D">
        <w:rPr>
          <w:spacing w:val="-2"/>
          <w:kern w:val="22"/>
          <w:szCs w:val="22"/>
        </w:rPr>
        <w:t xml:space="preserve"> IPBES </w:t>
      </w:r>
      <w:r w:rsidR="0054244A" w:rsidRPr="00A9134D">
        <w:rPr>
          <w:i/>
          <w:spacing w:val="-2"/>
          <w:kern w:val="22"/>
          <w:szCs w:val="22"/>
        </w:rPr>
        <w:t>G</w:t>
      </w:r>
      <w:r w:rsidRPr="00A9134D">
        <w:rPr>
          <w:i/>
          <w:spacing w:val="-2"/>
          <w:kern w:val="22"/>
          <w:szCs w:val="22"/>
        </w:rPr>
        <w:t xml:space="preserve">lobal </w:t>
      </w:r>
      <w:r w:rsidR="0054244A" w:rsidRPr="00A9134D">
        <w:rPr>
          <w:i/>
          <w:spacing w:val="-2"/>
          <w:kern w:val="22"/>
          <w:szCs w:val="22"/>
        </w:rPr>
        <w:t>A</w:t>
      </w:r>
      <w:r w:rsidRPr="00A9134D">
        <w:rPr>
          <w:i/>
          <w:spacing w:val="-2"/>
          <w:kern w:val="22"/>
          <w:szCs w:val="22"/>
        </w:rPr>
        <w:t xml:space="preserve">ssessment </w:t>
      </w:r>
      <w:r w:rsidR="0054244A" w:rsidRPr="00A9134D">
        <w:rPr>
          <w:i/>
          <w:spacing w:val="-2"/>
          <w:kern w:val="22"/>
          <w:szCs w:val="22"/>
        </w:rPr>
        <w:t>on Biodiversity and Ecosystem Services</w:t>
      </w:r>
      <w:r w:rsidR="0054244A" w:rsidRPr="00A9134D">
        <w:rPr>
          <w:spacing w:val="-2"/>
          <w:kern w:val="22"/>
          <w:szCs w:val="22"/>
        </w:rPr>
        <w:t xml:space="preserve"> </w:t>
      </w:r>
      <w:r w:rsidRPr="00A9134D">
        <w:rPr>
          <w:spacing w:val="-2"/>
          <w:kern w:val="22"/>
          <w:szCs w:val="22"/>
        </w:rPr>
        <w:t xml:space="preserve">and the first draft and draft </w:t>
      </w:r>
      <w:r w:rsidR="00990815" w:rsidRPr="00A9134D">
        <w:rPr>
          <w:spacing w:val="-2"/>
          <w:kern w:val="22"/>
          <w:szCs w:val="22"/>
        </w:rPr>
        <w:t>summary for policymakers</w:t>
      </w:r>
      <w:r w:rsidRPr="00A9134D">
        <w:rPr>
          <w:spacing w:val="-2"/>
          <w:kern w:val="22"/>
          <w:szCs w:val="22"/>
        </w:rPr>
        <w:t xml:space="preserve"> of the fifth edition of the </w:t>
      </w:r>
      <w:r w:rsidRPr="00A9134D">
        <w:rPr>
          <w:i/>
          <w:spacing w:val="-2"/>
          <w:kern w:val="22"/>
          <w:szCs w:val="22"/>
        </w:rPr>
        <w:t>Global Biodiversity Outlook</w:t>
      </w:r>
      <w:r w:rsidR="00990815" w:rsidRPr="00A9134D">
        <w:rPr>
          <w:i/>
          <w:spacing w:val="-2"/>
          <w:kern w:val="22"/>
          <w:szCs w:val="22"/>
        </w:rPr>
        <w:t xml:space="preserve">. </w:t>
      </w:r>
      <w:r w:rsidR="00990815" w:rsidRPr="00A9134D">
        <w:rPr>
          <w:spacing w:val="-2"/>
          <w:kern w:val="22"/>
          <w:szCs w:val="22"/>
        </w:rPr>
        <w:t xml:space="preserve">The workshop aims </w:t>
      </w:r>
      <w:r w:rsidRPr="00A9134D">
        <w:rPr>
          <w:spacing w:val="-2"/>
          <w:kern w:val="22"/>
          <w:szCs w:val="22"/>
        </w:rPr>
        <w:t xml:space="preserve">to facilitate the deliberations by the </w:t>
      </w:r>
      <w:r w:rsidR="00E54BDB" w:rsidRPr="00A9134D">
        <w:rPr>
          <w:spacing w:val="-2"/>
          <w:kern w:val="22"/>
          <w:szCs w:val="22"/>
        </w:rPr>
        <w:t>Subsidiary Body on Scientific, Technical and Technological Advice</w:t>
      </w:r>
      <w:r w:rsidRPr="00A9134D">
        <w:rPr>
          <w:spacing w:val="-2"/>
          <w:kern w:val="22"/>
          <w:szCs w:val="22"/>
        </w:rPr>
        <w:t xml:space="preserve">, </w:t>
      </w:r>
      <w:proofErr w:type="gramStart"/>
      <w:r w:rsidRPr="00A9134D">
        <w:rPr>
          <w:spacing w:val="-2"/>
          <w:kern w:val="22"/>
          <w:szCs w:val="22"/>
        </w:rPr>
        <w:t>in particular on</w:t>
      </w:r>
      <w:proofErr w:type="gramEnd"/>
      <w:r w:rsidRPr="00A9134D">
        <w:rPr>
          <w:spacing w:val="-2"/>
          <w:kern w:val="22"/>
          <w:szCs w:val="22"/>
        </w:rPr>
        <w:t xml:space="preserve"> item 3 of the provisional agenda, </w:t>
      </w:r>
      <w:r w:rsidR="00990815" w:rsidRPr="00A9134D">
        <w:rPr>
          <w:spacing w:val="-2"/>
          <w:kern w:val="22"/>
          <w:szCs w:val="22"/>
        </w:rPr>
        <w:t>on</w:t>
      </w:r>
      <w:r w:rsidRPr="00A9134D">
        <w:rPr>
          <w:spacing w:val="-2"/>
          <w:kern w:val="22"/>
          <w:szCs w:val="22"/>
        </w:rPr>
        <w:t xml:space="preserve"> the scientific and technical evidence base for the post</w:t>
      </w:r>
      <w:r w:rsidRPr="00A9134D">
        <w:rPr>
          <w:spacing w:val="-2"/>
          <w:kern w:val="22"/>
          <w:szCs w:val="22"/>
        </w:rPr>
        <w:noBreakHyphen/>
        <w:t xml:space="preserve">2020 global biodiversity framework. The workshop will consist of presentations as well as group and roundtable discussions. Information on complimentary reports to the fifth edition of the </w:t>
      </w:r>
      <w:r w:rsidRPr="00A9134D">
        <w:rPr>
          <w:i/>
          <w:spacing w:val="-2"/>
          <w:kern w:val="22"/>
          <w:szCs w:val="22"/>
        </w:rPr>
        <w:t>Global Biodiversity Outlook</w:t>
      </w:r>
      <w:r w:rsidRPr="00A9134D">
        <w:rPr>
          <w:spacing w:val="-2"/>
          <w:kern w:val="22"/>
          <w:szCs w:val="22"/>
        </w:rPr>
        <w:t xml:space="preserve">, including the second edition of the </w:t>
      </w:r>
      <w:r w:rsidRPr="00A9134D">
        <w:rPr>
          <w:i/>
          <w:spacing w:val="-2"/>
          <w:kern w:val="22"/>
          <w:szCs w:val="22"/>
        </w:rPr>
        <w:t>Local Biodiversity Outlooks</w:t>
      </w:r>
      <w:r w:rsidRPr="00A9134D">
        <w:rPr>
          <w:spacing w:val="-2"/>
          <w:kern w:val="22"/>
          <w:szCs w:val="22"/>
        </w:rPr>
        <w:t xml:space="preserve"> (LBO-2) being prepared by the Forest Peoples Programme and the next edition of </w:t>
      </w:r>
      <w:r w:rsidR="00E01308" w:rsidRPr="00A9134D">
        <w:rPr>
          <w:spacing w:val="-2"/>
          <w:kern w:val="22"/>
          <w:szCs w:val="22"/>
        </w:rPr>
        <w:t xml:space="preserve">the </w:t>
      </w:r>
      <w:r w:rsidR="00E01308" w:rsidRPr="00A9134D">
        <w:rPr>
          <w:i/>
          <w:spacing w:val="-2"/>
          <w:kern w:val="22"/>
          <w:szCs w:val="22"/>
        </w:rPr>
        <w:t>Plant Conservation Report</w:t>
      </w:r>
      <w:r w:rsidR="00E01308" w:rsidRPr="00A9134D">
        <w:rPr>
          <w:spacing w:val="-2"/>
          <w:kern w:val="22"/>
          <w:szCs w:val="22"/>
        </w:rPr>
        <w:t xml:space="preserve"> </w:t>
      </w:r>
      <w:r w:rsidRPr="00A9134D">
        <w:rPr>
          <w:spacing w:val="-2"/>
          <w:kern w:val="22"/>
          <w:szCs w:val="22"/>
        </w:rPr>
        <w:t xml:space="preserve">(PCR) </w:t>
      </w:r>
      <w:r w:rsidR="00E01308" w:rsidRPr="00A9134D">
        <w:rPr>
          <w:spacing w:val="-2"/>
          <w:kern w:val="22"/>
          <w:szCs w:val="22"/>
        </w:rPr>
        <w:t xml:space="preserve">being </w:t>
      </w:r>
      <w:r w:rsidRPr="00A9134D">
        <w:rPr>
          <w:spacing w:val="-2"/>
          <w:kern w:val="22"/>
          <w:szCs w:val="22"/>
        </w:rPr>
        <w:t xml:space="preserve">prepared by </w:t>
      </w:r>
      <w:r w:rsidR="00D51049" w:rsidRPr="00A9134D">
        <w:rPr>
          <w:spacing w:val="-2"/>
          <w:kern w:val="22"/>
          <w:szCs w:val="22"/>
        </w:rPr>
        <w:t xml:space="preserve">Botanic Gardens Conservation International on behalf of the </w:t>
      </w:r>
      <w:r w:rsidRPr="00A9134D">
        <w:rPr>
          <w:spacing w:val="-2"/>
          <w:kern w:val="22"/>
          <w:szCs w:val="22"/>
        </w:rPr>
        <w:t>Global Partnership for Plant Conservation will also be presented. The results of the workshop will be reported to the Subsidiary Body under item 3 of the provisional agenda.</w:t>
      </w:r>
    </w:p>
    <w:p w14:paraId="3D0D5A66" w14:textId="5FBA3468" w:rsidR="00B64E9D" w:rsidRPr="00A9134D" w:rsidRDefault="00B64E9D" w:rsidP="00A9134D">
      <w:pPr>
        <w:pStyle w:val="Heading2"/>
        <w:numPr>
          <w:ilvl w:val="0"/>
          <w:numId w:val="18"/>
        </w:numPr>
        <w:suppressLineNumbers/>
        <w:tabs>
          <w:tab w:val="clear" w:pos="720"/>
          <w:tab w:val="left" w:pos="426"/>
        </w:tabs>
        <w:suppressAutoHyphens/>
        <w:spacing w:before="240"/>
        <w:ind w:left="0" w:firstLine="0"/>
        <w:rPr>
          <w:rFonts w:ascii="Times New Roman Bold" w:hAnsi="Times New Roman Bold"/>
          <w:bCs w:val="0"/>
          <w:iCs w:val="0"/>
          <w:kern w:val="22"/>
          <w:szCs w:val="22"/>
        </w:rPr>
      </w:pPr>
      <w:r w:rsidRPr="00A9134D">
        <w:rPr>
          <w:rFonts w:ascii="Times New Roman Bold" w:hAnsi="Times New Roman Bold"/>
          <w:bCs w:val="0"/>
          <w:iCs w:val="0"/>
          <w:kern w:val="22"/>
          <w:szCs w:val="22"/>
        </w:rPr>
        <w:t xml:space="preserve">Tentative </w:t>
      </w:r>
      <w:r w:rsidR="0058368B" w:rsidRPr="00A9134D">
        <w:rPr>
          <w:rFonts w:ascii="Times New Roman Bold" w:hAnsi="Times New Roman Bold"/>
          <w:bCs w:val="0"/>
          <w:iCs w:val="0"/>
          <w:kern w:val="22"/>
          <w:szCs w:val="22"/>
        </w:rPr>
        <w:t>o</w:t>
      </w:r>
      <w:r w:rsidRPr="00A9134D">
        <w:rPr>
          <w:rFonts w:ascii="Times New Roman Bold" w:hAnsi="Times New Roman Bold"/>
          <w:bCs w:val="0"/>
          <w:iCs w:val="0"/>
          <w:kern w:val="22"/>
          <w:szCs w:val="22"/>
        </w:rPr>
        <w:t>rgani</w:t>
      </w:r>
      <w:r w:rsidR="00765790" w:rsidRPr="00A9134D">
        <w:rPr>
          <w:rFonts w:ascii="Times New Roman Bold" w:hAnsi="Times New Roman Bold"/>
          <w:bCs w:val="0"/>
          <w:iCs w:val="0"/>
          <w:kern w:val="22"/>
          <w:szCs w:val="22"/>
        </w:rPr>
        <w:t>z</w:t>
      </w:r>
      <w:r w:rsidRPr="00A9134D">
        <w:rPr>
          <w:rFonts w:ascii="Times New Roman Bold" w:hAnsi="Times New Roman Bold"/>
          <w:bCs w:val="0"/>
          <w:iCs w:val="0"/>
          <w:kern w:val="22"/>
          <w:szCs w:val="22"/>
        </w:rPr>
        <w:t>ation of work</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8293"/>
      </w:tblGrid>
      <w:tr w:rsidR="00BF3C17" w:rsidRPr="00774519" w14:paraId="3D9791F1" w14:textId="77777777" w:rsidTr="00A9134D">
        <w:trPr>
          <w:cantSplit/>
          <w:tblHeader/>
          <w:jc w:val="center"/>
        </w:trPr>
        <w:tc>
          <w:tcPr>
            <w:tcW w:w="1793" w:type="dxa"/>
            <w:shd w:val="clear" w:color="auto" w:fill="auto"/>
            <w:tcMar>
              <w:top w:w="108" w:type="dxa"/>
              <w:bottom w:w="108" w:type="dxa"/>
            </w:tcMar>
          </w:tcPr>
          <w:p w14:paraId="724C6249" w14:textId="68CFA69A" w:rsidR="00BF3C17" w:rsidRPr="00A9134D" w:rsidRDefault="00BF3C17" w:rsidP="00A9134D">
            <w:pPr>
              <w:suppressLineNumbers/>
              <w:suppressAutoHyphens/>
              <w:jc w:val="center"/>
              <w:rPr>
                <w:b/>
                <w:bCs/>
                <w:kern w:val="22"/>
                <w:szCs w:val="22"/>
              </w:rPr>
            </w:pPr>
            <w:r w:rsidRPr="00A9134D">
              <w:rPr>
                <w:b/>
                <w:bCs/>
                <w:kern w:val="22"/>
                <w:szCs w:val="22"/>
              </w:rPr>
              <w:t>Time</w:t>
            </w:r>
          </w:p>
        </w:tc>
        <w:tc>
          <w:tcPr>
            <w:tcW w:w="8293" w:type="dxa"/>
            <w:shd w:val="clear" w:color="auto" w:fill="auto"/>
            <w:tcMar>
              <w:top w:w="108" w:type="dxa"/>
              <w:bottom w:w="108" w:type="dxa"/>
            </w:tcMar>
          </w:tcPr>
          <w:p w14:paraId="7763754A" w14:textId="17AAED07" w:rsidR="00BF3C17" w:rsidRPr="00A9134D" w:rsidRDefault="00BF3C17" w:rsidP="00A9134D">
            <w:pPr>
              <w:suppressLineNumbers/>
              <w:suppressAutoHyphens/>
              <w:jc w:val="center"/>
              <w:rPr>
                <w:b/>
                <w:bCs/>
                <w:kern w:val="22"/>
                <w:szCs w:val="22"/>
              </w:rPr>
            </w:pPr>
            <w:r w:rsidRPr="00A9134D">
              <w:rPr>
                <w:b/>
                <w:bCs/>
                <w:kern w:val="22"/>
                <w:szCs w:val="22"/>
              </w:rPr>
              <w:t>Activity</w:t>
            </w:r>
          </w:p>
        </w:tc>
      </w:tr>
      <w:tr w:rsidR="00B64E9D" w:rsidRPr="00774519" w14:paraId="581D04C6" w14:textId="77777777" w:rsidTr="00A9134D">
        <w:trPr>
          <w:cantSplit/>
          <w:jc w:val="center"/>
        </w:trPr>
        <w:tc>
          <w:tcPr>
            <w:tcW w:w="1793" w:type="dxa"/>
            <w:shd w:val="clear" w:color="auto" w:fill="auto"/>
            <w:tcMar>
              <w:top w:w="108" w:type="dxa"/>
              <w:bottom w:w="108" w:type="dxa"/>
            </w:tcMar>
          </w:tcPr>
          <w:p w14:paraId="4451D232" w14:textId="1D780AAF" w:rsidR="00B64E9D" w:rsidRPr="00A9134D" w:rsidRDefault="00B64E9D" w:rsidP="00A9134D">
            <w:pPr>
              <w:suppressLineNumbers/>
              <w:suppressAutoHyphens/>
              <w:rPr>
                <w:b/>
                <w:bCs/>
                <w:kern w:val="22"/>
                <w:szCs w:val="22"/>
              </w:rPr>
            </w:pPr>
            <w:r w:rsidRPr="00A9134D">
              <w:rPr>
                <w:b/>
                <w:bCs/>
                <w:kern w:val="22"/>
                <w:szCs w:val="22"/>
              </w:rPr>
              <w:t>10-10</w:t>
            </w:r>
            <w:r w:rsidR="00765790" w:rsidRPr="00A9134D">
              <w:rPr>
                <w:b/>
                <w:bCs/>
                <w:kern w:val="22"/>
                <w:szCs w:val="22"/>
              </w:rPr>
              <w:t>.</w:t>
            </w:r>
            <w:r w:rsidRPr="00A9134D">
              <w:rPr>
                <w:b/>
                <w:bCs/>
                <w:kern w:val="22"/>
                <w:szCs w:val="22"/>
              </w:rPr>
              <w:t>15</w:t>
            </w:r>
            <w:r w:rsidR="00765790" w:rsidRPr="00A9134D">
              <w:rPr>
                <w:b/>
                <w:bCs/>
                <w:kern w:val="22"/>
                <w:szCs w:val="22"/>
              </w:rPr>
              <w:t xml:space="preserve"> a.m.</w:t>
            </w:r>
          </w:p>
        </w:tc>
        <w:tc>
          <w:tcPr>
            <w:tcW w:w="8293" w:type="dxa"/>
            <w:shd w:val="clear" w:color="auto" w:fill="auto"/>
            <w:tcMar>
              <w:top w:w="108" w:type="dxa"/>
              <w:bottom w:w="108" w:type="dxa"/>
            </w:tcMar>
          </w:tcPr>
          <w:p w14:paraId="11F9AB86" w14:textId="77777777" w:rsidR="00B64E9D" w:rsidRPr="00A9134D" w:rsidRDefault="00B64E9D" w:rsidP="00A9134D">
            <w:pPr>
              <w:suppressLineNumbers/>
              <w:suppressAutoHyphens/>
              <w:rPr>
                <w:b/>
                <w:bCs/>
                <w:kern w:val="22"/>
                <w:szCs w:val="22"/>
              </w:rPr>
            </w:pPr>
            <w:r w:rsidRPr="00A9134D">
              <w:rPr>
                <w:b/>
                <w:bCs/>
                <w:kern w:val="22"/>
                <w:szCs w:val="22"/>
              </w:rPr>
              <w:t>Opening of workshop</w:t>
            </w:r>
          </w:p>
          <w:p w14:paraId="3235E19D" w14:textId="77BADAA0" w:rsidR="00B64E9D" w:rsidRPr="00A9134D" w:rsidRDefault="00B64E9D" w:rsidP="00A9134D">
            <w:pPr>
              <w:numPr>
                <w:ilvl w:val="0"/>
                <w:numId w:val="20"/>
              </w:numPr>
              <w:suppressLineNumbers/>
              <w:suppressAutoHyphens/>
              <w:jc w:val="left"/>
              <w:rPr>
                <w:iCs/>
                <w:kern w:val="22"/>
                <w:szCs w:val="22"/>
              </w:rPr>
            </w:pPr>
            <w:r w:rsidRPr="00A9134D">
              <w:rPr>
                <w:iCs/>
                <w:kern w:val="22"/>
                <w:szCs w:val="22"/>
              </w:rPr>
              <w:t xml:space="preserve">Introductory remarks by </w:t>
            </w:r>
            <w:r w:rsidR="00255D6B">
              <w:rPr>
                <w:iCs/>
                <w:kern w:val="22"/>
                <w:szCs w:val="22"/>
              </w:rPr>
              <w:t xml:space="preserve">the </w:t>
            </w:r>
            <w:r w:rsidRPr="00A9134D">
              <w:rPr>
                <w:iCs/>
                <w:kern w:val="22"/>
                <w:szCs w:val="22"/>
              </w:rPr>
              <w:t xml:space="preserve">Secretariat </w:t>
            </w:r>
            <w:r w:rsidR="00F84BD8" w:rsidRPr="00A9134D">
              <w:rPr>
                <w:iCs/>
                <w:kern w:val="22"/>
                <w:szCs w:val="22"/>
              </w:rPr>
              <w:t xml:space="preserve">of the Convention on Biological Diversity </w:t>
            </w:r>
            <w:r w:rsidRPr="00A9134D">
              <w:rPr>
                <w:iCs/>
                <w:kern w:val="22"/>
                <w:szCs w:val="22"/>
              </w:rPr>
              <w:t xml:space="preserve">and </w:t>
            </w:r>
            <w:r w:rsidR="00F84BD8" w:rsidRPr="00A9134D">
              <w:rPr>
                <w:iCs/>
                <w:kern w:val="22"/>
                <w:szCs w:val="22"/>
              </w:rPr>
              <w:t xml:space="preserve">the </w:t>
            </w:r>
            <w:r w:rsidRPr="00A9134D">
              <w:rPr>
                <w:iCs/>
                <w:kern w:val="22"/>
                <w:szCs w:val="22"/>
              </w:rPr>
              <w:t xml:space="preserve">Secretariat </w:t>
            </w:r>
            <w:r w:rsidR="00F84BD8" w:rsidRPr="00A9134D">
              <w:rPr>
                <w:iCs/>
                <w:kern w:val="22"/>
                <w:szCs w:val="22"/>
              </w:rPr>
              <w:t xml:space="preserve">of the </w:t>
            </w:r>
            <w:r w:rsidR="003175EE" w:rsidRPr="00774519">
              <w:rPr>
                <w:kern w:val="22"/>
                <w:szCs w:val="22"/>
              </w:rPr>
              <w:t>Intergovernmental Science-Policy Platform on Biodiversity and Ecosystem Services</w:t>
            </w:r>
          </w:p>
        </w:tc>
      </w:tr>
      <w:tr w:rsidR="00B64E9D" w:rsidRPr="00774519" w14:paraId="44DD7099" w14:textId="77777777" w:rsidTr="00A9134D">
        <w:trPr>
          <w:cantSplit/>
          <w:jc w:val="center"/>
        </w:trPr>
        <w:tc>
          <w:tcPr>
            <w:tcW w:w="1793" w:type="dxa"/>
            <w:shd w:val="clear" w:color="auto" w:fill="auto"/>
            <w:tcMar>
              <w:top w:w="108" w:type="dxa"/>
              <w:bottom w:w="108" w:type="dxa"/>
            </w:tcMar>
          </w:tcPr>
          <w:p w14:paraId="6C4CF75E" w14:textId="0D6B59CA" w:rsidR="00B64E9D" w:rsidRPr="00A9134D" w:rsidRDefault="00B64E9D" w:rsidP="00A9134D">
            <w:pPr>
              <w:suppressLineNumbers/>
              <w:suppressAutoHyphens/>
              <w:jc w:val="left"/>
              <w:rPr>
                <w:b/>
                <w:bCs/>
                <w:kern w:val="22"/>
                <w:szCs w:val="22"/>
              </w:rPr>
            </w:pPr>
            <w:r w:rsidRPr="00A9134D">
              <w:rPr>
                <w:b/>
                <w:bCs/>
                <w:kern w:val="22"/>
                <w:szCs w:val="22"/>
              </w:rPr>
              <w:t>10</w:t>
            </w:r>
            <w:r w:rsidR="00765790" w:rsidRPr="00A9134D">
              <w:rPr>
                <w:b/>
                <w:bCs/>
                <w:kern w:val="22"/>
                <w:szCs w:val="22"/>
              </w:rPr>
              <w:t>.</w:t>
            </w:r>
            <w:r w:rsidRPr="00A9134D">
              <w:rPr>
                <w:b/>
                <w:bCs/>
                <w:kern w:val="22"/>
                <w:szCs w:val="22"/>
              </w:rPr>
              <w:t xml:space="preserve">15 </w:t>
            </w:r>
            <w:r w:rsidR="00765790" w:rsidRPr="00A9134D">
              <w:rPr>
                <w:b/>
                <w:bCs/>
                <w:kern w:val="22"/>
                <w:szCs w:val="22"/>
              </w:rPr>
              <w:t xml:space="preserve">a.m. </w:t>
            </w:r>
            <w:r w:rsidRPr="00A9134D">
              <w:rPr>
                <w:b/>
                <w:bCs/>
                <w:kern w:val="22"/>
                <w:szCs w:val="22"/>
              </w:rPr>
              <w:t>– 12</w:t>
            </w:r>
            <w:r w:rsidR="00765790" w:rsidRPr="00A9134D">
              <w:rPr>
                <w:b/>
                <w:bCs/>
                <w:kern w:val="22"/>
                <w:szCs w:val="22"/>
              </w:rPr>
              <w:t>.</w:t>
            </w:r>
            <w:r w:rsidRPr="00A9134D">
              <w:rPr>
                <w:b/>
                <w:bCs/>
                <w:kern w:val="22"/>
                <w:szCs w:val="22"/>
              </w:rPr>
              <w:t>15</w:t>
            </w:r>
            <w:r w:rsidR="00765790" w:rsidRPr="00A9134D">
              <w:rPr>
                <w:b/>
                <w:bCs/>
                <w:kern w:val="22"/>
                <w:szCs w:val="22"/>
              </w:rPr>
              <w:t xml:space="preserve"> p.m.</w:t>
            </w:r>
          </w:p>
        </w:tc>
        <w:tc>
          <w:tcPr>
            <w:tcW w:w="8293" w:type="dxa"/>
            <w:shd w:val="clear" w:color="auto" w:fill="auto"/>
            <w:tcMar>
              <w:top w:w="108" w:type="dxa"/>
              <w:bottom w:w="108" w:type="dxa"/>
            </w:tcMar>
          </w:tcPr>
          <w:p w14:paraId="5FBAD060" w14:textId="5B24DC13" w:rsidR="00B64E9D" w:rsidRPr="00A9134D" w:rsidRDefault="00B64E9D" w:rsidP="00A9134D">
            <w:pPr>
              <w:suppressLineNumbers/>
              <w:suppressAutoHyphens/>
              <w:jc w:val="left"/>
              <w:rPr>
                <w:b/>
                <w:bCs/>
                <w:kern w:val="22"/>
                <w:szCs w:val="22"/>
              </w:rPr>
            </w:pPr>
            <w:r w:rsidRPr="00A9134D">
              <w:rPr>
                <w:b/>
                <w:bCs/>
                <w:kern w:val="22"/>
                <w:szCs w:val="22"/>
              </w:rPr>
              <w:t xml:space="preserve">The IPBES </w:t>
            </w:r>
            <w:r w:rsidRPr="00A9134D">
              <w:rPr>
                <w:b/>
                <w:bCs/>
                <w:i/>
                <w:kern w:val="22"/>
                <w:szCs w:val="22"/>
              </w:rPr>
              <w:t>Global Assessment</w:t>
            </w:r>
            <w:r w:rsidRPr="00A9134D">
              <w:rPr>
                <w:b/>
                <w:bCs/>
                <w:kern w:val="22"/>
                <w:szCs w:val="22"/>
              </w:rPr>
              <w:t xml:space="preserve">, the </w:t>
            </w:r>
            <w:r w:rsidRPr="00A9134D">
              <w:rPr>
                <w:b/>
                <w:bCs/>
                <w:i/>
                <w:kern w:val="22"/>
                <w:szCs w:val="22"/>
              </w:rPr>
              <w:t>Global Biodiversity Outlook</w:t>
            </w:r>
            <w:r w:rsidRPr="00A9134D">
              <w:rPr>
                <w:b/>
                <w:bCs/>
                <w:kern w:val="22"/>
                <w:szCs w:val="22"/>
              </w:rPr>
              <w:t xml:space="preserve"> and related reports</w:t>
            </w:r>
          </w:p>
          <w:p w14:paraId="1CD8DD33" w14:textId="6A604B15" w:rsidR="00B64E9D" w:rsidRPr="00A9134D" w:rsidRDefault="00B64E9D" w:rsidP="00A9134D">
            <w:pPr>
              <w:numPr>
                <w:ilvl w:val="0"/>
                <w:numId w:val="20"/>
              </w:numPr>
              <w:suppressLineNumbers/>
              <w:suppressAutoHyphens/>
              <w:jc w:val="left"/>
              <w:rPr>
                <w:bCs/>
                <w:kern w:val="22"/>
                <w:szCs w:val="22"/>
              </w:rPr>
            </w:pPr>
            <w:r w:rsidRPr="00A9134D">
              <w:rPr>
                <w:iCs/>
                <w:kern w:val="22"/>
                <w:szCs w:val="22"/>
              </w:rPr>
              <w:t xml:space="preserve">Presentation on the main conclusions from the IPBES </w:t>
            </w:r>
            <w:r w:rsidRPr="00A9134D">
              <w:rPr>
                <w:i/>
                <w:iCs/>
                <w:kern w:val="22"/>
                <w:szCs w:val="22"/>
              </w:rPr>
              <w:t>Global Assessment</w:t>
            </w:r>
          </w:p>
          <w:p w14:paraId="46AABDB3" w14:textId="67E3CCA7" w:rsidR="00B64E9D" w:rsidRPr="00A9134D" w:rsidRDefault="00B64E9D" w:rsidP="00A9134D">
            <w:pPr>
              <w:numPr>
                <w:ilvl w:val="0"/>
                <w:numId w:val="20"/>
              </w:numPr>
              <w:suppressLineNumbers/>
              <w:suppressAutoHyphens/>
              <w:jc w:val="left"/>
              <w:rPr>
                <w:bCs/>
                <w:kern w:val="22"/>
                <w:szCs w:val="22"/>
              </w:rPr>
            </w:pPr>
            <w:r w:rsidRPr="00A9134D">
              <w:rPr>
                <w:bCs/>
                <w:kern w:val="22"/>
                <w:szCs w:val="22"/>
              </w:rPr>
              <w:t xml:space="preserve">Presentation on the development and first draft of </w:t>
            </w:r>
            <w:r w:rsidR="00B71F16" w:rsidRPr="00764847">
              <w:rPr>
                <w:i/>
                <w:spacing w:val="-2"/>
                <w:kern w:val="22"/>
                <w:szCs w:val="22"/>
              </w:rPr>
              <w:t>Global Biodiversity Outlook</w:t>
            </w:r>
            <w:r w:rsidR="00B71F16">
              <w:rPr>
                <w:i/>
                <w:spacing w:val="-2"/>
                <w:kern w:val="22"/>
                <w:szCs w:val="22"/>
              </w:rPr>
              <w:t>, fifth edition</w:t>
            </w:r>
          </w:p>
          <w:p w14:paraId="1F3C6381" w14:textId="47C99D04" w:rsidR="00B64E9D" w:rsidRPr="00A9134D" w:rsidRDefault="00B64E9D" w:rsidP="00A9134D">
            <w:pPr>
              <w:numPr>
                <w:ilvl w:val="0"/>
                <w:numId w:val="20"/>
              </w:numPr>
              <w:suppressLineNumbers/>
              <w:suppressAutoHyphens/>
              <w:jc w:val="left"/>
              <w:rPr>
                <w:bCs/>
                <w:kern w:val="22"/>
                <w:szCs w:val="22"/>
              </w:rPr>
            </w:pPr>
            <w:r w:rsidRPr="00A9134D">
              <w:rPr>
                <w:bCs/>
                <w:kern w:val="22"/>
                <w:szCs w:val="22"/>
              </w:rPr>
              <w:t xml:space="preserve">Presentation on the development and first draft of </w:t>
            </w:r>
            <w:r w:rsidR="00B71F16" w:rsidRPr="00764847">
              <w:rPr>
                <w:i/>
                <w:spacing w:val="-2"/>
                <w:kern w:val="22"/>
                <w:szCs w:val="22"/>
              </w:rPr>
              <w:t>Local Biodiversity Outlooks</w:t>
            </w:r>
            <w:r w:rsidR="00B71F16">
              <w:rPr>
                <w:i/>
                <w:spacing w:val="-2"/>
                <w:kern w:val="22"/>
                <w:szCs w:val="22"/>
              </w:rPr>
              <w:t>,</w:t>
            </w:r>
            <w:r w:rsidR="00B71F16" w:rsidRPr="00A9134D">
              <w:rPr>
                <w:i/>
                <w:spacing w:val="-2"/>
                <w:kern w:val="22"/>
                <w:szCs w:val="22"/>
              </w:rPr>
              <w:t xml:space="preserve"> </w:t>
            </w:r>
            <w:r w:rsidR="00B71F16" w:rsidRPr="00A9134D">
              <w:rPr>
                <w:bCs/>
                <w:i/>
                <w:kern w:val="22"/>
                <w:szCs w:val="22"/>
              </w:rPr>
              <w:t>second edition</w:t>
            </w:r>
          </w:p>
          <w:p w14:paraId="6AC21FC8" w14:textId="3C3F30D8" w:rsidR="00B64E9D" w:rsidRPr="00A9134D" w:rsidRDefault="00B64E9D" w:rsidP="00A9134D">
            <w:pPr>
              <w:numPr>
                <w:ilvl w:val="0"/>
                <w:numId w:val="20"/>
              </w:numPr>
              <w:suppressLineNumbers/>
              <w:suppressAutoHyphens/>
              <w:jc w:val="left"/>
              <w:rPr>
                <w:bCs/>
                <w:kern w:val="22"/>
                <w:szCs w:val="22"/>
              </w:rPr>
            </w:pPr>
            <w:r w:rsidRPr="00A9134D">
              <w:rPr>
                <w:bCs/>
                <w:kern w:val="22"/>
                <w:szCs w:val="22"/>
              </w:rPr>
              <w:t xml:space="preserve">Presentation on the development and first draft of </w:t>
            </w:r>
            <w:r w:rsidR="00E842A1">
              <w:rPr>
                <w:bCs/>
                <w:kern w:val="22"/>
                <w:szCs w:val="22"/>
              </w:rPr>
              <w:t>the</w:t>
            </w:r>
            <w:r w:rsidR="00E842A1" w:rsidRPr="00764847">
              <w:rPr>
                <w:spacing w:val="-2"/>
                <w:kern w:val="22"/>
                <w:szCs w:val="22"/>
              </w:rPr>
              <w:t xml:space="preserve"> </w:t>
            </w:r>
            <w:r w:rsidR="00E842A1" w:rsidRPr="00A9134D">
              <w:rPr>
                <w:i/>
                <w:spacing w:val="-2"/>
                <w:kern w:val="22"/>
                <w:szCs w:val="22"/>
              </w:rPr>
              <w:t>Plant Conservation Report</w:t>
            </w:r>
          </w:p>
          <w:p w14:paraId="2EB6EFEC" w14:textId="77777777" w:rsidR="00B64E9D" w:rsidRPr="00A9134D" w:rsidRDefault="00B64E9D" w:rsidP="00A9134D">
            <w:pPr>
              <w:suppressLineNumbers/>
              <w:suppressAutoHyphens/>
              <w:jc w:val="left"/>
              <w:rPr>
                <w:bCs/>
                <w:kern w:val="22"/>
                <w:szCs w:val="22"/>
              </w:rPr>
            </w:pPr>
          </w:p>
          <w:p w14:paraId="1BAB5DD8" w14:textId="301B9F31" w:rsidR="00B64E9D" w:rsidRPr="00A9134D" w:rsidRDefault="00B64E9D" w:rsidP="00A9134D">
            <w:pPr>
              <w:suppressLineNumbers/>
              <w:suppressAutoHyphens/>
              <w:jc w:val="left"/>
              <w:rPr>
                <w:b/>
                <w:bCs/>
                <w:kern w:val="22"/>
                <w:szCs w:val="22"/>
              </w:rPr>
            </w:pPr>
            <w:r w:rsidRPr="00A9134D">
              <w:rPr>
                <w:b/>
                <w:bCs/>
                <w:kern w:val="22"/>
                <w:szCs w:val="22"/>
              </w:rPr>
              <w:t>Key elements relevant to the post-2020 global biodiversity framework</w:t>
            </w:r>
          </w:p>
          <w:p w14:paraId="183BD81A" w14:textId="5F41A768" w:rsidR="00B64E9D" w:rsidRPr="00A9134D" w:rsidRDefault="00B64E9D" w:rsidP="00A9134D">
            <w:pPr>
              <w:numPr>
                <w:ilvl w:val="0"/>
                <w:numId w:val="20"/>
              </w:numPr>
              <w:suppressLineNumbers/>
              <w:suppressAutoHyphens/>
              <w:jc w:val="left"/>
              <w:rPr>
                <w:bCs/>
                <w:kern w:val="22"/>
                <w:szCs w:val="22"/>
              </w:rPr>
            </w:pPr>
            <w:r w:rsidRPr="00A9134D">
              <w:rPr>
                <w:bCs/>
                <w:kern w:val="22"/>
                <w:szCs w:val="22"/>
              </w:rPr>
              <w:t>Presentation on direct and indirect drivers of change</w:t>
            </w:r>
          </w:p>
          <w:p w14:paraId="4ADE0C80" w14:textId="74C031EC" w:rsidR="00B64E9D" w:rsidRPr="00A9134D" w:rsidRDefault="00B64E9D" w:rsidP="00A9134D">
            <w:pPr>
              <w:numPr>
                <w:ilvl w:val="0"/>
                <w:numId w:val="20"/>
              </w:numPr>
              <w:suppressLineNumbers/>
              <w:suppressAutoHyphens/>
              <w:jc w:val="left"/>
              <w:rPr>
                <w:bCs/>
                <w:kern w:val="22"/>
                <w:szCs w:val="22"/>
              </w:rPr>
            </w:pPr>
            <w:r w:rsidRPr="00A9134D">
              <w:rPr>
                <w:bCs/>
                <w:kern w:val="22"/>
                <w:szCs w:val="22"/>
              </w:rPr>
              <w:t xml:space="preserve">Presentation on progress </w:t>
            </w:r>
            <w:r w:rsidR="00990815" w:rsidRPr="00A9134D">
              <w:rPr>
                <w:bCs/>
                <w:kern w:val="22"/>
                <w:szCs w:val="22"/>
              </w:rPr>
              <w:t>towards the</w:t>
            </w:r>
            <w:r w:rsidRPr="00A9134D">
              <w:rPr>
                <w:bCs/>
                <w:kern w:val="22"/>
                <w:szCs w:val="22"/>
              </w:rPr>
              <w:t xml:space="preserve"> Aichi Biodiversity Targets</w:t>
            </w:r>
          </w:p>
          <w:p w14:paraId="43926709" w14:textId="0C480F37" w:rsidR="00B64E9D" w:rsidRPr="00A9134D" w:rsidRDefault="00B64E9D" w:rsidP="00A9134D">
            <w:pPr>
              <w:numPr>
                <w:ilvl w:val="0"/>
                <w:numId w:val="20"/>
              </w:numPr>
              <w:suppressLineNumbers/>
              <w:suppressAutoHyphens/>
              <w:jc w:val="left"/>
              <w:rPr>
                <w:bCs/>
                <w:kern w:val="22"/>
                <w:szCs w:val="22"/>
              </w:rPr>
            </w:pPr>
            <w:r w:rsidRPr="00A9134D">
              <w:rPr>
                <w:bCs/>
                <w:kern w:val="22"/>
                <w:szCs w:val="22"/>
              </w:rPr>
              <w:t>Presentation on biodiversity scenarios</w:t>
            </w:r>
          </w:p>
          <w:p w14:paraId="09A97440" w14:textId="437C7AC9" w:rsidR="00B64E9D" w:rsidRPr="00A9134D" w:rsidRDefault="00B64E9D" w:rsidP="00A9134D">
            <w:pPr>
              <w:numPr>
                <w:ilvl w:val="0"/>
                <w:numId w:val="20"/>
              </w:numPr>
              <w:suppressLineNumbers/>
              <w:suppressAutoHyphens/>
              <w:jc w:val="left"/>
              <w:rPr>
                <w:b/>
                <w:bCs/>
                <w:kern w:val="22"/>
                <w:szCs w:val="22"/>
              </w:rPr>
            </w:pPr>
            <w:r w:rsidRPr="00A9134D">
              <w:rPr>
                <w:bCs/>
                <w:kern w:val="22"/>
                <w:szCs w:val="22"/>
              </w:rPr>
              <w:t>Presentation on pathways to a sustainable future and the role of transformative change</w:t>
            </w:r>
            <w:r w:rsidR="00990815" w:rsidRPr="00A9134D">
              <w:rPr>
                <w:bCs/>
                <w:kern w:val="22"/>
                <w:szCs w:val="22"/>
              </w:rPr>
              <w:t xml:space="preserve"> (transitions)</w:t>
            </w:r>
          </w:p>
        </w:tc>
      </w:tr>
      <w:tr w:rsidR="00B64E9D" w:rsidRPr="00774519" w14:paraId="7AC38A73" w14:textId="77777777" w:rsidTr="00A9134D">
        <w:trPr>
          <w:cantSplit/>
          <w:jc w:val="center"/>
        </w:trPr>
        <w:tc>
          <w:tcPr>
            <w:tcW w:w="1793" w:type="dxa"/>
            <w:shd w:val="clear" w:color="auto" w:fill="E2EFD9"/>
            <w:tcMar>
              <w:top w:w="108" w:type="dxa"/>
              <w:bottom w:w="108" w:type="dxa"/>
            </w:tcMar>
          </w:tcPr>
          <w:p w14:paraId="7E358401" w14:textId="42EC1128" w:rsidR="00B64E9D" w:rsidRPr="00A9134D" w:rsidRDefault="00B64E9D" w:rsidP="00A9134D">
            <w:pPr>
              <w:suppressLineNumbers/>
              <w:suppressAutoHyphens/>
              <w:rPr>
                <w:b/>
                <w:bCs/>
                <w:kern w:val="22"/>
                <w:szCs w:val="22"/>
              </w:rPr>
            </w:pPr>
            <w:r w:rsidRPr="00A9134D">
              <w:rPr>
                <w:b/>
                <w:bCs/>
                <w:kern w:val="22"/>
                <w:szCs w:val="22"/>
              </w:rPr>
              <w:t>12</w:t>
            </w:r>
            <w:r w:rsidR="00765790" w:rsidRPr="00A9134D">
              <w:rPr>
                <w:b/>
                <w:bCs/>
                <w:kern w:val="22"/>
                <w:szCs w:val="22"/>
              </w:rPr>
              <w:t>.</w:t>
            </w:r>
            <w:r w:rsidRPr="00A9134D">
              <w:rPr>
                <w:b/>
                <w:bCs/>
                <w:kern w:val="22"/>
                <w:szCs w:val="22"/>
              </w:rPr>
              <w:t>15-1</w:t>
            </w:r>
            <w:r w:rsidR="00765790" w:rsidRPr="00A9134D">
              <w:rPr>
                <w:b/>
                <w:bCs/>
                <w:kern w:val="22"/>
                <w:szCs w:val="22"/>
              </w:rPr>
              <w:t>.</w:t>
            </w:r>
            <w:r w:rsidRPr="00A9134D">
              <w:rPr>
                <w:b/>
                <w:bCs/>
                <w:kern w:val="22"/>
                <w:szCs w:val="22"/>
              </w:rPr>
              <w:t>45</w:t>
            </w:r>
            <w:r w:rsidR="00765790" w:rsidRPr="00A9134D">
              <w:rPr>
                <w:b/>
                <w:bCs/>
                <w:kern w:val="22"/>
                <w:szCs w:val="22"/>
              </w:rPr>
              <w:t xml:space="preserve"> p.m.</w:t>
            </w:r>
          </w:p>
        </w:tc>
        <w:tc>
          <w:tcPr>
            <w:tcW w:w="8293" w:type="dxa"/>
            <w:shd w:val="clear" w:color="auto" w:fill="E2EFD9"/>
            <w:tcMar>
              <w:top w:w="108" w:type="dxa"/>
              <w:bottom w:w="108" w:type="dxa"/>
            </w:tcMar>
          </w:tcPr>
          <w:p w14:paraId="6616262D" w14:textId="77777777" w:rsidR="00B64E9D" w:rsidRPr="00A9134D" w:rsidRDefault="00B64E9D" w:rsidP="00A9134D">
            <w:pPr>
              <w:suppressLineNumbers/>
              <w:suppressAutoHyphens/>
              <w:jc w:val="center"/>
              <w:rPr>
                <w:b/>
                <w:bCs/>
                <w:kern w:val="22"/>
                <w:szCs w:val="22"/>
              </w:rPr>
            </w:pPr>
            <w:r w:rsidRPr="00A9134D">
              <w:rPr>
                <w:b/>
                <w:bCs/>
                <w:kern w:val="22"/>
                <w:szCs w:val="22"/>
              </w:rPr>
              <w:t>Lunch break</w:t>
            </w:r>
          </w:p>
        </w:tc>
      </w:tr>
      <w:tr w:rsidR="00B64E9D" w:rsidRPr="00774519" w14:paraId="7AEFD3EF" w14:textId="77777777" w:rsidTr="00A9134D">
        <w:trPr>
          <w:cantSplit/>
          <w:jc w:val="center"/>
        </w:trPr>
        <w:tc>
          <w:tcPr>
            <w:tcW w:w="1793" w:type="dxa"/>
            <w:shd w:val="clear" w:color="auto" w:fill="auto"/>
            <w:tcMar>
              <w:top w:w="108" w:type="dxa"/>
              <w:bottom w:w="108" w:type="dxa"/>
            </w:tcMar>
          </w:tcPr>
          <w:p w14:paraId="3AA35284" w14:textId="3DA8192E" w:rsidR="00B64E9D" w:rsidRPr="00A9134D" w:rsidRDefault="00B64E9D" w:rsidP="00A9134D">
            <w:pPr>
              <w:suppressLineNumbers/>
              <w:suppressAutoHyphens/>
              <w:jc w:val="left"/>
              <w:rPr>
                <w:b/>
                <w:bCs/>
                <w:kern w:val="22"/>
                <w:szCs w:val="22"/>
              </w:rPr>
            </w:pPr>
            <w:r w:rsidRPr="00A9134D">
              <w:rPr>
                <w:b/>
                <w:bCs/>
                <w:kern w:val="22"/>
                <w:szCs w:val="22"/>
              </w:rPr>
              <w:t>1</w:t>
            </w:r>
            <w:r w:rsidR="00765790" w:rsidRPr="00A9134D">
              <w:rPr>
                <w:b/>
                <w:bCs/>
                <w:kern w:val="22"/>
                <w:szCs w:val="22"/>
              </w:rPr>
              <w:t>.</w:t>
            </w:r>
            <w:r w:rsidRPr="00A9134D">
              <w:rPr>
                <w:b/>
                <w:bCs/>
                <w:kern w:val="22"/>
                <w:szCs w:val="22"/>
              </w:rPr>
              <w:t>45- 3</w:t>
            </w:r>
            <w:r w:rsidR="00765790" w:rsidRPr="00A9134D">
              <w:rPr>
                <w:b/>
                <w:bCs/>
                <w:kern w:val="22"/>
                <w:szCs w:val="22"/>
              </w:rPr>
              <w:t>.</w:t>
            </w:r>
            <w:r w:rsidRPr="00A9134D">
              <w:rPr>
                <w:b/>
                <w:bCs/>
                <w:kern w:val="22"/>
                <w:szCs w:val="22"/>
              </w:rPr>
              <w:t>30</w:t>
            </w:r>
            <w:r w:rsidR="00765790" w:rsidRPr="00A9134D">
              <w:rPr>
                <w:b/>
                <w:bCs/>
                <w:kern w:val="22"/>
                <w:szCs w:val="22"/>
              </w:rPr>
              <w:t xml:space="preserve"> p.m.</w:t>
            </w:r>
          </w:p>
        </w:tc>
        <w:tc>
          <w:tcPr>
            <w:tcW w:w="8293" w:type="dxa"/>
            <w:shd w:val="clear" w:color="auto" w:fill="auto"/>
            <w:tcMar>
              <w:top w:w="108" w:type="dxa"/>
              <w:bottom w:w="108" w:type="dxa"/>
            </w:tcMar>
          </w:tcPr>
          <w:p w14:paraId="26A16BCB" w14:textId="74DAC383" w:rsidR="00B64E9D" w:rsidRPr="00A9134D" w:rsidRDefault="00B64E9D" w:rsidP="00A9134D">
            <w:pPr>
              <w:suppressLineNumbers/>
              <w:suppressAutoHyphens/>
              <w:rPr>
                <w:i/>
                <w:iCs/>
                <w:kern w:val="22"/>
                <w:szCs w:val="22"/>
              </w:rPr>
            </w:pPr>
            <w:r w:rsidRPr="00A9134D">
              <w:rPr>
                <w:b/>
                <w:bCs/>
                <w:kern w:val="22"/>
                <w:szCs w:val="22"/>
              </w:rPr>
              <w:t>Breakout sessions:</w:t>
            </w:r>
          </w:p>
          <w:p w14:paraId="19B11C6C" w14:textId="078B7593" w:rsidR="00B64E9D" w:rsidRPr="00A9134D" w:rsidRDefault="00B64E9D" w:rsidP="00A9134D">
            <w:pPr>
              <w:pStyle w:val="ListParagraph"/>
              <w:numPr>
                <w:ilvl w:val="0"/>
                <w:numId w:val="21"/>
              </w:numPr>
              <w:suppressLineNumbers/>
              <w:suppressAutoHyphens/>
              <w:contextualSpacing w:val="0"/>
              <w:rPr>
                <w:bCs/>
                <w:kern w:val="22"/>
                <w:szCs w:val="22"/>
              </w:rPr>
            </w:pPr>
            <w:r w:rsidRPr="00A9134D">
              <w:rPr>
                <w:bCs/>
                <w:kern w:val="22"/>
                <w:szCs w:val="22"/>
              </w:rPr>
              <w:t>Direct and indirect drivers of change</w:t>
            </w:r>
          </w:p>
          <w:p w14:paraId="3A9C0E43" w14:textId="0C2A3AFC" w:rsidR="00B64E9D" w:rsidRPr="00A9134D" w:rsidRDefault="00B64E9D" w:rsidP="00A9134D">
            <w:pPr>
              <w:pStyle w:val="ListParagraph"/>
              <w:numPr>
                <w:ilvl w:val="0"/>
                <w:numId w:val="21"/>
              </w:numPr>
              <w:suppressLineNumbers/>
              <w:suppressAutoHyphens/>
              <w:contextualSpacing w:val="0"/>
              <w:rPr>
                <w:bCs/>
                <w:color w:val="FF0000"/>
                <w:kern w:val="22"/>
                <w:szCs w:val="22"/>
              </w:rPr>
            </w:pPr>
            <w:r w:rsidRPr="00A9134D">
              <w:rPr>
                <w:bCs/>
                <w:kern w:val="22"/>
                <w:szCs w:val="22"/>
              </w:rPr>
              <w:t xml:space="preserve">Progress </w:t>
            </w:r>
            <w:r w:rsidR="00990815" w:rsidRPr="00A9134D">
              <w:rPr>
                <w:bCs/>
                <w:kern w:val="22"/>
                <w:szCs w:val="22"/>
              </w:rPr>
              <w:t>towards the</w:t>
            </w:r>
            <w:r w:rsidRPr="00A9134D">
              <w:rPr>
                <w:bCs/>
                <w:kern w:val="22"/>
                <w:szCs w:val="22"/>
              </w:rPr>
              <w:t xml:space="preserve"> Aichi Biodiversity Targets</w:t>
            </w:r>
          </w:p>
          <w:p w14:paraId="0FDBEE91" w14:textId="4B2579F6" w:rsidR="00B64E9D" w:rsidRPr="00A9134D" w:rsidRDefault="00B64E9D" w:rsidP="00A9134D">
            <w:pPr>
              <w:pStyle w:val="ListParagraph"/>
              <w:numPr>
                <w:ilvl w:val="0"/>
                <w:numId w:val="21"/>
              </w:numPr>
              <w:suppressLineNumbers/>
              <w:suppressAutoHyphens/>
              <w:contextualSpacing w:val="0"/>
              <w:rPr>
                <w:bCs/>
                <w:color w:val="FF0000"/>
                <w:kern w:val="22"/>
                <w:szCs w:val="22"/>
              </w:rPr>
            </w:pPr>
            <w:r w:rsidRPr="00A9134D">
              <w:rPr>
                <w:bCs/>
                <w:kern w:val="22"/>
                <w:szCs w:val="22"/>
              </w:rPr>
              <w:t>Biodiversity scenarios</w:t>
            </w:r>
          </w:p>
          <w:p w14:paraId="035BFC6F" w14:textId="3E5E4808" w:rsidR="00B64E9D" w:rsidRPr="00A9134D" w:rsidRDefault="00B64E9D" w:rsidP="00A9134D">
            <w:pPr>
              <w:pStyle w:val="ListParagraph"/>
              <w:numPr>
                <w:ilvl w:val="0"/>
                <w:numId w:val="21"/>
              </w:numPr>
              <w:suppressLineNumbers/>
              <w:suppressAutoHyphens/>
              <w:contextualSpacing w:val="0"/>
              <w:rPr>
                <w:bCs/>
                <w:kern w:val="22"/>
                <w:szCs w:val="22"/>
              </w:rPr>
            </w:pPr>
            <w:r w:rsidRPr="00A9134D">
              <w:rPr>
                <w:bCs/>
                <w:kern w:val="22"/>
                <w:szCs w:val="22"/>
              </w:rPr>
              <w:t xml:space="preserve">Pathways to a sustainable future, including transformative change (transitions) </w:t>
            </w:r>
          </w:p>
        </w:tc>
      </w:tr>
      <w:tr w:rsidR="00B64E9D" w:rsidRPr="00774519" w14:paraId="7B18B6F6" w14:textId="77777777" w:rsidTr="00A9134D">
        <w:trPr>
          <w:cantSplit/>
          <w:jc w:val="center"/>
        </w:trPr>
        <w:tc>
          <w:tcPr>
            <w:tcW w:w="1793" w:type="dxa"/>
            <w:shd w:val="clear" w:color="auto" w:fill="E2EFD9"/>
            <w:tcMar>
              <w:top w:w="108" w:type="dxa"/>
              <w:bottom w:w="108" w:type="dxa"/>
            </w:tcMar>
          </w:tcPr>
          <w:p w14:paraId="5DA27F11" w14:textId="50A76C90" w:rsidR="00B64E9D" w:rsidRPr="00A9134D" w:rsidRDefault="00B64E9D" w:rsidP="00A9134D">
            <w:pPr>
              <w:suppressLineNumbers/>
              <w:suppressAutoHyphens/>
              <w:jc w:val="left"/>
              <w:rPr>
                <w:b/>
                <w:bCs/>
                <w:kern w:val="22"/>
                <w:szCs w:val="22"/>
              </w:rPr>
            </w:pPr>
            <w:r w:rsidRPr="00A9134D">
              <w:rPr>
                <w:b/>
                <w:bCs/>
                <w:kern w:val="22"/>
                <w:szCs w:val="22"/>
              </w:rPr>
              <w:t>3</w:t>
            </w:r>
            <w:r w:rsidR="00765790" w:rsidRPr="00A9134D">
              <w:rPr>
                <w:b/>
                <w:bCs/>
                <w:kern w:val="22"/>
                <w:szCs w:val="22"/>
              </w:rPr>
              <w:t>.</w:t>
            </w:r>
            <w:r w:rsidRPr="00A9134D">
              <w:rPr>
                <w:b/>
                <w:bCs/>
                <w:kern w:val="22"/>
                <w:szCs w:val="22"/>
              </w:rPr>
              <w:t>30</w:t>
            </w:r>
            <w:r w:rsidR="00765790" w:rsidRPr="00A9134D">
              <w:rPr>
                <w:b/>
                <w:bCs/>
                <w:kern w:val="22"/>
                <w:szCs w:val="22"/>
              </w:rPr>
              <w:t xml:space="preserve"> </w:t>
            </w:r>
            <w:r w:rsidRPr="00A9134D">
              <w:rPr>
                <w:b/>
                <w:bCs/>
                <w:kern w:val="22"/>
                <w:szCs w:val="22"/>
              </w:rPr>
              <w:t>-</w:t>
            </w:r>
            <w:r w:rsidR="00765790" w:rsidRPr="00A9134D">
              <w:rPr>
                <w:b/>
                <w:bCs/>
                <w:kern w:val="22"/>
                <w:szCs w:val="22"/>
              </w:rPr>
              <w:t xml:space="preserve"> </w:t>
            </w:r>
            <w:r w:rsidRPr="00A9134D">
              <w:rPr>
                <w:b/>
                <w:bCs/>
                <w:kern w:val="22"/>
                <w:szCs w:val="22"/>
              </w:rPr>
              <w:t>4</w:t>
            </w:r>
            <w:r w:rsidR="00765790" w:rsidRPr="00A9134D">
              <w:rPr>
                <w:b/>
                <w:bCs/>
                <w:kern w:val="22"/>
                <w:szCs w:val="22"/>
              </w:rPr>
              <w:t xml:space="preserve"> p.m.</w:t>
            </w:r>
          </w:p>
        </w:tc>
        <w:tc>
          <w:tcPr>
            <w:tcW w:w="8293" w:type="dxa"/>
            <w:shd w:val="clear" w:color="auto" w:fill="E2EFD9"/>
            <w:tcMar>
              <w:top w:w="108" w:type="dxa"/>
              <w:bottom w:w="108" w:type="dxa"/>
            </w:tcMar>
          </w:tcPr>
          <w:p w14:paraId="3DF1AA22" w14:textId="41FC9FF6" w:rsidR="00B64E9D" w:rsidRPr="00A9134D" w:rsidRDefault="00B64E9D" w:rsidP="00A9134D">
            <w:pPr>
              <w:suppressLineNumbers/>
              <w:suppressAutoHyphens/>
              <w:jc w:val="center"/>
              <w:rPr>
                <w:b/>
                <w:bCs/>
                <w:kern w:val="22"/>
                <w:szCs w:val="22"/>
              </w:rPr>
            </w:pPr>
            <w:r w:rsidRPr="00A9134D">
              <w:rPr>
                <w:b/>
                <w:bCs/>
                <w:kern w:val="22"/>
                <w:szCs w:val="22"/>
              </w:rPr>
              <w:t xml:space="preserve">Coffee </w:t>
            </w:r>
            <w:r w:rsidR="00255D6B">
              <w:rPr>
                <w:b/>
                <w:bCs/>
                <w:kern w:val="22"/>
                <w:szCs w:val="22"/>
              </w:rPr>
              <w:t>b</w:t>
            </w:r>
            <w:r w:rsidRPr="00A9134D">
              <w:rPr>
                <w:b/>
                <w:bCs/>
                <w:kern w:val="22"/>
                <w:szCs w:val="22"/>
              </w:rPr>
              <w:t>reak</w:t>
            </w:r>
          </w:p>
        </w:tc>
      </w:tr>
      <w:tr w:rsidR="00B64E9D" w:rsidRPr="00774519" w14:paraId="2A278C1E" w14:textId="77777777" w:rsidTr="00A9134D">
        <w:trPr>
          <w:cantSplit/>
          <w:jc w:val="center"/>
        </w:trPr>
        <w:tc>
          <w:tcPr>
            <w:tcW w:w="1793" w:type="dxa"/>
            <w:shd w:val="clear" w:color="auto" w:fill="auto"/>
            <w:tcMar>
              <w:top w:w="108" w:type="dxa"/>
              <w:bottom w:w="108" w:type="dxa"/>
            </w:tcMar>
          </w:tcPr>
          <w:p w14:paraId="7E2FE8AF" w14:textId="4F85AF5D" w:rsidR="00B64E9D" w:rsidRPr="00A9134D" w:rsidRDefault="00B64E9D" w:rsidP="00A9134D">
            <w:pPr>
              <w:suppressLineNumbers/>
              <w:suppressAutoHyphens/>
              <w:rPr>
                <w:b/>
                <w:bCs/>
                <w:kern w:val="22"/>
                <w:szCs w:val="22"/>
              </w:rPr>
            </w:pPr>
            <w:r w:rsidRPr="00A9134D">
              <w:rPr>
                <w:b/>
                <w:bCs/>
                <w:kern w:val="22"/>
                <w:szCs w:val="22"/>
              </w:rPr>
              <w:t>4</w:t>
            </w:r>
            <w:r w:rsidR="007302EE" w:rsidRPr="00A9134D">
              <w:rPr>
                <w:b/>
                <w:bCs/>
                <w:kern w:val="22"/>
                <w:szCs w:val="22"/>
              </w:rPr>
              <w:t xml:space="preserve"> </w:t>
            </w:r>
            <w:r w:rsidRPr="00A9134D">
              <w:rPr>
                <w:b/>
                <w:bCs/>
                <w:kern w:val="22"/>
                <w:szCs w:val="22"/>
              </w:rPr>
              <w:t>-</w:t>
            </w:r>
            <w:r w:rsidR="007302EE" w:rsidRPr="00A9134D">
              <w:rPr>
                <w:b/>
                <w:bCs/>
                <w:kern w:val="22"/>
                <w:szCs w:val="22"/>
              </w:rPr>
              <w:t xml:space="preserve"> </w:t>
            </w:r>
            <w:r w:rsidRPr="00A9134D">
              <w:rPr>
                <w:b/>
                <w:bCs/>
                <w:kern w:val="22"/>
                <w:szCs w:val="22"/>
              </w:rPr>
              <w:t>5</w:t>
            </w:r>
            <w:r w:rsidR="00765790" w:rsidRPr="00A9134D">
              <w:rPr>
                <w:b/>
                <w:bCs/>
                <w:kern w:val="22"/>
                <w:szCs w:val="22"/>
              </w:rPr>
              <w:t xml:space="preserve"> p.m.</w:t>
            </w:r>
          </w:p>
        </w:tc>
        <w:tc>
          <w:tcPr>
            <w:tcW w:w="8293" w:type="dxa"/>
            <w:shd w:val="clear" w:color="auto" w:fill="auto"/>
            <w:tcMar>
              <w:top w:w="108" w:type="dxa"/>
              <w:bottom w:w="108" w:type="dxa"/>
            </w:tcMar>
          </w:tcPr>
          <w:p w14:paraId="0EFE8261" w14:textId="78457248" w:rsidR="00B64E9D" w:rsidRPr="00A9134D" w:rsidRDefault="00B64E9D" w:rsidP="00A9134D">
            <w:pPr>
              <w:suppressLineNumbers/>
              <w:suppressAutoHyphens/>
              <w:jc w:val="left"/>
              <w:rPr>
                <w:bCs/>
                <w:kern w:val="22"/>
                <w:szCs w:val="22"/>
              </w:rPr>
            </w:pPr>
            <w:r w:rsidRPr="00A9134D">
              <w:rPr>
                <w:b/>
                <w:bCs/>
                <w:kern w:val="22"/>
                <w:szCs w:val="22"/>
              </w:rPr>
              <w:t xml:space="preserve">Plenary discussion: </w:t>
            </w:r>
            <w:r w:rsidRPr="00A9134D">
              <w:rPr>
                <w:iCs/>
                <w:kern w:val="22"/>
                <w:szCs w:val="22"/>
              </w:rPr>
              <w:t>Implications of the assessments/report</w:t>
            </w:r>
            <w:r w:rsidR="00990815" w:rsidRPr="00A9134D">
              <w:rPr>
                <w:iCs/>
                <w:kern w:val="22"/>
                <w:szCs w:val="22"/>
              </w:rPr>
              <w:t>s</w:t>
            </w:r>
            <w:r w:rsidRPr="00A9134D">
              <w:rPr>
                <w:iCs/>
                <w:kern w:val="22"/>
                <w:szCs w:val="22"/>
              </w:rPr>
              <w:t xml:space="preserve"> for the post-2020 global biodiversity framework</w:t>
            </w:r>
          </w:p>
          <w:p w14:paraId="3BD04627" w14:textId="77777777" w:rsidR="00990815" w:rsidRPr="00A9134D" w:rsidRDefault="00990815" w:rsidP="00A9134D">
            <w:pPr>
              <w:suppressLineNumbers/>
              <w:suppressAutoHyphens/>
              <w:jc w:val="left"/>
              <w:rPr>
                <w:bCs/>
                <w:kern w:val="22"/>
                <w:szCs w:val="22"/>
              </w:rPr>
            </w:pPr>
          </w:p>
          <w:p w14:paraId="54DC8001" w14:textId="56A56AC9" w:rsidR="00B64E9D" w:rsidRPr="00A9134D" w:rsidRDefault="00B64E9D" w:rsidP="00A9134D">
            <w:pPr>
              <w:suppressLineNumbers/>
              <w:suppressAutoHyphens/>
              <w:jc w:val="left"/>
              <w:rPr>
                <w:b/>
                <w:bCs/>
                <w:kern w:val="22"/>
                <w:szCs w:val="22"/>
              </w:rPr>
            </w:pPr>
            <w:r w:rsidRPr="00A9134D">
              <w:rPr>
                <w:b/>
                <w:bCs/>
                <w:kern w:val="22"/>
                <w:szCs w:val="22"/>
              </w:rPr>
              <w:t>Clos</w:t>
            </w:r>
            <w:r w:rsidR="00765790" w:rsidRPr="00A9134D">
              <w:rPr>
                <w:b/>
                <w:bCs/>
                <w:kern w:val="22"/>
                <w:szCs w:val="22"/>
              </w:rPr>
              <w:t>ure of the Workshop</w:t>
            </w:r>
          </w:p>
        </w:tc>
      </w:tr>
    </w:tbl>
    <w:p w14:paraId="08815D2B" w14:textId="77777777" w:rsidR="00A423E7" w:rsidRPr="00A9134D" w:rsidRDefault="00A423E7">
      <w:pPr>
        <w:suppressLineNumbers/>
        <w:suppressAutoHyphens/>
        <w:jc w:val="center"/>
        <w:rPr>
          <w:kern w:val="22"/>
          <w:szCs w:val="22"/>
        </w:rPr>
      </w:pPr>
    </w:p>
    <w:p w14:paraId="3093D971" w14:textId="2E584E10" w:rsidR="00B3369F" w:rsidRPr="00A9134D" w:rsidRDefault="007302EE" w:rsidP="00A9134D">
      <w:pPr>
        <w:suppressLineNumbers/>
        <w:suppressAutoHyphens/>
        <w:jc w:val="center"/>
        <w:rPr>
          <w:kern w:val="22"/>
          <w:szCs w:val="22"/>
        </w:rPr>
      </w:pPr>
      <w:r w:rsidRPr="00A9134D">
        <w:rPr>
          <w:kern w:val="22"/>
          <w:szCs w:val="22"/>
        </w:rPr>
        <w:t>__________</w:t>
      </w:r>
    </w:p>
    <w:sectPr w:rsidR="00B3369F" w:rsidRPr="00A9134D" w:rsidSect="003B22D9">
      <w:headerReference w:type="even" r:id="rId19"/>
      <w:headerReference w:type="default" r:id="rId20"/>
      <w:headerReference w:type="firs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52EA" w14:textId="77777777" w:rsidR="0037747E" w:rsidRDefault="0037747E" w:rsidP="00CF1848">
      <w:r>
        <w:separator/>
      </w:r>
    </w:p>
  </w:endnote>
  <w:endnote w:type="continuationSeparator" w:id="0">
    <w:p w14:paraId="4043AE08" w14:textId="77777777" w:rsidR="0037747E" w:rsidRDefault="0037747E" w:rsidP="00CF1848">
      <w:r>
        <w:continuationSeparator/>
      </w:r>
    </w:p>
  </w:endnote>
  <w:endnote w:type="continuationNotice" w:id="1">
    <w:p w14:paraId="44D90B9B" w14:textId="77777777" w:rsidR="0037747E" w:rsidRDefault="0037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98FC" w14:textId="77777777" w:rsidR="0037747E" w:rsidRDefault="0037747E" w:rsidP="00CF1848">
      <w:r>
        <w:separator/>
      </w:r>
    </w:p>
  </w:footnote>
  <w:footnote w:type="continuationSeparator" w:id="0">
    <w:p w14:paraId="34F44D09" w14:textId="77777777" w:rsidR="0037747E" w:rsidRDefault="0037747E" w:rsidP="00CF1848">
      <w:r>
        <w:continuationSeparator/>
      </w:r>
    </w:p>
  </w:footnote>
  <w:footnote w:type="continuationNotice" w:id="1">
    <w:p w14:paraId="6C6417A3" w14:textId="77777777" w:rsidR="0037747E" w:rsidRDefault="0037747E"/>
  </w:footnote>
  <w:footnote w:id="2">
    <w:p w14:paraId="5B72ACF6" w14:textId="77777777" w:rsidR="00B64E9D" w:rsidRPr="00A423E7" w:rsidRDefault="00B64E9D" w:rsidP="00A9134D">
      <w:pPr>
        <w:pStyle w:val="FootnoteText"/>
        <w:suppressLineNumbers/>
        <w:suppressAutoHyphens/>
        <w:ind w:firstLine="0"/>
        <w:jc w:val="left"/>
        <w:rPr>
          <w:kern w:val="18"/>
          <w:szCs w:val="18"/>
        </w:rPr>
      </w:pPr>
      <w:r w:rsidRPr="00A9134D">
        <w:rPr>
          <w:rStyle w:val="FootnoteReference"/>
          <w:kern w:val="18"/>
          <w:sz w:val="18"/>
          <w:szCs w:val="18"/>
        </w:rPr>
        <w:footnoteRef/>
      </w:r>
      <w:r w:rsidRPr="00A423E7">
        <w:rPr>
          <w:kern w:val="18"/>
          <w:szCs w:val="18"/>
        </w:rPr>
        <w:t xml:space="preserve"> CBD/WG2020/1/5. See paragraph 7 of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77B601B" w:rsidR="00534681" w:rsidRPr="00134846" w:rsidRDefault="003B22D9" w:rsidP="00534681">
        <w:pPr>
          <w:pStyle w:val="Header"/>
          <w:rPr>
            <w:lang w:val="fr-FR"/>
          </w:rPr>
        </w:pPr>
        <w:r>
          <w:rPr>
            <w:lang w:val="fr-FR"/>
          </w:rPr>
          <w:t>CBD/POST2020/WS/2019/14/1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79AE7C3" w:rsidR="009505C9" w:rsidRPr="00134846" w:rsidRDefault="003B22D9" w:rsidP="009505C9">
        <w:pPr>
          <w:pStyle w:val="Header"/>
          <w:jc w:val="right"/>
          <w:rPr>
            <w:lang w:val="fr-FR"/>
          </w:rPr>
        </w:pPr>
        <w:r>
          <w:rPr>
            <w:lang w:val="fr-FR"/>
          </w:rPr>
          <w:t>CBD/POST2020/WS/2019/14/1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2905" w14:textId="0CB79A73" w:rsidR="003B22D9" w:rsidRPr="003B22D9" w:rsidRDefault="003B22D9" w:rsidP="003B22D9">
    <w:pPr>
      <w:pStyle w:val="Header"/>
      <w:jc w:val="cent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A27"/>
    <w:multiLevelType w:val="hybridMultilevel"/>
    <w:tmpl w:val="ED0C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1FD4DE9"/>
    <w:multiLevelType w:val="hybridMultilevel"/>
    <w:tmpl w:val="5D4A362A"/>
    <w:lvl w:ilvl="0" w:tplc="6074AA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4420A"/>
    <w:rsid w:val="00061192"/>
    <w:rsid w:val="000B1C74"/>
    <w:rsid w:val="000E673A"/>
    <w:rsid w:val="000F74F5"/>
    <w:rsid w:val="00105372"/>
    <w:rsid w:val="00131E7A"/>
    <w:rsid w:val="00134846"/>
    <w:rsid w:val="001423B8"/>
    <w:rsid w:val="00172AF6"/>
    <w:rsid w:val="00176CEE"/>
    <w:rsid w:val="00186DD8"/>
    <w:rsid w:val="001E7671"/>
    <w:rsid w:val="002006F2"/>
    <w:rsid w:val="002242FB"/>
    <w:rsid w:val="00255D6B"/>
    <w:rsid w:val="00291888"/>
    <w:rsid w:val="002D4BA8"/>
    <w:rsid w:val="0030169D"/>
    <w:rsid w:val="003175EE"/>
    <w:rsid w:val="00364BBD"/>
    <w:rsid w:val="00372F74"/>
    <w:rsid w:val="0037400B"/>
    <w:rsid w:val="0037747E"/>
    <w:rsid w:val="0038775D"/>
    <w:rsid w:val="003B22D9"/>
    <w:rsid w:val="003C3A71"/>
    <w:rsid w:val="003F7224"/>
    <w:rsid w:val="004257F8"/>
    <w:rsid w:val="00426492"/>
    <w:rsid w:val="00427D21"/>
    <w:rsid w:val="00435021"/>
    <w:rsid w:val="00451025"/>
    <w:rsid w:val="004644C2"/>
    <w:rsid w:val="00467F9C"/>
    <w:rsid w:val="004B5EBE"/>
    <w:rsid w:val="005332F5"/>
    <w:rsid w:val="00534681"/>
    <w:rsid w:val="0054244A"/>
    <w:rsid w:val="00560620"/>
    <w:rsid w:val="00565B42"/>
    <w:rsid w:val="0058368B"/>
    <w:rsid w:val="006122BA"/>
    <w:rsid w:val="00624062"/>
    <w:rsid w:val="006902A3"/>
    <w:rsid w:val="006B2290"/>
    <w:rsid w:val="00717D88"/>
    <w:rsid w:val="007302EE"/>
    <w:rsid w:val="00765790"/>
    <w:rsid w:val="00774519"/>
    <w:rsid w:val="007942D3"/>
    <w:rsid w:val="007B6C09"/>
    <w:rsid w:val="007E09DA"/>
    <w:rsid w:val="008178B6"/>
    <w:rsid w:val="008575E3"/>
    <w:rsid w:val="00865B74"/>
    <w:rsid w:val="008B2D3C"/>
    <w:rsid w:val="00930BA1"/>
    <w:rsid w:val="0093169E"/>
    <w:rsid w:val="00935D8D"/>
    <w:rsid w:val="00942F65"/>
    <w:rsid w:val="009505C9"/>
    <w:rsid w:val="00967A5E"/>
    <w:rsid w:val="00990815"/>
    <w:rsid w:val="0099299A"/>
    <w:rsid w:val="00A423E7"/>
    <w:rsid w:val="00A9134D"/>
    <w:rsid w:val="00AF42DE"/>
    <w:rsid w:val="00B3102E"/>
    <w:rsid w:val="00B3369F"/>
    <w:rsid w:val="00B548B1"/>
    <w:rsid w:val="00B64E9D"/>
    <w:rsid w:val="00B67FE1"/>
    <w:rsid w:val="00B71F16"/>
    <w:rsid w:val="00B77863"/>
    <w:rsid w:val="00BB0C6B"/>
    <w:rsid w:val="00BB4606"/>
    <w:rsid w:val="00BB7FE4"/>
    <w:rsid w:val="00BC346A"/>
    <w:rsid w:val="00BD6AEA"/>
    <w:rsid w:val="00BF3C17"/>
    <w:rsid w:val="00C23D2F"/>
    <w:rsid w:val="00C41BA8"/>
    <w:rsid w:val="00C443BD"/>
    <w:rsid w:val="00C9161D"/>
    <w:rsid w:val="00CD0253"/>
    <w:rsid w:val="00CF1848"/>
    <w:rsid w:val="00D051C3"/>
    <w:rsid w:val="00D12044"/>
    <w:rsid w:val="00D31FF6"/>
    <w:rsid w:val="00D359EC"/>
    <w:rsid w:val="00D51049"/>
    <w:rsid w:val="00D76A18"/>
    <w:rsid w:val="00DC049C"/>
    <w:rsid w:val="00DD118C"/>
    <w:rsid w:val="00E01308"/>
    <w:rsid w:val="00E10DCF"/>
    <w:rsid w:val="00E54BDB"/>
    <w:rsid w:val="00E66235"/>
    <w:rsid w:val="00E83C24"/>
    <w:rsid w:val="00E842A1"/>
    <w:rsid w:val="00E9318D"/>
    <w:rsid w:val="00EB577D"/>
    <w:rsid w:val="00F04C75"/>
    <w:rsid w:val="00F114DB"/>
    <w:rsid w:val="00F44DCD"/>
    <w:rsid w:val="00F46FE6"/>
    <w:rsid w:val="00F53193"/>
    <w:rsid w:val="00F6586C"/>
    <w:rsid w:val="00F84BD8"/>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48DB5DD-A9DF-4808-A761-1E1C686F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64E9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4/cop-14-dec-35-en.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29-en.pdf" TargetMode="External"/><Relationship Id="rId2" Type="http://schemas.openxmlformats.org/officeDocument/2006/relationships/customXml" Target="../customXml/item2.xml"/><Relationship Id="rId16" Type="http://schemas.openxmlformats.org/officeDocument/2006/relationships/hyperlink" Target="https://www.cbd.int/doc/decisions/cop-14/cop-14-dec-01-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15297"/>
    <w:rsid w:val="00500A2B"/>
    <w:rsid w:val="0058288D"/>
    <w:rsid w:val="005A73E1"/>
    <w:rsid w:val="006801B3"/>
    <w:rsid w:val="006A2B65"/>
    <w:rsid w:val="00762C61"/>
    <w:rsid w:val="00810A55"/>
    <w:rsid w:val="008C6619"/>
    <w:rsid w:val="008D420E"/>
    <w:rsid w:val="0098642F"/>
    <w:rsid w:val="00C6029B"/>
    <w:rsid w:val="00C8104B"/>
    <w:rsid w:val="00CF6079"/>
    <w:rsid w:val="00D328A7"/>
    <w:rsid w:val="00EE0581"/>
    <w:rsid w:val="00F6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Orestes Plasencia</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terms/"/>
    <ds:schemaRef ds:uri="http://schemas.microsoft.com/office/2006/documentManagement/types"/>
    <ds:schemaRef ds:uri="358298e0-1b7e-4ebe-8695-94439b74f0d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A6A4B2BC-27F7-442E-BF12-DCEB9E5E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91766C9-73FB-40D5-A1E2-EEC4C8D7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Annotated provisional agenda</vt:lpstr>
      <vt:lpstr>    Background</vt:lpstr>
      <vt:lpstr>    Workshop objectives</vt:lpstr>
      <vt:lpstr>    Tentative organization of work</vt:lpstr>
    </vt:vector>
  </TitlesOfParts>
  <Company>SCBD</Company>
  <LinksUpToDate>false</LinksUpToDate>
  <CharactersWithSpaces>6413</CharactersWithSpaces>
  <SharedDoc>false</SharedDoc>
  <HLinks>
    <vt:vector size="24" baseType="variant">
      <vt:variant>
        <vt:i4>655433</vt:i4>
      </vt:variant>
      <vt:variant>
        <vt:i4>9</vt:i4>
      </vt:variant>
      <vt:variant>
        <vt:i4>0</vt:i4>
      </vt:variant>
      <vt:variant>
        <vt:i4>5</vt:i4>
      </vt:variant>
      <vt:variant>
        <vt:lpwstr>https://www.cbd.int/doc/decisions/cop-14/cop-14-dec-35-en.pdf</vt:lpwstr>
      </vt:variant>
      <vt:variant>
        <vt:lpwstr/>
      </vt:variant>
      <vt:variant>
        <vt:i4>65615</vt:i4>
      </vt:variant>
      <vt:variant>
        <vt:i4>6</vt:i4>
      </vt:variant>
      <vt:variant>
        <vt:i4>0</vt:i4>
      </vt:variant>
      <vt:variant>
        <vt:i4>5</vt:i4>
      </vt:variant>
      <vt:variant>
        <vt:lpwstr>https://www.cbd.int/doc/decisions/cop-13/cop-13-dec-29-en.pdf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CBD/POST2020/WS/2019/14/1</dc:subject>
  <dc:creator>SCBD</dc:creator>
  <cp:keywords>Workshop on the Evidence Base for the Post-2020 Global Biodiversity Framework: Fifth Edition of the Global Biodiversity Outlook and IPBES Global Assessment, Montreal, Canada, 23 November 2019, Convention on Biological Diversity</cp:keywords>
  <cp:lastModifiedBy>Veronique Lefebvre</cp:lastModifiedBy>
  <cp:revision>3</cp:revision>
  <dcterms:created xsi:type="dcterms:W3CDTF">2019-11-08T17:10:00Z</dcterms:created>
  <dcterms:modified xsi:type="dcterms:W3CDTF">2019-11-11T18:35:00Z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